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9CEA1" w14:textId="77777777" w:rsidR="00E01EB6" w:rsidRDefault="00E01EB6" w:rsidP="00E01EB6">
      <w:pPr>
        <w:pStyle w:val="NormalWeb"/>
        <w:spacing w:before="0" w:beforeAutospacing="0" w:after="0" w:afterAutospacing="0"/>
        <w:ind w:left="-180" w:right="-334"/>
      </w:pPr>
      <w:r>
        <w:rPr>
          <w:noProof/>
        </w:rPr>
        <w:drawing>
          <wp:inline distT="0" distB="0" distL="0" distR="0" wp14:anchorId="2B14E061" wp14:editId="5AF0BE95">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088D532" w14:textId="77777777" w:rsidR="00E01EB6" w:rsidRDefault="00E01EB6" w:rsidP="00E01EB6">
      <w:pPr>
        <w:pStyle w:val="NormalWeb"/>
        <w:spacing w:before="0" w:beforeAutospacing="0" w:after="0" w:afterAutospacing="0"/>
        <w:ind w:left="-180" w:right="-334"/>
      </w:pPr>
    </w:p>
    <w:p w14:paraId="7C67CFC7" w14:textId="77777777" w:rsidR="00E01EB6" w:rsidRDefault="00E01EB6" w:rsidP="00E01EB6">
      <w:pPr>
        <w:pStyle w:val="NormalWeb"/>
        <w:spacing w:before="0" w:beforeAutospacing="0" w:after="0" w:afterAutospacing="0"/>
        <w:ind w:left="-180" w:right="-334"/>
      </w:pPr>
    </w:p>
    <w:p w14:paraId="359B05B9" w14:textId="77777777" w:rsidR="00E01EB6" w:rsidRDefault="00E01EB6" w:rsidP="00E01EB6">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17374A93" w14:textId="77777777" w:rsidR="00E01EB6" w:rsidRDefault="00E01EB6" w:rsidP="00E01EB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3F349E01" w14:textId="77777777" w:rsidR="00E01EB6" w:rsidRDefault="00E01EB6" w:rsidP="00E01EB6">
      <w:pPr>
        <w:rPr>
          <w:rFonts w:ascii="Arial" w:hAnsi="Arial" w:cs="Arial"/>
          <w:sz w:val="28"/>
          <w:szCs w:val="28"/>
          <w:lang w:val="cy-GB"/>
        </w:rPr>
      </w:pPr>
    </w:p>
    <w:p w14:paraId="609E5378" w14:textId="77777777" w:rsidR="00E01EB6" w:rsidRDefault="00E01EB6" w:rsidP="00E01EB6">
      <w:pPr>
        <w:pStyle w:val="Heading3"/>
        <w:jc w:val="center"/>
        <w:rPr>
          <w:rFonts w:eastAsia="SimSun"/>
          <w:lang w:val="cy-GB"/>
        </w:rPr>
      </w:pPr>
      <w:r>
        <w:rPr>
          <w:rFonts w:eastAsia="SimSun"/>
          <w:lang w:val="cy-GB"/>
        </w:rPr>
        <w:t>THIS SHEET MUST BE THE FIRST PAGE OF THE ASSIGNMENT YOU ARE SUBMITTING  (DO NOT SEND AS A SEPARATE FILE)</w:t>
      </w:r>
    </w:p>
    <w:p w14:paraId="34F50AE5" w14:textId="77777777" w:rsidR="00E01EB6" w:rsidRDefault="00E01EB6" w:rsidP="00E01EB6">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1EB6" w14:paraId="6D7387EC" w14:textId="77777777" w:rsidTr="006F37A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7AFC709" w14:textId="77777777"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E01EB6" w14:paraId="25187C95" w14:textId="77777777" w:rsidTr="006F37A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43258E8" w14:textId="77777777"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1A896C9D" w14:textId="7D082EC0" w:rsidR="00E01EB6" w:rsidRDefault="005E25C3"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E01EB6" w14:paraId="4EDAAD26" w14:textId="77777777" w:rsidTr="006F37A4">
        <w:trPr>
          <w:trHeight w:val="849"/>
        </w:trPr>
        <w:tc>
          <w:tcPr>
            <w:tcW w:w="4788" w:type="dxa"/>
            <w:tcBorders>
              <w:top w:val="single" w:sz="4" w:space="0" w:color="000000"/>
              <w:left w:val="single" w:sz="4" w:space="0" w:color="000000"/>
              <w:bottom w:val="single" w:sz="4" w:space="0" w:color="000000"/>
              <w:right w:val="single" w:sz="4" w:space="0" w:color="000000"/>
            </w:tcBorders>
          </w:tcPr>
          <w:p w14:paraId="377026CA" w14:textId="5AD89EDA"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5E25C3">
              <w:rPr>
                <w:rFonts w:ascii="Arial" w:hAnsi="Arial" w:cs="Arial"/>
                <w:sz w:val="22"/>
                <w:szCs w:val="22"/>
              </w:rPr>
              <w:t xml:space="preserve"> </w:t>
            </w:r>
            <w:r w:rsidR="005E25C3" w:rsidRPr="005E25C3">
              <w:rPr>
                <w:rFonts w:ascii="Arial" w:hAnsi="Arial" w:cs="Arial"/>
                <w:sz w:val="22"/>
                <w:szCs w:val="22"/>
              </w:rPr>
              <w:t>AHHI 7016</w:t>
            </w:r>
          </w:p>
          <w:p w14:paraId="648CD1DF" w14:textId="77777777" w:rsidR="00E01EB6" w:rsidRDefault="00E01EB6" w:rsidP="006F37A4">
            <w:pPr>
              <w:pStyle w:val="NormalWeb"/>
              <w:spacing w:before="0" w:beforeAutospacing="0" w:after="0" w:afterAutospacing="0"/>
              <w:ind w:right="34"/>
              <w:rPr>
                <w:rFonts w:ascii="Arial" w:hAnsi="Arial" w:cs="Arial"/>
                <w:sz w:val="22"/>
                <w:szCs w:val="22"/>
              </w:rPr>
            </w:pPr>
          </w:p>
          <w:p w14:paraId="095C4496" w14:textId="20DF02AD"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5E25C3">
              <w:rPr>
                <w:rFonts w:ascii="Arial" w:hAnsi="Arial" w:cs="Arial"/>
                <w:sz w:val="22"/>
                <w:szCs w:val="22"/>
              </w:rPr>
              <w:t xml:space="preserve"> </w:t>
            </w:r>
            <w:r w:rsidR="005E25C3" w:rsidRPr="005E25C3">
              <w:rPr>
                <w:rFonts w:ascii="Arial" w:hAnsi="Arial" w:cs="Arial"/>
                <w:sz w:val="22"/>
                <w:szCs w:val="22"/>
              </w:rPr>
              <w:t>Studying the Medieval: Manuscripts and Records</w:t>
            </w:r>
          </w:p>
          <w:p w14:paraId="33BFE989" w14:textId="77777777" w:rsidR="00E01EB6" w:rsidRDefault="00E01EB6" w:rsidP="006F37A4">
            <w:pPr>
              <w:pStyle w:val="NormalWeb"/>
              <w:spacing w:before="0" w:beforeAutospacing="0" w:after="0" w:afterAutospacing="0"/>
              <w:ind w:right="34"/>
              <w:rPr>
                <w:rFonts w:ascii="Arial" w:hAnsi="Arial" w:cs="Arial"/>
                <w:sz w:val="22"/>
                <w:szCs w:val="22"/>
              </w:rPr>
            </w:pPr>
          </w:p>
          <w:p w14:paraId="646F0BB4" w14:textId="77777777" w:rsidR="00E01EB6" w:rsidRDefault="00E01EB6" w:rsidP="006F37A4">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54002E7" w14:textId="77777777"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1699C7F8" w14:textId="77777777" w:rsidR="005E25C3" w:rsidRDefault="005E25C3" w:rsidP="006F37A4">
            <w:pPr>
              <w:pStyle w:val="NormalWeb"/>
              <w:spacing w:before="0" w:beforeAutospacing="0" w:after="0" w:afterAutospacing="0"/>
              <w:ind w:right="34"/>
              <w:rPr>
                <w:rFonts w:ascii="Arial" w:hAnsi="Arial" w:cs="Arial"/>
                <w:sz w:val="22"/>
                <w:szCs w:val="22"/>
              </w:rPr>
            </w:pPr>
          </w:p>
          <w:p w14:paraId="1320D78D" w14:textId="08AC3B3C" w:rsidR="005E25C3" w:rsidRDefault="005E25C3"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tc>
        <w:tc>
          <w:tcPr>
            <w:tcW w:w="1802" w:type="dxa"/>
            <w:tcBorders>
              <w:top w:val="single" w:sz="4" w:space="0" w:color="000000"/>
              <w:left w:val="single" w:sz="4" w:space="0" w:color="000000"/>
              <w:bottom w:val="single" w:sz="4" w:space="0" w:color="000000"/>
              <w:right w:val="single" w:sz="4" w:space="0" w:color="000000"/>
            </w:tcBorders>
            <w:hideMark/>
          </w:tcPr>
          <w:p w14:paraId="6DFA09EC" w14:textId="77777777"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2C5B8A70" w14:textId="77777777"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5E25C3">
              <w:rPr>
                <w:rFonts w:ascii="Arial" w:hAnsi="Arial" w:cs="Arial"/>
                <w:sz w:val="22"/>
                <w:szCs w:val="22"/>
                <w:u w:val="single"/>
              </w:rPr>
              <w:t>No</w:t>
            </w:r>
          </w:p>
        </w:tc>
      </w:tr>
      <w:tr w:rsidR="00E01EB6" w14:paraId="24577F2D" w14:textId="77777777" w:rsidTr="006F37A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6316911" w14:textId="54AA1872"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5E25C3">
              <w:rPr>
                <w:rFonts w:ascii="Arial" w:hAnsi="Arial" w:cs="Arial"/>
                <w:sz w:val="22"/>
                <w:szCs w:val="22"/>
              </w:rPr>
              <w:t xml:space="preserve"> Janet Burton</w:t>
            </w:r>
          </w:p>
          <w:p w14:paraId="209877FC" w14:textId="77777777" w:rsidR="00E01EB6" w:rsidRDefault="00E01EB6" w:rsidP="006F37A4">
            <w:pPr>
              <w:pStyle w:val="NormalWeb"/>
              <w:spacing w:before="0" w:beforeAutospacing="0" w:after="0" w:afterAutospacing="0"/>
              <w:ind w:right="34"/>
              <w:rPr>
                <w:rFonts w:ascii="Arial" w:hAnsi="Arial" w:cs="Arial"/>
                <w:sz w:val="22"/>
                <w:szCs w:val="22"/>
              </w:rPr>
            </w:pPr>
          </w:p>
          <w:p w14:paraId="143FCAFA" w14:textId="77777777" w:rsidR="00E01EB6" w:rsidRDefault="00E01EB6" w:rsidP="006F37A4">
            <w:pPr>
              <w:pStyle w:val="NormalWeb"/>
              <w:spacing w:before="0" w:beforeAutospacing="0" w:after="0" w:afterAutospacing="0"/>
              <w:ind w:right="34"/>
              <w:rPr>
                <w:rFonts w:ascii="Arial" w:hAnsi="Arial" w:cs="Arial"/>
                <w:sz w:val="22"/>
                <w:szCs w:val="22"/>
              </w:rPr>
            </w:pPr>
          </w:p>
          <w:p w14:paraId="6E5A96C9" w14:textId="07577D2B"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5E25C3">
              <w:rPr>
                <w:rFonts w:ascii="Arial" w:hAnsi="Arial" w:cs="Arial"/>
                <w:sz w:val="22"/>
                <w:szCs w:val="22"/>
              </w:rPr>
              <w:t xml:space="preserve"> 12/06/2020</w:t>
            </w:r>
          </w:p>
        </w:tc>
      </w:tr>
      <w:tr w:rsidR="00E01EB6" w14:paraId="4C64DEAC" w14:textId="77777777" w:rsidTr="006F37A4">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4BB6B963" w14:textId="77777777" w:rsidR="00E01EB6" w:rsidRDefault="00E01EB6" w:rsidP="006F37A4">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3BF2F537" w14:textId="77777777" w:rsidR="00E01EB6" w:rsidRDefault="00E01EB6" w:rsidP="006F37A4">
            <w:pPr>
              <w:rPr>
                <w:rFonts w:ascii="Arial" w:hAnsi="Arial" w:cs="Arial"/>
                <w:sz w:val="22"/>
                <w:szCs w:val="22"/>
              </w:rPr>
            </w:pPr>
          </w:p>
          <w:p w14:paraId="72B6082F" w14:textId="27476EE4" w:rsidR="00E01EB6" w:rsidRDefault="00E01EB6" w:rsidP="006F37A4">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sidR="005E25C3">
              <w:rPr>
                <w:rFonts w:ascii="Arial" w:hAnsi="Arial" w:cs="Arial"/>
                <w:sz w:val="22"/>
                <w:szCs w:val="22"/>
              </w:rPr>
              <w:fldChar w:fldCharType="begin">
                <w:ffData>
                  <w:name w:val="Check15"/>
                  <w:enabled/>
                  <w:calcOnExit w:val="0"/>
                  <w:checkBox>
                    <w:sizeAuto/>
                    <w:default w:val="1"/>
                  </w:checkBox>
                </w:ffData>
              </w:fldChar>
            </w:r>
            <w:bookmarkStart w:id="2" w:name="Check15"/>
            <w:r w:rsidR="005E25C3">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rsidR="005E25C3">
              <w:rPr>
                <w:rFonts w:ascii="Arial" w:hAnsi="Arial" w:cs="Arial"/>
                <w:sz w:val="22"/>
                <w:szCs w:val="22"/>
              </w:rP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fldChar w:fldCharType="end"/>
            </w:r>
            <w:bookmarkEnd w:id="5"/>
          </w:p>
        </w:tc>
      </w:tr>
      <w:tr w:rsidR="00E01EB6" w14:paraId="54E17277" w14:textId="77777777" w:rsidTr="006F37A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4BF4007" w14:textId="77777777"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8083AB0" w14:textId="1318D1FD" w:rsidR="00E01EB6" w:rsidRDefault="00E01EB6"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5E25C3">
              <w:rPr>
                <w:rFonts w:ascii="Arial" w:hAnsi="Arial" w:cs="Arial"/>
                <w:sz w:val="22"/>
                <w:szCs w:val="22"/>
              </w:rPr>
              <w:t>Emma Lewis</w:t>
            </w:r>
            <w:r>
              <w:rPr>
                <w:rFonts w:ascii="Arial" w:hAnsi="Arial" w:cs="Arial"/>
                <w:sz w:val="22"/>
                <w:szCs w:val="22"/>
              </w:rPr>
              <w:t>…………………………………………………………</w:t>
            </w:r>
          </w:p>
          <w:p w14:paraId="7EC04C39" w14:textId="4ACD011C" w:rsidR="00E01EB6" w:rsidRDefault="00E01EB6" w:rsidP="006F37A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sidR="005E25C3">
              <w:rPr>
                <w:rFonts w:ascii="Arial" w:hAnsi="Arial" w:cs="Arial"/>
                <w:sz w:val="22"/>
                <w:szCs w:val="22"/>
              </w:rPr>
              <w:fldChar w:fldCharType="begin">
                <w:ffData>
                  <w:name w:val="Check15"/>
                  <w:enabled/>
                  <w:calcOnExit w:val="0"/>
                  <w:checkBox>
                    <w:sizeAuto/>
                    <w:default w:val="1"/>
                  </w:checkBox>
                </w:ffData>
              </w:fldChar>
            </w:r>
            <w:r w:rsidR="005E25C3">
              <w:rPr>
                <w:rFonts w:ascii="Arial" w:hAnsi="Arial" w:cs="Arial"/>
                <w:sz w:val="22"/>
                <w:szCs w:val="22"/>
              </w:rPr>
              <w:instrText xml:space="preserve"> FORMCHECKBOX </w:instrText>
            </w:r>
            <w:r w:rsidR="00C8522D">
              <w:rPr>
                <w:rFonts w:ascii="Arial" w:hAnsi="Arial" w:cs="Arial"/>
                <w:sz w:val="22"/>
                <w:szCs w:val="22"/>
              </w:rPr>
            </w:r>
            <w:r w:rsidR="00C8522D">
              <w:rPr>
                <w:rFonts w:ascii="Arial" w:hAnsi="Arial" w:cs="Arial"/>
                <w:sz w:val="22"/>
                <w:szCs w:val="22"/>
              </w:rPr>
              <w:fldChar w:fldCharType="separate"/>
            </w:r>
            <w:r w:rsidR="005E25C3">
              <w:rPr>
                <w:rFonts w:ascii="Arial" w:hAnsi="Arial" w:cs="Arial"/>
                <w:sz w:val="22"/>
                <w:szCs w:val="22"/>
              </w:rPr>
              <w:fldChar w:fldCharType="end"/>
            </w:r>
          </w:p>
          <w:p w14:paraId="32392231" w14:textId="77777777" w:rsidR="00E01EB6" w:rsidRDefault="00E01EB6" w:rsidP="006F37A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01EB6" w14:paraId="21D6E23C" w14:textId="77777777" w:rsidTr="006F37A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7F10FB4" w14:textId="77777777" w:rsidR="00E01EB6" w:rsidRDefault="00E01EB6" w:rsidP="006F37A4">
            <w:pPr>
              <w:rPr>
                <w:rFonts w:ascii="Arial" w:hAnsi="Arial"/>
                <w:b/>
              </w:rPr>
            </w:pPr>
          </w:p>
          <w:p w14:paraId="25F44961" w14:textId="77777777" w:rsidR="00E01EB6" w:rsidRDefault="00E01EB6" w:rsidP="006F37A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1EB6" w14:paraId="6846B75D" w14:textId="77777777" w:rsidTr="006F37A4">
              <w:tc>
                <w:tcPr>
                  <w:tcW w:w="6970" w:type="dxa"/>
                  <w:tcBorders>
                    <w:top w:val="single" w:sz="4" w:space="0" w:color="auto"/>
                    <w:left w:val="single" w:sz="4" w:space="0" w:color="auto"/>
                    <w:bottom w:val="single" w:sz="4" w:space="0" w:color="auto"/>
                    <w:right w:val="single" w:sz="4" w:space="0" w:color="auto"/>
                  </w:tcBorders>
                </w:tcPr>
                <w:p w14:paraId="27AFD1AD" w14:textId="77777777" w:rsidR="00E01EB6" w:rsidRDefault="00E01EB6" w:rsidP="006F37A4">
                  <w:pPr>
                    <w:rPr>
                      <w:rFonts w:ascii="Arial" w:hAnsi="Arial"/>
                      <w:sz w:val="20"/>
                      <w:szCs w:val="20"/>
                    </w:rPr>
                  </w:pPr>
                </w:p>
                <w:p w14:paraId="1F0B9F9C" w14:textId="77777777" w:rsidR="00E01EB6" w:rsidRDefault="00E01EB6" w:rsidP="006F37A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1BF6DB45" w14:textId="77777777" w:rsidR="00E01EB6" w:rsidRDefault="00E01EB6" w:rsidP="006F37A4">
                  <w:pPr>
                    <w:rPr>
                      <w:rFonts w:ascii="Arial" w:hAnsi="Arial"/>
                      <w:sz w:val="20"/>
                      <w:szCs w:val="20"/>
                    </w:rPr>
                  </w:pPr>
                </w:p>
              </w:tc>
            </w:tr>
            <w:tr w:rsidR="00E01EB6" w14:paraId="76B04AE8" w14:textId="77777777" w:rsidTr="006F37A4">
              <w:tc>
                <w:tcPr>
                  <w:tcW w:w="6970" w:type="dxa"/>
                  <w:tcBorders>
                    <w:top w:val="single" w:sz="4" w:space="0" w:color="auto"/>
                    <w:left w:val="single" w:sz="4" w:space="0" w:color="auto"/>
                    <w:bottom w:val="single" w:sz="4" w:space="0" w:color="auto"/>
                    <w:right w:val="single" w:sz="4" w:space="0" w:color="auto"/>
                  </w:tcBorders>
                </w:tcPr>
                <w:p w14:paraId="7BF547B1" w14:textId="77777777" w:rsidR="00E01EB6" w:rsidRDefault="00E01EB6" w:rsidP="006F37A4">
                  <w:pPr>
                    <w:rPr>
                      <w:rFonts w:ascii="Arial" w:hAnsi="Arial"/>
                      <w:sz w:val="20"/>
                      <w:szCs w:val="20"/>
                    </w:rPr>
                  </w:pPr>
                </w:p>
                <w:p w14:paraId="0BCC5A7F" w14:textId="77777777" w:rsidR="00E01EB6" w:rsidRDefault="00E01EB6" w:rsidP="006F37A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9B88417" w14:textId="77777777" w:rsidR="00E01EB6" w:rsidRDefault="00E01EB6" w:rsidP="006F37A4">
                  <w:pPr>
                    <w:rPr>
                      <w:rFonts w:ascii="Arial" w:hAnsi="Arial"/>
                      <w:sz w:val="20"/>
                      <w:szCs w:val="20"/>
                    </w:rPr>
                  </w:pPr>
                </w:p>
              </w:tc>
            </w:tr>
            <w:tr w:rsidR="00E01EB6" w14:paraId="616B8D2C" w14:textId="77777777" w:rsidTr="006F37A4">
              <w:tc>
                <w:tcPr>
                  <w:tcW w:w="6970" w:type="dxa"/>
                  <w:tcBorders>
                    <w:top w:val="single" w:sz="4" w:space="0" w:color="auto"/>
                    <w:left w:val="single" w:sz="4" w:space="0" w:color="auto"/>
                    <w:bottom w:val="single" w:sz="4" w:space="0" w:color="auto"/>
                    <w:right w:val="single" w:sz="4" w:space="0" w:color="auto"/>
                  </w:tcBorders>
                </w:tcPr>
                <w:p w14:paraId="64369D57" w14:textId="77777777" w:rsidR="00E01EB6" w:rsidRDefault="00E01EB6" w:rsidP="006F37A4">
                  <w:pPr>
                    <w:rPr>
                      <w:rFonts w:ascii="Arial" w:hAnsi="Arial"/>
                      <w:sz w:val="20"/>
                      <w:szCs w:val="20"/>
                    </w:rPr>
                  </w:pPr>
                </w:p>
                <w:p w14:paraId="1E3F0493" w14:textId="77777777" w:rsidR="00E01EB6" w:rsidRDefault="00E01EB6" w:rsidP="006F37A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729F3971" w14:textId="77777777" w:rsidR="00E01EB6" w:rsidRDefault="00E01EB6" w:rsidP="006F37A4">
                  <w:pPr>
                    <w:rPr>
                      <w:rFonts w:ascii="Arial" w:hAnsi="Arial"/>
                      <w:sz w:val="20"/>
                      <w:szCs w:val="20"/>
                    </w:rPr>
                  </w:pPr>
                </w:p>
              </w:tc>
            </w:tr>
            <w:tr w:rsidR="00E01EB6" w14:paraId="07F8CD05" w14:textId="77777777" w:rsidTr="006F37A4">
              <w:tc>
                <w:tcPr>
                  <w:tcW w:w="6970" w:type="dxa"/>
                  <w:tcBorders>
                    <w:top w:val="single" w:sz="4" w:space="0" w:color="auto"/>
                    <w:left w:val="single" w:sz="4" w:space="0" w:color="auto"/>
                    <w:bottom w:val="single" w:sz="4" w:space="0" w:color="auto"/>
                    <w:right w:val="single" w:sz="4" w:space="0" w:color="auto"/>
                  </w:tcBorders>
                </w:tcPr>
                <w:p w14:paraId="7613CB30" w14:textId="77777777" w:rsidR="00E01EB6" w:rsidRDefault="00E01EB6" w:rsidP="006F37A4">
                  <w:pPr>
                    <w:rPr>
                      <w:rFonts w:ascii="Arial" w:hAnsi="Arial"/>
                      <w:sz w:val="20"/>
                      <w:szCs w:val="20"/>
                    </w:rPr>
                  </w:pPr>
                </w:p>
                <w:p w14:paraId="7066FA74" w14:textId="77777777" w:rsidR="00E01EB6" w:rsidRDefault="00E01EB6" w:rsidP="006F37A4">
                  <w:pPr>
                    <w:rPr>
                      <w:rFonts w:ascii="Arial" w:hAnsi="Arial"/>
                      <w:b/>
                      <w:sz w:val="20"/>
                      <w:szCs w:val="20"/>
                    </w:rPr>
                  </w:pPr>
                  <w:r>
                    <w:rPr>
                      <w:rFonts w:ascii="Arial" w:hAnsi="Arial"/>
                      <w:b/>
                      <w:sz w:val="20"/>
                      <w:szCs w:val="20"/>
                    </w:rPr>
                    <w:t>Final Mark</w:t>
                  </w:r>
                </w:p>
                <w:p w14:paraId="39A32475" w14:textId="77777777" w:rsidR="00E01EB6" w:rsidRDefault="00E01EB6" w:rsidP="006F37A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42BA8122" w14:textId="77777777" w:rsidR="00E01EB6" w:rsidRDefault="00E01EB6" w:rsidP="006F37A4">
                  <w:pPr>
                    <w:rPr>
                      <w:rFonts w:ascii="Arial" w:hAnsi="Arial"/>
                      <w:sz w:val="20"/>
                      <w:szCs w:val="20"/>
                    </w:rPr>
                  </w:pPr>
                </w:p>
              </w:tc>
            </w:tr>
          </w:tbl>
          <w:p w14:paraId="6EDE0038" w14:textId="77777777" w:rsidR="00E01EB6" w:rsidRDefault="00E01EB6" w:rsidP="006F37A4">
            <w:pPr>
              <w:pStyle w:val="NormalWeb"/>
              <w:spacing w:before="0" w:beforeAutospacing="0" w:after="0" w:afterAutospacing="0"/>
              <w:ind w:left="142" w:right="34"/>
              <w:rPr>
                <w:rFonts w:ascii="Arial" w:hAnsi="Arial" w:cs="Arial"/>
                <w:b/>
                <w:sz w:val="22"/>
                <w:szCs w:val="22"/>
              </w:rPr>
            </w:pPr>
          </w:p>
          <w:p w14:paraId="55BB6884" w14:textId="77777777" w:rsidR="00E01EB6" w:rsidRDefault="00E01EB6" w:rsidP="006F37A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11A579AE" w14:textId="77777777" w:rsidR="00E01EB6" w:rsidRDefault="00E01EB6" w:rsidP="006F37A4">
            <w:pPr>
              <w:pStyle w:val="NormalWeb"/>
              <w:spacing w:before="0" w:beforeAutospacing="0" w:after="0" w:afterAutospacing="0"/>
              <w:rPr>
                <w:rFonts w:ascii="Arial" w:hAnsi="Arial" w:cs="Arial"/>
                <w:b/>
                <w:sz w:val="22"/>
                <w:szCs w:val="22"/>
              </w:rPr>
            </w:pPr>
          </w:p>
          <w:p w14:paraId="1439C701" w14:textId="77777777" w:rsidR="00E01EB6" w:rsidRDefault="00E01EB6" w:rsidP="006F37A4">
            <w:pPr>
              <w:pStyle w:val="NormalWeb"/>
              <w:spacing w:before="0" w:beforeAutospacing="0" w:after="0" w:afterAutospacing="0"/>
              <w:rPr>
                <w:rFonts w:ascii="Arial" w:hAnsi="Arial" w:cs="Arial"/>
                <w:b/>
                <w:sz w:val="22"/>
                <w:szCs w:val="22"/>
              </w:rPr>
            </w:pPr>
          </w:p>
          <w:p w14:paraId="07942D16" w14:textId="77777777" w:rsidR="00E01EB6" w:rsidRDefault="00E01EB6" w:rsidP="006F37A4">
            <w:pPr>
              <w:pStyle w:val="NormalWeb"/>
              <w:spacing w:before="0" w:beforeAutospacing="0" w:after="0" w:afterAutospacing="0"/>
              <w:rPr>
                <w:rFonts w:ascii="Arial" w:hAnsi="Arial" w:cs="Arial"/>
                <w:b/>
                <w:sz w:val="22"/>
                <w:szCs w:val="22"/>
              </w:rPr>
            </w:pPr>
          </w:p>
          <w:p w14:paraId="5A924F8D" w14:textId="77777777" w:rsidR="00E01EB6" w:rsidRDefault="00E01EB6" w:rsidP="006F37A4">
            <w:pPr>
              <w:pStyle w:val="NormalWeb"/>
              <w:spacing w:before="0" w:beforeAutospacing="0" w:after="0" w:afterAutospacing="0"/>
              <w:rPr>
                <w:rFonts w:ascii="Arial" w:hAnsi="Arial" w:cs="Arial"/>
                <w:b/>
                <w:sz w:val="22"/>
                <w:szCs w:val="22"/>
              </w:rPr>
            </w:pPr>
          </w:p>
          <w:p w14:paraId="3A02B4A8" w14:textId="77777777" w:rsidR="00E01EB6" w:rsidRDefault="00E01EB6" w:rsidP="006F37A4">
            <w:pPr>
              <w:pStyle w:val="NormalWeb"/>
              <w:spacing w:before="0" w:beforeAutospacing="0" w:after="0" w:afterAutospacing="0"/>
              <w:rPr>
                <w:rFonts w:ascii="Arial" w:hAnsi="Arial" w:cs="Arial"/>
                <w:b/>
                <w:sz w:val="22"/>
                <w:szCs w:val="22"/>
              </w:rPr>
            </w:pPr>
          </w:p>
          <w:p w14:paraId="14D9621B" w14:textId="77777777" w:rsidR="00E01EB6" w:rsidRDefault="00E01EB6" w:rsidP="006F37A4">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72956DD0" w14:textId="77777777" w:rsidR="00E01EB6" w:rsidRDefault="00E01EB6" w:rsidP="006F37A4">
            <w:pPr>
              <w:pStyle w:val="NormalWeb"/>
              <w:rPr>
                <w:rFonts w:ascii="Arial" w:hAnsi="Arial" w:cs="Arial"/>
                <w:sz w:val="22"/>
                <w:szCs w:val="22"/>
              </w:rPr>
            </w:pPr>
            <w:r>
              <w:rPr>
                <w:rFonts w:ascii="Arial" w:hAnsi="Arial" w:cs="Arial"/>
                <w:sz w:val="22"/>
                <w:szCs w:val="22"/>
              </w:rPr>
              <w:t>Comments:</w:t>
            </w:r>
          </w:p>
          <w:p w14:paraId="69A2B3C1" w14:textId="77777777" w:rsidR="00E01EB6" w:rsidRDefault="00E01EB6" w:rsidP="006F37A4">
            <w:pPr>
              <w:pStyle w:val="NormalWeb"/>
              <w:rPr>
                <w:rFonts w:ascii="Arial" w:hAnsi="Arial" w:cs="Arial"/>
                <w:sz w:val="22"/>
                <w:szCs w:val="22"/>
              </w:rPr>
            </w:pPr>
          </w:p>
        </w:tc>
      </w:tr>
      <w:tr w:rsidR="00E01EB6" w14:paraId="5542D5F3" w14:textId="77777777" w:rsidTr="006F37A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BB1D995" w14:textId="77777777" w:rsidR="00E01EB6" w:rsidRDefault="00E01EB6" w:rsidP="006F37A4">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00F51568" w14:textId="77777777" w:rsidR="00E01EB6" w:rsidRDefault="00E01EB6" w:rsidP="006F37A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E01EB6" w14:paraId="14903BB6" w14:textId="77777777" w:rsidTr="006F37A4">
        <w:tc>
          <w:tcPr>
            <w:tcW w:w="8856" w:type="dxa"/>
            <w:gridSpan w:val="5"/>
            <w:tcBorders>
              <w:top w:val="single" w:sz="4" w:space="0" w:color="000000"/>
              <w:left w:val="single" w:sz="4" w:space="0" w:color="000000"/>
              <w:bottom w:val="single" w:sz="4" w:space="0" w:color="000000"/>
              <w:right w:val="single" w:sz="4" w:space="0" w:color="000000"/>
            </w:tcBorders>
          </w:tcPr>
          <w:p w14:paraId="0016BAB3" w14:textId="77777777" w:rsidR="00E01EB6" w:rsidRDefault="00E01EB6" w:rsidP="006F37A4">
            <w:pPr>
              <w:pStyle w:val="NormalWeb"/>
              <w:spacing w:before="0" w:beforeAutospacing="0" w:after="0" w:afterAutospacing="0"/>
              <w:ind w:right="-334"/>
              <w:rPr>
                <w:rFonts w:ascii="Arial" w:hAnsi="Arial" w:cs="Arial"/>
                <w:bCs/>
                <w:i/>
                <w:sz w:val="22"/>
                <w:szCs w:val="22"/>
              </w:rPr>
            </w:pPr>
          </w:p>
          <w:p w14:paraId="030527CB" w14:textId="77777777" w:rsidR="00E01EB6" w:rsidRDefault="00E01EB6" w:rsidP="006F37A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7D44427" w14:textId="77777777" w:rsidR="00E01EB6" w:rsidRDefault="00E01EB6" w:rsidP="006F37A4">
            <w:pPr>
              <w:pStyle w:val="NormalWeb"/>
              <w:spacing w:before="0" w:beforeAutospacing="0" w:after="0" w:afterAutospacing="0"/>
              <w:ind w:right="-334"/>
              <w:rPr>
                <w:rFonts w:ascii="Arial" w:hAnsi="Arial" w:cs="Arial"/>
                <w:b/>
                <w:bCs/>
                <w:sz w:val="22"/>
                <w:szCs w:val="22"/>
              </w:rPr>
            </w:pPr>
          </w:p>
          <w:p w14:paraId="25477683" w14:textId="77777777" w:rsidR="00E01EB6" w:rsidRDefault="00E01EB6" w:rsidP="006F37A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419A480C" w14:textId="77777777" w:rsidR="00E01EB6" w:rsidRDefault="00E01EB6" w:rsidP="006F37A4">
            <w:pPr>
              <w:pStyle w:val="NormalWeb"/>
              <w:spacing w:before="0" w:beforeAutospacing="0" w:after="0" w:afterAutospacing="0"/>
              <w:ind w:right="-334"/>
              <w:rPr>
                <w:rFonts w:ascii="Arial" w:hAnsi="Arial" w:cs="Arial"/>
                <w:bCs/>
                <w:sz w:val="22"/>
                <w:szCs w:val="22"/>
              </w:rPr>
            </w:pPr>
          </w:p>
          <w:p w14:paraId="56CAC0A3" w14:textId="77777777" w:rsidR="00E01EB6" w:rsidRDefault="00E01EB6" w:rsidP="006F37A4">
            <w:pPr>
              <w:pStyle w:val="NormalWeb"/>
              <w:spacing w:before="0" w:beforeAutospacing="0" w:after="0" w:afterAutospacing="0"/>
              <w:ind w:right="-334"/>
              <w:rPr>
                <w:rFonts w:ascii="Arial" w:hAnsi="Arial" w:cs="Arial"/>
                <w:bCs/>
                <w:sz w:val="22"/>
                <w:szCs w:val="22"/>
              </w:rPr>
            </w:pPr>
          </w:p>
          <w:p w14:paraId="3B4D039C" w14:textId="77777777" w:rsidR="00E01EB6" w:rsidRDefault="00E01EB6" w:rsidP="006F37A4">
            <w:pPr>
              <w:pStyle w:val="NormalWeb"/>
              <w:spacing w:before="0" w:beforeAutospacing="0" w:after="0" w:afterAutospacing="0"/>
              <w:ind w:right="-334"/>
              <w:rPr>
                <w:rFonts w:ascii="Arial" w:hAnsi="Arial" w:cs="Arial"/>
                <w:bCs/>
                <w:sz w:val="22"/>
                <w:szCs w:val="22"/>
              </w:rPr>
            </w:pPr>
          </w:p>
        </w:tc>
      </w:tr>
      <w:tr w:rsidR="00E01EB6" w14:paraId="0FE7004F" w14:textId="77777777" w:rsidTr="006F37A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C4F65E4" w14:textId="77777777" w:rsidR="00E01EB6" w:rsidRDefault="00E01EB6" w:rsidP="006F37A4">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D04E58D" w14:textId="77777777" w:rsidR="00E01EB6" w:rsidRDefault="00E01EB6" w:rsidP="006F37A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E01EB6" w14:paraId="3452DE75" w14:textId="77777777" w:rsidTr="006F37A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C037F03" w14:textId="77777777" w:rsidR="00E01EB6" w:rsidRDefault="00E01EB6" w:rsidP="006F37A4">
            <w:pPr>
              <w:rPr>
                <w:rFonts w:ascii="Arial" w:hAnsi="Arial" w:cs="Arial"/>
                <w:b/>
                <w:sz w:val="22"/>
                <w:szCs w:val="22"/>
              </w:rPr>
            </w:pPr>
            <w:r>
              <w:rPr>
                <w:rFonts w:ascii="Arial" w:hAnsi="Arial" w:cs="Arial"/>
                <w:b/>
                <w:sz w:val="22"/>
                <w:szCs w:val="22"/>
              </w:rPr>
              <w:t>External Examiner’s comments (if relevant)</w:t>
            </w:r>
          </w:p>
          <w:p w14:paraId="1D2C654B" w14:textId="77777777" w:rsidR="00E01EB6" w:rsidRDefault="00E01EB6" w:rsidP="006F37A4">
            <w:pPr>
              <w:pStyle w:val="NormalWeb"/>
              <w:spacing w:before="0" w:beforeAutospacing="0" w:after="0" w:afterAutospacing="0"/>
              <w:ind w:right="-334"/>
              <w:rPr>
                <w:rFonts w:ascii="Arial" w:hAnsi="Arial" w:cs="Arial"/>
                <w:bCs/>
                <w:sz w:val="22"/>
                <w:szCs w:val="22"/>
              </w:rPr>
            </w:pPr>
          </w:p>
          <w:p w14:paraId="4B36A17F" w14:textId="77777777" w:rsidR="00E01EB6" w:rsidRDefault="00E01EB6" w:rsidP="006F37A4">
            <w:pPr>
              <w:pStyle w:val="NormalWeb"/>
              <w:spacing w:before="0" w:beforeAutospacing="0" w:after="0" w:afterAutospacing="0"/>
              <w:ind w:right="-334"/>
              <w:rPr>
                <w:rFonts w:ascii="Arial" w:hAnsi="Arial" w:cs="Arial"/>
                <w:bCs/>
                <w:sz w:val="22"/>
                <w:szCs w:val="22"/>
              </w:rPr>
            </w:pPr>
          </w:p>
          <w:p w14:paraId="09DE6845" w14:textId="77777777" w:rsidR="00E01EB6" w:rsidRDefault="00E01EB6" w:rsidP="006F37A4">
            <w:pPr>
              <w:pStyle w:val="NormalWeb"/>
              <w:spacing w:before="0" w:beforeAutospacing="0" w:after="0" w:afterAutospacing="0"/>
              <w:ind w:right="-334"/>
              <w:rPr>
                <w:rFonts w:ascii="Arial" w:hAnsi="Arial" w:cs="Arial"/>
                <w:bCs/>
                <w:sz w:val="22"/>
                <w:szCs w:val="22"/>
              </w:rPr>
            </w:pPr>
          </w:p>
        </w:tc>
      </w:tr>
      <w:tr w:rsidR="00E01EB6" w14:paraId="293EC08E" w14:textId="77777777" w:rsidTr="006F37A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A2CFB9A" w14:textId="77777777" w:rsidR="00E01EB6" w:rsidRDefault="00E01EB6" w:rsidP="006F37A4">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ABD3FA0" w14:textId="77777777" w:rsidR="00E01EB6" w:rsidRDefault="00E01EB6" w:rsidP="006F37A4">
            <w:pPr>
              <w:rPr>
                <w:rFonts w:ascii="Arial" w:hAnsi="Arial" w:cs="Arial"/>
                <w:sz w:val="22"/>
                <w:szCs w:val="22"/>
              </w:rPr>
            </w:pPr>
            <w:r>
              <w:rPr>
                <w:rFonts w:ascii="Arial" w:hAnsi="Arial" w:cs="Arial"/>
                <w:sz w:val="22"/>
                <w:szCs w:val="22"/>
              </w:rPr>
              <w:t>Date:</w:t>
            </w:r>
          </w:p>
        </w:tc>
      </w:tr>
    </w:tbl>
    <w:p w14:paraId="676DE2D9" w14:textId="77777777" w:rsidR="00E01EB6" w:rsidRDefault="00E01EB6" w:rsidP="00E01EB6"/>
    <w:p w14:paraId="7DA481CF" w14:textId="77777777" w:rsidR="00E01EB6" w:rsidRDefault="00E01EB6" w:rsidP="00E01EB6"/>
    <w:p w14:paraId="72CBF7CA" w14:textId="144EAA24" w:rsidR="00FE380D" w:rsidRDefault="00C8522D"/>
    <w:p w14:paraId="28E1DED4" w14:textId="7C2E23E2" w:rsidR="00E01EB6" w:rsidRDefault="00E01EB6"/>
    <w:p w14:paraId="11239023" w14:textId="1C5D4C15" w:rsidR="00E01EB6" w:rsidRDefault="00E01EB6"/>
    <w:p w14:paraId="423C9267" w14:textId="28C94BEA" w:rsidR="00E01EB6" w:rsidRDefault="00E01EB6"/>
    <w:p w14:paraId="4D722952" w14:textId="2FA81C69" w:rsidR="00E01EB6" w:rsidRDefault="00E01EB6"/>
    <w:p w14:paraId="5F56B804" w14:textId="1CDE636C" w:rsidR="00E01EB6" w:rsidRDefault="00E01EB6"/>
    <w:p w14:paraId="1A98E447" w14:textId="767A3A8D" w:rsidR="00E01EB6" w:rsidRDefault="00E01EB6"/>
    <w:p w14:paraId="4A252D5B" w14:textId="0F49D8E6" w:rsidR="00E01EB6" w:rsidRDefault="00E01EB6"/>
    <w:p w14:paraId="1F12A50E" w14:textId="2952D817" w:rsidR="00E01EB6" w:rsidRDefault="00E01EB6"/>
    <w:p w14:paraId="6A38A133" w14:textId="198D203C" w:rsidR="00E01EB6" w:rsidRDefault="00E01EB6"/>
    <w:p w14:paraId="561A5731" w14:textId="4B8FD1E2" w:rsidR="00E01EB6" w:rsidRDefault="00E01EB6"/>
    <w:p w14:paraId="6773B832" w14:textId="5D6E41FC" w:rsidR="00E01EB6" w:rsidRDefault="00E01EB6"/>
    <w:p w14:paraId="69E648FF" w14:textId="428B406B" w:rsidR="00E01EB6" w:rsidRDefault="00E01EB6"/>
    <w:p w14:paraId="73332448" w14:textId="0C03CF14" w:rsidR="00E01EB6" w:rsidRDefault="00E01EB6"/>
    <w:p w14:paraId="092BDB8E" w14:textId="72928D48" w:rsidR="00E01EB6" w:rsidRDefault="00E01EB6"/>
    <w:p w14:paraId="0E097CE4" w14:textId="1D08F219" w:rsidR="00E01EB6" w:rsidRDefault="00E01EB6"/>
    <w:p w14:paraId="599D1EBE" w14:textId="7F1B702B" w:rsidR="00E01EB6" w:rsidRPr="00E01EB6" w:rsidRDefault="00E01EB6" w:rsidP="00E01EB6">
      <w:pPr>
        <w:pStyle w:val="ListParagraph"/>
        <w:numPr>
          <w:ilvl w:val="0"/>
          <w:numId w:val="4"/>
        </w:numPr>
        <w:autoSpaceDN w:val="0"/>
        <w:spacing w:line="264" w:lineRule="auto"/>
        <w:jc w:val="both"/>
        <w:rPr>
          <w:rFonts w:asciiTheme="minorHAnsi" w:hAnsiTheme="minorHAnsi"/>
          <w:sz w:val="28"/>
          <w:szCs w:val="28"/>
        </w:rPr>
      </w:pPr>
      <w:r w:rsidRPr="00E01EB6">
        <w:rPr>
          <w:rFonts w:asciiTheme="minorHAnsi" w:hAnsiTheme="minorHAnsi"/>
          <w:sz w:val="28"/>
          <w:szCs w:val="28"/>
        </w:rPr>
        <w:lastRenderedPageBreak/>
        <w:t>One commentary of 1500 words (30%)</w:t>
      </w:r>
    </w:p>
    <w:p w14:paraId="7B3C768E" w14:textId="7BB15448" w:rsidR="00E01EB6" w:rsidRDefault="00E01EB6"/>
    <w:p w14:paraId="5CFB589F" w14:textId="3183BF61" w:rsidR="00E01EB6" w:rsidRDefault="00E01EB6"/>
    <w:p w14:paraId="2BA73DA4" w14:textId="77777777" w:rsidR="00E01EB6" w:rsidRDefault="00E01EB6" w:rsidP="00E01EB6">
      <w:pPr>
        <w:pStyle w:val="ListParagraph"/>
        <w:numPr>
          <w:ilvl w:val="0"/>
          <w:numId w:val="2"/>
        </w:numPr>
        <w:tabs>
          <w:tab w:val="left" w:pos="0"/>
        </w:tabs>
        <w:suppressAutoHyphens/>
        <w:spacing w:after="0" w:line="264" w:lineRule="auto"/>
        <w:ind w:left="0" w:firstLine="0"/>
        <w:jc w:val="both"/>
        <w:rPr>
          <w:rFonts w:asciiTheme="minorHAnsi" w:hAnsiTheme="minorHAnsi" w:cs="Times New Roman"/>
          <w:b/>
          <w:spacing w:val="-3"/>
          <w:sz w:val="28"/>
          <w:szCs w:val="28"/>
        </w:rPr>
      </w:pPr>
      <w:r>
        <w:rPr>
          <w:rFonts w:asciiTheme="minorHAnsi" w:hAnsiTheme="minorHAnsi" w:cs="Times New Roman"/>
          <w:b/>
          <w:spacing w:val="-3"/>
          <w:sz w:val="28"/>
          <w:szCs w:val="28"/>
        </w:rPr>
        <w:t>Commentaries (subjects to be chosen in consultation with one of the module tutors)</w:t>
      </w:r>
    </w:p>
    <w:p w14:paraId="49F476F2" w14:textId="77777777" w:rsidR="00E01EB6" w:rsidRDefault="00E01EB6" w:rsidP="00E01EB6">
      <w:pPr>
        <w:tabs>
          <w:tab w:val="left" w:pos="0"/>
        </w:tabs>
        <w:suppressAutoHyphens/>
        <w:spacing w:line="264" w:lineRule="auto"/>
        <w:ind w:firstLine="142"/>
        <w:jc w:val="both"/>
        <w:rPr>
          <w:rFonts w:asciiTheme="minorHAnsi" w:hAnsiTheme="minorHAnsi"/>
          <w:b/>
          <w:spacing w:val="-3"/>
          <w:sz w:val="28"/>
          <w:szCs w:val="28"/>
        </w:rPr>
      </w:pPr>
    </w:p>
    <w:p w14:paraId="42840EDC" w14:textId="77777777" w:rsidR="00E01EB6" w:rsidRPr="007149E0" w:rsidRDefault="00E01EB6" w:rsidP="00E01EB6">
      <w:pPr>
        <w:pStyle w:val="ListParagraph"/>
        <w:numPr>
          <w:ilvl w:val="0"/>
          <w:numId w:val="3"/>
        </w:numPr>
        <w:tabs>
          <w:tab w:val="left" w:pos="0"/>
        </w:tabs>
        <w:suppressAutoHyphens/>
        <w:spacing w:after="0" w:line="240" w:lineRule="auto"/>
        <w:ind w:left="0" w:firstLine="0"/>
        <w:jc w:val="both"/>
        <w:rPr>
          <w:rFonts w:asciiTheme="minorHAnsi" w:hAnsiTheme="minorHAnsi" w:cs="Times New Roman"/>
          <w:b/>
          <w:spacing w:val="-3"/>
          <w:sz w:val="28"/>
          <w:szCs w:val="28"/>
          <w:u w:val="single"/>
        </w:rPr>
      </w:pPr>
      <w:r w:rsidRPr="007149E0">
        <w:rPr>
          <w:rFonts w:asciiTheme="minorHAnsi" w:hAnsiTheme="minorHAnsi" w:cs="Times New Roman"/>
          <w:spacing w:val="-3"/>
          <w:sz w:val="28"/>
          <w:szCs w:val="28"/>
          <w:u w:val="single"/>
        </w:rPr>
        <w:t>Comment on the significant features of a visual image taken from a medieval book of hours, psalter, bible etc).</w:t>
      </w:r>
    </w:p>
    <w:p w14:paraId="1A7B47B2" w14:textId="77777777" w:rsidR="00E01EB6" w:rsidRDefault="00E01EB6" w:rsidP="00E01EB6"/>
    <w:p w14:paraId="067A3F60" w14:textId="77777777" w:rsidR="00E01EB6" w:rsidRDefault="00E01EB6" w:rsidP="00E01EB6"/>
    <w:p w14:paraId="1ADDF2D6" w14:textId="77777777" w:rsidR="00E01EB6" w:rsidRDefault="00E01EB6" w:rsidP="00E01EB6">
      <w:r w:rsidRPr="009418C3">
        <w:rPr>
          <w:noProof/>
        </w:rPr>
        <w:drawing>
          <wp:inline distT="0" distB="0" distL="0" distR="0" wp14:anchorId="03FA64B2" wp14:editId="37F5A2AF">
            <wp:extent cx="5969000" cy="42714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99377" cy="4293151"/>
                    </a:xfrm>
                    <a:prstGeom prst="rect">
                      <a:avLst/>
                    </a:prstGeom>
                  </pic:spPr>
                </pic:pic>
              </a:graphicData>
            </a:graphic>
          </wp:inline>
        </w:drawing>
      </w:r>
    </w:p>
    <w:p w14:paraId="4FB9AE9E" w14:textId="77777777" w:rsidR="00E01EB6" w:rsidRDefault="00E01EB6" w:rsidP="00E01EB6"/>
    <w:p w14:paraId="216CCA0D" w14:textId="77777777" w:rsidR="00E01EB6" w:rsidRDefault="00E01EB6" w:rsidP="00E01EB6">
      <w:r>
        <w:t>I</w:t>
      </w:r>
      <w:r w:rsidRPr="009418C3">
        <w:t>mage of the biblical scene of the Annunciation to Mary</w:t>
      </w:r>
      <w:r>
        <w:t xml:space="preserve">- </w:t>
      </w:r>
      <w:r w:rsidRPr="008C49B4">
        <w:t>Folios 48v-49r: The Annunciation (Matins)</w:t>
      </w:r>
    </w:p>
    <w:p w14:paraId="659028B7" w14:textId="77777777" w:rsidR="00E01EB6" w:rsidRDefault="00E01EB6" w:rsidP="00E01EB6"/>
    <w:p w14:paraId="13C54578" w14:textId="77777777" w:rsidR="00126DEE" w:rsidRPr="009B7C75" w:rsidRDefault="00E01EB6" w:rsidP="00126DEE">
      <w:pPr>
        <w:ind w:firstLine="720"/>
        <w:rPr>
          <w:color w:val="000000" w:themeColor="text1"/>
        </w:rPr>
      </w:pPr>
      <w:r w:rsidRPr="009B7C75">
        <w:rPr>
          <w:color w:val="000000" w:themeColor="text1"/>
        </w:rPr>
        <w:t>This visual image of the biblical scene of the Annunciation to Mary. This image comes from the ‘</w:t>
      </w:r>
      <w:r w:rsidRPr="008C49B4">
        <w:rPr>
          <w:i/>
          <w:iCs/>
          <w:color w:val="000000" w:themeColor="text1"/>
        </w:rPr>
        <w:t>Book of Hours’</w:t>
      </w:r>
      <w:r w:rsidRPr="009B7C75">
        <w:rPr>
          <w:rStyle w:val="FootnoteReference"/>
          <w:color w:val="000000" w:themeColor="text1"/>
        </w:rPr>
        <w:footnoteReference w:id="1"/>
      </w:r>
      <w:r w:rsidRPr="009B7C75">
        <w:rPr>
          <w:color w:val="000000" w:themeColor="text1"/>
        </w:rPr>
        <w:t>, which are ‘</w:t>
      </w:r>
      <w:r w:rsidRPr="008C49B4">
        <w:rPr>
          <w:i/>
          <w:iCs/>
          <w:color w:val="000000" w:themeColor="text1"/>
        </w:rPr>
        <w:t>compendiums of prayers and devotional texts designed to be used by ordinary people</w:t>
      </w:r>
      <w:r w:rsidRPr="009B7C75">
        <w:rPr>
          <w:color w:val="000000" w:themeColor="text1"/>
        </w:rPr>
        <w:t>’</w:t>
      </w:r>
      <w:r w:rsidRPr="009B7C75">
        <w:rPr>
          <w:rStyle w:val="FootnoteReference"/>
          <w:color w:val="000000" w:themeColor="text1"/>
        </w:rPr>
        <w:footnoteReference w:id="2"/>
      </w:r>
      <w:r w:rsidRPr="009B7C75">
        <w:rPr>
          <w:color w:val="000000" w:themeColor="text1"/>
        </w:rPr>
        <w:t xml:space="preserve">, </w:t>
      </w:r>
      <w:r w:rsidR="00126DEE" w:rsidRPr="009B7C75">
        <w:rPr>
          <w:color w:val="000000" w:themeColor="text1"/>
        </w:rPr>
        <w:t>This visual image comes from the Book of Hours, and this book itself was bought in ‘</w:t>
      </w:r>
      <w:r w:rsidR="00126DEE" w:rsidRPr="006C488D">
        <w:rPr>
          <w:i/>
          <w:iCs/>
          <w:color w:val="000000" w:themeColor="text1"/>
        </w:rPr>
        <w:t>1853, on the 26</w:t>
      </w:r>
      <w:r w:rsidR="00126DEE" w:rsidRPr="006C488D">
        <w:rPr>
          <w:i/>
          <w:iCs/>
          <w:color w:val="000000" w:themeColor="text1"/>
          <w:vertAlign w:val="superscript"/>
        </w:rPr>
        <w:t>th</w:t>
      </w:r>
      <w:r w:rsidR="00126DEE" w:rsidRPr="006C488D">
        <w:rPr>
          <w:i/>
          <w:iCs/>
          <w:color w:val="000000" w:themeColor="text1"/>
        </w:rPr>
        <w:t xml:space="preserve"> of May’</w:t>
      </w:r>
      <w:r w:rsidR="00126DEE" w:rsidRPr="009B7C75">
        <w:rPr>
          <w:rStyle w:val="FootnoteReference"/>
          <w:color w:val="000000" w:themeColor="text1"/>
        </w:rPr>
        <w:footnoteReference w:id="3"/>
      </w:r>
      <w:r w:rsidR="00126DEE" w:rsidRPr="009B7C75">
        <w:rPr>
          <w:color w:val="000000" w:themeColor="text1"/>
        </w:rPr>
        <w:t xml:space="preserve"> by William Euing, a ‘</w:t>
      </w:r>
      <w:r w:rsidR="00126DEE" w:rsidRPr="006C488D">
        <w:rPr>
          <w:i/>
          <w:iCs/>
          <w:color w:val="000000" w:themeColor="text1"/>
        </w:rPr>
        <w:t xml:space="preserve">Glasgow </w:t>
      </w:r>
      <w:r w:rsidR="00126DEE" w:rsidRPr="006C488D">
        <w:rPr>
          <w:i/>
          <w:iCs/>
          <w:color w:val="000000" w:themeColor="text1"/>
        </w:rPr>
        <w:lastRenderedPageBreak/>
        <w:t>insurance broker’</w:t>
      </w:r>
      <w:r w:rsidR="00126DEE" w:rsidRPr="009B7C75">
        <w:rPr>
          <w:rStyle w:val="FootnoteReference"/>
          <w:color w:val="000000" w:themeColor="text1"/>
        </w:rPr>
        <w:footnoteReference w:id="4"/>
      </w:r>
      <w:r w:rsidR="00126DEE" w:rsidRPr="009B7C75">
        <w:rPr>
          <w:color w:val="000000" w:themeColor="text1"/>
        </w:rPr>
        <w:t>. He left his collections to the Glasgow University, including other religious texts after his death in 1874,</w:t>
      </w:r>
    </w:p>
    <w:p w14:paraId="7A652876" w14:textId="77504405" w:rsidR="00E01EB6" w:rsidRPr="009B7C75" w:rsidRDefault="00E01EB6" w:rsidP="00B52378">
      <w:pPr>
        <w:ind w:firstLine="720"/>
        <w:rPr>
          <w:color w:val="000000" w:themeColor="text1"/>
        </w:rPr>
      </w:pPr>
      <w:r w:rsidRPr="009B7C75">
        <w:rPr>
          <w:color w:val="000000" w:themeColor="text1"/>
        </w:rPr>
        <w:t>The book of hours was popular during the late thirteenth century through to the middle of the sixteenth century. The illustration manuscripts were finely made, and were cherished and well-looked after by their owners, and they were then passed down from generation to generation for others to enjoy; this means that there are many manuscripts that survive today, which have been kept in pristine condition, and are actually considered to be medieval culture ‘</w:t>
      </w:r>
      <w:r w:rsidRPr="008C49B4">
        <w:rPr>
          <w:i/>
          <w:iCs/>
          <w:color w:val="000000" w:themeColor="text1"/>
        </w:rPr>
        <w:t>relics</w:t>
      </w:r>
      <w:r w:rsidRPr="009B7C75">
        <w:rPr>
          <w:color w:val="000000" w:themeColor="text1"/>
        </w:rPr>
        <w:t>’</w:t>
      </w:r>
      <w:r w:rsidRPr="009B7C75">
        <w:rPr>
          <w:rStyle w:val="FootnoteReference"/>
          <w:color w:val="000000" w:themeColor="text1"/>
        </w:rPr>
        <w:footnoteReference w:id="5"/>
      </w:r>
      <w:r w:rsidRPr="009B7C75">
        <w:rPr>
          <w:color w:val="000000" w:themeColor="text1"/>
        </w:rPr>
        <w:t xml:space="preserve">. </w:t>
      </w:r>
    </w:p>
    <w:p w14:paraId="15CE349A" w14:textId="77777777" w:rsidR="00E01EB6" w:rsidRPr="009B7C75" w:rsidRDefault="00E01EB6" w:rsidP="00E01EB6">
      <w:pPr>
        <w:ind w:firstLine="720"/>
        <w:rPr>
          <w:color w:val="000000" w:themeColor="text1"/>
        </w:rPr>
      </w:pPr>
      <w:r w:rsidRPr="009B7C75">
        <w:rPr>
          <w:color w:val="000000" w:themeColor="text1"/>
        </w:rPr>
        <w:t>The beginning of each Hour in the book of hours was illustrated with scenes depicting the events of Mary’s life; from the birth of Jesus Christ through to his infancy. These events have been recounted in the Gospel of Luke, in which the Christmas nativity story’s complete account is held. The ‘</w:t>
      </w:r>
      <w:r w:rsidRPr="008C49B4">
        <w:rPr>
          <w:i/>
          <w:iCs/>
          <w:color w:val="000000" w:themeColor="text1"/>
        </w:rPr>
        <w:t>illustration cycle</w:t>
      </w:r>
      <w:r w:rsidRPr="009B7C75">
        <w:rPr>
          <w:color w:val="000000" w:themeColor="text1"/>
        </w:rPr>
        <w:t>’</w:t>
      </w:r>
      <w:r>
        <w:rPr>
          <w:rStyle w:val="FootnoteReference"/>
          <w:color w:val="000000" w:themeColor="text1"/>
        </w:rPr>
        <w:footnoteReference w:id="6"/>
      </w:r>
      <w:r w:rsidRPr="009B7C75">
        <w:rPr>
          <w:color w:val="000000" w:themeColor="text1"/>
        </w:rPr>
        <w:t xml:space="preserve"> begins with the Annunciation and Visitation, which has been placed at the Hours of Lands and Matins, and this is important because these two Hours were to be prayed together, either in the early morning or last thing at night. </w:t>
      </w:r>
    </w:p>
    <w:p w14:paraId="22C4A3A1" w14:textId="77777777" w:rsidR="00E01EB6" w:rsidRPr="009B7C75" w:rsidRDefault="00E01EB6" w:rsidP="00E01EB6">
      <w:pPr>
        <w:ind w:firstLine="720"/>
        <w:rPr>
          <w:color w:val="000000" w:themeColor="text1"/>
        </w:rPr>
      </w:pPr>
      <w:r w:rsidRPr="009B7C75">
        <w:rPr>
          <w:color w:val="000000" w:themeColor="text1"/>
        </w:rPr>
        <w:t xml:space="preserve">The visual image of the Annunciation is shown above, and in it, the angel Gabriel and Mary are together in the image, and the Gabriel interrupts Mary, who is praying whilst on her knees on the floor, to bring the news that she is pregnant with the son of God, and that she herself will become the mother of God. Mary has a prayer book open in front of her whilst she is praying, and it could be a depiction of the Book of Hours. The image also has Gabriel with a scroll hovering in mid-air from his hand, with some words written on it, supposedly the words that are written on it are the words that the angel Gabriel says to Mary. The words are </w:t>
      </w:r>
      <w:r w:rsidRPr="008C49B4">
        <w:rPr>
          <w:i/>
          <w:iCs/>
          <w:color w:val="000000" w:themeColor="text1"/>
        </w:rPr>
        <w:t>'Ave Maria gratia plena Dominus tecum’</w:t>
      </w:r>
      <w:r>
        <w:rPr>
          <w:rStyle w:val="FootnoteReference"/>
          <w:i/>
          <w:iCs/>
          <w:color w:val="000000" w:themeColor="text1"/>
        </w:rPr>
        <w:footnoteReference w:id="7"/>
      </w:r>
      <w:r w:rsidRPr="009B7C75">
        <w:rPr>
          <w:color w:val="000000" w:themeColor="text1"/>
        </w:rPr>
        <w:t>, which translate into ‘</w:t>
      </w:r>
      <w:r w:rsidRPr="008C49B4">
        <w:rPr>
          <w:i/>
          <w:iCs/>
          <w:color w:val="000000" w:themeColor="text1"/>
        </w:rPr>
        <w:t>Hail Mary full of grace the Lord is with you</w:t>
      </w:r>
      <w:r w:rsidRPr="009B7C75">
        <w:rPr>
          <w:color w:val="000000" w:themeColor="text1"/>
        </w:rPr>
        <w:t>’</w:t>
      </w:r>
      <w:r>
        <w:rPr>
          <w:rStyle w:val="FootnoteReference"/>
          <w:color w:val="000000" w:themeColor="text1"/>
        </w:rPr>
        <w:footnoteReference w:id="8"/>
      </w:r>
      <w:r w:rsidRPr="009B7C75">
        <w:rPr>
          <w:color w:val="000000" w:themeColor="text1"/>
        </w:rPr>
        <w:t xml:space="preserve">. This is important as this is the opening of the prayer, Hail Mary, which is the prayer that is supposed to be recited before starting the Book of Hours. </w:t>
      </w:r>
    </w:p>
    <w:p w14:paraId="76A60762" w14:textId="77777777" w:rsidR="00126DEE" w:rsidRDefault="00126DEE" w:rsidP="00126DEE">
      <w:pPr>
        <w:ind w:firstLine="720"/>
      </w:pPr>
      <w:r w:rsidRPr="00B52378">
        <w:t>Mary has been depicted in this image wearing a vibra</w:t>
      </w:r>
      <w:r>
        <w:t xml:space="preserve">nt blue cape, and kneeling in front of a table covered in a yellow/gold tablecloth with the Book of Hours placed upon it. Behind her, the angel Gabriel is wearing a white robe with a green cape covered in a light red cape and is holding a scroll which seems to be floating in mid-air in his hand. The scroll has words written upon it, which seem to depict what he says to Mary. He has a blue halo surrounding him, whilst Mary has a golden halo surrounding her. In the background, there is a red and green curtain which is partially covering a wall which is a mixture of gold and yellow tiles. The floor has green tiles, differing in colour. </w:t>
      </w:r>
    </w:p>
    <w:p w14:paraId="5A7627FF" w14:textId="77777777" w:rsidR="00126DEE" w:rsidRDefault="00126DEE" w:rsidP="00126DEE">
      <w:r>
        <w:tab/>
        <w:t xml:space="preserve">On the rest of the manuscript, there is </w:t>
      </w:r>
      <w:proofErr w:type="gramStart"/>
      <w:r>
        <w:t>a</w:t>
      </w:r>
      <w:proofErr w:type="gramEnd"/>
      <w:r>
        <w:t xml:space="preserve"> array of objects that been painted by the illuminator. There are blue, gold and green leaves painted in a random order, with, I believe, red strawberries and red, pink, yellow flowers </w:t>
      </w:r>
      <w:proofErr w:type="gramStart"/>
      <w:r>
        <w:t>all across</w:t>
      </w:r>
      <w:proofErr w:type="gramEnd"/>
      <w:r>
        <w:t xml:space="preserve"> the manuscript on both sides. There ae blue dots filling in between the flowers and other objects, and in my opinion, it is a very beautiful, intricate design, and very vibrant. </w:t>
      </w:r>
    </w:p>
    <w:p w14:paraId="09C6DC0C" w14:textId="77777777" w:rsidR="00E01EB6" w:rsidRPr="009B7C75" w:rsidRDefault="00E01EB6" w:rsidP="00E01EB6">
      <w:pPr>
        <w:ind w:firstLine="720"/>
        <w:rPr>
          <w:color w:val="000000" w:themeColor="text1"/>
        </w:rPr>
      </w:pPr>
      <w:r w:rsidRPr="009B7C75">
        <w:rPr>
          <w:color w:val="000000" w:themeColor="text1"/>
        </w:rPr>
        <w:t xml:space="preserve">The manuscript itself shows signs of wear and tear, which means that it was </w:t>
      </w:r>
      <w:proofErr w:type="gramStart"/>
      <w:r w:rsidRPr="009B7C75">
        <w:rPr>
          <w:color w:val="000000" w:themeColor="text1"/>
        </w:rPr>
        <w:t>actually used</w:t>
      </w:r>
      <w:proofErr w:type="gramEnd"/>
      <w:r w:rsidRPr="009B7C75">
        <w:rPr>
          <w:color w:val="000000" w:themeColor="text1"/>
        </w:rPr>
        <w:t xml:space="preserve"> in the way it was meant for. Although it is debatable whether normal people of the middle ages did stop to pray seven times a day, which is what the Book of Hours says, it is much more likely that the normal people of the middle ages would use the manuscript to privately pray in the morning and at night, but also in Church on Sundays. </w:t>
      </w:r>
    </w:p>
    <w:p w14:paraId="3608175E" w14:textId="77777777" w:rsidR="00E01EB6" w:rsidRPr="009B7C75" w:rsidRDefault="00E01EB6" w:rsidP="00E01EB6">
      <w:pPr>
        <w:ind w:firstLine="720"/>
        <w:rPr>
          <w:color w:val="000000" w:themeColor="text1"/>
        </w:rPr>
      </w:pPr>
      <w:r w:rsidRPr="009B7C75">
        <w:rPr>
          <w:color w:val="000000" w:themeColor="text1"/>
        </w:rPr>
        <w:t>In the Gospel Luke’s writings, the annunciation of Mary took place during the ‘</w:t>
      </w:r>
      <w:r w:rsidRPr="006C488D">
        <w:rPr>
          <w:i/>
          <w:iCs/>
          <w:color w:val="000000" w:themeColor="text1"/>
        </w:rPr>
        <w:t xml:space="preserve">sixth month the angel Gabriel was sent by God to a town in Galilee called Nazareth, to a virgin </w:t>
      </w:r>
      <w:r w:rsidRPr="006C488D">
        <w:rPr>
          <w:i/>
          <w:iCs/>
          <w:color w:val="000000" w:themeColor="text1"/>
        </w:rPr>
        <w:lastRenderedPageBreak/>
        <w:t>engaged to a man whose name was Joseph, of the house of David</w:t>
      </w:r>
      <w:r>
        <w:rPr>
          <w:rStyle w:val="FootnoteReference"/>
          <w:i/>
          <w:iCs/>
          <w:color w:val="000000" w:themeColor="text1"/>
        </w:rPr>
        <w:footnoteReference w:id="9"/>
      </w:r>
      <w:r w:rsidRPr="006C488D">
        <w:rPr>
          <w:i/>
          <w:iCs/>
          <w:color w:val="000000" w:themeColor="text1"/>
        </w:rPr>
        <w:t>’</w:t>
      </w:r>
      <w:r w:rsidRPr="009B7C75">
        <w:rPr>
          <w:color w:val="000000" w:themeColor="text1"/>
        </w:rPr>
        <w:t xml:space="preserve">. This gives a more in-depth knowledge </w:t>
      </w:r>
      <w:proofErr w:type="gramStart"/>
      <w:r w:rsidRPr="009B7C75">
        <w:rPr>
          <w:color w:val="000000" w:themeColor="text1"/>
        </w:rPr>
        <w:t>in regard to</w:t>
      </w:r>
      <w:proofErr w:type="gramEnd"/>
      <w:r w:rsidRPr="009B7C75">
        <w:rPr>
          <w:color w:val="000000" w:themeColor="text1"/>
        </w:rPr>
        <w:t xml:space="preserve"> the visual image, which only shows the moment that Gabriel tells Mary that God is with her. </w:t>
      </w:r>
    </w:p>
    <w:p w14:paraId="6F75339B" w14:textId="77777777" w:rsidR="00E01EB6" w:rsidRPr="009B7C75" w:rsidRDefault="00E01EB6" w:rsidP="00E01EB6">
      <w:pPr>
        <w:ind w:firstLine="720"/>
        <w:rPr>
          <w:color w:val="000000" w:themeColor="text1"/>
        </w:rPr>
      </w:pPr>
      <w:r w:rsidRPr="009B7C75">
        <w:rPr>
          <w:color w:val="000000" w:themeColor="text1"/>
        </w:rPr>
        <w:t>Gospel Luke’s testimony goes on to say what Gabriel told Mary, ‘</w:t>
      </w:r>
      <w:r w:rsidRPr="009B7C75">
        <w:rPr>
          <w:i/>
          <w:iCs/>
          <w:color w:val="000000" w:themeColor="text1"/>
        </w:rPr>
        <w:t xml:space="preserve">"Greetings, favoured one! The Lord is with you"…..."Do not be afraid, Mary, for you have found favour with God. And now, you will conceive in your womb and bear a son, and you will name him Jesus. He will be great and will be called the Son of the </w:t>
      </w:r>
      <w:proofErr w:type="gramStart"/>
      <w:r w:rsidRPr="009B7C75">
        <w:rPr>
          <w:i/>
          <w:iCs/>
          <w:color w:val="000000" w:themeColor="text1"/>
        </w:rPr>
        <w:t>Most High</w:t>
      </w:r>
      <w:proofErr w:type="gramEnd"/>
      <w:r w:rsidRPr="009B7C75">
        <w:rPr>
          <w:i/>
          <w:iCs/>
          <w:color w:val="000000" w:themeColor="text1"/>
        </w:rPr>
        <w:t>, and the Lord God will give to him the throne of his ancestor David.  He will reign over the house of Jacob forever, and of his kingdom there will be no end."</w:t>
      </w:r>
      <w:r>
        <w:rPr>
          <w:i/>
          <w:iCs/>
          <w:color w:val="000000" w:themeColor="text1"/>
        </w:rPr>
        <w:t>’</w:t>
      </w:r>
      <w:r w:rsidRPr="009B7C75">
        <w:rPr>
          <w:i/>
          <w:iCs/>
          <w:color w:val="000000" w:themeColor="text1"/>
        </w:rPr>
        <w:t>’</w:t>
      </w:r>
      <w:r w:rsidRPr="009B7C75">
        <w:rPr>
          <w:rStyle w:val="FootnoteReference"/>
          <w:color w:val="000000" w:themeColor="text1"/>
        </w:rPr>
        <w:footnoteReference w:id="10"/>
      </w:r>
      <w:r w:rsidRPr="009B7C75">
        <w:rPr>
          <w:color w:val="000000" w:themeColor="text1"/>
        </w:rPr>
        <w:t xml:space="preserve">. This is significant as the visual image of the annunciation of Mary only shows Gabriel telling Mary that God is with her, but in this extract from the Gospel Luke, Gabriel tells Mary what is going to happen to her and what name her son will carry. </w:t>
      </w:r>
    </w:p>
    <w:p w14:paraId="7E49C5EE" w14:textId="77777777" w:rsidR="00E01EB6" w:rsidRPr="009B7C75" w:rsidRDefault="00E01EB6" w:rsidP="00E01EB6">
      <w:pPr>
        <w:ind w:firstLine="720"/>
        <w:rPr>
          <w:color w:val="000000" w:themeColor="text1"/>
        </w:rPr>
      </w:pPr>
      <w:r w:rsidRPr="009B7C75">
        <w:rPr>
          <w:color w:val="000000" w:themeColor="text1"/>
        </w:rPr>
        <w:t>The extract goes on, and Gabriel is believed to have said, ‘"</w:t>
      </w:r>
      <w:r w:rsidRPr="009B7C75">
        <w:rPr>
          <w:i/>
          <w:iCs/>
          <w:color w:val="000000" w:themeColor="text1"/>
        </w:rPr>
        <w:t>The Holy Spirit will come upon you, and the power of the Most High will overshadow you; therefore the child to be born will be holy; he will be called Son of God. And now, your relative Elizabeth in her old age has also conceived a son; and this is the sixth month for her who was said to be barren. For nothing will be impossible with God.</w:t>
      </w:r>
      <w:r w:rsidRPr="009B7C75">
        <w:rPr>
          <w:color w:val="000000" w:themeColor="text1"/>
        </w:rPr>
        <w:t>"’</w:t>
      </w:r>
      <w:r w:rsidRPr="009B7C75">
        <w:rPr>
          <w:rStyle w:val="FootnoteReference"/>
          <w:color w:val="000000" w:themeColor="text1"/>
        </w:rPr>
        <w:footnoteReference w:id="11"/>
      </w:r>
      <w:r w:rsidRPr="009B7C75">
        <w:rPr>
          <w:color w:val="000000" w:themeColor="text1"/>
        </w:rPr>
        <w:t xml:space="preserve">. In the Gospel Luke’s testimony of this event, it is written that Mary said to Gabriel, </w:t>
      </w:r>
      <w:r>
        <w:rPr>
          <w:color w:val="000000" w:themeColor="text1"/>
        </w:rPr>
        <w:t>‘</w:t>
      </w:r>
      <w:r w:rsidRPr="009B7C75">
        <w:rPr>
          <w:color w:val="000000" w:themeColor="text1"/>
        </w:rPr>
        <w:t>"</w:t>
      </w:r>
      <w:r w:rsidRPr="009B7C75">
        <w:rPr>
          <w:i/>
          <w:iCs/>
          <w:color w:val="000000" w:themeColor="text1"/>
        </w:rPr>
        <w:t>How can this be, since I am a virgin?"</w:t>
      </w:r>
      <w:r w:rsidRPr="009B7C75">
        <w:rPr>
          <w:color w:val="000000" w:themeColor="text1"/>
        </w:rPr>
        <w:t>’</w:t>
      </w:r>
      <w:r w:rsidRPr="009B7C75">
        <w:rPr>
          <w:rStyle w:val="FootnoteReference"/>
          <w:color w:val="000000" w:themeColor="text1"/>
        </w:rPr>
        <w:footnoteReference w:id="12"/>
      </w:r>
      <w:r w:rsidRPr="009B7C75">
        <w:rPr>
          <w:color w:val="000000" w:themeColor="text1"/>
        </w:rPr>
        <w:t xml:space="preserve"> and also before he departed, </w:t>
      </w:r>
      <w:r>
        <w:rPr>
          <w:color w:val="000000" w:themeColor="text1"/>
        </w:rPr>
        <w:t>‘</w:t>
      </w:r>
      <w:r w:rsidRPr="009B7C75">
        <w:rPr>
          <w:color w:val="000000" w:themeColor="text1"/>
        </w:rPr>
        <w:t>“</w:t>
      </w:r>
      <w:r w:rsidRPr="009B7C75">
        <w:rPr>
          <w:i/>
          <w:iCs/>
          <w:color w:val="000000" w:themeColor="text1"/>
        </w:rPr>
        <w:t>Here am I, the servant of the Lord; let it be with me according to your word</w:t>
      </w:r>
      <w:r w:rsidRPr="009B7C75">
        <w:rPr>
          <w:color w:val="000000" w:themeColor="text1"/>
        </w:rPr>
        <w:t>."’</w:t>
      </w:r>
      <w:r w:rsidRPr="009B7C75">
        <w:rPr>
          <w:rStyle w:val="FootnoteReference"/>
          <w:color w:val="000000" w:themeColor="text1"/>
        </w:rPr>
        <w:footnoteReference w:id="13"/>
      </w:r>
    </w:p>
    <w:p w14:paraId="6F3B28C7" w14:textId="77777777" w:rsidR="00E01EB6" w:rsidRPr="009B7C75" w:rsidRDefault="00E01EB6" w:rsidP="00E01EB6">
      <w:pPr>
        <w:ind w:firstLine="720"/>
        <w:rPr>
          <w:color w:val="000000" w:themeColor="text1"/>
        </w:rPr>
      </w:pPr>
      <w:r w:rsidRPr="009B7C75">
        <w:rPr>
          <w:color w:val="000000" w:themeColor="text1"/>
        </w:rPr>
        <w:t>This extract gives more of an account of what happened in the visual image, as that only gives a brief glimpse into this historic moment. This testimony from the Gospel Luke fills in the blanks surrounding this event, and this helps for the reader to understand the visual image of the annunciation of Mary a great deal better with help from the text, rather than from just looking at the visual image</w:t>
      </w:r>
    </w:p>
    <w:p w14:paraId="4B985B18" w14:textId="77777777" w:rsidR="00E01EB6" w:rsidRPr="009B7C75" w:rsidRDefault="00E01EB6" w:rsidP="00E01EB6">
      <w:pPr>
        <w:ind w:firstLine="720"/>
        <w:rPr>
          <w:color w:val="000000" w:themeColor="text1"/>
        </w:rPr>
      </w:pPr>
      <w:r w:rsidRPr="009B7C75">
        <w:rPr>
          <w:color w:val="000000" w:themeColor="text1"/>
        </w:rPr>
        <w:t xml:space="preserve">In the manuscript, the person who paints the pictures of Mary and Gabriel, but also the intricate flowers and leaves which surround the image and the text is called the illuminator. In this manuscript, the illuminator has chosen vibrant, positive colours to surround the image depicting this momentous event. In this manuscript, blue, red </w:t>
      </w:r>
      <w:proofErr w:type="gramStart"/>
      <w:r w:rsidRPr="009B7C75">
        <w:rPr>
          <w:color w:val="000000" w:themeColor="text1"/>
        </w:rPr>
        <w:t>and also</w:t>
      </w:r>
      <w:proofErr w:type="gramEnd"/>
      <w:r w:rsidRPr="009B7C75">
        <w:rPr>
          <w:color w:val="000000" w:themeColor="text1"/>
        </w:rPr>
        <w:t xml:space="preserve"> a yellow-</w:t>
      </w:r>
      <w:proofErr w:type="spellStart"/>
      <w:r w:rsidRPr="009B7C75">
        <w:rPr>
          <w:color w:val="000000" w:themeColor="text1"/>
        </w:rPr>
        <w:t>ish</w:t>
      </w:r>
      <w:proofErr w:type="spellEnd"/>
      <w:r w:rsidRPr="009B7C75">
        <w:rPr>
          <w:color w:val="000000" w:themeColor="text1"/>
        </w:rPr>
        <w:t xml:space="preserve"> gold has been used, and this could be due to the wealth of the owner of this Book of Hours. The illuminator of the manuscript has incorporated many vibrant colours into the manuscript. </w:t>
      </w:r>
    </w:p>
    <w:p w14:paraId="2EEB8ADA" w14:textId="77777777" w:rsidR="00E01EB6" w:rsidRPr="009B7C75" w:rsidRDefault="00E01EB6" w:rsidP="00E01EB6">
      <w:pPr>
        <w:ind w:firstLine="720"/>
        <w:rPr>
          <w:color w:val="000000" w:themeColor="text1"/>
        </w:rPr>
      </w:pPr>
      <w:r w:rsidRPr="009B7C75">
        <w:rPr>
          <w:color w:val="000000" w:themeColor="text1"/>
        </w:rPr>
        <w:t xml:space="preserve">Many manuscripts include the colour gold, either to show off  their wealth, or to symbolise that the person included in the image of the manuscript has a connection to God, or is considered to be divine, in this case, Mary is considered to be both of these things, as she is depicted with a halo,  and in the manuscripts from the middle ages, religious figure were depicted with halos upon their head, as </w:t>
      </w:r>
      <w:r w:rsidRPr="009B7C75">
        <w:rPr>
          <w:i/>
          <w:iCs/>
          <w:color w:val="000000" w:themeColor="text1"/>
        </w:rPr>
        <w:t>’halos were golden most of the time’</w:t>
      </w:r>
      <w:r w:rsidRPr="009B7C75">
        <w:rPr>
          <w:rStyle w:val="FootnoteReference"/>
          <w:color w:val="000000" w:themeColor="text1"/>
        </w:rPr>
        <w:footnoteReference w:id="14"/>
      </w:r>
      <w:r w:rsidRPr="009B7C75">
        <w:rPr>
          <w:color w:val="000000" w:themeColor="text1"/>
        </w:rPr>
        <w:t>. Yellow is a colour which is usually linked with the feeling of happiness and hope, or in the case of the angel Gabriel, ‘</w:t>
      </w:r>
      <w:r w:rsidRPr="009B7C75">
        <w:rPr>
          <w:i/>
          <w:iCs/>
          <w:color w:val="000000" w:themeColor="text1"/>
        </w:rPr>
        <w:t>denoting wisdom’</w:t>
      </w:r>
      <w:r w:rsidRPr="009B7C75">
        <w:rPr>
          <w:rStyle w:val="FootnoteReference"/>
          <w:color w:val="000000" w:themeColor="text1"/>
        </w:rPr>
        <w:footnoteReference w:id="15"/>
      </w:r>
      <w:r w:rsidRPr="009B7C75">
        <w:rPr>
          <w:color w:val="000000" w:themeColor="text1"/>
        </w:rPr>
        <w:t xml:space="preserve">. The colour white was a symbol of purity, truth and </w:t>
      </w:r>
      <w:r w:rsidRPr="009B7C75">
        <w:rPr>
          <w:color w:val="000000" w:themeColor="text1"/>
        </w:rPr>
        <w:lastRenderedPageBreak/>
        <w:t>perfection</w:t>
      </w:r>
      <w:r w:rsidRPr="009B7C75">
        <w:rPr>
          <w:rStyle w:val="FootnoteReference"/>
          <w:color w:val="000000" w:themeColor="text1"/>
        </w:rPr>
        <w:footnoteReference w:id="16"/>
      </w:r>
      <w:r w:rsidRPr="009B7C75">
        <w:rPr>
          <w:color w:val="000000" w:themeColor="text1"/>
        </w:rPr>
        <w:t xml:space="preserve">. Also included in the visual image is the colour red, which is used to often used to symbolise romance, strength, and assertation, but in this </w:t>
      </w:r>
      <w:proofErr w:type="gramStart"/>
      <w:r w:rsidRPr="009B7C75">
        <w:rPr>
          <w:color w:val="000000" w:themeColor="text1"/>
        </w:rPr>
        <w:t>particular image</w:t>
      </w:r>
      <w:proofErr w:type="gramEnd"/>
      <w:r w:rsidRPr="009B7C75">
        <w:rPr>
          <w:color w:val="000000" w:themeColor="text1"/>
        </w:rPr>
        <w:t xml:space="preserve">, excitement is most likely what the colour red is meant to symbolise. Blue is often used as a formal colour, as it is a colour which usually symbolises royalty, but in this instance, the colour could be symbolising the divinity of God </w:t>
      </w:r>
      <w:proofErr w:type="gramStart"/>
      <w:r w:rsidRPr="009B7C75">
        <w:rPr>
          <w:color w:val="000000" w:themeColor="text1"/>
        </w:rPr>
        <w:t>and also</w:t>
      </w:r>
      <w:proofErr w:type="gramEnd"/>
      <w:r w:rsidRPr="009B7C75">
        <w:rPr>
          <w:color w:val="000000" w:themeColor="text1"/>
        </w:rPr>
        <w:t xml:space="preserve"> the ‘</w:t>
      </w:r>
      <w:r w:rsidRPr="009B7C75">
        <w:rPr>
          <w:i/>
          <w:iCs/>
          <w:color w:val="000000" w:themeColor="text1"/>
        </w:rPr>
        <w:t>expansiveness similar to skies and oceans’</w:t>
      </w:r>
      <w:r w:rsidRPr="009B7C75">
        <w:rPr>
          <w:rStyle w:val="FootnoteReference"/>
          <w:color w:val="000000" w:themeColor="text1"/>
        </w:rPr>
        <w:footnoteReference w:id="17"/>
      </w:r>
      <w:r w:rsidRPr="009B7C75">
        <w:rPr>
          <w:color w:val="000000" w:themeColor="text1"/>
        </w:rPr>
        <w:t>. Green symbolised the sign of new life, and this comes from the story of the garden of Eden, and the thought of paradise.</w:t>
      </w:r>
    </w:p>
    <w:p w14:paraId="1D3A8C96" w14:textId="77777777" w:rsidR="00E01EB6" w:rsidRPr="009B7C75" w:rsidRDefault="00E01EB6" w:rsidP="00E01EB6">
      <w:pPr>
        <w:rPr>
          <w:color w:val="000000" w:themeColor="text1"/>
        </w:rPr>
      </w:pPr>
    </w:p>
    <w:p w14:paraId="6A302397" w14:textId="77777777" w:rsidR="00E01EB6" w:rsidRPr="009B7C75" w:rsidRDefault="00E01EB6" w:rsidP="00E01EB6">
      <w:pPr>
        <w:rPr>
          <w:color w:val="000000" w:themeColor="text1"/>
        </w:rPr>
      </w:pPr>
    </w:p>
    <w:p w14:paraId="53D25489" w14:textId="77777777" w:rsidR="00E01EB6" w:rsidRDefault="00E01EB6" w:rsidP="00E01EB6"/>
    <w:p w14:paraId="4701EF33" w14:textId="77777777" w:rsidR="00E01EB6" w:rsidRDefault="00E01EB6" w:rsidP="00E01EB6"/>
    <w:p w14:paraId="304252CB" w14:textId="77777777" w:rsidR="00E01EB6" w:rsidRDefault="00E01EB6" w:rsidP="00E01EB6"/>
    <w:p w14:paraId="7B6EF25C" w14:textId="77777777" w:rsidR="00E01EB6" w:rsidRDefault="00E01EB6" w:rsidP="00E01EB6"/>
    <w:p w14:paraId="6A54B199" w14:textId="77777777" w:rsidR="00E01EB6" w:rsidRPr="00F21159" w:rsidRDefault="00E01EB6" w:rsidP="00E01EB6">
      <w:pPr>
        <w:rPr>
          <w:u w:val="single"/>
        </w:rPr>
      </w:pPr>
      <w:r w:rsidRPr="00F21159">
        <w:rPr>
          <w:u w:val="single"/>
        </w:rPr>
        <w:t>Bibliography</w:t>
      </w:r>
    </w:p>
    <w:p w14:paraId="4E2E364A" w14:textId="77777777" w:rsidR="00E01EB6" w:rsidRDefault="00E01EB6" w:rsidP="00E01EB6"/>
    <w:p w14:paraId="5DE58A73" w14:textId="77777777" w:rsidR="00E01EB6" w:rsidRDefault="00E01EB6" w:rsidP="00E01EB6">
      <w:bookmarkStart w:id="7" w:name="_Hlk41857427"/>
      <w:r w:rsidRPr="00BC03BE">
        <w:t xml:space="preserve">Alexander, Jonathan J G, </w:t>
      </w:r>
      <w:r w:rsidRPr="000B357E">
        <w:rPr>
          <w:i/>
          <w:iCs/>
        </w:rPr>
        <w:t>Medieval Illuminators and Their Methods of Work</w:t>
      </w:r>
      <w:r w:rsidRPr="00BC03BE">
        <w:t xml:space="preserve"> (U.S: Yale University Press, 1992).</w:t>
      </w:r>
    </w:p>
    <w:p w14:paraId="49FD4840" w14:textId="77777777" w:rsidR="00E01EB6" w:rsidRDefault="00E01EB6" w:rsidP="00E01EB6"/>
    <w:p w14:paraId="14C99D5D" w14:textId="77777777" w:rsidR="00E01EB6" w:rsidRDefault="00E01EB6" w:rsidP="00E01EB6">
      <w:pPr>
        <w:rPr>
          <w:color w:val="000000"/>
          <w:shd w:val="clear" w:color="auto" w:fill="FFFFFF"/>
        </w:rPr>
      </w:pPr>
      <w:proofErr w:type="spellStart"/>
      <w:r w:rsidRPr="00760AC7">
        <w:rPr>
          <w:color w:val="000000"/>
          <w:shd w:val="clear" w:color="auto" w:fill="FFFFFF"/>
        </w:rPr>
        <w:t>Artelisa</w:t>
      </w:r>
      <w:proofErr w:type="spellEnd"/>
      <w:r w:rsidRPr="00760AC7">
        <w:rPr>
          <w:color w:val="000000"/>
          <w:shd w:val="clear" w:color="auto" w:fill="FFFFFF"/>
        </w:rPr>
        <w:t>, </w:t>
      </w:r>
      <w:r w:rsidRPr="00760AC7">
        <w:rPr>
          <w:i/>
          <w:iCs/>
          <w:color w:val="000000"/>
          <w:shd w:val="clear" w:color="auto" w:fill="FFFFFF"/>
        </w:rPr>
        <w:t xml:space="preserve">Symbolism of </w:t>
      </w:r>
      <w:proofErr w:type="spellStart"/>
      <w:r w:rsidRPr="00760AC7">
        <w:rPr>
          <w:i/>
          <w:iCs/>
          <w:color w:val="000000"/>
          <w:shd w:val="clear" w:color="auto" w:fill="FFFFFF"/>
        </w:rPr>
        <w:t>Color</w:t>
      </w:r>
      <w:proofErr w:type="spellEnd"/>
      <w:r w:rsidRPr="00760AC7">
        <w:rPr>
          <w:i/>
          <w:iCs/>
          <w:color w:val="000000"/>
          <w:shd w:val="clear" w:color="auto" w:fill="FFFFFF"/>
        </w:rPr>
        <w:t xml:space="preserve">, Medieval: Red, Blue, White and Gold History of </w:t>
      </w:r>
      <w:proofErr w:type="spellStart"/>
      <w:r w:rsidRPr="00760AC7">
        <w:rPr>
          <w:i/>
          <w:iCs/>
          <w:color w:val="000000"/>
          <w:shd w:val="clear" w:color="auto" w:fill="FFFFFF"/>
        </w:rPr>
        <w:t>Color</w:t>
      </w:r>
      <w:proofErr w:type="spellEnd"/>
      <w:r w:rsidRPr="00760AC7">
        <w:rPr>
          <w:i/>
          <w:iCs/>
          <w:color w:val="000000"/>
          <w:shd w:val="clear" w:color="auto" w:fill="FFFFFF"/>
        </w:rPr>
        <w:t xml:space="preserve"> # 4</w:t>
      </w:r>
      <w:r w:rsidRPr="00760AC7">
        <w:rPr>
          <w:color w:val="000000"/>
          <w:shd w:val="clear" w:color="auto" w:fill="FFFFFF"/>
        </w:rPr>
        <w:t xml:space="preserve"> (Sunday, March 25, 2012) &lt;http://artelisaart.blogspot.com/2012/03/history-of-color-4-symbolism-of-color.html&gt; [accessed </w:t>
      </w:r>
      <w:r>
        <w:rPr>
          <w:color w:val="000000"/>
          <w:shd w:val="clear" w:color="auto" w:fill="FFFFFF"/>
        </w:rPr>
        <w:t>1 June 2020</w:t>
      </w:r>
      <w:r w:rsidRPr="00760AC7">
        <w:rPr>
          <w:color w:val="000000"/>
          <w:shd w:val="clear" w:color="auto" w:fill="FFFFFF"/>
        </w:rPr>
        <w:t>].</w:t>
      </w:r>
    </w:p>
    <w:p w14:paraId="15A6B1A9" w14:textId="77777777" w:rsidR="00E01EB6" w:rsidRDefault="00E01EB6" w:rsidP="00E01EB6">
      <w:pPr>
        <w:rPr>
          <w:color w:val="000000"/>
          <w:shd w:val="clear" w:color="auto" w:fill="FFFFFF"/>
        </w:rPr>
      </w:pPr>
    </w:p>
    <w:p w14:paraId="36FA4EB3" w14:textId="77777777" w:rsidR="00E01EB6" w:rsidRDefault="00E01EB6" w:rsidP="00E01EB6">
      <w:r w:rsidRPr="000B357E">
        <w:t xml:space="preserve">Camille, Michael, </w:t>
      </w:r>
      <w:r w:rsidRPr="000B357E">
        <w:rPr>
          <w:i/>
          <w:iCs/>
        </w:rPr>
        <w:t>Gothic Art</w:t>
      </w:r>
      <w:r>
        <w:t xml:space="preserve">, </w:t>
      </w:r>
      <w:r w:rsidRPr="000B357E">
        <w:t>SOS Free Stock, 1996).</w:t>
      </w:r>
    </w:p>
    <w:p w14:paraId="3BAA0C9C" w14:textId="77777777" w:rsidR="00E01EB6" w:rsidRDefault="00E01EB6" w:rsidP="00E01EB6"/>
    <w:p w14:paraId="05B27F83" w14:textId="77777777" w:rsidR="00E01EB6" w:rsidRDefault="00E01EB6" w:rsidP="00E01EB6">
      <w:r w:rsidRPr="00874046">
        <w:t xml:space="preserve">Gospel Luke, </w:t>
      </w:r>
      <w:r w:rsidRPr="000B357E">
        <w:rPr>
          <w:i/>
          <w:iCs/>
        </w:rPr>
        <w:t>The Annunciation - 1:26-38</w:t>
      </w:r>
      <w:r w:rsidRPr="00874046">
        <w:t xml:space="preserve"> (2020) &lt;https://www.goodnews.ie/annunciation.shtml&gt; [accessed 1 June 2020].</w:t>
      </w:r>
    </w:p>
    <w:p w14:paraId="2BD278F7" w14:textId="77777777" w:rsidR="00E01EB6" w:rsidRDefault="00E01EB6" w:rsidP="00E01EB6"/>
    <w:bookmarkEnd w:id="7"/>
    <w:p w14:paraId="4477744C" w14:textId="77777777" w:rsidR="00E01EB6" w:rsidRDefault="00E01EB6" w:rsidP="00E01EB6">
      <w:proofErr w:type="spellStart"/>
      <w:r w:rsidRPr="00760AC7">
        <w:t>Kokuyo</w:t>
      </w:r>
      <w:proofErr w:type="spellEnd"/>
      <w:r w:rsidRPr="00760AC7">
        <w:t xml:space="preserve">, Camlin, The Hidden Meaning of Colours, In Art (2018) &lt;https://www.kokuyocamlin.com/blog/the-hidden-meaning-of-colours-in-art.html&gt; </w:t>
      </w:r>
      <w:r w:rsidRPr="009B7C75">
        <w:t>[accessed 1 June 2020]</w:t>
      </w:r>
    </w:p>
    <w:p w14:paraId="35B555E9" w14:textId="77777777" w:rsidR="00E01EB6" w:rsidRPr="00760AC7" w:rsidRDefault="00E01EB6" w:rsidP="00E01EB6"/>
    <w:p w14:paraId="08AD9E5E" w14:textId="77777777" w:rsidR="00E01EB6" w:rsidRDefault="00E01EB6" w:rsidP="00E01EB6">
      <w:r w:rsidRPr="00BB6864">
        <w:t xml:space="preserve">The Fitzwilliam Museum, </w:t>
      </w:r>
      <w:r w:rsidRPr="000B357E">
        <w:rPr>
          <w:i/>
          <w:iCs/>
        </w:rPr>
        <w:t>Colour and Meaning</w:t>
      </w:r>
      <w:r w:rsidRPr="00BB6864">
        <w:t xml:space="preserve"> (2020) &lt;https://www.fitzmuseum.cam.ac.uk/colour/explore/14&gt; [accessed 1 June 2020].</w:t>
      </w:r>
    </w:p>
    <w:p w14:paraId="07A14402" w14:textId="77777777" w:rsidR="00E01EB6" w:rsidRDefault="00E01EB6" w:rsidP="00E01EB6"/>
    <w:p w14:paraId="50BABB9F" w14:textId="77777777" w:rsidR="00E01EB6" w:rsidRDefault="00E01EB6" w:rsidP="00E01EB6">
      <w:r w:rsidRPr="00425918">
        <w:t xml:space="preserve">University of Glasgow, </w:t>
      </w:r>
      <w:r w:rsidRPr="00BA11CD">
        <w:rPr>
          <w:i/>
          <w:iCs/>
        </w:rPr>
        <w:t>Book of Hours</w:t>
      </w:r>
      <w:r w:rsidRPr="00425918">
        <w:t xml:space="preserve"> (2006) &lt;https://www.gla.ac.uk/myglasgow/library/files/special/exhibns/month/dec2006.html&gt; [accessed 31 May 2020].</w:t>
      </w:r>
    </w:p>
    <w:p w14:paraId="26BC93C3" w14:textId="77777777" w:rsidR="00E01EB6" w:rsidRDefault="00E01EB6" w:rsidP="00E01EB6"/>
    <w:p w14:paraId="2B7D60E1" w14:textId="77777777" w:rsidR="00E01EB6" w:rsidRDefault="00E01EB6" w:rsidP="00E01EB6"/>
    <w:p w14:paraId="2651AA22" w14:textId="77777777" w:rsidR="00E01EB6" w:rsidRDefault="00E01EB6"/>
    <w:sectPr w:rsidR="00E01E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92C87C" w14:textId="77777777" w:rsidR="00C8522D" w:rsidRDefault="00C8522D" w:rsidP="00E01EB6">
      <w:r>
        <w:separator/>
      </w:r>
    </w:p>
  </w:endnote>
  <w:endnote w:type="continuationSeparator" w:id="0">
    <w:p w14:paraId="55AA0D18" w14:textId="77777777" w:rsidR="00C8522D" w:rsidRDefault="00C8522D" w:rsidP="00E01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A6F220" w14:textId="77777777" w:rsidR="00C8522D" w:rsidRDefault="00C8522D" w:rsidP="00E01EB6">
      <w:r>
        <w:separator/>
      </w:r>
    </w:p>
  </w:footnote>
  <w:footnote w:type="continuationSeparator" w:id="0">
    <w:p w14:paraId="7A8A1C7C" w14:textId="77777777" w:rsidR="00C8522D" w:rsidRDefault="00C8522D" w:rsidP="00E01EB6">
      <w:r>
        <w:continuationSeparator/>
      </w:r>
    </w:p>
  </w:footnote>
  <w:footnote w:id="1">
    <w:p w14:paraId="656ED8E2" w14:textId="77777777" w:rsidR="00E01EB6" w:rsidRDefault="00E01EB6" w:rsidP="00E01EB6">
      <w:pPr>
        <w:pStyle w:val="FootnoteText"/>
      </w:pPr>
      <w:r>
        <w:rPr>
          <w:rStyle w:val="FootnoteReference"/>
        </w:rPr>
        <w:footnoteRef/>
      </w:r>
      <w:r>
        <w:t xml:space="preserve"> </w:t>
      </w:r>
      <w:r w:rsidRPr="00BA11CD">
        <w:t>University of Glasgow, Book of Hours (2006) &lt;https://www.gla.ac.uk/myglasgow/library/files/special/exhibns/month/dec2006.html&gt; [accessed 31 May 2020].</w:t>
      </w:r>
    </w:p>
  </w:footnote>
  <w:footnote w:id="2">
    <w:p w14:paraId="6883309D" w14:textId="77777777" w:rsidR="00E01EB6" w:rsidRDefault="00E01EB6" w:rsidP="00E01EB6">
      <w:pPr>
        <w:pStyle w:val="FootnoteText"/>
      </w:pPr>
      <w:r>
        <w:rPr>
          <w:rStyle w:val="FootnoteReference"/>
        </w:rPr>
        <w:footnoteRef/>
      </w:r>
      <w:r>
        <w:t xml:space="preserve"> </w:t>
      </w:r>
      <w:r w:rsidRPr="00BA11CD">
        <w:t xml:space="preserve">University of Glasgow, Book of Hours (2006) </w:t>
      </w:r>
    </w:p>
  </w:footnote>
  <w:footnote w:id="3">
    <w:p w14:paraId="27A7485A" w14:textId="77777777" w:rsidR="00126DEE" w:rsidRDefault="00126DEE" w:rsidP="00126DEE">
      <w:pPr>
        <w:pStyle w:val="FootnoteText"/>
      </w:pPr>
      <w:r>
        <w:rPr>
          <w:rStyle w:val="FootnoteReference"/>
        </w:rPr>
        <w:footnoteRef/>
      </w:r>
      <w:r>
        <w:t xml:space="preserve"> </w:t>
      </w:r>
      <w:r w:rsidRPr="00AB189A">
        <w:t>University of Glasgow, Book of Hours (2006).</w:t>
      </w:r>
    </w:p>
  </w:footnote>
  <w:footnote w:id="4">
    <w:p w14:paraId="578F6881" w14:textId="77777777" w:rsidR="00126DEE" w:rsidRDefault="00126DEE" w:rsidP="00126DEE">
      <w:pPr>
        <w:pStyle w:val="FootnoteText"/>
      </w:pPr>
      <w:r>
        <w:rPr>
          <w:rStyle w:val="FootnoteReference"/>
        </w:rPr>
        <w:footnoteRef/>
      </w:r>
      <w:r>
        <w:t xml:space="preserve"> </w:t>
      </w:r>
      <w:r w:rsidRPr="00AB189A">
        <w:t xml:space="preserve">University of Glasgow, Book of Hours (2006) </w:t>
      </w:r>
    </w:p>
  </w:footnote>
  <w:footnote w:id="5">
    <w:p w14:paraId="0BECE110" w14:textId="77777777" w:rsidR="00E01EB6" w:rsidRDefault="00E01EB6" w:rsidP="00E01EB6">
      <w:pPr>
        <w:pStyle w:val="FootnoteText"/>
      </w:pPr>
      <w:r>
        <w:rPr>
          <w:rStyle w:val="FootnoteReference"/>
        </w:rPr>
        <w:footnoteRef/>
      </w:r>
      <w:r>
        <w:t xml:space="preserve"> </w:t>
      </w:r>
      <w:r w:rsidRPr="00BA11CD">
        <w:t xml:space="preserve">University of Glasgow, Book of Hours (2006) </w:t>
      </w:r>
    </w:p>
  </w:footnote>
  <w:footnote w:id="6">
    <w:p w14:paraId="1982D71D" w14:textId="77777777" w:rsidR="00E01EB6" w:rsidRDefault="00E01EB6" w:rsidP="00E01EB6">
      <w:pPr>
        <w:pStyle w:val="FootnoteText"/>
      </w:pPr>
      <w:r>
        <w:rPr>
          <w:rStyle w:val="FootnoteReference"/>
        </w:rPr>
        <w:footnoteRef/>
      </w:r>
      <w:r>
        <w:t xml:space="preserve"> </w:t>
      </w:r>
      <w:r w:rsidRPr="008C49B4">
        <w:t>University of Glasgow, Book of Hours (2006)</w:t>
      </w:r>
    </w:p>
  </w:footnote>
  <w:footnote w:id="7">
    <w:p w14:paraId="4B834522" w14:textId="77777777" w:rsidR="00E01EB6" w:rsidRDefault="00E01EB6" w:rsidP="00E01EB6">
      <w:pPr>
        <w:pStyle w:val="FootnoteText"/>
      </w:pPr>
      <w:r>
        <w:rPr>
          <w:rStyle w:val="FootnoteReference"/>
        </w:rPr>
        <w:footnoteRef/>
      </w:r>
      <w:r>
        <w:t xml:space="preserve"> </w:t>
      </w:r>
      <w:r w:rsidRPr="008C49B4">
        <w:t>University of Glasgow, Book of Hours (2006)</w:t>
      </w:r>
    </w:p>
  </w:footnote>
  <w:footnote w:id="8">
    <w:p w14:paraId="05FFFBC7" w14:textId="77777777" w:rsidR="00E01EB6" w:rsidRDefault="00E01EB6" w:rsidP="00E01EB6">
      <w:pPr>
        <w:pStyle w:val="FootnoteText"/>
      </w:pPr>
      <w:r>
        <w:rPr>
          <w:rStyle w:val="FootnoteReference"/>
        </w:rPr>
        <w:footnoteRef/>
      </w:r>
      <w:r>
        <w:t xml:space="preserve"> </w:t>
      </w:r>
      <w:r w:rsidRPr="008C49B4">
        <w:t>University of Glasgow, Book of Hours (2006)</w:t>
      </w:r>
    </w:p>
  </w:footnote>
  <w:footnote w:id="9">
    <w:p w14:paraId="1D8B8F7C" w14:textId="77777777" w:rsidR="00E01EB6" w:rsidRDefault="00E01EB6" w:rsidP="00E01EB6">
      <w:pPr>
        <w:pStyle w:val="FootnoteText"/>
      </w:pPr>
      <w:r>
        <w:rPr>
          <w:rStyle w:val="FootnoteReference"/>
        </w:rPr>
        <w:footnoteRef/>
      </w:r>
      <w:r>
        <w:t xml:space="preserve"> </w:t>
      </w:r>
      <w:r w:rsidRPr="006C488D">
        <w:t>Gospel Luke, The Annunciation - 1:26-38 (2020) &lt;https://www.goodnews.ie/annunciation.shtml&gt; [accessed 1 June 2020].</w:t>
      </w:r>
    </w:p>
  </w:footnote>
  <w:footnote w:id="10">
    <w:p w14:paraId="0E0C572D" w14:textId="77777777" w:rsidR="00E01EB6" w:rsidRDefault="00E01EB6" w:rsidP="00E01EB6">
      <w:pPr>
        <w:pStyle w:val="FootnoteText"/>
      </w:pPr>
      <w:r>
        <w:rPr>
          <w:rStyle w:val="FootnoteReference"/>
        </w:rPr>
        <w:footnoteRef/>
      </w:r>
      <w:r>
        <w:t xml:space="preserve"> </w:t>
      </w:r>
      <w:r w:rsidRPr="00AB189A">
        <w:t>University of Glasgow, Book of Hours (2006)</w:t>
      </w:r>
    </w:p>
  </w:footnote>
  <w:footnote w:id="11">
    <w:p w14:paraId="0A7905A2" w14:textId="77777777" w:rsidR="00E01EB6" w:rsidRDefault="00E01EB6" w:rsidP="00E01EB6">
      <w:pPr>
        <w:pStyle w:val="FootnoteText"/>
      </w:pPr>
      <w:r>
        <w:rPr>
          <w:rStyle w:val="FootnoteReference"/>
        </w:rPr>
        <w:footnoteRef/>
      </w:r>
      <w:r>
        <w:t xml:space="preserve"> </w:t>
      </w:r>
      <w:r w:rsidRPr="00C92786">
        <w:t>Gospel Luke, The Annunciation - 1:26-38 (2020) &lt;https://www.goodnews.ie/annunciation.shtml&gt; [accessed 1 June 2020].</w:t>
      </w:r>
    </w:p>
  </w:footnote>
  <w:footnote w:id="12">
    <w:p w14:paraId="5FD9D8BD" w14:textId="77777777" w:rsidR="00E01EB6" w:rsidRDefault="00E01EB6" w:rsidP="00E01EB6">
      <w:pPr>
        <w:pStyle w:val="FootnoteText"/>
      </w:pPr>
      <w:r>
        <w:rPr>
          <w:rStyle w:val="FootnoteReference"/>
        </w:rPr>
        <w:footnoteRef/>
      </w:r>
      <w:r>
        <w:t xml:space="preserve"> </w:t>
      </w:r>
      <w:r w:rsidRPr="0014369A">
        <w:t>Gospel Luke, The Annunciation - 1:26-38</w:t>
      </w:r>
    </w:p>
  </w:footnote>
  <w:footnote w:id="13">
    <w:p w14:paraId="435CB00A" w14:textId="77777777" w:rsidR="00E01EB6" w:rsidRDefault="00E01EB6" w:rsidP="00E01EB6">
      <w:pPr>
        <w:pStyle w:val="FootnoteText"/>
      </w:pPr>
      <w:r>
        <w:rPr>
          <w:rStyle w:val="FootnoteReference"/>
        </w:rPr>
        <w:footnoteRef/>
      </w:r>
      <w:r>
        <w:t xml:space="preserve"> </w:t>
      </w:r>
      <w:r w:rsidRPr="0014369A">
        <w:t>Gospel Luke, The Annunciation - 1:26-38</w:t>
      </w:r>
    </w:p>
  </w:footnote>
  <w:footnote w:id="14">
    <w:p w14:paraId="55DA4041" w14:textId="0ED94D6D" w:rsidR="00E01EB6" w:rsidRDefault="00E01EB6" w:rsidP="00E01EB6">
      <w:pPr>
        <w:pStyle w:val="FootnoteText"/>
      </w:pPr>
      <w:r>
        <w:rPr>
          <w:rStyle w:val="FootnoteReference"/>
        </w:rPr>
        <w:footnoteRef/>
      </w:r>
      <w:r>
        <w:t xml:space="preserve"> </w:t>
      </w:r>
      <w:proofErr w:type="spellStart"/>
      <w:r w:rsidRPr="00760AC7">
        <w:rPr>
          <w:color w:val="000000"/>
          <w:shd w:val="clear" w:color="auto" w:fill="FFFFFF"/>
        </w:rPr>
        <w:t>Artelisa</w:t>
      </w:r>
      <w:proofErr w:type="spellEnd"/>
      <w:r w:rsidRPr="00760AC7">
        <w:rPr>
          <w:color w:val="000000"/>
          <w:shd w:val="clear" w:color="auto" w:fill="FFFFFF"/>
        </w:rPr>
        <w:t>, </w:t>
      </w:r>
      <w:r w:rsidRPr="00760AC7">
        <w:rPr>
          <w:i/>
          <w:iCs/>
          <w:color w:val="000000"/>
          <w:shd w:val="clear" w:color="auto" w:fill="FFFFFF"/>
        </w:rPr>
        <w:t xml:space="preserve">Symbolism of </w:t>
      </w:r>
      <w:proofErr w:type="spellStart"/>
      <w:r w:rsidRPr="00760AC7">
        <w:rPr>
          <w:i/>
          <w:iCs/>
          <w:color w:val="000000"/>
          <w:shd w:val="clear" w:color="auto" w:fill="FFFFFF"/>
        </w:rPr>
        <w:t>Color</w:t>
      </w:r>
      <w:proofErr w:type="spellEnd"/>
      <w:r w:rsidRPr="00760AC7">
        <w:rPr>
          <w:i/>
          <w:iCs/>
          <w:color w:val="000000"/>
          <w:shd w:val="clear" w:color="auto" w:fill="FFFFFF"/>
        </w:rPr>
        <w:t xml:space="preserve">, Medieval: Red, Blue, White and Gold History of </w:t>
      </w:r>
      <w:proofErr w:type="spellStart"/>
      <w:r w:rsidRPr="00760AC7">
        <w:rPr>
          <w:i/>
          <w:iCs/>
          <w:color w:val="000000"/>
          <w:shd w:val="clear" w:color="auto" w:fill="FFFFFF"/>
        </w:rPr>
        <w:t>Color</w:t>
      </w:r>
      <w:proofErr w:type="spellEnd"/>
      <w:r w:rsidRPr="00760AC7">
        <w:rPr>
          <w:i/>
          <w:iCs/>
          <w:color w:val="000000"/>
          <w:shd w:val="clear" w:color="auto" w:fill="FFFFFF"/>
        </w:rPr>
        <w:t xml:space="preserve"> # 4</w:t>
      </w:r>
      <w:r w:rsidRPr="00760AC7">
        <w:rPr>
          <w:color w:val="000000"/>
          <w:shd w:val="clear" w:color="auto" w:fill="FFFFFF"/>
        </w:rPr>
        <w:t> (Sunday, March 25, 2012) &lt;http://artelisaart.blogspot.com/2012/03/history-of-color-4-symbolism-of-color.html&gt; [</w:t>
      </w:r>
      <w:r w:rsidR="00A847E7" w:rsidRPr="00760AC7">
        <w:rPr>
          <w:color w:val="000000"/>
          <w:shd w:val="clear" w:color="auto" w:fill="FFFFFF"/>
        </w:rPr>
        <w:t xml:space="preserve">accessed </w:t>
      </w:r>
      <w:r w:rsidR="00A847E7">
        <w:rPr>
          <w:color w:val="000000"/>
          <w:shd w:val="clear" w:color="auto" w:fill="FFFFFF"/>
        </w:rPr>
        <w:t>1</w:t>
      </w:r>
      <w:r>
        <w:rPr>
          <w:color w:val="000000"/>
          <w:shd w:val="clear" w:color="auto" w:fill="FFFFFF"/>
        </w:rPr>
        <w:t xml:space="preserve"> June 2020</w:t>
      </w:r>
      <w:r w:rsidRPr="00760AC7">
        <w:rPr>
          <w:color w:val="000000"/>
          <w:shd w:val="clear" w:color="auto" w:fill="FFFFFF"/>
        </w:rPr>
        <w:t>].</w:t>
      </w:r>
    </w:p>
  </w:footnote>
  <w:footnote w:id="15">
    <w:p w14:paraId="30DFE88A" w14:textId="77777777" w:rsidR="00E01EB6" w:rsidRDefault="00E01EB6" w:rsidP="00E01EB6">
      <w:pPr>
        <w:pStyle w:val="FootnoteText"/>
      </w:pPr>
      <w:r>
        <w:rPr>
          <w:rStyle w:val="FootnoteReference"/>
        </w:rPr>
        <w:footnoteRef/>
      </w:r>
      <w:r>
        <w:t xml:space="preserve"> </w:t>
      </w:r>
      <w:proofErr w:type="spellStart"/>
      <w:r w:rsidRPr="00DA2768">
        <w:rPr>
          <w:rFonts w:cstheme="minorHAnsi"/>
          <w:color w:val="000000"/>
          <w:shd w:val="clear" w:color="auto" w:fill="FFFFFF"/>
        </w:rPr>
        <w:t>Kokuyo</w:t>
      </w:r>
      <w:proofErr w:type="spellEnd"/>
      <w:r>
        <w:rPr>
          <w:rFonts w:cstheme="minorHAnsi"/>
          <w:color w:val="000000"/>
          <w:shd w:val="clear" w:color="auto" w:fill="FFFFFF"/>
        </w:rPr>
        <w:t>,</w:t>
      </w:r>
      <w:r w:rsidRPr="00DA2768">
        <w:rPr>
          <w:rFonts w:cstheme="minorHAnsi"/>
          <w:color w:val="000000"/>
          <w:shd w:val="clear" w:color="auto" w:fill="FFFFFF"/>
        </w:rPr>
        <w:t xml:space="preserve"> Camlin, </w:t>
      </w:r>
      <w:r w:rsidRPr="00DA2768">
        <w:rPr>
          <w:rFonts w:cstheme="minorHAnsi"/>
          <w:i/>
          <w:iCs/>
          <w:color w:val="000000"/>
          <w:shd w:val="clear" w:color="auto" w:fill="FFFFFF"/>
        </w:rPr>
        <w:t>The Hidden Meaning of Colours, In Art</w:t>
      </w:r>
      <w:r w:rsidRPr="00DA2768">
        <w:rPr>
          <w:rFonts w:cstheme="minorHAnsi"/>
          <w:color w:val="000000"/>
          <w:shd w:val="clear" w:color="auto" w:fill="FFFFFF"/>
        </w:rPr>
        <w:t> (2018) [</w:t>
      </w:r>
      <w:r w:rsidRPr="00A730F3">
        <w:t>accessed 1 June 2020</w:t>
      </w:r>
      <w:r>
        <w:t>]</w:t>
      </w:r>
      <w:bookmarkStart w:id="6" w:name="_GoBack"/>
      <w:bookmarkEnd w:id="6"/>
    </w:p>
  </w:footnote>
  <w:footnote w:id="16">
    <w:p w14:paraId="18E8B154" w14:textId="77777777" w:rsidR="00E01EB6" w:rsidRDefault="00E01EB6" w:rsidP="00E01EB6">
      <w:pPr>
        <w:pStyle w:val="FootnoteText"/>
      </w:pPr>
      <w:r>
        <w:rPr>
          <w:rStyle w:val="FootnoteReference"/>
        </w:rPr>
        <w:footnoteRef/>
      </w:r>
      <w:r>
        <w:t xml:space="preserve"> </w:t>
      </w:r>
      <w:r w:rsidRPr="00A730F3">
        <w:t>The Fitzwilliam Museum, Colour and Meaning (2020) &lt;https://www.fitzmuseum.cam.ac.uk/colour/explore/14&gt; [accessed 1 June 2020].</w:t>
      </w:r>
    </w:p>
  </w:footnote>
  <w:footnote w:id="17">
    <w:p w14:paraId="31E7AA06" w14:textId="77777777" w:rsidR="00E01EB6" w:rsidRDefault="00E01EB6" w:rsidP="00E01EB6">
      <w:pPr>
        <w:pStyle w:val="FootnoteText"/>
      </w:pPr>
      <w:r>
        <w:rPr>
          <w:rStyle w:val="FootnoteReference"/>
        </w:rPr>
        <w:footnoteRef/>
      </w:r>
      <w:r>
        <w:t xml:space="preserve"> </w:t>
      </w:r>
      <w:proofErr w:type="spellStart"/>
      <w:r w:rsidRPr="00DA2768">
        <w:rPr>
          <w:rFonts w:cstheme="minorHAnsi"/>
          <w:color w:val="000000"/>
          <w:shd w:val="clear" w:color="auto" w:fill="FFFFFF"/>
        </w:rPr>
        <w:t>Kokuyo</w:t>
      </w:r>
      <w:proofErr w:type="spellEnd"/>
      <w:r>
        <w:rPr>
          <w:rFonts w:cstheme="minorHAnsi"/>
          <w:color w:val="000000"/>
          <w:shd w:val="clear" w:color="auto" w:fill="FFFFFF"/>
        </w:rPr>
        <w:t>,</w:t>
      </w:r>
      <w:r w:rsidRPr="00DA2768">
        <w:rPr>
          <w:rFonts w:cstheme="minorHAnsi"/>
          <w:color w:val="000000"/>
          <w:shd w:val="clear" w:color="auto" w:fill="FFFFFF"/>
        </w:rPr>
        <w:t xml:space="preserve"> Camlin, </w:t>
      </w:r>
      <w:r w:rsidRPr="00DA2768">
        <w:rPr>
          <w:rFonts w:cstheme="minorHAnsi"/>
          <w:i/>
          <w:iCs/>
          <w:color w:val="000000"/>
          <w:shd w:val="clear" w:color="auto" w:fill="FFFFFF"/>
        </w:rPr>
        <w:t>The Hidden Meaning of Colours, In Art</w:t>
      </w:r>
      <w:r w:rsidRPr="00DA2768">
        <w:rPr>
          <w:rFonts w:cstheme="minorHAnsi"/>
          <w:color w:val="000000"/>
          <w:shd w:val="clear" w:color="auto" w:fill="FFFFFF"/>
        </w:rPr>
        <w:t> (2018) [</w:t>
      </w:r>
      <w:r w:rsidRPr="00A730F3">
        <w:t>accessed 1 June 2020</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8639F"/>
    <w:multiLevelType w:val="hybridMultilevel"/>
    <w:tmpl w:val="51A6C0AC"/>
    <w:lvl w:ilvl="0" w:tplc="F27E7E14">
      <w:start w:val="2"/>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4E710B18"/>
    <w:multiLevelType w:val="hybridMultilevel"/>
    <w:tmpl w:val="95D21064"/>
    <w:lvl w:ilvl="0" w:tplc="50F8C650">
      <w:start w:val="1"/>
      <w:numFmt w:val="decimal"/>
      <w:lvlText w:val="%1."/>
      <w:lvlJc w:val="left"/>
      <w:pPr>
        <w:ind w:left="928" w:hanging="360"/>
      </w:pPr>
    </w:lvl>
    <w:lvl w:ilvl="1" w:tplc="08090019">
      <w:start w:val="1"/>
      <w:numFmt w:val="decimal"/>
      <w:lvlText w:val="%2."/>
      <w:lvlJc w:val="left"/>
      <w:pPr>
        <w:tabs>
          <w:tab w:val="num" w:pos="1648"/>
        </w:tabs>
        <w:ind w:left="1648" w:hanging="360"/>
      </w:pPr>
    </w:lvl>
    <w:lvl w:ilvl="2" w:tplc="0809001B">
      <w:start w:val="1"/>
      <w:numFmt w:val="decimal"/>
      <w:lvlText w:val="%3."/>
      <w:lvlJc w:val="left"/>
      <w:pPr>
        <w:tabs>
          <w:tab w:val="num" w:pos="2368"/>
        </w:tabs>
        <w:ind w:left="2368" w:hanging="360"/>
      </w:pPr>
    </w:lvl>
    <w:lvl w:ilvl="3" w:tplc="0809000F">
      <w:start w:val="1"/>
      <w:numFmt w:val="decimal"/>
      <w:lvlText w:val="%4."/>
      <w:lvlJc w:val="left"/>
      <w:pPr>
        <w:tabs>
          <w:tab w:val="num" w:pos="3088"/>
        </w:tabs>
        <w:ind w:left="3088" w:hanging="360"/>
      </w:pPr>
    </w:lvl>
    <w:lvl w:ilvl="4" w:tplc="08090019">
      <w:start w:val="1"/>
      <w:numFmt w:val="decimal"/>
      <w:lvlText w:val="%5."/>
      <w:lvlJc w:val="left"/>
      <w:pPr>
        <w:tabs>
          <w:tab w:val="num" w:pos="3808"/>
        </w:tabs>
        <w:ind w:left="3808" w:hanging="360"/>
      </w:pPr>
    </w:lvl>
    <w:lvl w:ilvl="5" w:tplc="0809001B">
      <w:start w:val="1"/>
      <w:numFmt w:val="decimal"/>
      <w:lvlText w:val="%6."/>
      <w:lvlJc w:val="left"/>
      <w:pPr>
        <w:tabs>
          <w:tab w:val="num" w:pos="4528"/>
        </w:tabs>
        <w:ind w:left="4528" w:hanging="360"/>
      </w:pPr>
    </w:lvl>
    <w:lvl w:ilvl="6" w:tplc="0809000F">
      <w:start w:val="1"/>
      <w:numFmt w:val="decimal"/>
      <w:lvlText w:val="%7."/>
      <w:lvlJc w:val="left"/>
      <w:pPr>
        <w:tabs>
          <w:tab w:val="num" w:pos="5248"/>
        </w:tabs>
        <w:ind w:left="5248" w:hanging="360"/>
      </w:pPr>
    </w:lvl>
    <w:lvl w:ilvl="7" w:tplc="08090019">
      <w:start w:val="1"/>
      <w:numFmt w:val="decimal"/>
      <w:lvlText w:val="%8."/>
      <w:lvlJc w:val="left"/>
      <w:pPr>
        <w:tabs>
          <w:tab w:val="num" w:pos="5968"/>
        </w:tabs>
        <w:ind w:left="5968" w:hanging="360"/>
      </w:pPr>
    </w:lvl>
    <w:lvl w:ilvl="8" w:tplc="0809001B">
      <w:start w:val="1"/>
      <w:numFmt w:val="decimal"/>
      <w:lvlText w:val="%9."/>
      <w:lvlJc w:val="left"/>
      <w:pPr>
        <w:tabs>
          <w:tab w:val="num" w:pos="6688"/>
        </w:tabs>
        <w:ind w:left="6688" w:hanging="360"/>
      </w:pPr>
    </w:lvl>
  </w:abstractNum>
  <w:abstractNum w:abstractNumId="2" w15:restartNumberingAfterBreak="0">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15:restartNumberingAfterBreak="0">
    <w:nsid w:val="5AAA715C"/>
    <w:multiLevelType w:val="hybridMultilevel"/>
    <w:tmpl w:val="217A8D8E"/>
    <w:lvl w:ilvl="0" w:tplc="D5A00506">
      <w:start w:val="2"/>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EB6"/>
    <w:rsid w:val="00126DEE"/>
    <w:rsid w:val="005E25C3"/>
    <w:rsid w:val="0075763C"/>
    <w:rsid w:val="007F3974"/>
    <w:rsid w:val="00A847E7"/>
    <w:rsid w:val="00B52378"/>
    <w:rsid w:val="00C8522D"/>
    <w:rsid w:val="00E01EB6"/>
    <w:rsid w:val="00F16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C78BA"/>
  <w15:chartTrackingRefBased/>
  <w15:docId w15:val="{B5C6A02F-42E4-4EC3-A481-5ED5BA424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EB6"/>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E01EB6"/>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E01EB6"/>
    <w:rPr>
      <w:rFonts w:ascii="Tahoma" w:eastAsia="Times New Roman" w:hAnsi="Tahoma" w:cs="Tahoma"/>
      <w:b/>
      <w:bCs/>
      <w:sz w:val="20"/>
      <w:szCs w:val="20"/>
      <w:lang w:eastAsia="zh-CN"/>
    </w:rPr>
  </w:style>
  <w:style w:type="paragraph" w:styleId="NormalWeb">
    <w:name w:val="Normal (Web)"/>
    <w:basedOn w:val="Normal"/>
    <w:semiHidden/>
    <w:unhideWhenUsed/>
    <w:rsid w:val="00E01EB6"/>
    <w:pPr>
      <w:spacing w:before="100" w:beforeAutospacing="1" w:after="100" w:afterAutospacing="1"/>
    </w:pPr>
    <w:rPr>
      <w:rFonts w:ascii="Georgia" w:hAnsi="Georgia"/>
      <w:color w:val="000000"/>
      <w:sz w:val="21"/>
      <w:szCs w:val="21"/>
    </w:rPr>
  </w:style>
  <w:style w:type="paragraph" w:styleId="ListParagraph">
    <w:name w:val="List Paragraph"/>
    <w:basedOn w:val="Normal"/>
    <w:uiPriority w:val="34"/>
    <w:qFormat/>
    <w:rsid w:val="00E01EB6"/>
    <w:pPr>
      <w:spacing w:after="200" w:line="276" w:lineRule="auto"/>
      <w:ind w:left="720"/>
      <w:contextualSpacing/>
    </w:pPr>
    <w:rPr>
      <w:rFonts w:ascii="Calibri" w:eastAsia="Calibri" w:hAnsi="Calibri" w:cs="Arial"/>
      <w:sz w:val="22"/>
      <w:szCs w:val="22"/>
      <w:lang w:eastAsia="en-US"/>
    </w:rPr>
  </w:style>
  <w:style w:type="paragraph" w:styleId="FootnoteText">
    <w:name w:val="footnote text"/>
    <w:basedOn w:val="Normal"/>
    <w:link w:val="FootnoteTextChar"/>
    <w:uiPriority w:val="99"/>
    <w:semiHidden/>
    <w:unhideWhenUsed/>
    <w:rsid w:val="00E01EB6"/>
    <w:rPr>
      <w:sz w:val="20"/>
      <w:szCs w:val="20"/>
    </w:rPr>
  </w:style>
  <w:style w:type="character" w:customStyle="1" w:styleId="FootnoteTextChar">
    <w:name w:val="Footnote Text Char"/>
    <w:basedOn w:val="DefaultParagraphFont"/>
    <w:link w:val="FootnoteText"/>
    <w:uiPriority w:val="99"/>
    <w:semiHidden/>
    <w:rsid w:val="00E01EB6"/>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E01E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1599</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6</cp:revision>
  <dcterms:created xsi:type="dcterms:W3CDTF">2020-06-01T17:18:00Z</dcterms:created>
  <dcterms:modified xsi:type="dcterms:W3CDTF">2020-06-02T14:43:00Z</dcterms:modified>
</cp:coreProperties>
</file>