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B896D2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C522A">
        <w:rPr>
          <w:rFonts w:asciiTheme="minorBidi" w:hAnsiTheme="minorBidi"/>
          <w:sz w:val="28"/>
          <w:szCs w:val="28"/>
        </w:rPr>
        <w:t>Fazal Dad</w:t>
      </w:r>
    </w:p>
    <w:p w14:paraId="485B6F49" w14:textId="21F847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C522A" w:rsidRPr="00DF220D">
        <w:rPr>
          <w:rFonts w:asciiTheme="minorBidi" w:hAnsiTheme="minorBidi"/>
          <w:sz w:val="28"/>
          <w:szCs w:val="28"/>
        </w:rPr>
        <w:t>2019436</w:t>
      </w:r>
    </w:p>
    <w:p w14:paraId="3C1E7A20" w14:textId="6BE4BEF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C522A">
        <w:rPr>
          <w:rFonts w:asciiTheme="minorBidi" w:hAnsiTheme="minorBidi"/>
          <w:sz w:val="28"/>
          <w:szCs w:val="28"/>
        </w:rPr>
        <w:t>4001</w:t>
      </w:r>
    </w:p>
    <w:p w14:paraId="4EEB2DA3" w14:textId="0C40857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C522A" w:rsidRPr="00DF220D">
        <w:rPr>
          <w:rFonts w:asciiTheme="minorBidi" w:hAnsiTheme="minorBidi"/>
          <w:sz w:val="28"/>
          <w:szCs w:val="28"/>
          <w:lang w:val="en-US"/>
        </w:rPr>
        <w:t>Academic and Employability Skills</w:t>
      </w:r>
    </w:p>
    <w:p w14:paraId="112342CB" w14:textId="2FAD322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C522A" w:rsidRPr="00DF220D">
        <w:rPr>
          <w:rFonts w:asciiTheme="minorBidi" w:hAnsiTheme="minorBidi"/>
          <w:sz w:val="28"/>
          <w:szCs w:val="28"/>
          <w:lang w:val="nb-NO"/>
        </w:rPr>
        <w:t>Abdulla Sodiq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E2E671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C522A">
        <w:rPr>
          <w:rFonts w:asciiTheme="minorBidi" w:hAnsiTheme="minorBidi"/>
          <w:sz w:val="28"/>
          <w:szCs w:val="28"/>
        </w:rPr>
        <w:t>24</w:t>
      </w:r>
      <w:r w:rsidR="00AC522A" w:rsidRPr="00AC522A">
        <w:rPr>
          <w:rFonts w:asciiTheme="minorBidi" w:hAnsiTheme="minorBidi"/>
          <w:sz w:val="28"/>
          <w:szCs w:val="28"/>
          <w:vertAlign w:val="superscript"/>
        </w:rPr>
        <w:t>th</w:t>
      </w:r>
      <w:r w:rsidR="00AC522A">
        <w:rPr>
          <w:rFonts w:asciiTheme="minorBidi" w:hAnsiTheme="minorBidi"/>
          <w:sz w:val="28"/>
          <w:szCs w:val="28"/>
        </w:rPr>
        <w:t xml:space="preserve"> July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64AA512A" w14:textId="77777777" w:rsidR="00605900" w:rsidRPr="00AC522A" w:rsidRDefault="00605900" w:rsidP="00605900">
      <w:pPr>
        <w:pStyle w:val="Heading1"/>
        <w:rPr>
          <w:rFonts w:ascii="Arial" w:hAnsi="Arial" w:cs="Arial"/>
          <w:color w:val="auto"/>
          <w:sz w:val="22"/>
          <w:szCs w:val="22"/>
        </w:rPr>
      </w:pPr>
      <w:r w:rsidRPr="00AC522A">
        <w:rPr>
          <w:rFonts w:ascii="Arial" w:hAnsi="Arial" w:cs="Arial"/>
          <w:color w:val="auto"/>
          <w:sz w:val="22"/>
          <w:szCs w:val="22"/>
        </w:rPr>
        <w:lastRenderedPageBreak/>
        <w:t>1: Written Report</w:t>
      </w:r>
    </w:p>
    <w:p w14:paraId="74F8A400" w14:textId="77777777" w:rsidR="00605900" w:rsidRPr="00AC522A" w:rsidRDefault="00605900" w:rsidP="00605900">
      <w:pPr>
        <w:pStyle w:val="Heading2"/>
        <w:rPr>
          <w:rFonts w:ascii="Arial" w:hAnsi="Arial" w:cs="Arial"/>
          <w:b/>
          <w:color w:val="auto"/>
          <w:sz w:val="22"/>
          <w:szCs w:val="22"/>
        </w:rPr>
      </w:pPr>
      <w:r w:rsidRPr="00AC522A">
        <w:rPr>
          <w:rFonts w:ascii="Arial" w:hAnsi="Arial" w:cs="Arial"/>
          <w:b/>
          <w:color w:val="auto"/>
          <w:sz w:val="22"/>
          <w:szCs w:val="22"/>
        </w:rPr>
        <w:t>1.1 Introduction</w:t>
      </w:r>
    </w:p>
    <w:p w14:paraId="3A901A5F" w14:textId="6F9AD697" w:rsidR="00AC522A" w:rsidRPr="00AA1A2E" w:rsidRDefault="00E058A1" w:rsidP="00AC522A">
      <w:pPr>
        <w:rPr>
          <w:rFonts w:ascii="Arial" w:hAnsi="Arial" w:cs="Arial"/>
          <w:sz w:val="22"/>
          <w:lang w:val="en-US"/>
        </w:rPr>
      </w:pPr>
      <w:r w:rsidRPr="00E058A1">
        <w:rPr>
          <w:rFonts w:ascii="Arial" w:hAnsi="Arial" w:cs="Arial"/>
          <w:sz w:val="22"/>
        </w:rPr>
        <w:t xml:space="preserve">By assisting people, families, and communities going through social, emotional, and practical challenges, social workers play a critical role in health and social care. Social workers have a crucial role in protecting vulnerable individuals, fostering independence, and enhancing wellness through support services, advocacy, and assessment. The function of a social worker in health and social care settings is the main topic of this paper. It describes the duties and significance of the profession, assesses three critical abilities for successful practice, and talks about ways to improve and enhance them. </w:t>
      </w:r>
      <w:r w:rsidR="00605900" w:rsidRPr="00E06403">
        <w:rPr>
          <w:rFonts w:ascii="Arial" w:hAnsi="Arial" w:cs="Arial"/>
          <w:sz w:val="22"/>
        </w:rPr>
        <w:t>The report aims to demonstrate how professional competence contributes to safe and effective service delivery</w:t>
      </w:r>
      <w:r w:rsidR="00DE57F1">
        <w:rPr>
          <w:rFonts w:ascii="Arial" w:hAnsi="Arial" w:cs="Arial"/>
          <w:sz w:val="22"/>
        </w:rPr>
        <w:t>.</w:t>
      </w:r>
      <w:r w:rsidR="00AA1A2E" w:rsidRPr="00AA1A2E">
        <w:rPr>
          <w:rFonts w:ascii="Arial" w:hAnsi="Arial" w:cs="Arial"/>
          <w:sz w:val="22"/>
          <w:lang w:val="en-US"/>
        </w:rPr>
        <w:t> (Browne, 2019)</w:t>
      </w:r>
    </w:p>
    <w:p w14:paraId="3F40A2B6" w14:textId="77777777" w:rsidR="00AC522A" w:rsidRPr="00AC522A" w:rsidRDefault="00AC522A" w:rsidP="00AC522A">
      <w:pPr>
        <w:rPr>
          <w:rFonts w:ascii="Arial" w:hAnsi="Arial" w:cs="Arial"/>
          <w:color w:val="0070C0"/>
          <w:sz w:val="22"/>
        </w:rPr>
      </w:pPr>
    </w:p>
    <w:p w14:paraId="7057CB8D" w14:textId="77777777" w:rsidR="00AC522A" w:rsidRPr="00AC522A" w:rsidRDefault="00605900" w:rsidP="00AC522A">
      <w:pPr>
        <w:rPr>
          <w:rFonts w:ascii="Arial" w:hAnsi="Arial" w:cs="Arial"/>
          <w:b/>
          <w:bCs/>
          <w:color w:val="000000" w:themeColor="text1"/>
          <w:sz w:val="22"/>
        </w:rPr>
      </w:pPr>
      <w:r w:rsidRPr="00AC522A">
        <w:rPr>
          <w:rFonts w:ascii="Arial" w:hAnsi="Arial" w:cs="Arial"/>
          <w:b/>
          <w:bCs/>
          <w:color w:val="000000" w:themeColor="text1"/>
          <w:sz w:val="22"/>
        </w:rPr>
        <w:t xml:space="preserve">1.2 Description of, and background to, Social </w:t>
      </w:r>
      <w:r w:rsidR="00AC522A" w:rsidRPr="00AC522A">
        <w:rPr>
          <w:rFonts w:ascii="Arial" w:hAnsi="Arial" w:cs="Arial"/>
          <w:b/>
          <w:bCs/>
          <w:color w:val="000000" w:themeColor="text1"/>
          <w:sz w:val="22"/>
        </w:rPr>
        <w:t>Work</w:t>
      </w:r>
      <w:r w:rsidRPr="00AC522A">
        <w:rPr>
          <w:rFonts w:ascii="Arial" w:hAnsi="Arial" w:cs="Arial"/>
          <w:b/>
          <w:bCs/>
          <w:color w:val="000000" w:themeColor="text1"/>
          <w:sz w:val="22"/>
        </w:rPr>
        <w:t xml:space="preserve"> in healthcare</w:t>
      </w:r>
    </w:p>
    <w:p w14:paraId="1AE3D34E" w14:textId="68297D38"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 xml:space="preserve">Social workers support individuals who experience difficulties that affect their physical, emotional, psychological, or social wellbeing. They work in a wide range of settings including hospitals, local authorities, community </w:t>
      </w:r>
      <w:r w:rsidR="00AC522A" w:rsidRPr="00E06403">
        <w:rPr>
          <w:rFonts w:ascii="Arial" w:hAnsi="Arial" w:cs="Arial"/>
          <w:color w:val="000000" w:themeColor="text1"/>
          <w:sz w:val="22"/>
          <w:lang w:val="en-US"/>
        </w:rPr>
        <w:t>organizations</w:t>
      </w:r>
      <w:r w:rsidRPr="00E06403">
        <w:rPr>
          <w:rFonts w:ascii="Arial" w:hAnsi="Arial" w:cs="Arial"/>
          <w:color w:val="000000" w:themeColor="text1"/>
          <w:sz w:val="22"/>
          <w:lang w:val="en-US"/>
        </w:rPr>
        <w:t xml:space="preserve">, schools, mental health services, and residential care homes. The primary aim of the profession is to empower individuals, reduce inequalities, promote independence, and safeguard vulnerable adults and children through effective assessment and intervention </w:t>
      </w:r>
      <w:r w:rsidR="00AA1A2E" w:rsidRPr="00AA1A2E">
        <w:rPr>
          <w:rFonts w:ascii="Arial" w:hAnsi="Arial" w:cs="Arial"/>
          <w:color w:val="000000" w:themeColor="text1"/>
          <w:sz w:val="22"/>
        </w:rPr>
        <w:t>(Gehlert, Andrews and Browne, 2019)</w:t>
      </w:r>
      <w:r w:rsidR="00AA1A2E">
        <w:rPr>
          <w:rFonts w:ascii="Arial" w:hAnsi="Arial" w:cs="Arial"/>
          <w:color w:val="000000" w:themeColor="text1"/>
          <w:sz w:val="22"/>
        </w:rPr>
        <w:t>.</w:t>
      </w:r>
    </w:p>
    <w:p w14:paraId="3821EFF3" w14:textId="2999484F" w:rsidR="00AC522A" w:rsidRDefault="00F504E3" w:rsidP="00AC522A">
      <w:pPr>
        <w:rPr>
          <w:rFonts w:ascii="Arial" w:hAnsi="Arial" w:cs="Arial"/>
          <w:color w:val="000000" w:themeColor="text1"/>
          <w:sz w:val="22"/>
          <w:lang w:val="en-US"/>
        </w:rPr>
      </w:pPr>
      <w:r w:rsidRPr="00F504E3">
        <w:rPr>
          <w:rFonts w:ascii="Arial" w:hAnsi="Arial" w:cs="Arial"/>
          <w:color w:val="000000" w:themeColor="text1"/>
          <w:sz w:val="22"/>
          <w:lang w:val="en-US"/>
        </w:rPr>
        <w:t>Assessing the needs of service users, identifying risks, creating care and support plans, advocating, setting up access to suitable health and social care services, keeping accurate records, and collaborating with medical professionals, educators, housing officers, and volunteer organizations are all part of a social worker's duties.</w:t>
      </w:r>
      <w:r w:rsidR="00605900" w:rsidRPr="00E06403">
        <w:rPr>
          <w:rFonts w:ascii="Arial" w:hAnsi="Arial" w:cs="Arial"/>
          <w:color w:val="000000" w:themeColor="text1"/>
          <w:sz w:val="22"/>
          <w:lang w:val="en-US"/>
        </w:rPr>
        <w:t>Social workers also ensure that legislation, professional standards, and safeguarding policies are followed throughout the care process.</w:t>
      </w:r>
    </w:p>
    <w:p w14:paraId="74930936" w14:textId="0D80B21F"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 xml:space="preserve">Safeguarding is widely </w:t>
      </w:r>
      <w:r w:rsidR="00AC522A" w:rsidRPr="00E06403">
        <w:rPr>
          <w:rFonts w:ascii="Arial" w:hAnsi="Arial" w:cs="Arial"/>
          <w:color w:val="000000" w:themeColor="text1"/>
          <w:sz w:val="22"/>
          <w:lang w:val="en-US"/>
        </w:rPr>
        <w:t>recognized</w:t>
      </w:r>
      <w:r w:rsidRPr="00E06403">
        <w:rPr>
          <w:rFonts w:ascii="Arial" w:hAnsi="Arial" w:cs="Arial"/>
          <w:color w:val="000000" w:themeColor="text1"/>
          <w:sz w:val="22"/>
          <w:lang w:val="en-US"/>
        </w:rPr>
        <w:t xml:space="preserve"> as one of the most important responsibilities of a social worker. Practitioners must identify concerns relating to abuse, neglect, exploitation, or domestic violence and take appropriate action to protect individuals who may be at risk </w:t>
      </w:r>
      <w:r w:rsidR="00AA1A2E" w:rsidRPr="00AA1A2E">
        <w:rPr>
          <w:rFonts w:ascii="Arial" w:hAnsi="Arial" w:cs="Arial"/>
          <w:color w:val="000000" w:themeColor="text1"/>
          <w:sz w:val="22"/>
        </w:rPr>
        <w:t>(Ravalier et al., 2020)</w:t>
      </w:r>
      <w:r w:rsidR="00AA1A2E">
        <w:rPr>
          <w:rFonts w:ascii="Arial" w:hAnsi="Arial" w:cs="Arial"/>
          <w:color w:val="000000" w:themeColor="text1"/>
          <w:sz w:val="22"/>
        </w:rPr>
        <w:t>.</w:t>
      </w:r>
      <w:r w:rsidR="00DD6319">
        <w:rPr>
          <w:rFonts w:ascii="Arial" w:hAnsi="Arial" w:cs="Arial"/>
          <w:color w:val="000000" w:themeColor="text1"/>
          <w:sz w:val="22"/>
        </w:rPr>
        <w:t xml:space="preserve"> </w:t>
      </w:r>
      <w:r w:rsidRPr="00E06403">
        <w:rPr>
          <w:rFonts w:ascii="Arial" w:hAnsi="Arial" w:cs="Arial"/>
          <w:color w:val="000000" w:themeColor="text1"/>
          <w:sz w:val="22"/>
          <w:lang w:val="en-US"/>
        </w:rPr>
        <w:t>This responsibility requires sound professional judgement, ethical decision-making, and effective communication with service users and multidisciplinary teams.</w:t>
      </w:r>
    </w:p>
    <w:p w14:paraId="7776818E" w14:textId="5E9E2C25" w:rsidR="00AC522A" w:rsidRDefault="00F504E3" w:rsidP="00AC522A">
      <w:pPr>
        <w:rPr>
          <w:rFonts w:ascii="Arial" w:hAnsi="Arial" w:cs="Arial"/>
          <w:color w:val="000000" w:themeColor="text1"/>
          <w:sz w:val="22"/>
          <w:lang w:val="en-US"/>
        </w:rPr>
      </w:pPr>
      <w:r w:rsidRPr="00F504E3">
        <w:rPr>
          <w:rFonts w:ascii="Arial" w:hAnsi="Arial" w:cs="Arial"/>
          <w:color w:val="000000" w:themeColor="text1"/>
          <w:sz w:val="22"/>
          <w:lang w:val="en-US"/>
        </w:rPr>
        <w:t>Social workers need both professional expertise and interpersonal abilities to carry out these duties successfully. Effective information exchange and the development of trustworthy connections are made possible by communication skills</w:t>
      </w:r>
      <w:r w:rsidR="00605900" w:rsidRPr="00E06403">
        <w:rPr>
          <w:rFonts w:ascii="Arial" w:hAnsi="Arial" w:cs="Arial"/>
          <w:color w:val="000000" w:themeColor="text1"/>
          <w:sz w:val="22"/>
          <w:lang w:val="en-US"/>
        </w:rPr>
        <w:t>.Empathy and emotional intelligence support compassionate, person-</w:t>
      </w:r>
      <w:r w:rsidR="00AC522A" w:rsidRPr="00E06403">
        <w:rPr>
          <w:rFonts w:ascii="Arial" w:hAnsi="Arial" w:cs="Arial"/>
          <w:color w:val="000000" w:themeColor="text1"/>
          <w:sz w:val="22"/>
          <w:lang w:val="en-US"/>
        </w:rPr>
        <w:t>centered</w:t>
      </w:r>
      <w:r w:rsidR="00605900" w:rsidRPr="00E06403">
        <w:rPr>
          <w:rFonts w:ascii="Arial" w:hAnsi="Arial" w:cs="Arial"/>
          <w:color w:val="000000" w:themeColor="text1"/>
          <w:sz w:val="22"/>
          <w:lang w:val="en-US"/>
        </w:rPr>
        <w:t xml:space="preserve"> practice, while problem-solving and decision-making skills enable practitioners to respond appropriately to complex situations involving risk, legal responsibilities, and competing priorities.</w:t>
      </w:r>
    </w:p>
    <w:p w14:paraId="5EE828A8" w14:textId="77777777" w:rsidR="00D95EE3" w:rsidRDefault="00D95EE3" w:rsidP="00AC522A">
      <w:pPr>
        <w:rPr>
          <w:rFonts w:ascii="Arial" w:hAnsi="Arial" w:cs="Arial"/>
          <w:b/>
          <w:bCs/>
          <w:sz w:val="22"/>
        </w:rPr>
      </w:pPr>
    </w:p>
    <w:p w14:paraId="63635CA0" w14:textId="77777777" w:rsidR="00D95EE3" w:rsidRDefault="00D95EE3" w:rsidP="00AC522A">
      <w:pPr>
        <w:rPr>
          <w:rFonts w:ascii="Arial" w:hAnsi="Arial" w:cs="Arial"/>
          <w:b/>
          <w:bCs/>
          <w:sz w:val="22"/>
        </w:rPr>
      </w:pPr>
    </w:p>
    <w:p w14:paraId="775232B5" w14:textId="77777777" w:rsidR="00D95EE3" w:rsidRDefault="00D95EE3" w:rsidP="00AC522A">
      <w:pPr>
        <w:rPr>
          <w:rFonts w:ascii="Arial" w:hAnsi="Arial" w:cs="Arial"/>
          <w:b/>
          <w:bCs/>
          <w:sz w:val="22"/>
        </w:rPr>
      </w:pPr>
    </w:p>
    <w:p w14:paraId="1B58FC2A" w14:textId="77777777" w:rsidR="00D95EE3" w:rsidRDefault="00D95EE3" w:rsidP="00AC522A">
      <w:pPr>
        <w:rPr>
          <w:rFonts w:ascii="Arial" w:hAnsi="Arial" w:cs="Arial"/>
          <w:b/>
          <w:bCs/>
          <w:sz w:val="22"/>
        </w:rPr>
      </w:pPr>
    </w:p>
    <w:p w14:paraId="74E61AD9" w14:textId="77777777" w:rsidR="00D95EE3" w:rsidRDefault="00D95EE3" w:rsidP="00AC522A">
      <w:pPr>
        <w:rPr>
          <w:rFonts w:ascii="Arial" w:hAnsi="Arial" w:cs="Arial"/>
          <w:b/>
          <w:bCs/>
          <w:sz w:val="22"/>
        </w:rPr>
      </w:pPr>
    </w:p>
    <w:p w14:paraId="4D1ABB77" w14:textId="77777777" w:rsidR="00D95EE3" w:rsidRDefault="00D95EE3" w:rsidP="00AC522A">
      <w:pPr>
        <w:rPr>
          <w:rFonts w:ascii="Arial" w:hAnsi="Arial" w:cs="Arial"/>
          <w:b/>
          <w:bCs/>
          <w:sz w:val="22"/>
        </w:rPr>
      </w:pPr>
    </w:p>
    <w:p w14:paraId="1BE9F601" w14:textId="3AA0FD1B" w:rsidR="00AC522A" w:rsidRPr="00AC522A" w:rsidRDefault="00605900" w:rsidP="00AC522A">
      <w:pPr>
        <w:rPr>
          <w:rFonts w:ascii="Arial" w:hAnsi="Arial" w:cs="Arial"/>
          <w:b/>
          <w:bCs/>
          <w:sz w:val="22"/>
        </w:rPr>
      </w:pPr>
      <w:r w:rsidRPr="00AC522A">
        <w:rPr>
          <w:rFonts w:ascii="Arial" w:hAnsi="Arial" w:cs="Arial"/>
          <w:b/>
          <w:bCs/>
          <w:sz w:val="22"/>
        </w:rPr>
        <w:lastRenderedPageBreak/>
        <w:t xml:space="preserve">1.3 Evaluation of the skills needed for </w:t>
      </w:r>
      <w:r w:rsidR="00AC522A" w:rsidRPr="00AC522A">
        <w:rPr>
          <w:rFonts w:ascii="Arial" w:hAnsi="Arial" w:cs="Arial"/>
          <w:b/>
          <w:bCs/>
          <w:sz w:val="22"/>
        </w:rPr>
        <w:t>a social worker</w:t>
      </w:r>
      <w:r w:rsidRPr="00AC522A">
        <w:rPr>
          <w:rFonts w:ascii="Arial" w:hAnsi="Arial" w:cs="Arial"/>
          <w:b/>
          <w:bCs/>
          <w:sz w:val="22"/>
        </w:rPr>
        <w:t xml:space="preserve"> in healthcare</w:t>
      </w:r>
    </w:p>
    <w:p w14:paraId="3B7A3BEC" w14:textId="77777777" w:rsidR="00BE6808" w:rsidRDefault="00E058A1" w:rsidP="00BE6808">
      <w:pPr>
        <w:rPr>
          <w:rFonts w:ascii="Arial" w:hAnsi="Arial" w:cs="Arial"/>
          <w:color w:val="000000" w:themeColor="text1"/>
          <w:sz w:val="22"/>
        </w:rPr>
      </w:pPr>
      <w:r w:rsidRPr="00E058A1">
        <w:rPr>
          <w:rFonts w:ascii="Arial" w:hAnsi="Arial" w:cs="Arial"/>
          <w:color w:val="000000" w:themeColor="text1"/>
          <w:sz w:val="22"/>
          <w:lang w:val="en-US"/>
        </w:rPr>
        <w:t xml:space="preserve">To deliver safe, efficient, and person-centered care, social workers need a </w:t>
      </w:r>
      <w:r>
        <w:rPr>
          <w:rFonts w:ascii="Arial" w:hAnsi="Arial" w:cs="Arial"/>
          <w:color w:val="000000" w:themeColor="text1"/>
          <w:sz w:val="22"/>
          <w:lang w:val="en-US"/>
        </w:rPr>
        <w:t>wide</w:t>
      </w:r>
      <w:r w:rsidRPr="00E058A1">
        <w:rPr>
          <w:rFonts w:ascii="Arial" w:hAnsi="Arial" w:cs="Arial"/>
          <w:color w:val="000000" w:themeColor="text1"/>
          <w:sz w:val="22"/>
          <w:lang w:val="en-US"/>
        </w:rPr>
        <w:t xml:space="preserve"> variety of professional and interpersonal abilities. Since they have a direct impact on the level of support given to service users, communication, empathy and emotional intelligence, and problem-solving and decision-making are seen as the most crucial of these. These abilities help social workers build trustworthy connections, make wise professional decisions, and collaborate well with interdisciplinary teams to enhance outcomes for vulnerable people.</w:t>
      </w:r>
      <w:r>
        <w:rPr>
          <w:rFonts w:ascii="Arial" w:hAnsi="Arial" w:cs="Arial"/>
          <w:color w:val="000000" w:themeColor="text1"/>
          <w:sz w:val="22"/>
          <w:lang w:val="en-US"/>
        </w:rPr>
        <w:t xml:space="preserve"> </w:t>
      </w:r>
      <w:r w:rsidR="00AA1A2E" w:rsidRPr="00AA1A2E">
        <w:rPr>
          <w:rFonts w:ascii="Arial" w:hAnsi="Arial" w:cs="Arial"/>
          <w:color w:val="000000" w:themeColor="text1"/>
          <w:sz w:val="22"/>
        </w:rPr>
        <w:t>(Davis et al., 2018)</w:t>
      </w:r>
      <w:r w:rsidR="00AA1A2E">
        <w:rPr>
          <w:rFonts w:ascii="Arial" w:hAnsi="Arial" w:cs="Arial"/>
          <w:color w:val="000000" w:themeColor="text1"/>
          <w:sz w:val="22"/>
        </w:rPr>
        <w:t>.</w:t>
      </w:r>
    </w:p>
    <w:p w14:paraId="275973CA" w14:textId="1B879560" w:rsidR="00BE6808" w:rsidRPr="00BE6808" w:rsidRDefault="00605900" w:rsidP="00BE6808">
      <w:pPr>
        <w:rPr>
          <w:rFonts w:ascii="Arial" w:hAnsi="Arial" w:cs="Arial"/>
          <w:color w:val="000000" w:themeColor="text1"/>
          <w:sz w:val="22"/>
        </w:rPr>
      </w:pPr>
      <w:r w:rsidRPr="00E06403">
        <w:rPr>
          <w:rFonts w:ascii="Arial" w:hAnsi="Arial" w:cs="Arial"/>
          <w:b/>
          <w:bCs/>
          <w:color w:val="000000" w:themeColor="text1"/>
          <w:sz w:val="22"/>
          <w:lang w:val="en-US"/>
        </w:rPr>
        <w:t>Communication Skills</w:t>
      </w:r>
    </w:p>
    <w:p w14:paraId="77F406AE"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 xml:space="preserve">Communication is one of the most fundamental skills required in social work because practitioners interact with individuals from diverse backgrounds, including those experiencing mental illness, learning disabilities, domestic abuse, substance misuse, or safeguarding concerns. Effective communication involves active listening, asking appropriate questions, explaining complex information clearly, and producing accurate written records. Social workers must also adapt their communication style according to the age, culture, language, and individual needs of each service user </w:t>
      </w:r>
      <w:r w:rsidR="00772702" w:rsidRPr="00772702">
        <w:rPr>
          <w:rFonts w:ascii="Arial" w:hAnsi="Arial" w:cs="Arial"/>
          <w:color w:val="000000" w:themeColor="text1"/>
          <w:sz w:val="22"/>
          <w:lang w:val="en-US"/>
        </w:rPr>
        <w:t>(Trevithick, 2008)</w:t>
      </w:r>
    </w:p>
    <w:p w14:paraId="554EAF95"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Strong communication enables social workers to establish trust and encourages service users to discuss sensitive issues openly. For example, when supporting a child at risk of neglect, a social worker must communicate sensitively with both the child and family members while also sharing accurate information with healthcare professionals, teachers, and safeguarding teams. Clear communication ensures that everyone involved understands the identified risks and the actions required to protect the child</w:t>
      </w:r>
    </w:p>
    <w:p w14:paraId="36D72E83" w14:textId="77777777" w:rsidR="00BE6808" w:rsidRDefault="00605900" w:rsidP="00BE6808">
      <w:pPr>
        <w:rPr>
          <w:rFonts w:ascii="Arial" w:hAnsi="Arial" w:cs="Arial"/>
          <w:color w:val="000000" w:themeColor="text1"/>
          <w:sz w:val="22"/>
        </w:rPr>
      </w:pPr>
      <w:r w:rsidRPr="00E06403">
        <w:rPr>
          <w:rFonts w:ascii="Arial" w:hAnsi="Arial" w:cs="Arial"/>
          <w:color w:val="000000" w:themeColor="text1"/>
          <w:sz w:val="22"/>
          <w:lang w:val="en-US"/>
        </w:rPr>
        <w:t xml:space="preserve">Poor communication may lead to misunderstandings, inaccurate assessments, inappropriate care planning, or safeguarding failures. Inaccurate documentation or ineffective information sharing between professionals may delay essential interventions and place vulnerable individuals at greater risk. Therefore, communication is essential for maintaining professional accountability and ensuring continuity of care </w:t>
      </w:r>
      <w:r w:rsidR="00772702" w:rsidRPr="00E06403">
        <w:rPr>
          <w:rFonts w:ascii="Arial" w:hAnsi="Arial" w:cs="Arial"/>
          <w:color w:val="000000" w:themeColor="text1"/>
          <w:sz w:val="22"/>
          <w:lang w:val="en-US"/>
        </w:rPr>
        <w:t>(</w:t>
      </w:r>
      <w:r w:rsidR="00772702" w:rsidRPr="00772702">
        <w:rPr>
          <w:rFonts w:ascii="Arial" w:hAnsi="Arial" w:cs="Arial"/>
          <w:color w:val="000000" w:themeColor="text1"/>
          <w:sz w:val="22"/>
        </w:rPr>
        <w:t>N. Jones, Hanley and Robb, 2025)</w:t>
      </w:r>
      <w:r w:rsidR="00772702">
        <w:rPr>
          <w:rFonts w:ascii="Arial" w:hAnsi="Arial" w:cs="Arial"/>
          <w:color w:val="000000" w:themeColor="text1"/>
          <w:sz w:val="22"/>
        </w:rPr>
        <w:t>.</w:t>
      </w:r>
    </w:p>
    <w:p w14:paraId="71603FC9" w14:textId="77777777" w:rsidR="00BE6808" w:rsidRDefault="00605900" w:rsidP="00BE6808">
      <w:pPr>
        <w:rPr>
          <w:rFonts w:ascii="Arial" w:hAnsi="Arial" w:cs="Arial"/>
          <w:b/>
          <w:bCs/>
          <w:color w:val="000000" w:themeColor="text1"/>
          <w:sz w:val="22"/>
          <w:lang w:val="en-US"/>
        </w:rPr>
      </w:pPr>
      <w:r w:rsidRPr="00E06403">
        <w:rPr>
          <w:rFonts w:ascii="Arial" w:hAnsi="Arial" w:cs="Arial"/>
          <w:b/>
          <w:bCs/>
          <w:color w:val="000000" w:themeColor="text1"/>
          <w:sz w:val="22"/>
          <w:lang w:val="en-US"/>
        </w:rPr>
        <w:t>Empathy and Emotional Intelligence</w:t>
      </w:r>
    </w:p>
    <w:p w14:paraId="2CC7CEFD"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 xml:space="preserve">Empathy enables social workers to understand the feelings, experiences, and perspectives of service users without becoming emotionally overwhelmed. Emotional intelligence allows practitioners to </w:t>
      </w:r>
      <w:r w:rsidR="00AC522A" w:rsidRPr="00E06403">
        <w:rPr>
          <w:rFonts w:ascii="Arial" w:hAnsi="Arial" w:cs="Arial"/>
          <w:color w:val="000000" w:themeColor="text1"/>
          <w:sz w:val="22"/>
          <w:lang w:val="en-US"/>
        </w:rPr>
        <w:t>recognize</w:t>
      </w:r>
      <w:r w:rsidRPr="00E06403">
        <w:rPr>
          <w:rFonts w:ascii="Arial" w:hAnsi="Arial" w:cs="Arial"/>
          <w:color w:val="000000" w:themeColor="text1"/>
          <w:sz w:val="22"/>
          <w:lang w:val="en-US"/>
        </w:rPr>
        <w:t xml:space="preserve"> and manage their own emotions while responding appropriately to challenging situations. Together, these qualities promote respectful, compassionate, and person-</w:t>
      </w:r>
      <w:r w:rsidR="00AC522A" w:rsidRPr="00E06403">
        <w:rPr>
          <w:rFonts w:ascii="Arial" w:hAnsi="Arial" w:cs="Arial"/>
          <w:color w:val="000000" w:themeColor="text1"/>
          <w:sz w:val="22"/>
          <w:lang w:val="en-US"/>
        </w:rPr>
        <w:t>centered</w:t>
      </w:r>
      <w:r w:rsidRPr="00E06403">
        <w:rPr>
          <w:rFonts w:ascii="Arial" w:hAnsi="Arial" w:cs="Arial"/>
          <w:color w:val="000000" w:themeColor="text1"/>
          <w:sz w:val="22"/>
          <w:lang w:val="en-US"/>
        </w:rPr>
        <w:t xml:space="preserve"> practice.</w:t>
      </w:r>
    </w:p>
    <w:p w14:paraId="1B614F2D"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Many service users experience highly emotional situations, including bereavement, domestic abuse, homelessness, mental ill-health, or family breakdown. Social workers who demonstrate empathy are better able to understand these experiences and provide emotional support while maintaining professional boundaries. Emotional intelligence also helps practitioners remain calm during stressful situations, manage conflict effectively, and make balanced decisions despite emotional pressure (Goleman, 1998).</w:t>
      </w:r>
    </w:p>
    <w:p w14:paraId="2B48435F" w14:textId="5FF6D54A" w:rsidR="00605900" w:rsidRPr="00BE6808" w:rsidRDefault="00605900" w:rsidP="00BE6808">
      <w:pPr>
        <w:rPr>
          <w:rFonts w:ascii="Arial" w:hAnsi="Arial" w:cs="Arial"/>
          <w:b/>
          <w:bCs/>
          <w:color w:val="000000" w:themeColor="text1"/>
          <w:sz w:val="22"/>
          <w:lang w:val="en-US"/>
        </w:rPr>
      </w:pPr>
      <w:r w:rsidRPr="00E06403">
        <w:rPr>
          <w:rFonts w:ascii="Arial" w:hAnsi="Arial" w:cs="Arial"/>
          <w:color w:val="000000" w:themeColor="text1"/>
          <w:sz w:val="22"/>
          <w:lang w:val="en-US"/>
        </w:rPr>
        <w:t xml:space="preserve">For example, when supporting an older adult who has recently lost independence due to illness, a social worker who demonstrates empathy is more likely to build trust and encourage the individual to participate in care planning. This collaborative approach improves confidence, promotes independence, and enhances overall wellbeing. Without empathy, service users may feel ignored or misunderstood, </w:t>
      </w:r>
      <w:r w:rsidR="00AC522A">
        <w:rPr>
          <w:rFonts w:ascii="Arial" w:hAnsi="Arial" w:cs="Arial"/>
          <w:color w:val="000000" w:themeColor="text1"/>
          <w:sz w:val="22"/>
          <w:lang w:val="en-US"/>
        </w:rPr>
        <w:t>which can reduce engagement with support services and negatively affect</w:t>
      </w:r>
      <w:r w:rsidRPr="00E06403">
        <w:rPr>
          <w:rFonts w:ascii="Arial" w:hAnsi="Arial" w:cs="Arial"/>
          <w:color w:val="000000" w:themeColor="text1"/>
          <w:sz w:val="22"/>
          <w:lang w:val="en-US"/>
        </w:rPr>
        <w:t xml:space="preserve"> outcomes</w:t>
      </w:r>
      <w:r w:rsidR="00772702">
        <w:rPr>
          <w:rFonts w:ascii="Arial" w:hAnsi="Arial" w:cs="Arial"/>
          <w:color w:val="000000" w:themeColor="text1"/>
          <w:sz w:val="22"/>
          <w:lang w:val="en-US"/>
        </w:rPr>
        <w:t>.</w:t>
      </w:r>
    </w:p>
    <w:p w14:paraId="0E4D67A9" w14:textId="77777777" w:rsidR="00605900" w:rsidRPr="00E06403" w:rsidRDefault="00605900" w:rsidP="00605900">
      <w:pPr>
        <w:pStyle w:val="Heading2"/>
        <w:rPr>
          <w:rFonts w:ascii="Arial" w:hAnsi="Arial" w:cs="Arial"/>
          <w:b/>
          <w:bCs/>
          <w:color w:val="000000" w:themeColor="text1"/>
          <w:sz w:val="22"/>
          <w:szCs w:val="22"/>
          <w:lang w:val="en-US"/>
        </w:rPr>
      </w:pPr>
      <w:r w:rsidRPr="00E06403">
        <w:rPr>
          <w:rFonts w:ascii="Arial" w:hAnsi="Arial" w:cs="Arial"/>
          <w:b/>
          <w:bCs/>
          <w:color w:val="000000" w:themeColor="text1"/>
          <w:sz w:val="22"/>
          <w:szCs w:val="22"/>
          <w:lang w:val="en-US"/>
        </w:rPr>
        <w:lastRenderedPageBreak/>
        <w:t>Problem-Solving and Decision-Making</w:t>
      </w:r>
    </w:p>
    <w:p w14:paraId="4A8E7132" w14:textId="77777777"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Problem-solving and decision-making are essential because social workers frequently manage complex cases involving safeguarding concerns, legal responsibilities, limited resources, and conflicting professional opinions. Effective decision-making requires practitioners to assess information critically, evaluate risks, consider legislation and professional guidance, and identify the most appropriate intervention for each individual.</w:t>
      </w:r>
    </w:p>
    <w:p w14:paraId="55996AD9" w14:textId="77777777"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For example, when assessing whether an adult with dementia can safely remain at home, the social worker must consider physical health, mental capacity, family support, environmental risks, and available community services before recommending an appropriate care plan. Decisions must always balance the individual's rights with the need to protect them from harm.</w:t>
      </w:r>
    </w:p>
    <w:p w14:paraId="79A4DEF2" w14:textId="5B054805"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 xml:space="preserve">Strong problem-solving skills enable practitioners to respond confidently to changing circumstances, </w:t>
      </w:r>
      <w:r w:rsidR="00AC522A" w:rsidRPr="00E06403">
        <w:rPr>
          <w:rFonts w:ascii="Arial" w:hAnsi="Arial" w:cs="Arial"/>
          <w:color w:val="000000" w:themeColor="text1"/>
          <w:sz w:val="22"/>
          <w:szCs w:val="22"/>
          <w:lang w:val="en-US"/>
        </w:rPr>
        <w:t>prioritize</w:t>
      </w:r>
      <w:r w:rsidRPr="00E06403">
        <w:rPr>
          <w:rFonts w:ascii="Arial" w:hAnsi="Arial" w:cs="Arial"/>
          <w:color w:val="000000" w:themeColor="text1"/>
          <w:sz w:val="22"/>
          <w:szCs w:val="22"/>
          <w:lang w:val="en-US"/>
        </w:rPr>
        <w:t xml:space="preserve"> competing demands, and work collaboratively with multidisciplinary teams to achieve positive outcomes. </w:t>
      </w:r>
      <w:r w:rsidR="00772702" w:rsidRPr="00772702">
        <w:rPr>
          <w:rFonts w:ascii="Arial" w:hAnsi="Arial" w:cs="Arial"/>
          <w:color w:val="000000" w:themeColor="text1"/>
          <w:sz w:val="22"/>
          <w:szCs w:val="22"/>
        </w:rPr>
        <w:t> (Taylor, 2013)</w:t>
      </w:r>
    </w:p>
    <w:p w14:paraId="4FE17733" w14:textId="77777777" w:rsidR="00D95EE3" w:rsidRDefault="00D95EE3" w:rsidP="00605900">
      <w:pPr>
        <w:pStyle w:val="Heading2"/>
        <w:rPr>
          <w:rFonts w:ascii="Arial" w:hAnsi="Arial" w:cs="Arial"/>
          <w:b/>
          <w:bCs/>
          <w:color w:val="auto"/>
          <w:sz w:val="22"/>
          <w:szCs w:val="22"/>
        </w:rPr>
      </w:pPr>
    </w:p>
    <w:p w14:paraId="73446FC1" w14:textId="77777777" w:rsidR="00D95EE3" w:rsidRDefault="00D95EE3" w:rsidP="00605900">
      <w:pPr>
        <w:pStyle w:val="Heading2"/>
        <w:rPr>
          <w:rFonts w:ascii="Arial" w:hAnsi="Arial" w:cs="Arial"/>
          <w:b/>
          <w:bCs/>
          <w:color w:val="auto"/>
          <w:sz w:val="22"/>
          <w:szCs w:val="22"/>
        </w:rPr>
      </w:pPr>
    </w:p>
    <w:p w14:paraId="0AD5EF12" w14:textId="77777777" w:rsidR="00D95EE3" w:rsidRDefault="00D95EE3" w:rsidP="00605900">
      <w:pPr>
        <w:pStyle w:val="Heading2"/>
        <w:rPr>
          <w:rFonts w:ascii="Arial" w:hAnsi="Arial" w:cs="Arial"/>
          <w:b/>
          <w:bCs/>
          <w:color w:val="auto"/>
          <w:sz w:val="22"/>
          <w:szCs w:val="22"/>
        </w:rPr>
      </w:pPr>
    </w:p>
    <w:p w14:paraId="7B9FD25B" w14:textId="77777777" w:rsidR="00D95EE3" w:rsidRDefault="00D95EE3" w:rsidP="00605900">
      <w:pPr>
        <w:pStyle w:val="Heading2"/>
        <w:rPr>
          <w:rFonts w:ascii="Arial" w:hAnsi="Arial" w:cs="Arial"/>
          <w:b/>
          <w:bCs/>
          <w:color w:val="auto"/>
          <w:sz w:val="22"/>
          <w:szCs w:val="22"/>
        </w:rPr>
      </w:pPr>
    </w:p>
    <w:p w14:paraId="25424C17" w14:textId="77777777" w:rsidR="00D95EE3" w:rsidRDefault="00D95EE3" w:rsidP="00605900">
      <w:pPr>
        <w:pStyle w:val="Heading2"/>
        <w:rPr>
          <w:rFonts w:ascii="Arial" w:hAnsi="Arial" w:cs="Arial"/>
          <w:b/>
          <w:bCs/>
          <w:color w:val="auto"/>
          <w:sz w:val="22"/>
          <w:szCs w:val="22"/>
        </w:rPr>
      </w:pPr>
    </w:p>
    <w:p w14:paraId="4001D3E6" w14:textId="77777777" w:rsidR="00D95EE3" w:rsidRDefault="00D95EE3" w:rsidP="00605900">
      <w:pPr>
        <w:pStyle w:val="Heading2"/>
        <w:rPr>
          <w:rFonts w:ascii="Arial" w:hAnsi="Arial" w:cs="Arial"/>
          <w:b/>
          <w:bCs/>
          <w:color w:val="auto"/>
          <w:sz w:val="22"/>
          <w:szCs w:val="22"/>
        </w:rPr>
      </w:pPr>
    </w:p>
    <w:p w14:paraId="0A42B873" w14:textId="77777777" w:rsidR="00D95EE3" w:rsidRDefault="00D95EE3" w:rsidP="00605900">
      <w:pPr>
        <w:pStyle w:val="Heading2"/>
        <w:rPr>
          <w:rFonts w:ascii="Arial" w:hAnsi="Arial" w:cs="Arial"/>
          <w:b/>
          <w:bCs/>
          <w:color w:val="auto"/>
          <w:sz w:val="22"/>
          <w:szCs w:val="22"/>
        </w:rPr>
      </w:pPr>
    </w:p>
    <w:p w14:paraId="013A3CCE" w14:textId="77777777" w:rsidR="00D95EE3" w:rsidRDefault="00D95EE3" w:rsidP="00605900">
      <w:pPr>
        <w:pStyle w:val="Heading2"/>
        <w:rPr>
          <w:rFonts w:ascii="Arial" w:hAnsi="Arial" w:cs="Arial"/>
          <w:b/>
          <w:bCs/>
          <w:color w:val="auto"/>
          <w:sz w:val="22"/>
          <w:szCs w:val="22"/>
        </w:rPr>
      </w:pPr>
    </w:p>
    <w:p w14:paraId="27B8561A" w14:textId="77777777" w:rsidR="00D95EE3" w:rsidRDefault="00D95EE3" w:rsidP="00605900">
      <w:pPr>
        <w:pStyle w:val="Heading2"/>
        <w:rPr>
          <w:rFonts w:ascii="Arial" w:hAnsi="Arial" w:cs="Arial"/>
          <w:b/>
          <w:bCs/>
          <w:color w:val="auto"/>
          <w:sz w:val="22"/>
          <w:szCs w:val="22"/>
        </w:rPr>
      </w:pPr>
    </w:p>
    <w:p w14:paraId="5DC4FAFF" w14:textId="77777777" w:rsidR="00D95EE3" w:rsidRDefault="00D95EE3" w:rsidP="00605900">
      <w:pPr>
        <w:pStyle w:val="Heading2"/>
        <w:rPr>
          <w:rFonts w:ascii="Arial" w:hAnsi="Arial" w:cs="Arial"/>
          <w:b/>
          <w:bCs/>
          <w:color w:val="auto"/>
          <w:sz w:val="22"/>
          <w:szCs w:val="22"/>
        </w:rPr>
      </w:pPr>
    </w:p>
    <w:p w14:paraId="25263E66" w14:textId="77777777" w:rsidR="00D95EE3" w:rsidRDefault="00D95EE3" w:rsidP="00605900">
      <w:pPr>
        <w:pStyle w:val="Heading2"/>
        <w:rPr>
          <w:rFonts w:ascii="Arial" w:hAnsi="Arial" w:cs="Arial"/>
          <w:b/>
          <w:bCs/>
          <w:color w:val="auto"/>
          <w:sz w:val="22"/>
          <w:szCs w:val="22"/>
        </w:rPr>
      </w:pPr>
    </w:p>
    <w:p w14:paraId="44C849D8" w14:textId="77777777" w:rsidR="00D95EE3" w:rsidRDefault="00D95EE3" w:rsidP="00605900">
      <w:pPr>
        <w:pStyle w:val="Heading2"/>
        <w:rPr>
          <w:rFonts w:ascii="Arial" w:hAnsi="Arial" w:cs="Arial"/>
          <w:b/>
          <w:bCs/>
          <w:color w:val="auto"/>
          <w:sz w:val="22"/>
          <w:szCs w:val="22"/>
        </w:rPr>
      </w:pPr>
    </w:p>
    <w:p w14:paraId="08B9DD54" w14:textId="77777777" w:rsidR="00D95EE3" w:rsidRDefault="00D95EE3" w:rsidP="00605900">
      <w:pPr>
        <w:pStyle w:val="Heading2"/>
        <w:rPr>
          <w:rFonts w:ascii="Arial" w:hAnsi="Arial" w:cs="Arial"/>
          <w:b/>
          <w:bCs/>
          <w:color w:val="auto"/>
          <w:sz w:val="22"/>
          <w:szCs w:val="22"/>
        </w:rPr>
      </w:pPr>
    </w:p>
    <w:p w14:paraId="2B413593" w14:textId="77777777" w:rsidR="00D95EE3" w:rsidRDefault="00D95EE3" w:rsidP="00605900">
      <w:pPr>
        <w:pStyle w:val="Heading2"/>
        <w:rPr>
          <w:rFonts w:ascii="Arial" w:hAnsi="Arial" w:cs="Arial"/>
          <w:b/>
          <w:bCs/>
          <w:color w:val="auto"/>
          <w:sz w:val="22"/>
          <w:szCs w:val="22"/>
        </w:rPr>
      </w:pPr>
    </w:p>
    <w:p w14:paraId="460EBDA4" w14:textId="77777777" w:rsidR="00D95EE3" w:rsidRDefault="00D95EE3" w:rsidP="00605900">
      <w:pPr>
        <w:pStyle w:val="Heading2"/>
        <w:rPr>
          <w:rFonts w:ascii="Arial" w:hAnsi="Arial" w:cs="Arial"/>
          <w:b/>
          <w:bCs/>
          <w:color w:val="auto"/>
          <w:sz w:val="22"/>
          <w:szCs w:val="22"/>
        </w:rPr>
      </w:pPr>
    </w:p>
    <w:p w14:paraId="6A94A8D6" w14:textId="77777777" w:rsidR="00D95EE3" w:rsidRDefault="00D95EE3" w:rsidP="00605900">
      <w:pPr>
        <w:pStyle w:val="Heading2"/>
        <w:rPr>
          <w:rFonts w:ascii="Arial" w:hAnsi="Arial" w:cs="Arial"/>
          <w:b/>
          <w:bCs/>
          <w:color w:val="auto"/>
          <w:sz w:val="22"/>
          <w:szCs w:val="22"/>
        </w:rPr>
      </w:pPr>
    </w:p>
    <w:p w14:paraId="6F18CA24" w14:textId="77777777" w:rsidR="00D95EE3" w:rsidRDefault="00D95EE3" w:rsidP="00605900">
      <w:pPr>
        <w:pStyle w:val="Heading2"/>
        <w:rPr>
          <w:rFonts w:ascii="Arial" w:hAnsi="Arial" w:cs="Arial"/>
          <w:b/>
          <w:bCs/>
          <w:color w:val="auto"/>
          <w:sz w:val="22"/>
          <w:szCs w:val="22"/>
        </w:rPr>
      </w:pPr>
    </w:p>
    <w:p w14:paraId="64C25BED" w14:textId="77777777" w:rsidR="00D95EE3" w:rsidRDefault="00D95EE3" w:rsidP="00605900">
      <w:pPr>
        <w:pStyle w:val="Heading2"/>
        <w:rPr>
          <w:rFonts w:ascii="Arial" w:hAnsi="Arial" w:cs="Arial"/>
          <w:b/>
          <w:bCs/>
          <w:color w:val="auto"/>
          <w:sz w:val="22"/>
          <w:szCs w:val="22"/>
        </w:rPr>
      </w:pPr>
    </w:p>
    <w:p w14:paraId="299256C4" w14:textId="77777777" w:rsidR="00D95EE3" w:rsidRDefault="00D95EE3" w:rsidP="00605900">
      <w:pPr>
        <w:pStyle w:val="Heading2"/>
        <w:rPr>
          <w:rFonts w:ascii="Arial" w:hAnsi="Arial" w:cs="Arial"/>
          <w:b/>
          <w:bCs/>
          <w:color w:val="auto"/>
          <w:sz w:val="22"/>
          <w:szCs w:val="22"/>
        </w:rPr>
      </w:pPr>
    </w:p>
    <w:p w14:paraId="111A0264" w14:textId="77777777" w:rsidR="00D95EE3" w:rsidRDefault="00D95EE3" w:rsidP="00605900">
      <w:pPr>
        <w:pStyle w:val="Heading2"/>
        <w:rPr>
          <w:rFonts w:ascii="Arial" w:hAnsi="Arial" w:cs="Arial"/>
          <w:b/>
          <w:bCs/>
          <w:color w:val="auto"/>
          <w:sz w:val="22"/>
          <w:szCs w:val="22"/>
        </w:rPr>
      </w:pPr>
    </w:p>
    <w:p w14:paraId="32B76BDE" w14:textId="77777777" w:rsidR="00D95EE3" w:rsidRDefault="00D95EE3" w:rsidP="00605900">
      <w:pPr>
        <w:pStyle w:val="Heading2"/>
        <w:rPr>
          <w:rFonts w:ascii="Arial" w:hAnsi="Arial" w:cs="Arial"/>
          <w:b/>
          <w:bCs/>
          <w:color w:val="auto"/>
          <w:sz w:val="22"/>
          <w:szCs w:val="22"/>
        </w:rPr>
      </w:pPr>
    </w:p>
    <w:p w14:paraId="60E11DEA" w14:textId="77777777" w:rsidR="00D95EE3" w:rsidRDefault="00D95EE3" w:rsidP="00605900">
      <w:pPr>
        <w:pStyle w:val="Heading2"/>
        <w:rPr>
          <w:rFonts w:ascii="Arial" w:hAnsi="Arial" w:cs="Arial"/>
          <w:b/>
          <w:bCs/>
          <w:color w:val="auto"/>
          <w:sz w:val="22"/>
          <w:szCs w:val="22"/>
        </w:rPr>
      </w:pPr>
    </w:p>
    <w:p w14:paraId="7EE75896" w14:textId="77777777" w:rsidR="00D95EE3" w:rsidRDefault="00D95EE3" w:rsidP="00605900">
      <w:pPr>
        <w:pStyle w:val="Heading2"/>
        <w:rPr>
          <w:rFonts w:ascii="Arial" w:hAnsi="Arial" w:cs="Arial"/>
          <w:b/>
          <w:bCs/>
          <w:color w:val="auto"/>
          <w:sz w:val="22"/>
          <w:szCs w:val="22"/>
        </w:rPr>
      </w:pPr>
    </w:p>
    <w:p w14:paraId="5238EE9E" w14:textId="77777777" w:rsidR="00D95EE3" w:rsidRDefault="00D95EE3" w:rsidP="00605900">
      <w:pPr>
        <w:pStyle w:val="Heading2"/>
        <w:rPr>
          <w:rFonts w:ascii="Arial" w:hAnsi="Arial" w:cs="Arial"/>
          <w:b/>
          <w:bCs/>
          <w:color w:val="auto"/>
          <w:sz w:val="22"/>
          <w:szCs w:val="22"/>
        </w:rPr>
      </w:pPr>
    </w:p>
    <w:p w14:paraId="0DADE93D" w14:textId="77777777" w:rsidR="00D95EE3" w:rsidRDefault="00D95EE3" w:rsidP="00605900">
      <w:pPr>
        <w:pStyle w:val="Heading2"/>
        <w:rPr>
          <w:rFonts w:ascii="Arial" w:hAnsi="Arial" w:cs="Arial"/>
          <w:b/>
          <w:bCs/>
          <w:color w:val="auto"/>
          <w:sz w:val="22"/>
          <w:szCs w:val="22"/>
        </w:rPr>
      </w:pPr>
    </w:p>
    <w:p w14:paraId="29DA0787" w14:textId="77777777" w:rsidR="00D95EE3" w:rsidRDefault="00D95EE3" w:rsidP="00605900">
      <w:pPr>
        <w:pStyle w:val="Heading2"/>
        <w:rPr>
          <w:rFonts w:ascii="Arial" w:hAnsi="Arial" w:cs="Arial"/>
          <w:b/>
          <w:bCs/>
          <w:color w:val="auto"/>
          <w:sz w:val="22"/>
          <w:szCs w:val="22"/>
        </w:rPr>
      </w:pPr>
    </w:p>
    <w:p w14:paraId="66E5280E" w14:textId="77777777" w:rsidR="00D95EE3" w:rsidRDefault="00D95EE3" w:rsidP="00605900">
      <w:pPr>
        <w:pStyle w:val="Heading2"/>
        <w:rPr>
          <w:rFonts w:ascii="Arial" w:hAnsi="Arial" w:cs="Arial"/>
          <w:b/>
          <w:bCs/>
          <w:color w:val="auto"/>
          <w:sz w:val="22"/>
          <w:szCs w:val="22"/>
        </w:rPr>
      </w:pPr>
    </w:p>
    <w:p w14:paraId="7968D779" w14:textId="77777777" w:rsidR="00D95EE3" w:rsidRDefault="00D95EE3" w:rsidP="00605900">
      <w:pPr>
        <w:pStyle w:val="Heading2"/>
        <w:rPr>
          <w:rFonts w:ascii="Arial" w:hAnsi="Arial" w:cs="Arial"/>
          <w:b/>
          <w:bCs/>
          <w:color w:val="auto"/>
          <w:sz w:val="22"/>
          <w:szCs w:val="22"/>
        </w:rPr>
      </w:pPr>
    </w:p>
    <w:p w14:paraId="3455523D" w14:textId="77777777" w:rsidR="00D95EE3" w:rsidRDefault="00D95EE3" w:rsidP="00605900">
      <w:pPr>
        <w:pStyle w:val="Heading2"/>
        <w:rPr>
          <w:rFonts w:ascii="Arial" w:hAnsi="Arial" w:cs="Arial"/>
          <w:b/>
          <w:bCs/>
          <w:color w:val="auto"/>
          <w:sz w:val="22"/>
          <w:szCs w:val="22"/>
        </w:rPr>
      </w:pPr>
    </w:p>
    <w:p w14:paraId="78FA9185" w14:textId="77777777" w:rsidR="00D95EE3" w:rsidRDefault="00D95EE3" w:rsidP="00605900">
      <w:pPr>
        <w:pStyle w:val="Heading2"/>
        <w:rPr>
          <w:rFonts w:ascii="Arial" w:hAnsi="Arial" w:cs="Arial"/>
          <w:b/>
          <w:bCs/>
          <w:color w:val="auto"/>
          <w:sz w:val="22"/>
          <w:szCs w:val="22"/>
        </w:rPr>
      </w:pPr>
    </w:p>
    <w:p w14:paraId="0378E061" w14:textId="77777777" w:rsidR="00D95EE3" w:rsidRDefault="00D95EE3" w:rsidP="00605900">
      <w:pPr>
        <w:pStyle w:val="Heading2"/>
        <w:rPr>
          <w:rFonts w:ascii="Arial" w:hAnsi="Arial" w:cs="Arial"/>
          <w:b/>
          <w:bCs/>
          <w:color w:val="auto"/>
          <w:sz w:val="22"/>
          <w:szCs w:val="22"/>
        </w:rPr>
      </w:pPr>
    </w:p>
    <w:p w14:paraId="155F941D" w14:textId="77777777" w:rsidR="00D95EE3" w:rsidRDefault="00D95EE3" w:rsidP="00605900">
      <w:pPr>
        <w:pStyle w:val="Heading2"/>
        <w:rPr>
          <w:rFonts w:ascii="Arial" w:hAnsi="Arial" w:cs="Arial"/>
          <w:b/>
          <w:bCs/>
          <w:color w:val="auto"/>
          <w:sz w:val="22"/>
          <w:szCs w:val="22"/>
        </w:rPr>
      </w:pPr>
    </w:p>
    <w:p w14:paraId="3DD42390" w14:textId="77777777" w:rsidR="00D95EE3" w:rsidRDefault="00D95EE3" w:rsidP="00605900">
      <w:pPr>
        <w:pStyle w:val="Heading2"/>
        <w:rPr>
          <w:rFonts w:ascii="Arial" w:hAnsi="Arial" w:cs="Arial"/>
          <w:b/>
          <w:bCs/>
          <w:color w:val="auto"/>
          <w:sz w:val="22"/>
          <w:szCs w:val="22"/>
        </w:rPr>
      </w:pPr>
    </w:p>
    <w:p w14:paraId="0F419526" w14:textId="281FB4DC" w:rsidR="00605900" w:rsidRPr="00AC522A" w:rsidRDefault="00605900" w:rsidP="00605900">
      <w:pPr>
        <w:pStyle w:val="Heading2"/>
        <w:rPr>
          <w:rFonts w:ascii="Arial" w:hAnsi="Arial" w:cs="Arial"/>
          <w:b/>
          <w:bCs/>
          <w:color w:val="auto"/>
          <w:sz w:val="22"/>
          <w:szCs w:val="22"/>
        </w:rPr>
      </w:pPr>
      <w:r w:rsidRPr="00AC522A">
        <w:rPr>
          <w:rFonts w:ascii="Arial" w:hAnsi="Arial" w:cs="Arial"/>
          <w:b/>
          <w:bCs/>
          <w:color w:val="auto"/>
          <w:sz w:val="22"/>
          <w:szCs w:val="22"/>
        </w:rPr>
        <w:t xml:space="preserve">1.4 Strategies to improve the skills for Social </w:t>
      </w:r>
      <w:r w:rsidR="00AC522A" w:rsidRPr="00AC522A">
        <w:rPr>
          <w:rFonts w:ascii="Arial" w:hAnsi="Arial" w:cs="Arial"/>
          <w:b/>
          <w:bCs/>
          <w:color w:val="auto"/>
          <w:sz w:val="22"/>
          <w:szCs w:val="22"/>
        </w:rPr>
        <w:t>Workers</w:t>
      </w:r>
    </w:p>
    <w:p w14:paraId="6203962A" w14:textId="338EE3E3" w:rsidR="00605900" w:rsidRPr="00772702" w:rsidRDefault="00605900" w:rsidP="00605900">
      <w:pPr>
        <w:rPr>
          <w:rFonts w:ascii="Arial" w:hAnsi="Arial" w:cs="Arial"/>
          <w:sz w:val="22"/>
          <w:lang w:val="en-US"/>
        </w:rPr>
      </w:pPr>
      <w:r w:rsidRPr="00E06403">
        <w:rPr>
          <w:rFonts w:ascii="Arial" w:hAnsi="Arial" w:cs="Arial"/>
          <w:sz w:val="22"/>
        </w:rPr>
        <w:t>One effective strategy for improving communication skills is participation in role-play activities and supervised practice placements. These experiences provide opportunities to develop interviewing techniques, active listening, and professional report writing while receiving constructive feedback from experienced practitioners.</w:t>
      </w:r>
      <w:r w:rsidRPr="00E06403">
        <w:rPr>
          <w:rFonts w:ascii="Arial" w:hAnsi="Arial" w:cs="Arial"/>
          <w:sz w:val="22"/>
        </w:rPr>
        <w:br/>
      </w:r>
      <w:r w:rsidRPr="00E06403">
        <w:rPr>
          <w:rFonts w:ascii="Arial" w:hAnsi="Arial" w:cs="Arial"/>
          <w:sz w:val="22"/>
        </w:rPr>
        <w:br/>
        <w:t>A second strategy is reflective practice and professional supervision. Reflection encourages critical evaluation of professional interactions and helps identify strengths and areas for development. Regular supervision supports emotional resilience, improves self-awareness, and promotes professional growth, particularly in relation to empathy and emotional intelligence.</w:t>
      </w:r>
      <w:r w:rsidRPr="00E06403">
        <w:rPr>
          <w:rFonts w:ascii="Arial" w:hAnsi="Arial" w:cs="Arial"/>
          <w:sz w:val="22"/>
        </w:rPr>
        <w:br/>
      </w:r>
      <w:r w:rsidRPr="00E06403">
        <w:rPr>
          <w:rFonts w:ascii="Arial" w:hAnsi="Arial" w:cs="Arial"/>
          <w:sz w:val="22"/>
        </w:rPr>
        <w:br/>
        <w:t>A third strategy involves engaging in continuous professional development through training courses, workshops, case study analysis, and research. Training in areas such as safeguarding, trauma-informed practice, and cultural competence enhances knowledge and decision-making abilities. Reviewing case studies and current legislation also strengthens analytical thinking and supports evidence-based practice.</w:t>
      </w:r>
      <w:r w:rsidRPr="00E06403">
        <w:rPr>
          <w:rFonts w:ascii="Arial" w:hAnsi="Arial" w:cs="Arial"/>
          <w:sz w:val="22"/>
        </w:rPr>
        <w:br/>
      </w:r>
      <w:r w:rsidRPr="00E06403">
        <w:rPr>
          <w:rFonts w:ascii="Arial" w:hAnsi="Arial" w:cs="Arial"/>
          <w:sz w:val="22"/>
        </w:rPr>
        <w:br/>
        <w:t>These strategies were selected because they address the core competencies required for effective social work practice and contribute to improved outcomes for service users.</w:t>
      </w:r>
      <w:r w:rsidR="00DD6319">
        <w:rPr>
          <w:rFonts w:ascii="Arial" w:hAnsi="Arial" w:cs="Arial"/>
          <w:sz w:val="22"/>
        </w:rPr>
        <w:t xml:space="preserve"> </w:t>
      </w:r>
      <w:r w:rsidR="00772702" w:rsidRPr="00772702">
        <w:rPr>
          <w:rFonts w:ascii="Arial" w:hAnsi="Arial" w:cs="Arial"/>
          <w:sz w:val="22"/>
          <w:lang w:val="en-US"/>
        </w:rPr>
        <w:t>(Hall and Montgomery, 2023)</w:t>
      </w:r>
    </w:p>
    <w:p w14:paraId="2DBF2762" w14:textId="77777777" w:rsidR="00D95EE3" w:rsidRDefault="00D95EE3" w:rsidP="00605900">
      <w:pPr>
        <w:pStyle w:val="Heading2"/>
        <w:rPr>
          <w:rFonts w:ascii="Arial" w:hAnsi="Arial" w:cs="Arial"/>
          <w:b/>
          <w:bCs/>
          <w:color w:val="auto"/>
          <w:sz w:val="22"/>
          <w:szCs w:val="22"/>
        </w:rPr>
      </w:pPr>
    </w:p>
    <w:p w14:paraId="2D862E09" w14:textId="77777777" w:rsidR="00D95EE3" w:rsidRDefault="00D95EE3" w:rsidP="00605900">
      <w:pPr>
        <w:pStyle w:val="Heading2"/>
        <w:rPr>
          <w:rFonts w:ascii="Arial" w:hAnsi="Arial" w:cs="Arial"/>
          <w:b/>
          <w:bCs/>
          <w:color w:val="auto"/>
          <w:sz w:val="22"/>
          <w:szCs w:val="22"/>
        </w:rPr>
      </w:pPr>
    </w:p>
    <w:p w14:paraId="29837B36" w14:textId="77777777" w:rsidR="00D95EE3" w:rsidRDefault="00D95EE3" w:rsidP="00605900">
      <w:pPr>
        <w:pStyle w:val="Heading2"/>
        <w:rPr>
          <w:rFonts w:ascii="Arial" w:hAnsi="Arial" w:cs="Arial"/>
          <w:b/>
          <w:bCs/>
          <w:color w:val="auto"/>
          <w:sz w:val="22"/>
          <w:szCs w:val="22"/>
        </w:rPr>
      </w:pPr>
    </w:p>
    <w:p w14:paraId="782F2C5A" w14:textId="77777777" w:rsidR="00D95EE3" w:rsidRDefault="00D95EE3" w:rsidP="00605900">
      <w:pPr>
        <w:pStyle w:val="Heading2"/>
        <w:rPr>
          <w:rFonts w:ascii="Arial" w:hAnsi="Arial" w:cs="Arial"/>
          <w:b/>
          <w:bCs/>
          <w:color w:val="auto"/>
          <w:sz w:val="22"/>
          <w:szCs w:val="22"/>
        </w:rPr>
      </w:pPr>
    </w:p>
    <w:p w14:paraId="64D33749" w14:textId="77777777" w:rsidR="00D95EE3" w:rsidRDefault="00D95EE3" w:rsidP="00605900">
      <w:pPr>
        <w:pStyle w:val="Heading2"/>
        <w:rPr>
          <w:rFonts w:ascii="Arial" w:hAnsi="Arial" w:cs="Arial"/>
          <w:b/>
          <w:bCs/>
          <w:color w:val="auto"/>
          <w:sz w:val="22"/>
          <w:szCs w:val="22"/>
        </w:rPr>
      </w:pPr>
    </w:p>
    <w:p w14:paraId="1FA76F84" w14:textId="77777777" w:rsidR="00D95EE3" w:rsidRDefault="00D95EE3" w:rsidP="00605900">
      <w:pPr>
        <w:pStyle w:val="Heading2"/>
        <w:rPr>
          <w:rFonts w:ascii="Arial" w:hAnsi="Arial" w:cs="Arial"/>
          <w:b/>
          <w:bCs/>
          <w:color w:val="auto"/>
          <w:sz w:val="22"/>
          <w:szCs w:val="22"/>
        </w:rPr>
      </w:pPr>
    </w:p>
    <w:p w14:paraId="12023336" w14:textId="77777777" w:rsidR="00D95EE3" w:rsidRDefault="00D95EE3" w:rsidP="00605900">
      <w:pPr>
        <w:pStyle w:val="Heading2"/>
        <w:rPr>
          <w:rFonts w:ascii="Arial" w:hAnsi="Arial" w:cs="Arial"/>
          <w:b/>
          <w:bCs/>
          <w:color w:val="auto"/>
          <w:sz w:val="22"/>
          <w:szCs w:val="22"/>
        </w:rPr>
      </w:pPr>
    </w:p>
    <w:p w14:paraId="5A20DD5F" w14:textId="77777777" w:rsidR="00D95EE3" w:rsidRDefault="00D95EE3" w:rsidP="00605900">
      <w:pPr>
        <w:pStyle w:val="Heading2"/>
        <w:rPr>
          <w:rFonts w:ascii="Arial" w:hAnsi="Arial" w:cs="Arial"/>
          <w:b/>
          <w:bCs/>
          <w:color w:val="auto"/>
          <w:sz w:val="22"/>
          <w:szCs w:val="22"/>
        </w:rPr>
      </w:pPr>
    </w:p>
    <w:p w14:paraId="62685A29" w14:textId="77777777" w:rsidR="00D95EE3" w:rsidRDefault="00D95EE3" w:rsidP="00605900">
      <w:pPr>
        <w:pStyle w:val="Heading2"/>
        <w:rPr>
          <w:rFonts w:ascii="Arial" w:hAnsi="Arial" w:cs="Arial"/>
          <w:b/>
          <w:bCs/>
          <w:color w:val="auto"/>
          <w:sz w:val="22"/>
          <w:szCs w:val="22"/>
        </w:rPr>
      </w:pPr>
    </w:p>
    <w:p w14:paraId="38D31A92" w14:textId="77777777" w:rsidR="00D95EE3" w:rsidRDefault="00D95EE3" w:rsidP="00605900">
      <w:pPr>
        <w:pStyle w:val="Heading2"/>
        <w:rPr>
          <w:rFonts w:ascii="Arial" w:hAnsi="Arial" w:cs="Arial"/>
          <w:b/>
          <w:bCs/>
          <w:color w:val="auto"/>
          <w:sz w:val="22"/>
          <w:szCs w:val="22"/>
        </w:rPr>
      </w:pPr>
    </w:p>
    <w:p w14:paraId="7BA18DAF" w14:textId="77777777" w:rsidR="00D95EE3" w:rsidRDefault="00D95EE3" w:rsidP="00605900">
      <w:pPr>
        <w:pStyle w:val="Heading2"/>
        <w:rPr>
          <w:rFonts w:ascii="Arial" w:hAnsi="Arial" w:cs="Arial"/>
          <w:b/>
          <w:bCs/>
          <w:color w:val="auto"/>
          <w:sz w:val="22"/>
          <w:szCs w:val="22"/>
        </w:rPr>
      </w:pPr>
    </w:p>
    <w:p w14:paraId="5407D717" w14:textId="77777777" w:rsidR="00D95EE3" w:rsidRDefault="00D95EE3" w:rsidP="00605900">
      <w:pPr>
        <w:pStyle w:val="Heading2"/>
        <w:rPr>
          <w:rFonts w:ascii="Arial" w:hAnsi="Arial" w:cs="Arial"/>
          <w:b/>
          <w:bCs/>
          <w:color w:val="auto"/>
          <w:sz w:val="22"/>
          <w:szCs w:val="22"/>
        </w:rPr>
      </w:pPr>
    </w:p>
    <w:p w14:paraId="0C244D0F" w14:textId="77777777" w:rsidR="00D95EE3" w:rsidRDefault="00D95EE3" w:rsidP="00605900">
      <w:pPr>
        <w:pStyle w:val="Heading2"/>
        <w:rPr>
          <w:rFonts w:ascii="Arial" w:hAnsi="Arial" w:cs="Arial"/>
          <w:b/>
          <w:bCs/>
          <w:color w:val="auto"/>
          <w:sz w:val="22"/>
          <w:szCs w:val="22"/>
        </w:rPr>
      </w:pPr>
    </w:p>
    <w:p w14:paraId="50214FF5" w14:textId="77777777" w:rsidR="00D95EE3" w:rsidRDefault="00D95EE3" w:rsidP="00605900">
      <w:pPr>
        <w:pStyle w:val="Heading2"/>
        <w:rPr>
          <w:rFonts w:ascii="Arial" w:hAnsi="Arial" w:cs="Arial"/>
          <w:b/>
          <w:bCs/>
          <w:color w:val="auto"/>
          <w:sz w:val="22"/>
          <w:szCs w:val="22"/>
        </w:rPr>
      </w:pPr>
    </w:p>
    <w:p w14:paraId="3446BB49" w14:textId="77777777" w:rsidR="00D95EE3" w:rsidRPr="00D95EE3" w:rsidRDefault="00D95EE3" w:rsidP="00D95EE3"/>
    <w:p w14:paraId="1D23EBFC" w14:textId="77777777" w:rsidR="00D95EE3" w:rsidRDefault="00D95EE3" w:rsidP="00605900">
      <w:pPr>
        <w:pStyle w:val="Heading2"/>
        <w:rPr>
          <w:rFonts w:ascii="Arial" w:hAnsi="Arial" w:cs="Arial"/>
          <w:b/>
          <w:bCs/>
          <w:color w:val="auto"/>
          <w:sz w:val="22"/>
          <w:szCs w:val="22"/>
        </w:rPr>
      </w:pPr>
    </w:p>
    <w:p w14:paraId="3EA4AE69" w14:textId="3C5B7F00" w:rsidR="00605900" w:rsidRPr="00AC522A" w:rsidRDefault="00605900" w:rsidP="00605900">
      <w:pPr>
        <w:pStyle w:val="Heading2"/>
        <w:rPr>
          <w:rFonts w:ascii="Arial" w:hAnsi="Arial" w:cs="Arial"/>
          <w:b/>
          <w:bCs/>
          <w:color w:val="auto"/>
          <w:sz w:val="22"/>
          <w:szCs w:val="22"/>
        </w:rPr>
      </w:pPr>
      <w:r w:rsidRPr="00AC522A">
        <w:rPr>
          <w:rFonts w:ascii="Arial" w:hAnsi="Arial" w:cs="Arial"/>
          <w:b/>
          <w:bCs/>
          <w:color w:val="auto"/>
          <w:sz w:val="22"/>
          <w:szCs w:val="22"/>
        </w:rPr>
        <w:t>1.4 Conclusion</w:t>
      </w:r>
    </w:p>
    <w:p w14:paraId="7384370D" w14:textId="77777777" w:rsidR="00E058A1" w:rsidRPr="00E058A1" w:rsidRDefault="00E058A1" w:rsidP="00E058A1">
      <w:pPr>
        <w:pStyle w:val="Heading2"/>
        <w:rPr>
          <w:rFonts w:ascii="Arial" w:hAnsi="Arial" w:cs="Arial"/>
          <w:color w:val="000000" w:themeColor="text1"/>
          <w:sz w:val="22"/>
          <w:lang w:val="en-US"/>
        </w:rPr>
      </w:pPr>
      <w:r w:rsidRPr="00E058A1">
        <w:rPr>
          <w:rFonts w:ascii="Arial" w:hAnsi="Arial" w:cs="Arial"/>
          <w:color w:val="000000" w:themeColor="text1"/>
          <w:sz w:val="22"/>
          <w:lang w:val="en-US"/>
        </w:rPr>
        <w:t>By safeguarding vulnerable people, encouraging independence, and fostering positive wellbeing, social workers significantly contribute to health and social care. Successful practice requires strong communication, empathy, emotional intelligence, and problem-solving abilities. These competencies are strengthened by ongoing training, reflective practice, supervision, and real-world experience. Social workers can offer safe, efficient, and person-centered support in a variety of health and social care settings by upholding high professional standards and continuously honing critical skills.</w:t>
      </w:r>
    </w:p>
    <w:p w14:paraId="4072F134" w14:textId="77777777" w:rsidR="00D95EE3" w:rsidRDefault="00D95EE3" w:rsidP="00605900">
      <w:pPr>
        <w:pStyle w:val="Heading2"/>
        <w:rPr>
          <w:rFonts w:ascii="Arial" w:hAnsi="Arial" w:cs="Arial"/>
          <w:b/>
          <w:bCs/>
          <w:color w:val="000000" w:themeColor="text1"/>
          <w:sz w:val="22"/>
          <w:szCs w:val="22"/>
        </w:rPr>
      </w:pPr>
    </w:p>
    <w:p w14:paraId="443B867D" w14:textId="77777777" w:rsidR="00D95EE3" w:rsidRDefault="00D95EE3" w:rsidP="00605900">
      <w:pPr>
        <w:pStyle w:val="Heading2"/>
        <w:rPr>
          <w:rFonts w:ascii="Arial" w:hAnsi="Arial" w:cs="Arial"/>
          <w:b/>
          <w:bCs/>
          <w:color w:val="000000" w:themeColor="text1"/>
          <w:sz w:val="22"/>
          <w:szCs w:val="22"/>
        </w:rPr>
      </w:pPr>
    </w:p>
    <w:p w14:paraId="251B3721" w14:textId="77777777" w:rsidR="00D95EE3" w:rsidRDefault="00D95EE3" w:rsidP="00605900">
      <w:pPr>
        <w:pStyle w:val="Heading2"/>
        <w:rPr>
          <w:rFonts w:ascii="Arial" w:hAnsi="Arial" w:cs="Arial"/>
          <w:b/>
          <w:bCs/>
          <w:color w:val="000000" w:themeColor="text1"/>
          <w:sz w:val="22"/>
          <w:szCs w:val="22"/>
        </w:rPr>
      </w:pPr>
    </w:p>
    <w:p w14:paraId="55ECD9A3" w14:textId="77777777" w:rsidR="00D95EE3" w:rsidRDefault="00D95EE3" w:rsidP="00605900">
      <w:pPr>
        <w:pStyle w:val="Heading2"/>
        <w:rPr>
          <w:rFonts w:ascii="Arial" w:hAnsi="Arial" w:cs="Arial"/>
          <w:b/>
          <w:bCs/>
          <w:color w:val="000000" w:themeColor="text1"/>
          <w:sz w:val="22"/>
          <w:szCs w:val="22"/>
        </w:rPr>
      </w:pPr>
    </w:p>
    <w:p w14:paraId="3C8DFCE5" w14:textId="77777777" w:rsidR="00D95EE3" w:rsidRDefault="00D95EE3" w:rsidP="00605900">
      <w:pPr>
        <w:pStyle w:val="Heading2"/>
        <w:rPr>
          <w:rFonts w:ascii="Arial" w:hAnsi="Arial" w:cs="Arial"/>
          <w:b/>
          <w:bCs/>
          <w:color w:val="000000" w:themeColor="text1"/>
          <w:sz w:val="22"/>
          <w:szCs w:val="22"/>
        </w:rPr>
      </w:pPr>
    </w:p>
    <w:p w14:paraId="5B45202B" w14:textId="77777777" w:rsidR="00D95EE3" w:rsidRDefault="00D95EE3" w:rsidP="00605900">
      <w:pPr>
        <w:pStyle w:val="Heading2"/>
        <w:rPr>
          <w:rFonts w:ascii="Arial" w:hAnsi="Arial" w:cs="Arial"/>
          <w:b/>
          <w:bCs/>
          <w:color w:val="000000" w:themeColor="text1"/>
          <w:sz w:val="22"/>
          <w:szCs w:val="22"/>
        </w:rPr>
      </w:pPr>
    </w:p>
    <w:p w14:paraId="607F1BA8" w14:textId="77777777" w:rsidR="00D95EE3" w:rsidRDefault="00D95EE3" w:rsidP="00605900">
      <w:pPr>
        <w:pStyle w:val="Heading2"/>
        <w:rPr>
          <w:rFonts w:ascii="Arial" w:hAnsi="Arial" w:cs="Arial"/>
          <w:b/>
          <w:bCs/>
          <w:color w:val="000000" w:themeColor="text1"/>
          <w:sz w:val="22"/>
          <w:szCs w:val="22"/>
        </w:rPr>
      </w:pPr>
    </w:p>
    <w:p w14:paraId="61046AFC" w14:textId="77777777" w:rsidR="00D95EE3" w:rsidRDefault="00D95EE3" w:rsidP="00605900">
      <w:pPr>
        <w:pStyle w:val="Heading2"/>
        <w:rPr>
          <w:rFonts w:ascii="Arial" w:hAnsi="Arial" w:cs="Arial"/>
          <w:b/>
          <w:bCs/>
          <w:color w:val="000000" w:themeColor="text1"/>
          <w:sz w:val="22"/>
          <w:szCs w:val="22"/>
        </w:rPr>
      </w:pPr>
    </w:p>
    <w:p w14:paraId="09937072" w14:textId="77777777" w:rsidR="00D95EE3" w:rsidRDefault="00D95EE3" w:rsidP="00605900">
      <w:pPr>
        <w:pStyle w:val="Heading2"/>
        <w:rPr>
          <w:rFonts w:ascii="Arial" w:hAnsi="Arial" w:cs="Arial"/>
          <w:b/>
          <w:bCs/>
          <w:color w:val="000000" w:themeColor="text1"/>
          <w:sz w:val="22"/>
          <w:szCs w:val="22"/>
        </w:rPr>
      </w:pPr>
    </w:p>
    <w:p w14:paraId="4D1E3748" w14:textId="77777777" w:rsidR="00D95EE3" w:rsidRDefault="00D95EE3" w:rsidP="00605900">
      <w:pPr>
        <w:pStyle w:val="Heading2"/>
        <w:rPr>
          <w:rFonts w:ascii="Arial" w:hAnsi="Arial" w:cs="Arial"/>
          <w:b/>
          <w:bCs/>
          <w:color w:val="000000" w:themeColor="text1"/>
          <w:sz w:val="22"/>
          <w:szCs w:val="22"/>
        </w:rPr>
      </w:pPr>
    </w:p>
    <w:p w14:paraId="57A041B5" w14:textId="77777777" w:rsidR="00D95EE3" w:rsidRDefault="00D95EE3" w:rsidP="00605900">
      <w:pPr>
        <w:pStyle w:val="Heading2"/>
        <w:rPr>
          <w:rFonts w:ascii="Arial" w:hAnsi="Arial" w:cs="Arial"/>
          <w:b/>
          <w:bCs/>
          <w:color w:val="000000" w:themeColor="text1"/>
          <w:sz w:val="22"/>
          <w:szCs w:val="22"/>
        </w:rPr>
      </w:pPr>
    </w:p>
    <w:p w14:paraId="0404902B" w14:textId="77777777" w:rsidR="00D95EE3" w:rsidRDefault="00D95EE3" w:rsidP="00605900">
      <w:pPr>
        <w:pStyle w:val="Heading2"/>
        <w:rPr>
          <w:rFonts w:ascii="Arial" w:hAnsi="Arial" w:cs="Arial"/>
          <w:b/>
          <w:bCs/>
          <w:color w:val="000000" w:themeColor="text1"/>
          <w:sz w:val="22"/>
          <w:szCs w:val="22"/>
        </w:rPr>
      </w:pPr>
    </w:p>
    <w:p w14:paraId="40B8371D" w14:textId="77777777" w:rsidR="00D95EE3" w:rsidRDefault="00D95EE3" w:rsidP="00605900">
      <w:pPr>
        <w:pStyle w:val="Heading2"/>
        <w:rPr>
          <w:rFonts w:ascii="Arial" w:hAnsi="Arial" w:cs="Arial"/>
          <w:b/>
          <w:bCs/>
          <w:color w:val="000000" w:themeColor="text1"/>
          <w:sz w:val="22"/>
          <w:szCs w:val="22"/>
        </w:rPr>
      </w:pPr>
    </w:p>
    <w:p w14:paraId="573596DB" w14:textId="77777777" w:rsidR="00D95EE3" w:rsidRDefault="00D95EE3" w:rsidP="00605900">
      <w:pPr>
        <w:pStyle w:val="Heading2"/>
        <w:rPr>
          <w:rFonts w:ascii="Arial" w:hAnsi="Arial" w:cs="Arial"/>
          <w:b/>
          <w:bCs/>
          <w:color w:val="000000" w:themeColor="text1"/>
          <w:sz w:val="22"/>
          <w:szCs w:val="22"/>
        </w:rPr>
      </w:pPr>
    </w:p>
    <w:p w14:paraId="39134F9E" w14:textId="77777777" w:rsidR="00D95EE3" w:rsidRDefault="00D95EE3" w:rsidP="00605900">
      <w:pPr>
        <w:pStyle w:val="Heading2"/>
        <w:rPr>
          <w:rFonts w:ascii="Arial" w:hAnsi="Arial" w:cs="Arial"/>
          <w:b/>
          <w:bCs/>
          <w:color w:val="000000" w:themeColor="text1"/>
          <w:sz w:val="22"/>
          <w:szCs w:val="22"/>
        </w:rPr>
      </w:pPr>
    </w:p>
    <w:p w14:paraId="66094605" w14:textId="77777777" w:rsidR="00D95EE3" w:rsidRDefault="00D95EE3" w:rsidP="00605900">
      <w:pPr>
        <w:pStyle w:val="Heading2"/>
        <w:rPr>
          <w:rFonts w:ascii="Arial" w:hAnsi="Arial" w:cs="Arial"/>
          <w:b/>
          <w:bCs/>
          <w:color w:val="000000" w:themeColor="text1"/>
          <w:sz w:val="22"/>
          <w:szCs w:val="22"/>
        </w:rPr>
      </w:pPr>
    </w:p>
    <w:p w14:paraId="268B69A2" w14:textId="77777777" w:rsidR="00D95EE3" w:rsidRDefault="00D95EE3" w:rsidP="00605900">
      <w:pPr>
        <w:pStyle w:val="Heading2"/>
        <w:rPr>
          <w:rFonts w:ascii="Arial" w:hAnsi="Arial" w:cs="Arial"/>
          <w:b/>
          <w:bCs/>
          <w:color w:val="000000" w:themeColor="text1"/>
          <w:sz w:val="22"/>
          <w:szCs w:val="22"/>
        </w:rPr>
      </w:pPr>
    </w:p>
    <w:p w14:paraId="7D9E542A" w14:textId="77777777" w:rsidR="00D95EE3" w:rsidRDefault="00D95EE3" w:rsidP="00605900">
      <w:pPr>
        <w:pStyle w:val="Heading2"/>
        <w:rPr>
          <w:rFonts w:ascii="Arial" w:hAnsi="Arial" w:cs="Arial"/>
          <w:b/>
          <w:bCs/>
          <w:color w:val="000000" w:themeColor="text1"/>
          <w:sz w:val="22"/>
          <w:szCs w:val="22"/>
        </w:rPr>
      </w:pPr>
    </w:p>
    <w:p w14:paraId="7ED33C68" w14:textId="77777777" w:rsidR="00D95EE3" w:rsidRDefault="00D95EE3" w:rsidP="00605900">
      <w:pPr>
        <w:pStyle w:val="Heading2"/>
        <w:rPr>
          <w:rFonts w:ascii="Arial" w:hAnsi="Arial" w:cs="Arial"/>
          <w:b/>
          <w:bCs/>
          <w:color w:val="000000" w:themeColor="text1"/>
          <w:sz w:val="22"/>
          <w:szCs w:val="22"/>
        </w:rPr>
      </w:pPr>
    </w:p>
    <w:p w14:paraId="7AD39527" w14:textId="77777777" w:rsidR="00D95EE3" w:rsidRDefault="00D95EE3" w:rsidP="00605900">
      <w:pPr>
        <w:pStyle w:val="Heading2"/>
        <w:rPr>
          <w:rFonts w:ascii="Arial" w:hAnsi="Arial" w:cs="Arial"/>
          <w:b/>
          <w:bCs/>
          <w:color w:val="000000" w:themeColor="text1"/>
          <w:sz w:val="22"/>
          <w:szCs w:val="22"/>
        </w:rPr>
      </w:pPr>
    </w:p>
    <w:p w14:paraId="0E9192EA" w14:textId="77777777" w:rsidR="00D95EE3" w:rsidRDefault="00D95EE3" w:rsidP="00605900">
      <w:pPr>
        <w:pStyle w:val="Heading2"/>
        <w:rPr>
          <w:rFonts w:ascii="Arial" w:hAnsi="Arial" w:cs="Arial"/>
          <w:b/>
          <w:bCs/>
          <w:color w:val="000000" w:themeColor="text1"/>
          <w:sz w:val="22"/>
          <w:szCs w:val="22"/>
        </w:rPr>
      </w:pPr>
    </w:p>
    <w:p w14:paraId="67FAEFFC" w14:textId="77777777" w:rsidR="00D95EE3" w:rsidRDefault="00D95EE3" w:rsidP="00605900">
      <w:pPr>
        <w:pStyle w:val="Heading2"/>
        <w:rPr>
          <w:rFonts w:ascii="Arial" w:hAnsi="Arial" w:cs="Arial"/>
          <w:b/>
          <w:bCs/>
          <w:color w:val="000000" w:themeColor="text1"/>
          <w:sz w:val="22"/>
          <w:szCs w:val="22"/>
        </w:rPr>
      </w:pPr>
    </w:p>
    <w:p w14:paraId="3CFC8CD0" w14:textId="77777777" w:rsidR="00D95EE3" w:rsidRDefault="00D95EE3" w:rsidP="00605900">
      <w:pPr>
        <w:pStyle w:val="Heading2"/>
        <w:rPr>
          <w:rFonts w:ascii="Arial" w:hAnsi="Arial" w:cs="Arial"/>
          <w:b/>
          <w:bCs/>
          <w:color w:val="000000" w:themeColor="text1"/>
          <w:sz w:val="22"/>
          <w:szCs w:val="22"/>
        </w:rPr>
      </w:pPr>
    </w:p>
    <w:p w14:paraId="4CEB392D" w14:textId="77777777" w:rsidR="00D95EE3" w:rsidRDefault="00D95EE3" w:rsidP="00605900">
      <w:pPr>
        <w:pStyle w:val="Heading2"/>
        <w:rPr>
          <w:rFonts w:ascii="Arial" w:hAnsi="Arial" w:cs="Arial"/>
          <w:b/>
          <w:bCs/>
          <w:color w:val="000000" w:themeColor="text1"/>
          <w:sz w:val="22"/>
          <w:szCs w:val="22"/>
        </w:rPr>
      </w:pPr>
    </w:p>
    <w:p w14:paraId="6DFD0251" w14:textId="77777777" w:rsidR="00D95EE3" w:rsidRDefault="00D95EE3" w:rsidP="00605900">
      <w:pPr>
        <w:pStyle w:val="Heading2"/>
        <w:rPr>
          <w:rFonts w:ascii="Arial" w:hAnsi="Arial" w:cs="Arial"/>
          <w:b/>
          <w:bCs/>
          <w:color w:val="000000" w:themeColor="text1"/>
          <w:sz w:val="22"/>
          <w:szCs w:val="22"/>
        </w:rPr>
      </w:pPr>
    </w:p>
    <w:p w14:paraId="4DB3F39F" w14:textId="77777777" w:rsidR="00D95EE3" w:rsidRDefault="00D95EE3" w:rsidP="00605900">
      <w:pPr>
        <w:pStyle w:val="Heading2"/>
        <w:rPr>
          <w:rFonts w:ascii="Arial" w:hAnsi="Arial" w:cs="Arial"/>
          <w:b/>
          <w:bCs/>
          <w:color w:val="000000" w:themeColor="text1"/>
          <w:sz w:val="22"/>
          <w:szCs w:val="22"/>
        </w:rPr>
      </w:pPr>
    </w:p>
    <w:p w14:paraId="12DE293B" w14:textId="77777777" w:rsidR="00D95EE3" w:rsidRDefault="00D95EE3" w:rsidP="00605900">
      <w:pPr>
        <w:pStyle w:val="Heading2"/>
        <w:rPr>
          <w:rFonts w:ascii="Arial" w:hAnsi="Arial" w:cs="Arial"/>
          <w:b/>
          <w:bCs/>
          <w:color w:val="000000" w:themeColor="text1"/>
          <w:sz w:val="22"/>
          <w:szCs w:val="22"/>
        </w:rPr>
      </w:pPr>
    </w:p>
    <w:p w14:paraId="14064338" w14:textId="77777777" w:rsidR="00D95EE3" w:rsidRDefault="00D95EE3" w:rsidP="00605900">
      <w:pPr>
        <w:pStyle w:val="Heading2"/>
        <w:rPr>
          <w:rFonts w:ascii="Arial" w:hAnsi="Arial" w:cs="Arial"/>
          <w:b/>
          <w:bCs/>
          <w:color w:val="000000" w:themeColor="text1"/>
          <w:sz w:val="22"/>
          <w:szCs w:val="22"/>
        </w:rPr>
      </w:pPr>
    </w:p>
    <w:p w14:paraId="6AB2282A" w14:textId="77777777" w:rsidR="00D95EE3" w:rsidRDefault="00D95EE3" w:rsidP="00605900">
      <w:pPr>
        <w:pStyle w:val="Heading2"/>
        <w:rPr>
          <w:rFonts w:ascii="Arial" w:hAnsi="Arial" w:cs="Arial"/>
          <w:b/>
          <w:bCs/>
          <w:color w:val="000000" w:themeColor="text1"/>
          <w:sz w:val="22"/>
          <w:szCs w:val="22"/>
        </w:rPr>
      </w:pPr>
    </w:p>
    <w:p w14:paraId="6F341B02" w14:textId="77777777" w:rsidR="00D95EE3" w:rsidRDefault="00D95EE3" w:rsidP="00605900">
      <w:pPr>
        <w:pStyle w:val="Heading2"/>
        <w:rPr>
          <w:rFonts w:ascii="Arial" w:hAnsi="Arial" w:cs="Arial"/>
          <w:b/>
          <w:bCs/>
          <w:color w:val="000000" w:themeColor="text1"/>
          <w:sz w:val="22"/>
          <w:szCs w:val="22"/>
        </w:rPr>
      </w:pPr>
    </w:p>
    <w:p w14:paraId="53A9DC47" w14:textId="77777777" w:rsidR="00D95EE3" w:rsidRDefault="00D95EE3" w:rsidP="00605900">
      <w:pPr>
        <w:pStyle w:val="Heading2"/>
        <w:rPr>
          <w:rFonts w:ascii="Arial" w:hAnsi="Arial" w:cs="Arial"/>
          <w:b/>
          <w:bCs/>
          <w:color w:val="000000" w:themeColor="text1"/>
          <w:sz w:val="22"/>
          <w:szCs w:val="22"/>
        </w:rPr>
      </w:pPr>
    </w:p>
    <w:p w14:paraId="2D07C660" w14:textId="77777777" w:rsidR="00D95EE3" w:rsidRDefault="00D95EE3" w:rsidP="00605900">
      <w:pPr>
        <w:pStyle w:val="Heading2"/>
        <w:rPr>
          <w:rFonts w:ascii="Arial" w:hAnsi="Arial" w:cs="Arial"/>
          <w:b/>
          <w:bCs/>
          <w:color w:val="000000" w:themeColor="text1"/>
          <w:sz w:val="22"/>
          <w:szCs w:val="22"/>
        </w:rPr>
      </w:pPr>
    </w:p>
    <w:p w14:paraId="4FDBF00F" w14:textId="77777777" w:rsidR="00D95EE3" w:rsidRDefault="00D95EE3" w:rsidP="00605900">
      <w:pPr>
        <w:pStyle w:val="Heading2"/>
        <w:rPr>
          <w:rFonts w:ascii="Arial" w:hAnsi="Arial" w:cs="Arial"/>
          <w:b/>
          <w:bCs/>
          <w:color w:val="000000" w:themeColor="text1"/>
          <w:sz w:val="22"/>
          <w:szCs w:val="22"/>
        </w:rPr>
      </w:pPr>
    </w:p>
    <w:p w14:paraId="5251803C" w14:textId="77777777" w:rsidR="00D95EE3" w:rsidRDefault="00D95EE3" w:rsidP="00605900">
      <w:pPr>
        <w:pStyle w:val="Heading2"/>
        <w:rPr>
          <w:rFonts w:ascii="Arial" w:hAnsi="Arial" w:cs="Arial"/>
          <w:b/>
          <w:bCs/>
          <w:color w:val="000000" w:themeColor="text1"/>
          <w:sz w:val="22"/>
          <w:szCs w:val="22"/>
        </w:rPr>
      </w:pPr>
    </w:p>
    <w:p w14:paraId="7D0BBEED" w14:textId="77777777" w:rsidR="00D95EE3" w:rsidRDefault="00D95EE3" w:rsidP="00605900">
      <w:pPr>
        <w:pStyle w:val="Heading2"/>
        <w:rPr>
          <w:rFonts w:ascii="Arial" w:hAnsi="Arial" w:cs="Arial"/>
          <w:b/>
          <w:bCs/>
          <w:color w:val="000000" w:themeColor="text1"/>
          <w:sz w:val="22"/>
          <w:szCs w:val="22"/>
        </w:rPr>
      </w:pPr>
    </w:p>
    <w:p w14:paraId="4BD41206" w14:textId="77777777" w:rsidR="00D95EE3" w:rsidRDefault="00D95EE3" w:rsidP="00605900">
      <w:pPr>
        <w:pStyle w:val="Heading2"/>
        <w:rPr>
          <w:rFonts w:ascii="Arial" w:hAnsi="Arial" w:cs="Arial"/>
          <w:b/>
          <w:bCs/>
          <w:color w:val="000000" w:themeColor="text1"/>
          <w:sz w:val="22"/>
          <w:szCs w:val="22"/>
        </w:rPr>
      </w:pPr>
    </w:p>
    <w:p w14:paraId="49B185FE" w14:textId="46A8911E" w:rsidR="00605900" w:rsidRPr="00AC522A" w:rsidRDefault="00605900" w:rsidP="00605900">
      <w:pPr>
        <w:pStyle w:val="Heading2"/>
        <w:rPr>
          <w:rFonts w:ascii="Arial" w:hAnsi="Arial" w:cs="Arial"/>
          <w:b/>
          <w:bCs/>
          <w:color w:val="000000" w:themeColor="text1"/>
          <w:sz w:val="22"/>
          <w:szCs w:val="22"/>
        </w:rPr>
      </w:pPr>
      <w:r w:rsidRPr="00AC522A">
        <w:rPr>
          <w:rFonts w:ascii="Arial" w:hAnsi="Arial" w:cs="Arial"/>
          <w:b/>
          <w:bCs/>
          <w:color w:val="000000" w:themeColor="text1"/>
          <w:sz w:val="22"/>
          <w:szCs w:val="22"/>
        </w:rPr>
        <w:lastRenderedPageBreak/>
        <w:t>1.5 Reference List</w:t>
      </w:r>
    </w:p>
    <w:p w14:paraId="59507CB2" w14:textId="77777777" w:rsidR="00AA1A2E" w:rsidRDefault="00AA1A2E"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Browne, T. (2019). Social Work Roles and Healthcare Settings. </w:t>
      </w:r>
      <w:r w:rsidRPr="00772702">
        <w:rPr>
          <w:rFonts w:ascii="Arial" w:hAnsi="Arial" w:cs="Arial"/>
          <w:i/>
          <w:iCs/>
          <w:sz w:val="22"/>
          <w:lang w:val="en-US"/>
        </w:rPr>
        <w:t>Handbook of Health Social Work</w:t>
      </w:r>
      <w:r w:rsidRPr="00772702">
        <w:rPr>
          <w:rFonts w:ascii="Arial" w:hAnsi="Arial" w:cs="Arial"/>
          <w:sz w:val="22"/>
          <w:lang w:val="en-US"/>
        </w:rPr>
        <w:t>, pp.21–37. doi:10.1002/9781119420743.ch2.</w:t>
      </w:r>
    </w:p>
    <w:p w14:paraId="30FE31CE" w14:textId="164D03E8"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Davis, T.S., Reno, R., Guada, J., Swenson, S., Peck, A., Saunders-Adams, S. and Haas-Gehres, L. (2018). Social Worker Integrated Care Competencies Scale (SWICCS): Assessing social worker clinical competencies for health care settings. </w:t>
      </w:r>
      <w:r w:rsidRPr="00772702">
        <w:rPr>
          <w:rFonts w:ascii="Arial" w:hAnsi="Arial" w:cs="Arial"/>
          <w:i/>
          <w:iCs/>
          <w:sz w:val="22"/>
          <w:lang w:val="en-US"/>
        </w:rPr>
        <w:t>Social Work in Health Care</w:t>
      </w:r>
      <w:r w:rsidRPr="00772702">
        <w:rPr>
          <w:rFonts w:ascii="Arial" w:hAnsi="Arial" w:cs="Arial"/>
          <w:sz w:val="22"/>
          <w:lang w:val="en-US"/>
        </w:rPr>
        <w:t>, 58(1), pp.75–92. doi:10.1080/00981389.2018.1547346.</w:t>
      </w:r>
    </w:p>
    <w:p w14:paraId="26BD2AD4" w14:textId="77777777" w:rsidR="00DD6319" w:rsidRDefault="00AA1A2E" w:rsidP="002F2618">
      <w:pPr>
        <w:pStyle w:val="ListParagraph"/>
        <w:numPr>
          <w:ilvl w:val="0"/>
          <w:numId w:val="23"/>
        </w:numPr>
        <w:rPr>
          <w:rFonts w:ascii="Arial" w:hAnsi="Arial" w:cs="Arial"/>
          <w:sz w:val="22"/>
          <w:lang w:val="en-US"/>
        </w:rPr>
      </w:pPr>
      <w:r w:rsidRPr="00DD6319">
        <w:rPr>
          <w:rFonts w:ascii="Arial" w:hAnsi="Arial" w:cs="Arial"/>
          <w:sz w:val="22"/>
          <w:lang w:val="en-US"/>
        </w:rPr>
        <w:t xml:space="preserve">Gehlert, S., Andrews, C. and Browne, T. (2019). Establishing the Place of Health Social Work. </w:t>
      </w:r>
      <w:r w:rsidRPr="00DD6319">
        <w:rPr>
          <w:rFonts w:ascii="Arial" w:hAnsi="Arial" w:cs="Arial"/>
          <w:i/>
          <w:iCs/>
          <w:sz w:val="22"/>
          <w:lang w:val="en-US"/>
        </w:rPr>
        <w:t>Health &amp; Social Work</w:t>
      </w:r>
      <w:r w:rsidRPr="00DD6319">
        <w:rPr>
          <w:rFonts w:ascii="Arial" w:hAnsi="Arial" w:cs="Arial"/>
          <w:sz w:val="22"/>
          <w:lang w:val="en-US"/>
        </w:rPr>
        <w:t xml:space="preserve">, [online] 44(2), pp.69–71. Available at: https://academic.oup.com/hsw/article-abstract/44/2/69/5418610 </w:t>
      </w:r>
    </w:p>
    <w:p w14:paraId="6BCA77B6" w14:textId="3C0AD5CE" w:rsidR="00772702" w:rsidRPr="00DD6319" w:rsidRDefault="00772702" w:rsidP="004207A4">
      <w:pPr>
        <w:pStyle w:val="ListParagraph"/>
        <w:numPr>
          <w:ilvl w:val="0"/>
          <w:numId w:val="23"/>
        </w:numPr>
        <w:rPr>
          <w:rFonts w:ascii="Arial" w:hAnsi="Arial" w:cs="Arial"/>
          <w:sz w:val="22"/>
          <w:lang w:val="en-US"/>
        </w:rPr>
      </w:pPr>
      <w:r w:rsidRPr="00DD6319">
        <w:rPr>
          <w:rFonts w:ascii="Arial" w:hAnsi="Arial" w:cs="Arial"/>
          <w:sz w:val="22"/>
          <w:lang w:val="en-US"/>
        </w:rPr>
        <w:t xml:space="preserve">Goleman, D. (1998). Bringing emotional intelligence to the workplace. [online] Available at: https://www.eiconsortium.org/pdf/technical_report.pdf </w:t>
      </w:r>
    </w:p>
    <w:p w14:paraId="0694E287" w14:textId="3A93E104"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Hall, E.R. and Montgomery, P. (2023). Communication skills training for improving the communicative abilities of student social workers: A systematic review. </w:t>
      </w:r>
      <w:r w:rsidRPr="00772702">
        <w:rPr>
          <w:rFonts w:ascii="Arial" w:hAnsi="Arial" w:cs="Arial"/>
          <w:i/>
          <w:iCs/>
          <w:sz w:val="22"/>
          <w:lang w:val="en-US"/>
        </w:rPr>
        <w:t>Campbell Systematic Reviews</w:t>
      </w:r>
      <w:r w:rsidRPr="00772702">
        <w:rPr>
          <w:rFonts w:ascii="Arial" w:hAnsi="Arial" w:cs="Arial"/>
          <w:sz w:val="22"/>
          <w:lang w:val="en-US"/>
        </w:rPr>
        <w:t>, [online] 19(1). doi:10.1002/cl2.1309.</w:t>
      </w:r>
    </w:p>
    <w:p w14:paraId="20CD98A4" w14:textId="0E59E55D"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N. Jones, D., Hanley, J. and Robb, B. (2025). Social Work Professional Organizations in the United Kingdom: the resilience of the British Association of Social Workers in turbulent times. </w:t>
      </w:r>
      <w:r w:rsidRPr="00772702">
        <w:rPr>
          <w:rFonts w:ascii="Arial" w:hAnsi="Arial" w:cs="Arial"/>
          <w:i/>
          <w:iCs/>
          <w:sz w:val="22"/>
          <w:lang w:val="en-US"/>
        </w:rPr>
        <w:t>Social Work Professional Organizations</w:t>
      </w:r>
      <w:r w:rsidRPr="00772702">
        <w:rPr>
          <w:rFonts w:ascii="Arial" w:hAnsi="Arial" w:cs="Arial"/>
          <w:sz w:val="22"/>
          <w:lang w:val="en-US"/>
        </w:rPr>
        <w:t>, [online] pp.104–120. doi:10.51952/9781447373698.ch006.</w:t>
      </w:r>
    </w:p>
    <w:p w14:paraId="1D0F2D59" w14:textId="0DD62615" w:rsidR="004552CE" w:rsidRPr="00772702" w:rsidRDefault="00AA1A2E"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Ravalier, J., Wainwright, E., Clabburn, O., Loon, M. and Smyth, N. (2020). Working conditions and wellbeing in UK social workers. </w:t>
      </w:r>
      <w:r w:rsidRPr="00772702">
        <w:rPr>
          <w:rFonts w:ascii="Arial" w:hAnsi="Arial" w:cs="Arial"/>
          <w:i/>
          <w:iCs/>
          <w:sz w:val="22"/>
          <w:lang w:val="en-US"/>
        </w:rPr>
        <w:t>Journal of Social Work</w:t>
      </w:r>
      <w:r w:rsidRPr="00772702">
        <w:rPr>
          <w:rFonts w:ascii="Arial" w:hAnsi="Arial" w:cs="Arial"/>
          <w:sz w:val="22"/>
          <w:lang w:val="en-US"/>
        </w:rPr>
        <w:t>, [online] 21(5), p.146801732094936. doi:10.1177/14680173209</w:t>
      </w:r>
    </w:p>
    <w:p w14:paraId="2F539BFA" w14:textId="77777777"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Trevithick, P. (2008). Revisiting the Knowledge Base of Social Work: A Framework for Practice. </w:t>
      </w:r>
      <w:r w:rsidRPr="00772702">
        <w:rPr>
          <w:rFonts w:ascii="Arial" w:hAnsi="Arial" w:cs="Arial"/>
          <w:i/>
          <w:iCs/>
          <w:sz w:val="22"/>
          <w:lang w:val="en-US"/>
        </w:rPr>
        <w:t>British Journal of Social Work</w:t>
      </w:r>
      <w:r w:rsidRPr="00772702">
        <w:rPr>
          <w:rFonts w:ascii="Arial" w:hAnsi="Arial" w:cs="Arial"/>
          <w:sz w:val="22"/>
          <w:lang w:val="en-US"/>
        </w:rPr>
        <w:t>, [online] 38(6), pp.1212–1237. doi:10.1093/bjsw/bcm026.</w:t>
      </w:r>
    </w:p>
    <w:p w14:paraId="774246B6" w14:textId="77777777"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Taylor, D.W. (2013). Decision Making and Problem Solving 1. pp.48–86. doi:10.4324/9780203629130-3.</w:t>
      </w:r>
    </w:p>
    <w:p w14:paraId="0BD05382" w14:textId="77777777" w:rsidR="00AA1A2E" w:rsidRPr="00AA1A2E" w:rsidRDefault="00AA1A2E" w:rsidP="00605900">
      <w:pPr>
        <w:rPr>
          <w:rFonts w:ascii="Arial" w:hAnsi="Arial" w:cs="Arial"/>
          <w:color w:val="FF0000"/>
          <w:sz w:val="22"/>
          <w:lang w:val="en-US"/>
        </w:rPr>
      </w:pPr>
    </w:p>
    <w:sectPr w:rsidR="00AA1A2E" w:rsidRPr="00AA1A2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EE9B7" w14:textId="77777777" w:rsidR="00D75C44" w:rsidRDefault="00D75C44" w:rsidP="003C7C97">
      <w:pPr>
        <w:spacing w:after="0" w:line="240" w:lineRule="auto"/>
      </w:pPr>
      <w:r>
        <w:separator/>
      </w:r>
    </w:p>
  </w:endnote>
  <w:endnote w:type="continuationSeparator" w:id="0">
    <w:p w14:paraId="760F62DE" w14:textId="77777777" w:rsidR="00D75C44" w:rsidRDefault="00D75C4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6BF00" w14:textId="77777777" w:rsidR="00C55E0F" w:rsidRDefault="00C55E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6F0AD" w14:textId="77777777" w:rsidR="00C55E0F" w:rsidRDefault="00C55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FCF82" w14:textId="77777777" w:rsidR="00C55E0F" w:rsidRDefault="00C55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7ED72" w14:textId="77777777" w:rsidR="00D75C44" w:rsidRDefault="00D75C44" w:rsidP="003C7C97">
      <w:pPr>
        <w:spacing w:after="0" w:line="240" w:lineRule="auto"/>
      </w:pPr>
      <w:r>
        <w:separator/>
      </w:r>
    </w:p>
  </w:footnote>
  <w:footnote w:type="continuationSeparator" w:id="0">
    <w:p w14:paraId="6143E645" w14:textId="77777777" w:rsidR="00D75C44" w:rsidRDefault="00D75C4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B3598" w14:textId="77777777" w:rsidR="00C55E0F" w:rsidRDefault="00C55E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896715"/>
      <w:docPartObj>
        <w:docPartGallery w:val="Page Numbers (Top of Page)"/>
        <w:docPartUnique/>
      </w:docPartObj>
    </w:sdtPr>
    <w:sdtEndPr>
      <w:rPr>
        <w:noProof/>
      </w:rPr>
    </w:sdtEndPr>
    <w:sdtContent>
      <w:p w14:paraId="41A0907D" w14:textId="7F15CDA1" w:rsidR="00C55E0F" w:rsidRDefault="00C55E0F">
        <w:pPr>
          <w:pStyle w:val="Header"/>
        </w:pPr>
        <w:r>
          <w:fldChar w:fldCharType="begin"/>
        </w:r>
        <w:r>
          <w:instrText xml:space="preserve"> PAGE   \* MERGEFORMAT </w:instrText>
        </w:r>
        <w:r>
          <w:fldChar w:fldCharType="separate"/>
        </w:r>
        <w:r>
          <w:rPr>
            <w:noProof/>
          </w:rPr>
          <w:t>2</w:t>
        </w:r>
        <w:r>
          <w:rPr>
            <w:noProof/>
          </w:rPr>
          <w:fldChar w:fldCharType="end"/>
        </w:r>
      </w:p>
    </w:sdtContent>
  </w:sdt>
  <w:p w14:paraId="5952E7A5" w14:textId="77777777" w:rsidR="00C55E0F" w:rsidRDefault="00C55E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C39A0" w14:textId="77777777" w:rsidR="00C55E0F" w:rsidRDefault="00C55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A6638"/>
    <w:multiLevelType w:val="hybridMultilevel"/>
    <w:tmpl w:val="9BC439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15854558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D0A35"/>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3281F"/>
    <w:rsid w:val="004466C3"/>
    <w:rsid w:val="004552CE"/>
    <w:rsid w:val="00481FF7"/>
    <w:rsid w:val="004D1EE6"/>
    <w:rsid w:val="004D244D"/>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5900"/>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2702"/>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28EC"/>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1A2E"/>
    <w:rsid w:val="00AA591E"/>
    <w:rsid w:val="00AA77C8"/>
    <w:rsid w:val="00AC522A"/>
    <w:rsid w:val="00AC7BE2"/>
    <w:rsid w:val="00AE35BF"/>
    <w:rsid w:val="00AF0F3A"/>
    <w:rsid w:val="00AF4D2A"/>
    <w:rsid w:val="00B1067E"/>
    <w:rsid w:val="00B16ED2"/>
    <w:rsid w:val="00B23BD4"/>
    <w:rsid w:val="00B428C8"/>
    <w:rsid w:val="00B81790"/>
    <w:rsid w:val="00B81BBC"/>
    <w:rsid w:val="00BD03D5"/>
    <w:rsid w:val="00BE6808"/>
    <w:rsid w:val="00BF34E1"/>
    <w:rsid w:val="00C3215E"/>
    <w:rsid w:val="00C45272"/>
    <w:rsid w:val="00C47770"/>
    <w:rsid w:val="00C55E0F"/>
    <w:rsid w:val="00C75856"/>
    <w:rsid w:val="00C85A7C"/>
    <w:rsid w:val="00C95214"/>
    <w:rsid w:val="00CC3F59"/>
    <w:rsid w:val="00CD4774"/>
    <w:rsid w:val="00CD7AD6"/>
    <w:rsid w:val="00D10AAF"/>
    <w:rsid w:val="00D27540"/>
    <w:rsid w:val="00D4006B"/>
    <w:rsid w:val="00D40D7A"/>
    <w:rsid w:val="00D64A0D"/>
    <w:rsid w:val="00D750B4"/>
    <w:rsid w:val="00D75C44"/>
    <w:rsid w:val="00D81C18"/>
    <w:rsid w:val="00D8461A"/>
    <w:rsid w:val="00D95CAF"/>
    <w:rsid w:val="00D95EE3"/>
    <w:rsid w:val="00DB60B6"/>
    <w:rsid w:val="00DC1CC6"/>
    <w:rsid w:val="00DD6319"/>
    <w:rsid w:val="00DE57F1"/>
    <w:rsid w:val="00E058A1"/>
    <w:rsid w:val="00E06403"/>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495B"/>
    <w:rsid w:val="00F36ADC"/>
    <w:rsid w:val="00F504E3"/>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5</cp:revision>
  <dcterms:created xsi:type="dcterms:W3CDTF">2026-07-23T08:59:00Z</dcterms:created>
  <dcterms:modified xsi:type="dcterms:W3CDTF">2026-07-23T09:30:00Z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143a4c01-6676-4c21-bdf9-a7c91d760a14</vt:lpwstr>
  </property>
</Properties>
</file>