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9A28D" w14:textId="372DC866" w:rsidR="00DE34B2" w:rsidRDefault="00DE34B2">
      <w:pPr>
        <w:pStyle w:val="NoSpacing"/>
        <w:rPr>
          <w:rFonts w:ascii="Times New Roman" w:eastAsiaTheme="minorHAnsi" w:hAnsi="Times New Roman"/>
          <w:sz w:val="2"/>
          <w:lang w:val="en-GB"/>
        </w:rPr>
      </w:pPr>
      <w:r>
        <w:rPr>
          <w:rFonts w:ascii="Times New Roman" w:eastAsiaTheme="minorHAnsi" w:hAnsi="Times New Roman"/>
          <w:sz w:val="2"/>
          <w:lang w:val="en-GB"/>
        </w:rPr>
        <w:t xml:space="preserve"> </w:t>
      </w:r>
    </w:p>
    <w:sdt>
      <w:sdtPr>
        <w:rPr>
          <w:rFonts w:ascii="Times New Roman" w:eastAsiaTheme="minorHAnsi" w:hAnsi="Times New Roman"/>
          <w:sz w:val="2"/>
          <w:szCs w:val="2"/>
          <w:lang w:val="en-GB"/>
        </w:rPr>
        <w:id w:val="1478725719"/>
        <w:docPartObj>
          <w:docPartGallery w:val="Cover Pages"/>
          <w:docPartUnique/>
        </w:docPartObj>
      </w:sdtPr>
      <w:sdtEndPr>
        <w:rPr>
          <w:rFonts w:asciiTheme="minorBidi" w:hAnsiTheme="minorBidi"/>
          <w:sz w:val="22"/>
          <w:szCs w:val="22"/>
        </w:rPr>
      </w:sdtEndPr>
      <w:sdtContent>
        <w:p w14:paraId="75F3C79D" w14:textId="21D2BC2C" w:rsidR="00BE745A" w:rsidRDefault="00BE745A">
          <w:pPr>
            <w:pStyle w:val="NoSpacing"/>
            <w:rPr>
              <w:sz w:val="2"/>
            </w:rPr>
          </w:pPr>
        </w:p>
        <w:p w14:paraId="243DD131" w14:textId="708E1463" w:rsidR="00BE745A" w:rsidRDefault="00BE745A"/>
        <w:p w14:paraId="7B6C1B88" w14:textId="77777777" w:rsidR="00BE745A" w:rsidRDefault="00BE745A">
          <w:pPr>
            <w:rPr>
              <w:rFonts w:asciiTheme="minorBidi" w:hAnsiTheme="minorBidi"/>
              <w:sz w:val="22"/>
            </w:rPr>
          </w:pPr>
          <w:r>
            <w:rPr>
              <w:noProof/>
              <w:color w:val="4472C4" w:themeColor="accent1"/>
              <w:sz w:val="36"/>
              <w:szCs w:val="36"/>
            </w:rPr>
            <mc:AlternateContent>
              <mc:Choice Requires="wpg">
                <w:drawing>
                  <wp:anchor distT="0" distB="0" distL="114300" distR="114300" simplePos="0" relativeHeight="251658240" behindDoc="1" locked="0" layoutInCell="1" allowOverlap="1" wp14:anchorId="3C0305D8" wp14:editId="050317FA">
                    <wp:simplePos x="0" y="0"/>
                    <wp:positionH relativeFrom="page">
                      <wp:posOffset>2137313</wp:posOffset>
                    </wp:positionH>
                    <wp:positionV relativeFrom="page">
                      <wp:posOffset>3895725</wp:posOffset>
                    </wp:positionV>
                    <wp:extent cx="4867371" cy="5359400"/>
                    <wp:effectExtent l="0" t="0" r="952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867371" cy="535940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v:group id="Group 2" style="position:absolute;margin-left:168.3pt;margin-top:306.75pt;width:383.25pt;height:422pt;z-index:-251656192;mso-position-horizontal-relative:page;mso-position-vertical-relative:page" coordsize="43291,44910" o:spid="_x0000_s1026" w14:anchorId="05A792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sidRPr="00CD33A8">
            <w:rPr>
              <w:rFonts w:asciiTheme="minorBidi" w:hAnsiTheme="minorBidi"/>
              <w:noProof/>
              <w:sz w:val="22"/>
            </w:rPr>
            <w:drawing>
              <wp:inline distT="0" distB="0" distL="0" distR="0" wp14:anchorId="082AF0B1" wp14:editId="6F5DE91B">
                <wp:extent cx="3086100" cy="1818967"/>
                <wp:effectExtent l="0" t="0" r="0" b="0"/>
                <wp:docPr id="1805987857" name="Picture 180598785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088876" cy="1820603"/>
                        </a:xfrm>
                        <a:prstGeom prst="rect">
                          <a:avLst/>
                        </a:prstGeom>
                        <a:noFill/>
                        <a:ln>
                          <a:noFill/>
                        </a:ln>
                      </pic:spPr>
                    </pic:pic>
                  </a:graphicData>
                </a:graphic>
              </wp:inline>
            </w:drawing>
          </w:r>
        </w:p>
        <w:p w14:paraId="45D4155B" w14:textId="77777777" w:rsidR="00BE745A" w:rsidRDefault="00BE745A">
          <w:pPr>
            <w:rPr>
              <w:rFonts w:asciiTheme="minorBidi" w:hAnsiTheme="minorBidi"/>
              <w:sz w:val="22"/>
            </w:rPr>
          </w:pPr>
        </w:p>
        <w:p w14:paraId="72F9E0B5" w14:textId="77777777" w:rsidR="00BE745A" w:rsidRDefault="00BE745A">
          <w:pPr>
            <w:rPr>
              <w:rFonts w:asciiTheme="minorBidi" w:hAnsiTheme="minorBidi"/>
              <w:sz w:val="22"/>
            </w:rPr>
          </w:pPr>
        </w:p>
        <w:p w14:paraId="4E122A33" w14:textId="77777777" w:rsidR="00BE745A" w:rsidRDefault="00BE745A">
          <w:pPr>
            <w:rPr>
              <w:rFonts w:asciiTheme="minorBidi" w:hAnsiTheme="minorBidi"/>
              <w:sz w:val="22"/>
            </w:rPr>
          </w:pPr>
        </w:p>
        <w:p w14:paraId="3119DED5" w14:textId="77777777" w:rsidR="00BE745A" w:rsidRPr="00BE745A" w:rsidRDefault="00BE745A" w:rsidP="00BE745A">
          <w:pPr>
            <w:rPr>
              <w:rFonts w:asciiTheme="minorBidi" w:hAnsiTheme="minorBidi"/>
              <w:sz w:val="28"/>
              <w:szCs w:val="28"/>
            </w:rPr>
          </w:pPr>
          <w:r w:rsidRPr="00BE745A">
            <w:rPr>
              <w:rFonts w:asciiTheme="minorBidi" w:hAnsiTheme="minorBidi"/>
              <w:sz w:val="28"/>
              <w:szCs w:val="28"/>
            </w:rPr>
            <w:t xml:space="preserve">Module name: Introduction to Independent Research Skills </w:t>
          </w:r>
        </w:p>
        <w:p w14:paraId="70D2C27B" w14:textId="77777777" w:rsidR="00BE745A" w:rsidRDefault="00BE745A" w:rsidP="00BE745A">
          <w:pPr>
            <w:rPr>
              <w:rFonts w:asciiTheme="minorBidi" w:hAnsiTheme="minorBidi"/>
              <w:sz w:val="28"/>
              <w:szCs w:val="28"/>
            </w:rPr>
          </w:pPr>
        </w:p>
        <w:p w14:paraId="48865244" w14:textId="16E88213" w:rsidR="00BE745A" w:rsidRPr="00BE745A" w:rsidRDefault="00BE745A" w:rsidP="00BE745A">
          <w:pPr>
            <w:rPr>
              <w:rFonts w:asciiTheme="minorBidi" w:hAnsiTheme="minorBidi"/>
              <w:sz w:val="28"/>
              <w:szCs w:val="28"/>
            </w:rPr>
          </w:pPr>
          <w:r w:rsidRPr="00BE745A">
            <w:rPr>
              <w:rFonts w:asciiTheme="minorBidi" w:hAnsiTheme="minorBidi"/>
              <w:sz w:val="28"/>
              <w:szCs w:val="28"/>
            </w:rPr>
            <w:t>Module code: (BMHP5019)</w:t>
          </w:r>
        </w:p>
        <w:p w14:paraId="08D969E0" w14:textId="77777777" w:rsidR="00BE745A" w:rsidRDefault="00BE745A" w:rsidP="00BE745A">
          <w:pPr>
            <w:rPr>
              <w:rFonts w:asciiTheme="minorBidi" w:hAnsiTheme="minorBidi"/>
              <w:sz w:val="28"/>
              <w:szCs w:val="28"/>
            </w:rPr>
          </w:pPr>
        </w:p>
        <w:p w14:paraId="640EE014" w14:textId="607BCFA2" w:rsidR="00BE745A" w:rsidRPr="00BE745A" w:rsidRDefault="00BE745A" w:rsidP="00BE745A">
          <w:pPr>
            <w:rPr>
              <w:rFonts w:asciiTheme="minorBidi" w:hAnsiTheme="minorBidi"/>
              <w:sz w:val="28"/>
              <w:szCs w:val="28"/>
            </w:rPr>
          </w:pPr>
          <w:r w:rsidRPr="00BE745A">
            <w:rPr>
              <w:rFonts w:asciiTheme="minorBidi" w:hAnsiTheme="minorBidi"/>
              <w:sz w:val="28"/>
              <w:szCs w:val="28"/>
            </w:rPr>
            <w:t>Student name: Fatemeh Heydari</w:t>
          </w:r>
        </w:p>
        <w:p w14:paraId="22BA5F7C" w14:textId="77777777" w:rsidR="00BE745A" w:rsidRDefault="00BE745A" w:rsidP="00BE745A">
          <w:pPr>
            <w:rPr>
              <w:rFonts w:asciiTheme="minorBidi" w:hAnsiTheme="minorBidi"/>
              <w:sz w:val="28"/>
              <w:szCs w:val="28"/>
            </w:rPr>
          </w:pPr>
        </w:p>
        <w:p w14:paraId="402BF139" w14:textId="17BF58B2" w:rsidR="00BE745A" w:rsidRPr="00BE745A" w:rsidRDefault="00BE745A" w:rsidP="00BE745A">
          <w:pPr>
            <w:rPr>
              <w:rFonts w:asciiTheme="minorBidi" w:hAnsiTheme="minorBidi"/>
              <w:sz w:val="28"/>
              <w:szCs w:val="28"/>
            </w:rPr>
          </w:pPr>
          <w:r w:rsidRPr="00BE745A">
            <w:rPr>
              <w:rFonts w:asciiTheme="minorBidi" w:hAnsiTheme="minorBidi"/>
              <w:sz w:val="28"/>
              <w:szCs w:val="28"/>
            </w:rPr>
            <w:t>Student ID: 2323552</w:t>
          </w:r>
        </w:p>
        <w:p w14:paraId="3EB6D5DB" w14:textId="77777777" w:rsidR="00BE745A" w:rsidRDefault="00BE745A" w:rsidP="00BE745A">
          <w:pPr>
            <w:rPr>
              <w:rFonts w:asciiTheme="minorBidi" w:hAnsiTheme="minorBidi"/>
              <w:sz w:val="22"/>
            </w:rPr>
          </w:pPr>
        </w:p>
        <w:p w14:paraId="631A96CC" w14:textId="77777777" w:rsidR="00BE745A" w:rsidRDefault="00BE745A" w:rsidP="00BE745A">
          <w:pPr>
            <w:rPr>
              <w:rFonts w:asciiTheme="minorBidi" w:hAnsiTheme="minorBidi"/>
              <w:sz w:val="22"/>
            </w:rPr>
          </w:pPr>
        </w:p>
        <w:p w14:paraId="4A14774E" w14:textId="77777777" w:rsidR="00BE745A" w:rsidRDefault="00BE745A" w:rsidP="00BE745A">
          <w:pPr>
            <w:rPr>
              <w:rFonts w:asciiTheme="minorBidi" w:hAnsiTheme="minorBidi"/>
              <w:sz w:val="22"/>
            </w:rPr>
          </w:pPr>
        </w:p>
        <w:p w14:paraId="28B086A4" w14:textId="77777777" w:rsidR="00BE745A" w:rsidRDefault="00BE745A" w:rsidP="00BE745A">
          <w:pPr>
            <w:rPr>
              <w:rFonts w:asciiTheme="minorBidi" w:hAnsiTheme="minorBidi"/>
              <w:sz w:val="22"/>
            </w:rPr>
          </w:pPr>
        </w:p>
        <w:p w14:paraId="401826D8" w14:textId="77777777" w:rsidR="00BE745A" w:rsidRDefault="00BE745A" w:rsidP="00BE745A">
          <w:pPr>
            <w:rPr>
              <w:rFonts w:asciiTheme="minorBidi" w:hAnsiTheme="minorBidi"/>
              <w:sz w:val="22"/>
            </w:rPr>
          </w:pPr>
        </w:p>
        <w:p w14:paraId="314FDC94" w14:textId="77777777" w:rsidR="00BE745A" w:rsidRDefault="00BE745A" w:rsidP="00BE745A">
          <w:pPr>
            <w:rPr>
              <w:rFonts w:asciiTheme="minorBidi" w:hAnsiTheme="minorBidi"/>
              <w:sz w:val="22"/>
            </w:rPr>
          </w:pPr>
        </w:p>
        <w:p w14:paraId="7BE1C926" w14:textId="77777777" w:rsidR="00BE745A" w:rsidRDefault="00BE745A" w:rsidP="00BE745A">
          <w:pPr>
            <w:rPr>
              <w:rFonts w:asciiTheme="minorBidi" w:hAnsiTheme="minorBidi"/>
              <w:sz w:val="22"/>
            </w:rPr>
          </w:pPr>
        </w:p>
        <w:p w14:paraId="5047A3B2" w14:textId="77777777" w:rsidR="00BE745A" w:rsidRDefault="00BE745A" w:rsidP="00BE745A">
          <w:pPr>
            <w:rPr>
              <w:rFonts w:asciiTheme="minorBidi" w:hAnsiTheme="minorBidi"/>
              <w:sz w:val="22"/>
            </w:rPr>
          </w:pPr>
        </w:p>
        <w:p w14:paraId="5D802059" w14:textId="77777777" w:rsidR="00BE745A" w:rsidRDefault="00BE745A" w:rsidP="00BE745A">
          <w:pPr>
            <w:rPr>
              <w:rFonts w:asciiTheme="minorBidi" w:hAnsiTheme="minorBidi"/>
              <w:sz w:val="22"/>
            </w:rPr>
          </w:pPr>
        </w:p>
        <w:p w14:paraId="37AAFCC3" w14:textId="77777777" w:rsidR="00BE745A" w:rsidRDefault="00BE745A" w:rsidP="00BE745A">
          <w:pPr>
            <w:rPr>
              <w:rFonts w:asciiTheme="minorBidi" w:hAnsiTheme="minorBidi"/>
              <w:sz w:val="22"/>
            </w:rPr>
          </w:pPr>
        </w:p>
        <w:p w14:paraId="2AE92798" w14:textId="77777777" w:rsidR="00BE745A" w:rsidRDefault="00BE745A" w:rsidP="00BE745A">
          <w:pPr>
            <w:rPr>
              <w:rFonts w:asciiTheme="minorBidi" w:hAnsiTheme="minorBidi"/>
              <w:sz w:val="22"/>
            </w:rPr>
          </w:pPr>
        </w:p>
        <w:p w14:paraId="2BCFB7FC" w14:textId="77777777" w:rsidR="00BE745A" w:rsidRDefault="00BE745A" w:rsidP="00BE745A">
          <w:pPr>
            <w:rPr>
              <w:rFonts w:asciiTheme="minorBidi" w:hAnsiTheme="minorBidi"/>
              <w:sz w:val="22"/>
            </w:rPr>
          </w:pPr>
        </w:p>
        <w:p w14:paraId="666B32F9" w14:textId="5AD218D6" w:rsidR="00BE745A" w:rsidRDefault="00BE745A" w:rsidP="00BE745A">
          <w:pPr>
            <w:rPr>
              <w:rFonts w:asciiTheme="minorBidi" w:hAnsiTheme="minorBidi"/>
              <w:sz w:val="22"/>
            </w:rPr>
          </w:pPr>
          <w:r>
            <w:rPr>
              <w:rFonts w:asciiTheme="minorBidi" w:hAnsiTheme="minorBidi"/>
              <w:sz w:val="22"/>
            </w:rPr>
            <w:t xml:space="preserve"> </w:t>
          </w:r>
        </w:p>
      </w:sdtContent>
    </w:sdt>
    <w:p w14:paraId="05AB2C84" w14:textId="0458A834" w:rsidR="00B87E75" w:rsidRPr="00BB4994" w:rsidRDefault="00BE745A" w:rsidP="45EDE2E0">
      <w:pPr>
        <w:rPr>
          <w:rFonts w:asciiTheme="minorBidi" w:hAnsiTheme="minorBidi"/>
          <w:sz w:val="28"/>
          <w:szCs w:val="28"/>
        </w:rPr>
      </w:pPr>
      <w:r w:rsidRPr="45EDE2E0">
        <w:rPr>
          <w:rFonts w:ascii="Arial" w:eastAsia="Arial" w:hAnsi="Arial" w:cs="Arial"/>
          <w:b/>
          <w:bCs/>
          <w:sz w:val="28"/>
          <w:szCs w:val="28"/>
        </w:rPr>
        <w:lastRenderedPageBreak/>
        <w:t xml:space="preserve">                                     </w:t>
      </w:r>
      <w:r w:rsidR="0918FF24" w:rsidRPr="45EDE2E0">
        <w:rPr>
          <w:rFonts w:ascii="Arial" w:eastAsia="Arial" w:hAnsi="Arial" w:cs="Arial"/>
          <w:b/>
          <w:bCs/>
          <w:sz w:val="28"/>
          <w:szCs w:val="28"/>
        </w:rPr>
        <w:t xml:space="preserve">  </w:t>
      </w:r>
      <w:r w:rsidRPr="45EDE2E0">
        <w:rPr>
          <w:rFonts w:ascii="Arial" w:eastAsia="Arial" w:hAnsi="Arial" w:cs="Arial"/>
          <w:b/>
          <w:bCs/>
          <w:sz w:val="28"/>
          <w:szCs w:val="28"/>
        </w:rPr>
        <w:t xml:space="preserve"> </w:t>
      </w:r>
      <w:r w:rsidR="00B87E75" w:rsidRPr="45EDE2E0">
        <w:rPr>
          <w:rFonts w:ascii="Arial" w:eastAsia="Arial" w:hAnsi="Arial" w:cs="Arial"/>
          <w:b/>
          <w:bCs/>
          <w:sz w:val="28"/>
          <w:szCs w:val="28"/>
        </w:rPr>
        <w:t>Table of contents</w:t>
      </w:r>
    </w:p>
    <w:p w14:paraId="13E00080" w14:textId="137FF22A" w:rsidR="00B87E75" w:rsidRPr="00CD33A8" w:rsidRDefault="00B87E75" w:rsidP="00CD33A8">
      <w:pPr>
        <w:spacing w:line="360" w:lineRule="auto"/>
        <w:rPr>
          <w:rFonts w:asciiTheme="minorBidi" w:hAnsiTheme="minorBidi"/>
          <w:sz w:val="22"/>
        </w:rPr>
      </w:pPr>
    </w:p>
    <w:sdt>
      <w:sdtPr>
        <w:rPr>
          <w:rFonts w:ascii="Times New Roman" w:eastAsiaTheme="minorEastAsia" w:hAnsi="Times New Roman" w:cstheme="minorBidi"/>
          <w:color w:val="auto"/>
          <w:szCs w:val="22"/>
          <w:lang w:val="en-GB"/>
        </w:rPr>
        <w:id w:val="1184941627"/>
        <w:docPartObj>
          <w:docPartGallery w:val="Table of Contents"/>
          <w:docPartUnique/>
        </w:docPartObj>
      </w:sdtPr>
      <w:sdtEndPr>
        <w:rPr>
          <w:b/>
          <w:bCs/>
        </w:rPr>
      </w:sdtEndPr>
      <w:sdtContent>
        <w:p w14:paraId="5436C70C" w14:textId="12F93328" w:rsidR="00BB4994" w:rsidRDefault="00BB4994" w:rsidP="009E391A">
          <w:pPr>
            <w:pStyle w:val="TOCHeading"/>
          </w:pPr>
        </w:p>
        <w:p w14:paraId="59D2CE5F" w14:textId="23E72F99"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r>
            <w:fldChar w:fldCharType="begin"/>
          </w:r>
          <w:r>
            <w:instrText xml:space="preserve"> TOC \o "1-3" \h \z \u </w:instrText>
          </w:r>
          <w:r>
            <w:fldChar w:fldCharType="separate"/>
          </w:r>
          <w:hyperlink w:anchor="_Toc216018605" w:history="1">
            <w:r w:rsidRPr="00BB4994">
              <w:rPr>
                <w:rStyle w:val="Hyperlink"/>
                <w:rFonts w:asciiTheme="minorBidi" w:hAnsiTheme="minorBidi"/>
                <w:noProof/>
                <w:sz w:val="28"/>
                <w:szCs w:val="28"/>
              </w:rPr>
              <w:t>Abstract</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_Toc216018605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2</w:t>
            </w:r>
            <w:r w:rsidRPr="00BB4994">
              <w:rPr>
                <w:rFonts w:asciiTheme="minorBidi" w:hAnsiTheme="minorBidi"/>
                <w:noProof/>
                <w:webHidden/>
                <w:sz w:val="28"/>
                <w:szCs w:val="28"/>
              </w:rPr>
              <w:fldChar w:fldCharType="end"/>
            </w:r>
          </w:hyperlink>
        </w:p>
        <w:p w14:paraId="0743EE3A" w14:textId="321A3E3B"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06" w:history="1">
            <w:r w:rsidRPr="00BB4994">
              <w:rPr>
                <w:rStyle w:val="Hyperlink"/>
                <w:rFonts w:asciiTheme="minorBidi" w:hAnsiTheme="minorBidi"/>
                <w:noProof/>
                <w:sz w:val="28"/>
                <w:szCs w:val="28"/>
              </w:rPr>
              <w:t>1. Introduction</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_Toc216018606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2</w:t>
            </w:r>
            <w:r w:rsidRPr="00BB4994">
              <w:rPr>
                <w:rFonts w:asciiTheme="minorBidi" w:hAnsiTheme="minorBidi"/>
                <w:noProof/>
                <w:webHidden/>
                <w:sz w:val="28"/>
                <w:szCs w:val="28"/>
              </w:rPr>
              <w:fldChar w:fldCharType="end"/>
            </w:r>
          </w:hyperlink>
        </w:p>
        <w:p w14:paraId="5416E722" w14:textId="227CCBA8"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07" w:history="1">
            <w:r w:rsidRPr="00BB4994">
              <w:rPr>
                <w:rStyle w:val="Hyperlink"/>
                <w:rFonts w:asciiTheme="minorBidi" w:hAnsiTheme="minorBidi"/>
                <w:noProof/>
                <w:sz w:val="28"/>
                <w:szCs w:val="28"/>
              </w:rPr>
              <w:t>Rationale</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_Toc216018607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3</w:t>
            </w:r>
            <w:r w:rsidRPr="00BB4994">
              <w:rPr>
                <w:rFonts w:asciiTheme="minorBidi" w:hAnsiTheme="minorBidi"/>
                <w:noProof/>
                <w:webHidden/>
                <w:sz w:val="28"/>
                <w:szCs w:val="28"/>
              </w:rPr>
              <w:fldChar w:fldCharType="end"/>
            </w:r>
          </w:hyperlink>
        </w:p>
        <w:p w14:paraId="0DADE8CF" w14:textId="43953D89"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08" w:history="1">
            <w:r w:rsidRPr="00BB4994">
              <w:rPr>
                <w:rStyle w:val="Hyperlink"/>
                <w:rFonts w:asciiTheme="minorBidi" w:hAnsiTheme="minorBidi"/>
                <w:noProof/>
                <w:sz w:val="28"/>
                <w:szCs w:val="28"/>
              </w:rPr>
              <w:t>2. Background</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_Toc216018608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4</w:t>
            </w:r>
            <w:r w:rsidRPr="00BB4994">
              <w:rPr>
                <w:rFonts w:asciiTheme="minorBidi" w:hAnsiTheme="minorBidi"/>
                <w:noProof/>
                <w:webHidden/>
                <w:sz w:val="28"/>
                <w:szCs w:val="28"/>
              </w:rPr>
              <w:fldChar w:fldCharType="end"/>
            </w:r>
          </w:hyperlink>
        </w:p>
        <w:p w14:paraId="63C8FE6D" w14:textId="2A5965EF"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09" w:history="1">
            <w:r w:rsidRPr="00BB4994">
              <w:rPr>
                <w:rStyle w:val="Hyperlink"/>
                <w:rFonts w:asciiTheme="minorBidi" w:hAnsiTheme="minorBidi"/>
                <w:noProof/>
                <w:sz w:val="28"/>
                <w:szCs w:val="28"/>
              </w:rPr>
              <w:t>3. Methods</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_Toc216018609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5</w:t>
            </w:r>
            <w:r w:rsidRPr="00BB4994">
              <w:rPr>
                <w:rFonts w:asciiTheme="minorBidi" w:hAnsiTheme="minorBidi"/>
                <w:noProof/>
                <w:webHidden/>
                <w:sz w:val="28"/>
                <w:szCs w:val="28"/>
              </w:rPr>
              <w:fldChar w:fldCharType="end"/>
            </w:r>
          </w:hyperlink>
        </w:p>
        <w:p w14:paraId="30D58267" w14:textId="4D813512"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10" w:history="1">
            <w:r w:rsidRPr="00BB4994">
              <w:rPr>
                <w:rStyle w:val="Hyperlink"/>
                <w:rFonts w:asciiTheme="minorBidi" w:hAnsiTheme="minorBidi"/>
                <w:noProof/>
                <w:sz w:val="28"/>
                <w:szCs w:val="28"/>
              </w:rPr>
              <w:t>Analysis</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_Toc216018610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7</w:t>
            </w:r>
            <w:r w:rsidRPr="00BB4994">
              <w:rPr>
                <w:rFonts w:asciiTheme="minorBidi" w:hAnsiTheme="minorBidi"/>
                <w:noProof/>
                <w:webHidden/>
                <w:sz w:val="28"/>
                <w:szCs w:val="28"/>
              </w:rPr>
              <w:fldChar w:fldCharType="end"/>
            </w:r>
          </w:hyperlink>
        </w:p>
        <w:p w14:paraId="09F864FD" w14:textId="08C94C27"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11" w:history="1">
            <w:r w:rsidRPr="00BB4994">
              <w:rPr>
                <w:rStyle w:val="Hyperlink"/>
                <w:rFonts w:asciiTheme="minorBidi" w:hAnsiTheme="minorBidi"/>
                <w:noProof/>
                <w:sz w:val="28"/>
                <w:szCs w:val="28"/>
              </w:rPr>
              <w:t>4. Results</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_Toc216018611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8</w:t>
            </w:r>
            <w:r w:rsidRPr="00BB4994">
              <w:rPr>
                <w:rFonts w:asciiTheme="minorBidi" w:hAnsiTheme="minorBidi"/>
                <w:noProof/>
                <w:webHidden/>
                <w:sz w:val="28"/>
                <w:szCs w:val="28"/>
              </w:rPr>
              <w:fldChar w:fldCharType="end"/>
            </w:r>
          </w:hyperlink>
        </w:p>
        <w:p w14:paraId="194700E6" w14:textId="6BD19266"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12" w:history="1">
            <w:r w:rsidRPr="00BB4994">
              <w:rPr>
                <w:rStyle w:val="Hyperlink"/>
                <w:rFonts w:asciiTheme="minorBidi" w:hAnsiTheme="minorBidi"/>
                <w:noProof/>
                <w:sz w:val="28"/>
                <w:szCs w:val="28"/>
              </w:rPr>
              <w:t>5. Discussion</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_Toc216018612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9</w:t>
            </w:r>
            <w:r w:rsidRPr="00BB4994">
              <w:rPr>
                <w:rFonts w:asciiTheme="minorBidi" w:hAnsiTheme="minorBidi"/>
                <w:noProof/>
                <w:webHidden/>
                <w:sz w:val="28"/>
                <w:szCs w:val="28"/>
              </w:rPr>
              <w:fldChar w:fldCharType="end"/>
            </w:r>
          </w:hyperlink>
        </w:p>
        <w:p w14:paraId="53FA39DE" w14:textId="7504A2AB" w:rsidR="00BB4994" w:rsidRPr="00BB4994" w:rsidRDefault="00BB4994">
          <w:pPr>
            <w:pStyle w:val="TOC1"/>
            <w:tabs>
              <w:tab w:val="right" w:leader="dot" w:pos="9016"/>
            </w:tabs>
            <w:rPr>
              <w:rFonts w:asciiTheme="minorBidi" w:eastAsiaTheme="minorEastAsia" w:hAnsiTheme="minorBidi"/>
              <w:noProof/>
              <w:kern w:val="2"/>
              <w:sz w:val="28"/>
              <w:szCs w:val="28"/>
              <w:lang w:val="en-US"/>
              <w14:ligatures w14:val="standardContextual"/>
            </w:rPr>
          </w:pPr>
          <w:hyperlink w:anchor="_Toc216018613" w:history="1">
            <w:r w:rsidRPr="00BB4994">
              <w:rPr>
                <w:rStyle w:val="Hyperlink"/>
                <w:rFonts w:asciiTheme="minorBidi" w:hAnsiTheme="minorBidi"/>
                <w:noProof/>
                <w:sz w:val="28"/>
                <w:szCs w:val="28"/>
              </w:rPr>
              <w:t>6. Conclusion and Recommendations</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_Toc216018613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10</w:t>
            </w:r>
            <w:r w:rsidRPr="00BB4994">
              <w:rPr>
                <w:rFonts w:asciiTheme="minorBidi" w:hAnsiTheme="minorBidi"/>
                <w:noProof/>
                <w:webHidden/>
                <w:sz w:val="28"/>
                <w:szCs w:val="28"/>
              </w:rPr>
              <w:fldChar w:fldCharType="end"/>
            </w:r>
          </w:hyperlink>
        </w:p>
        <w:p w14:paraId="418AC9F9" w14:textId="5EC26C73" w:rsidR="00BB4994" w:rsidRPr="00BB4994" w:rsidRDefault="00BB4994">
          <w:pPr>
            <w:pStyle w:val="TOC1"/>
            <w:tabs>
              <w:tab w:val="right" w:leader="dot" w:pos="9016"/>
            </w:tabs>
            <w:rPr>
              <w:rFonts w:asciiTheme="minorBidi" w:eastAsiaTheme="minorEastAsia" w:hAnsiTheme="minorBidi"/>
              <w:b/>
              <w:bCs/>
              <w:noProof/>
              <w:kern w:val="2"/>
              <w:szCs w:val="24"/>
              <w:lang w:val="en-US"/>
              <w14:ligatures w14:val="standardContextual"/>
            </w:rPr>
          </w:pPr>
          <w:hyperlink w:anchor="_Toc216018614" w:history="1">
            <w:r w:rsidRPr="00BB4994">
              <w:rPr>
                <w:rStyle w:val="Hyperlink"/>
                <w:rFonts w:asciiTheme="minorBidi" w:hAnsiTheme="minorBidi"/>
                <w:noProof/>
                <w:sz w:val="28"/>
                <w:szCs w:val="28"/>
              </w:rPr>
              <w:t>References</w:t>
            </w:r>
            <w:r w:rsidRPr="00BB4994">
              <w:rPr>
                <w:rFonts w:asciiTheme="minorBidi" w:hAnsiTheme="minorBidi"/>
                <w:noProof/>
                <w:webHidden/>
                <w:sz w:val="28"/>
                <w:szCs w:val="28"/>
              </w:rPr>
              <w:tab/>
            </w:r>
            <w:r w:rsidRPr="00BB4994">
              <w:rPr>
                <w:rFonts w:asciiTheme="minorBidi" w:hAnsiTheme="minorBidi"/>
                <w:noProof/>
                <w:webHidden/>
                <w:sz w:val="28"/>
                <w:szCs w:val="28"/>
              </w:rPr>
              <w:fldChar w:fldCharType="begin"/>
            </w:r>
            <w:r w:rsidRPr="00BB4994">
              <w:rPr>
                <w:rFonts w:asciiTheme="minorBidi" w:hAnsiTheme="minorBidi"/>
                <w:noProof/>
                <w:webHidden/>
                <w:sz w:val="28"/>
                <w:szCs w:val="28"/>
              </w:rPr>
              <w:instrText xml:space="preserve"> PAGEREF _Toc216018614 \h </w:instrText>
            </w:r>
            <w:r w:rsidRPr="00BB4994">
              <w:rPr>
                <w:rFonts w:asciiTheme="minorBidi" w:hAnsiTheme="minorBidi"/>
                <w:noProof/>
                <w:webHidden/>
                <w:sz w:val="28"/>
                <w:szCs w:val="28"/>
              </w:rPr>
            </w:r>
            <w:r w:rsidRPr="00BB4994">
              <w:rPr>
                <w:rFonts w:asciiTheme="minorBidi" w:hAnsiTheme="minorBidi"/>
                <w:noProof/>
                <w:webHidden/>
                <w:sz w:val="28"/>
                <w:szCs w:val="28"/>
              </w:rPr>
              <w:fldChar w:fldCharType="separate"/>
            </w:r>
            <w:r w:rsidRPr="00BB4994">
              <w:rPr>
                <w:rFonts w:asciiTheme="minorBidi" w:hAnsiTheme="minorBidi"/>
                <w:noProof/>
                <w:webHidden/>
                <w:sz w:val="28"/>
                <w:szCs w:val="28"/>
              </w:rPr>
              <w:t>12</w:t>
            </w:r>
            <w:r w:rsidRPr="00BB4994">
              <w:rPr>
                <w:rFonts w:asciiTheme="minorBidi" w:hAnsiTheme="minorBidi"/>
                <w:noProof/>
                <w:webHidden/>
                <w:sz w:val="28"/>
                <w:szCs w:val="28"/>
              </w:rPr>
              <w:fldChar w:fldCharType="end"/>
            </w:r>
          </w:hyperlink>
        </w:p>
        <w:p w14:paraId="547EEFA0" w14:textId="63C772CF" w:rsidR="00BB4994" w:rsidRDefault="00BB4994">
          <w:r>
            <w:rPr>
              <w:b/>
              <w:bCs/>
              <w:noProof/>
            </w:rPr>
            <w:fldChar w:fldCharType="end"/>
          </w:r>
        </w:p>
      </w:sdtContent>
    </w:sdt>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33588F4B">
        <w:rPr>
          <w:rFonts w:asciiTheme="minorBidi" w:hAnsiTheme="minorBidi"/>
          <w:sz w:val="22"/>
        </w:rPr>
        <w:br w:type="page"/>
      </w:r>
    </w:p>
    <w:p w14:paraId="4025DD14" w14:textId="1CBB8736" w:rsidR="004E6DE2" w:rsidRDefault="004E6DE2" w:rsidP="71B41720">
      <w:pPr>
        <w:jc w:val="center"/>
        <w:rPr>
          <w:rFonts w:ascii="Arial" w:eastAsia="Arial" w:hAnsi="Arial" w:cs="Arial"/>
          <w:b/>
          <w:bCs/>
          <w:sz w:val="22"/>
        </w:rPr>
      </w:pPr>
      <w:r w:rsidRPr="71B41720">
        <w:rPr>
          <w:rFonts w:ascii="Arial" w:eastAsia="Arial" w:hAnsi="Arial" w:cs="Arial"/>
          <w:b/>
          <w:bCs/>
          <w:sz w:val="22"/>
        </w:rPr>
        <w:lastRenderedPageBreak/>
        <w:t>The effectiveness of telehealth services in managing chronic illness among adults in</w:t>
      </w:r>
      <w:r w:rsidR="370F8E24" w:rsidRPr="71B41720">
        <w:rPr>
          <w:rFonts w:ascii="Arial" w:eastAsia="Arial" w:hAnsi="Arial" w:cs="Arial"/>
          <w:b/>
          <w:bCs/>
          <w:sz w:val="22"/>
        </w:rPr>
        <w:t xml:space="preserve"> </w:t>
      </w:r>
      <w:r w:rsidRPr="71B41720">
        <w:rPr>
          <w:rFonts w:ascii="Arial" w:eastAsia="Arial" w:hAnsi="Arial" w:cs="Arial"/>
          <w:b/>
          <w:bCs/>
          <w:sz w:val="22"/>
        </w:rPr>
        <w:t xml:space="preserve">the </w:t>
      </w:r>
      <w:r w:rsidR="00F60DFE" w:rsidRPr="71B41720">
        <w:rPr>
          <w:rFonts w:ascii="Arial" w:eastAsia="Arial" w:hAnsi="Arial" w:cs="Arial"/>
          <w:b/>
          <w:bCs/>
          <w:sz w:val="22"/>
        </w:rPr>
        <w:t>UK.</w:t>
      </w:r>
      <w:r w:rsidRPr="71B41720">
        <w:rPr>
          <w:rFonts w:ascii="Arial" w:eastAsia="Arial" w:hAnsi="Arial" w:cs="Arial"/>
          <w:b/>
          <w:bCs/>
          <w:sz w:val="22"/>
        </w:rPr>
        <w:t xml:space="preserve"> </w:t>
      </w:r>
    </w:p>
    <w:p w14:paraId="61EAB468" w14:textId="560F5F4C" w:rsidR="33588F4B" w:rsidRDefault="33588F4B" w:rsidP="33588F4B"/>
    <w:p w14:paraId="0027BB56" w14:textId="77777777" w:rsidR="0086454A" w:rsidRDefault="1BBA802C" w:rsidP="00B325AF">
      <w:pPr>
        <w:rPr>
          <w:rFonts w:ascii="Arial" w:eastAsia="Arial" w:hAnsi="Arial" w:cs="Arial"/>
          <w:b/>
          <w:bCs/>
        </w:rPr>
      </w:pPr>
      <w:r w:rsidRPr="2B532F71">
        <w:rPr>
          <w:rFonts w:ascii="Arial" w:eastAsia="Arial" w:hAnsi="Arial" w:cs="Arial"/>
          <w:b/>
          <w:bCs/>
        </w:rPr>
        <w:t xml:space="preserve"> </w:t>
      </w:r>
    </w:p>
    <w:p w14:paraId="3914D9AE" w14:textId="09A0FD72" w:rsidR="00CD33A8" w:rsidRPr="009E391A" w:rsidRDefault="0F1535A3" w:rsidP="009E391A">
      <w:pPr>
        <w:pStyle w:val="Heading1"/>
      </w:pPr>
      <w:bookmarkStart w:id="0" w:name="_Toc216018605"/>
      <w:r w:rsidRPr="009E391A">
        <w:t>Abstract</w:t>
      </w:r>
      <w:bookmarkEnd w:id="0"/>
    </w:p>
    <w:p w14:paraId="6AB549F8" w14:textId="7FBC0D13" w:rsidR="437E0BE5" w:rsidRDefault="00C054A5" w:rsidP="07F0B86D">
      <w:pPr>
        <w:spacing w:line="360" w:lineRule="auto"/>
        <w:jc w:val="both"/>
        <w:rPr>
          <w:rFonts w:asciiTheme="minorBidi" w:hAnsiTheme="minorBidi"/>
          <w:b/>
          <w:bCs/>
        </w:rPr>
      </w:pPr>
      <w:r w:rsidRPr="52C56B8D">
        <w:rPr>
          <w:rFonts w:asciiTheme="minorBidi" w:hAnsiTheme="minorBidi"/>
          <w:sz w:val="22"/>
        </w:rPr>
        <w:t>Adults living with chronic illnesses often need regular monitoring, ongoing communication, and continuous support from healthcare services. Telehealth has become a vital approach in the UK for providing this support remotely, especially for individuals managing long-term conditions at home. This scoping review aimed to explore how telehealth is used to support adults with chronic illnesses, the benefits it offers, and the factors that limit its effectiveness. A structured search was conducted across four electronic databases, focusing on peer-reviewed UK studies published between 2015 and 2025. Three studies met the inclusion criteria and were analysed using a thematic approach to identify common patterns. Two themes emerged from the analysis. The first theme revealed that telemonitoring can provide regular updates on a patient’s condition, but improved health outcomes depend on whether healthcare teams respond to this information consistently. The second theme demonstrated that telehealth is more effective when fully integrated into routine clinical pathways, supported by clear processes and timely clinical follow-up. Overall, the review found that telehealth can improve access, support self-management, and enhance communication for adults with chronic illnesses, though its success depends on digital accessibility, staff capacity, and how services are organised. These findings may guide future improvements in remote care for long-term conditions.</w:t>
      </w:r>
    </w:p>
    <w:p w14:paraId="40B4269A" w14:textId="50316DE0" w:rsidR="52C56B8D" w:rsidRDefault="52C56B8D" w:rsidP="52C56B8D">
      <w:pPr>
        <w:rPr>
          <w:rFonts w:asciiTheme="minorBidi" w:hAnsiTheme="minorBidi"/>
          <w:b/>
          <w:bCs/>
        </w:rPr>
      </w:pPr>
    </w:p>
    <w:p w14:paraId="12D76753" w14:textId="5E672751" w:rsidR="00B87E75" w:rsidRDefault="1BBA802C" w:rsidP="009E391A">
      <w:pPr>
        <w:pStyle w:val="Heading1"/>
      </w:pPr>
      <w:bookmarkStart w:id="1" w:name="_Toc216018606"/>
      <w:r w:rsidRPr="437E0BE5">
        <w:t xml:space="preserve">1. </w:t>
      </w:r>
      <w:r w:rsidR="3DC82109" w:rsidRPr="437E0BE5">
        <w:t>Introduction</w:t>
      </w:r>
      <w:bookmarkEnd w:id="1"/>
    </w:p>
    <w:p w14:paraId="0B7493E2" w14:textId="289F8AD2" w:rsidR="58AF2494" w:rsidRDefault="58AF2494" w:rsidP="00F17533">
      <w:pPr>
        <w:spacing w:line="360" w:lineRule="auto"/>
        <w:jc w:val="both"/>
      </w:pPr>
      <w:r w:rsidRPr="57CAFEC2">
        <w:rPr>
          <w:rFonts w:asciiTheme="minorBidi" w:hAnsiTheme="minorBidi"/>
          <w:sz w:val="22"/>
        </w:rPr>
        <w:t xml:space="preserve">Chronic illnesses are one of the main reasons adults in the UK require long-term contact with healthcare services. Conditions such as diabetes, heart failure and chronic respiratory disease often involve regular monitoring, ongoing communication with clinicians, and continuous support with symptom management. As the number of adults living with long-term conditions continues to increase, the NHS faces growing pressure to provide care that is both accessible and sustainable. Traditional face-to-face appointments remain important, but many adults experience difficulties attending frequent visits due to mobility challenges, caring responsibilities, work </w:t>
      </w:r>
      <w:r w:rsidR="686F2B29" w:rsidRPr="57CAFEC2">
        <w:rPr>
          <w:rFonts w:asciiTheme="minorBidi" w:hAnsiTheme="minorBidi"/>
          <w:sz w:val="22"/>
        </w:rPr>
        <w:t>commitments,</w:t>
      </w:r>
      <w:r w:rsidRPr="57CAFEC2">
        <w:rPr>
          <w:rFonts w:asciiTheme="minorBidi" w:hAnsiTheme="minorBidi"/>
          <w:sz w:val="22"/>
        </w:rPr>
        <w:t xml:space="preserve"> or the time required to travel to healthcare facilities. This has created a need for alternative ways of delivering ongoing support.</w:t>
      </w:r>
    </w:p>
    <w:p w14:paraId="54475E0E" w14:textId="3DCA1491" w:rsidR="58AF2494" w:rsidRDefault="58AF2494" w:rsidP="00F17533">
      <w:pPr>
        <w:spacing w:line="360" w:lineRule="auto"/>
        <w:jc w:val="both"/>
      </w:pPr>
      <w:r w:rsidRPr="437E0BE5">
        <w:rPr>
          <w:rFonts w:asciiTheme="minorBidi" w:hAnsiTheme="minorBidi"/>
          <w:sz w:val="22"/>
        </w:rPr>
        <w:t xml:space="preserve">Telehealth has become an increasingly common approach for helping adults manage chronic illnesses at home. It involves the use of digital tools, remote consultations and electronic </w:t>
      </w:r>
      <w:r w:rsidRPr="437E0BE5">
        <w:rPr>
          <w:rFonts w:asciiTheme="minorBidi" w:hAnsiTheme="minorBidi"/>
          <w:sz w:val="22"/>
        </w:rPr>
        <w:lastRenderedPageBreak/>
        <w:t>monitoring systems that allow health information to be shared between patients and clinicians without requiring an in-person appointment. Research has shown that telehealth can support continuity of care, help adults stay engaged in managing their condition and maintain communication with clinical teams between appointments (</w:t>
      </w:r>
      <w:proofErr w:type="spellStart"/>
      <w:r w:rsidRPr="437E0BE5">
        <w:rPr>
          <w:rFonts w:asciiTheme="minorBidi" w:hAnsiTheme="minorBidi"/>
          <w:sz w:val="22"/>
        </w:rPr>
        <w:t>Wherton</w:t>
      </w:r>
      <w:proofErr w:type="spellEnd"/>
      <w:r w:rsidRPr="437E0BE5">
        <w:rPr>
          <w:rFonts w:asciiTheme="minorBidi" w:hAnsiTheme="minorBidi"/>
          <w:sz w:val="22"/>
        </w:rPr>
        <w:t xml:space="preserve"> et al., 2021; Parry et al., 2023). Telehealth has also been used to support more flexible service delivery across primary care, particularly since the COVID-19 pandemic accelerated the adoption of remote models of care (Murphy et al., 2021).</w:t>
      </w:r>
    </w:p>
    <w:p w14:paraId="0CC1D07C" w14:textId="06A9A296" w:rsidR="58AF2494" w:rsidRDefault="58AF2494" w:rsidP="00F17533">
      <w:pPr>
        <w:spacing w:line="360" w:lineRule="auto"/>
        <w:jc w:val="both"/>
      </w:pPr>
      <w:r w:rsidRPr="437E0BE5">
        <w:rPr>
          <w:rFonts w:asciiTheme="minorBidi" w:hAnsiTheme="minorBidi"/>
          <w:sz w:val="22"/>
        </w:rPr>
        <w:t>However, the effectiveness of telehealth varies. Some adults face barriers such as limited digital skills, lack of equipment or unreliable internet access, which can prevent them from using telehealth confidently (Good Things Foundation, 2024). Other challenges relate to how services are organised. Telehealth is less likely to achieve positive outcomes when clinicians do not have the capacity to review incoming data consistently or when remote systems are not integrated into everyday care pathways (Greenhalgh et al., 2017). These factors influence not only how useful telehealth is for adults managing long-term conditions, but also how feasible it is for services to deliver at scale.</w:t>
      </w:r>
    </w:p>
    <w:p w14:paraId="47D6CE29" w14:textId="0EFB24E2" w:rsidR="437E0BE5" w:rsidRPr="00113AF3" w:rsidRDefault="00113AF3" w:rsidP="00113AF3">
      <w:pPr>
        <w:tabs>
          <w:tab w:val="left" w:pos="6540"/>
        </w:tabs>
        <w:spacing w:line="360" w:lineRule="auto"/>
        <w:jc w:val="both"/>
        <w:rPr>
          <w:rFonts w:ascii="Arial" w:hAnsi="Arial" w:cs="Arial"/>
          <w:sz w:val="22"/>
        </w:rPr>
      </w:pPr>
      <w:r w:rsidRPr="00113AF3">
        <w:rPr>
          <w:rFonts w:ascii="Arial" w:hAnsi="Arial" w:cs="Arial"/>
          <w:sz w:val="22"/>
        </w:rPr>
        <w:t>This scoping review therefore aims to explore how telehealth is being used to support adults living with chronic illnesses in the UK. By examining evidence from three primary studies, the review identifies the main ways telehealth contributes to long-term condition management, the challenges that remain, and the implications for future practice. In addition to examining clinical outcomes, this review also considers how telehealth shapes patient experience, accessibility, and engagement with services, which are increasingly recognised as essential components of high-quality care. As digital approaches continue to expand within the NHS, understanding these wider influences is important for ensuring that telehealth supports both patient wellbeing and sustainable service delivery.</w:t>
      </w:r>
    </w:p>
    <w:p w14:paraId="04CF7494" w14:textId="5DBC8C3F" w:rsidR="004E6DE2" w:rsidRPr="004E6DE2" w:rsidRDefault="5C2E6884" w:rsidP="009E391A">
      <w:pPr>
        <w:pStyle w:val="Heading1"/>
      </w:pPr>
      <w:bookmarkStart w:id="2" w:name="_Toc216018607"/>
      <w:r w:rsidRPr="2B532F71">
        <w:t>Rationale</w:t>
      </w:r>
      <w:bookmarkEnd w:id="2"/>
      <w:r w:rsidRPr="2B532F71">
        <w:t xml:space="preserve"> </w:t>
      </w:r>
    </w:p>
    <w:p w14:paraId="40B1FD11" w14:textId="25282B7F" w:rsidR="34C296D2" w:rsidRDefault="34C296D2" w:rsidP="2B532F71">
      <w:pPr>
        <w:tabs>
          <w:tab w:val="left" w:pos="6540"/>
        </w:tabs>
        <w:spacing w:line="360" w:lineRule="auto"/>
        <w:jc w:val="both"/>
        <w:rPr>
          <w:rFonts w:ascii="Arial" w:hAnsi="Arial" w:cs="Arial"/>
          <w:sz w:val="22"/>
        </w:rPr>
      </w:pPr>
      <w:r w:rsidRPr="2B532F71">
        <w:rPr>
          <w:rFonts w:ascii="Arial" w:hAnsi="Arial" w:cs="Arial"/>
          <w:sz w:val="22"/>
        </w:rPr>
        <w:t>Chronic illnesses affect many adults in the UK and often require ongoing treatment and support. Accessing consistent care can be difficult because of waiting times, travel distances, and limited resources. Telehealth has emerged as a useful approach for improving accessibility, communication, and continuity of care for people managing long-term conditions. Recent UK evidence shows that remote consultations can enhance patient satisfaction and support self-management (Ladds et al., 2023; Parry et al., 2023). During the pandemic, telehealth became essential in helping adults with chronic illnesses maintain regular contact with healthcare professionals and manage their wellbeing (</w:t>
      </w:r>
      <w:proofErr w:type="spellStart"/>
      <w:r w:rsidRPr="2B532F71">
        <w:rPr>
          <w:rFonts w:ascii="Arial" w:hAnsi="Arial" w:cs="Arial"/>
          <w:sz w:val="22"/>
        </w:rPr>
        <w:t>Wherton</w:t>
      </w:r>
      <w:proofErr w:type="spellEnd"/>
      <w:r w:rsidRPr="2B532F71">
        <w:rPr>
          <w:rFonts w:ascii="Arial" w:hAnsi="Arial" w:cs="Arial"/>
          <w:sz w:val="22"/>
        </w:rPr>
        <w:t xml:space="preserve"> et al., 2021; Corcoran, Marley Campbell, and </w:t>
      </w:r>
      <w:proofErr w:type="spellStart"/>
      <w:r w:rsidRPr="2B532F71">
        <w:rPr>
          <w:rFonts w:ascii="Arial" w:hAnsi="Arial" w:cs="Arial"/>
          <w:sz w:val="22"/>
        </w:rPr>
        <w:t>Ladores</w:t>
      </w:r>
      <w:proofErr w:type="spellEnd"/>
      <w:r w:rsidRPr="2B532F71">
        <w:rPr>
          <w:rFonts w:ascii="Arial" w:hAnsi="Arial" w:cs="Arial"/>
          <w:sz w:val="22"/>
        </w:rPr>
        <w:t>, 2023). However, issues such as digital exclusion and uneven patient engagement continue to present barriers (Greenhalgh et al., 2017).</w:t>
      </w:r>
    </w:p>
    <w:p w14:paraId="41FF2803" w14:textId="53FD81FA" w:rsidR="34C296D2" w:rsidRDefault="34C296D2" w:rsidP="2B532F71">
      <w:pPr>
        <w:tabs>
          <w:tab w:val="left" w:pos="6540"/>
        </w:tabs>
        <w:spacing w:line="360" w:lineRule="auto"/>
        <w:jc w:val="both"/>
        <w:rPr>
          <w:rFonts w:ascii="Arial" w:hAnsi="Arial" w:cs="Arial"/>
          <w:sz w:val="22"/>
        </w:rPr>
      </w:pPr>
      <w:r w:rsidRPr="2B532F71">
        <w:rPr>
          <w:rFonts w:ascii="Arial" w:hAnsi="Arial" w:cs="Arial"/>
          <w:sz w:val="22"/>
        </w:rPr>
        <w:lastRenderedPageBreak/>
        <w:t>Telehealth is also a key priority in the NHS Long Term Plan, which aims to expand remote monitoring and digital care to support people with long-term conditions. This makes it important to understand whether telehealth is being used effectively in UK practice.</w:t>
      </w:r>
    </w:p>
    <w:p w14:paraId="723549D8" w14:textId="5D903848" w:rsidR="34C296D2" w:rsidRDefault="34C296D2" w:rsidP="2B532F71">
      <w:pPr>
        <w:tabs>
          <w:tab w:val="left" w:pos="6540"/>
        </w:tabs>
        <w:spacing w:line="360" w:lineRule="auto"/>
        <w:jc w:val="both"/>
        <w:rPr>
          <w:rFonts w:ascii="Arial" w:hAnsi="Arial" w:cs="Arial"/>
          <w:sz w:val="22"/>
        </w:rPr>
      </w:pPr>
      <w:r w:rsidRPr="2B532F71">
        <w:rPr>
          <w:rFonts w:ascii="Arial" w:hAnsi="Arial" w:cs="Arial"/>
          <w:sz w:val="22"/>
        </w:rPr>
        <w:t>This project investigates how telehealth supports adults in managing chronic illness across the UK and highlights opportunities to improve accessibility, communication, and patient experience.</w:t>
      </w:r>
    </w:p>
    <w:p w14:paraId="5C1DF044" w14:textId="628EE408" w:rsidR="00FD5F3F" w:rsidRDefault="57EC8B9D" w:rsidP="57CAFEC2">
      <w:pPr>
        <w:tabs>
          <w:tab w:val="left" w:pos="6540"/>
        </w:tabs>
        <w:spacing w:line="360" w:lineRule="auto"/>
        <w:jc w:val="both"/>
        <w:rPr>
          <w:rFonts w:ascii="Arial" w:hAnsi="Arial" w:cs="Arial"/>
          <w:sz w:val="22"/>
        </w:rPr>
      </w:pPr>
      <w:r w:rsidRPr="57CAFEC2">
        <w:rPr>
          <w:rFonts w:ascii="Arial" w:hAnsi="Arial" w:cs="Arial"/>
          <w:b/>
          <w:bCs/>
        </w:rPr>
        <w:t>Review question</w:t>
      </w:r>
      <w:r w:rsidRPr="57CAFEC2">
        <w:rPr>
          <w:rFonts w:ascii="Arial" w:hAnsi="Arial" w:cs="Arial"/>
          <w:b/>
          <w:bCs/>
          <w:sz w:val="22"/>
        </w:rPr>
        <w:t>:</w:t>
      </w:r>
      <w:r w:rsidRPr="57CAFEC2">
        <w:rPr>
          <w:rFonts w:ascii="Arial" w:hAnsi="Arial" w:cs="Arial"/>
          <w:sz w:val="22"/>
        </w:rPr>
        <w:t xml:space="preserve"> How effective are telehealth services in supporting the management of chronic illness among adults in the UK</w:t>
      </w:r>
      <w:r w:rsidR="2A9BF24A" w:rsidRPr="57CAFEC2">
        <w:rPr>
          <w:rFonts w:ascii="Arial" w:hAnsi="Arial" w:cs="Arial"/>
          <w:sz w:val="22"/>
        </w:rPr>
        <w:t>?</w:t>
      </w:r>
    </w:p>
    <w:p w14:paraId="61937F24" w14:textId="6C82A1C8" w:rsidR="33588F4B" w:rsidRDefault="33588F4B" w:rsidP="33588F4B">
      <w:pPr>
        <w:tabs>
          <w:tab w:val="left" w:pos="6540"/>
        </w:tabs>
        <w:spacing w:line="360" w:lineRule="auto"/>
        <w:rPr>
          <w:rFonts w:ascii="Arial" w:hAnsi="Arial" w:cs="Arial"/>
          <w:b/>
          <w:bCs/>
          <w:sz w:val="22"/>
        </w:rPr>
      </w:pPr>
    </w:p>
    <w:p w14:paraId="5C7FFE43" w14:textId="77777777" w:rsidR="00CE15EF" w:rsidRPr="00CE15EF" w:rsidRDefault="00CE15EF" w:rsidP="6DD8D1AF">
      <w:pPr>
        <w:tabs>
          <w:tab w:val="left" w:pos="6540"/>
        </w:tabs>
        <w:spacing w:line="360" w:lineRule="auto"/>
        <w:rPr>
          <w:rFonts w:ascii="Arial" w:hAnsi="Arial" w:cs="Arial"/>
          <w:b/>
          <w:bCs/>
          <w:sz w:val="22"/>
        </w:rPr>
      </w:pPr>
      <w:r w:rsidRPr="6DD8D1AF">
        <w:rPr>
          <w:rFonts w:ascii="Arial" w:hAnsi="Arial" w:cs="Arial"/>
          <w:b/>
          <w:bCs/>
          <w:szCs w:val="24"/>
        </w:rPr>
        <w:t xml:space="preserve">Objectives: </w:t>
      </w:r>
      <w:r w:rsidRPr="6DD8D1AF">
        <w:rPr>
          <w:rFonts w:ascii="Arial" w:hAnsi="Arial" w:cs="Arial"/>
          <w:b/>
          <w:bCs/>
          <w:sz w:val="22"/>
        </w:rPr>
        <w:t xml:space="preserve">  </w:t>
      </w:r>
    </w:p>
    <w:p w14:paraId="354A277C" w14:textId="77777777" w:rsidR="00CE15EF" w:rsidRPr="00CE15EF" w:rsidRDefault="00CE15EF" w:rsidP="33588F4B">
      <w:pPr>
        <w:pStyle w:val="ListParagraph"/>
        <w:numPr>
          <w:ilvl w:val="0"/>
          <w:numId w:val="16"/>
        </w:numPr>
        <w:tabs>
          <w:tab w:val="left" w:pos="6540"/>
        </w:tabs>
        <w:spacing w:line="360" w:lineRule="auto"/>
        <w:rPr>
          <w:rFonts w:ascii="Arial" w:hAnsi="Arial" w:cs="Arial"/>
          <w:sz w:val="22"/>
        </w:rPr>
      </w:pPr>
      <w:r w:rsidRPr="33588F4B">
        <w:rPr>
          <w:rFonts w:ascii="Arial" w:hAnsi="Arial" w:cs="Arial"/>
          <w:sz w:val="22"/>
        </w:rPr>
        <w:t xml:space="preserve">To explore current evidence on the use and effectiveness of telehealth services in managing adults with chronic illnesses in the UK. </w:t>
      </w:r>
    </w:p>
    <w:p w14:paraId="78D97D09" w14:textId="77777777" w:rsidR="00CE15EF" w:rsidRPr="00CE15EF" w:rsidRDefault="00CE15EF" w:rsidP="33588F4B">
      <w:pPr>
        <w:pStyle w:val="ListParagraph"/>
        <w:numPr>
          <w:ilvl w:val="0"/>
          <w:numId w:val="16"/>
        </w:numPr>
        <w:tabs>
          <w:tab w:val="left" w:pos="6540"/>
        </w:tabs>
        <w:spacing w:line="360" w:lineRule="auto"/>
        <w:rPr>
          <w:rFonts w:ascii="Arial" w:hAnsi="Arial" w:cs="Arial"/>
          <w:sz w:val="22"/>
        </w:rPr>
      </w:pPr>
      <w:r w:rsidRPr="33588F4B">
        <w:rPr>
          <w:rFonts w:ascii="Arial" w:hAnsi="Arial" w:cs="Arial"/>
          <w:sz w:val="22"/>
        </w:rPr>
        <w:t xml:space="preserve">To evaluate the benefits and challenges of using telehealth for long-term condition management. </w:t>
      </w:r>
    </w:p>
    <w:p w14:paraId="18A3E73D" w14:textId="4A9EBCED" w:rsidR="00CE15EF" w:rsidRDefault="00CE15EF" w:rsidP="33588F4B">
      <w:pPr>
        <w:pStyle w:val="ListParagraph"/>
        <w:numPr>
          <w:ilvl w:val="0"/>
          <w:numId w:val="16"/>
        </w:numPr>
        <w:tabs>
          <w:tab w:val="left" w:pos="6540"/>
        </w:tabs>
        <w:spacing w:line="360" w:lineRule="auto"/>
        <w:jc w:val="both"/>
        <w:rPr>
          <w:rFonts w:ascii="Arial" w:hAnsi="Arial" w:cs="Arial"/>
          <w:sz w:val="22"/>
        </w:rPr>
      </w:pPr>
      <w:r w:rsidRPr="54CF8570">
        <w:rPr>
          <w:rFonts w:ascii="Arial" w:hAnsi="Arial" w:cs="Arial"/>
          <w:sz w:val="22"/>
        </w:rPr>
        <w:t>To provide recommendations for improving digital health delivery and patient wellbeing through effective telehealth practices in UK health and social care.</w:t>
      </w:r>
    </w:p>
    <w:p w14:paraId="4F0CD5E5" w14:textId="7474B8A9" w:rsidR="54CF8570" w:rsidRDefault="54CF8570" w:rsidP="54CF8570">
      <w:pPr>
        <w:rPr>
          <w:rFonts w:ascii="Arial" w:eastAsia="Arial" w:hAnsi="Arial" w:cs="Arial"/>
          <w:b/>
          <w:bCs/>
        </w:rPr>
      </w:pPr>
    </w:p>
    <w:p w14:paraId="61B7D57F" w14:textId="0284B357" w:rsidR="6787C21B" w:rsidRDefault="6787C21B" w:rsidP="009E391A">
      <w:pPr>
        <w:pStyle w:val="Heading1"/>
      </w:pPr>
      <w:bookmarkStart w:id="3" w:name="_Toc216018608"/>
      <w:r w:rsidRPr="437E0BE5">
        <w:t>2. Background</w:t>
      </w:r>
      <w:bookmarkEnd w:id="3"/>
    </w:p>
    <w:p w14:paraId="220DF274" w14:textId="79CF494B" w:rsidR="198956B2" w:rsidRDefault="198956B2" w:rsidP="49145D91">
      <w:pPr>
        <w:spacing w:line="360" w:lineRule="auto"/>
        <w:jc w:val="both"/>
        <w:rPr>
          <w:rFonts w:ascii="Arial" w:eastAsia="Arial" w:hAnsi="Arial" w:cs="Arial"/>
          <w:sz w:val="22"/>
        </w:rPr>
      </w:pPr>
      <w:r w:rsidRPr="49145D91">
        <w:rPr>
          <w:rFonts w:ascii="Arial" w:eastAsia="Arial" w:hAnsi="Arial" w:cs="Arial"/>
          <w:sz w:val="22"/>
        </w:rPr>
        <w:t xml:space="preserve">Chronic illnesses are a major cause of long-term healthcare use in the UK, and the number of adults living with these conditions has increased steadily over the past decade. Long-term conditions such as diabetes, heart failure and chronic respiratory disease often require continuous monitoring, timely treatment </w:t>
      </w:r>
      <w:r w:rsidR="00424EFE" w:rsidRPr="49145D91">
        <w:rPr>
          <w:rFonts w:ascii="Arial" w:eastAsia="Arial" w:hAnsi="Arial" w:cs="Arial"/>
          <w:sz w:val="22"/>
        </w:rPr>
        <w:t>adjustments,</w:t>
      </w:r>
      <w:r w:rsidRPr="49145D91">
        <w:rPr>
          <w:rFonts w:ascii="Arial" w:eastAsia="Arial" w:hAnsi="Arial" w:cs="Arial"/>
          <w:sz w:val="22"/>
        </w:rPr>
        <w:t xml:space="preserve"> and regular communication with healthcare professionals. As demand for services rises, the NHS faces significant pressures, including increased workloads for clinicians, limited appointment </w:t>
      </w:r>
      <w:r w:rsidR="002C62D6" w:rsidRPr="49145D91">
        <w:rPr>
          <w:rFonts w:ascii="Arial" w:eastAsia="Arial" w:hAnsi="Arial" w:cs="Arial"/>
          <w:sz w:val="22"/>
        </w:rPr>
        <w:t>availability,</w:t>
      </w:r>
      <w:r w:rsidRPr="49145D91">
        <w:rPr>
          <w:rFonts w:ascii="Arial" w:eastAsia="Arial" w:hAnsi="Arial" w:cs="Arial"/>
          <w:sz w:val="22"/>
        </w:rPr>
        <w:t xml:space="preserve"> and growing inequalities in access to care. These challenges highlight why alternative approaches to providing ongoing support are becoming increasingly important within the UK health system (NHS, 2021).</w:t>
      </w:r>
    </w:p>
    <w:p w14:paraId="3C72C297" w14:textId="31379F1A" w:rsidR="198956B2" w:rsidRDefault="198956B2" w:rsidP="49145D91">
      <w:pPr>
        <w:spacing w:line="360" w:lineRule="auto"/>
        <w:jc w:val="both"/>
        <w:rPr>
          <w:rFonts w:ascii="Arial" w:eastAsia="Arial" w:hAnsi="Arial" w:cs="Arial"/>
          <w:sz w:val="22"/>
        </w:rPr>
      </w:pPr>
      <w:r w:rsidRPr="49145D91">
        <w:rPr>
          <w:rFonts w:ascii="Arial" w:eastAsia="Arial" w:hAnsi="Arial" w:cs="Arial"/>
          <w:sz w:val="22"/>
        </w:rPr>
        <w:t xml:space="preserve">Telehealth has been introduced as one approach to improving access to care and supporting adults in managing their health at home. It includes a range of digital tools, such as remote consultations, electronic symptom reporting and telemonitoring devices that allow patients to share health information with clinicians without attending in-person appointments. Evidence suggests that telehealth can increase convenience for adults with long-term conditions, reduce the need for travel, and help maintain communication between patients and clinical teams </w:t>
      </w:r>
      <w:r w:rsidRPr="49145D91">
        <w:rPr>
          <w:rFonts w:ascii="Arial" w:eastAsia="Arial" w:hAnsi="Arial" w:cs="Arial"/>
          <w:sz w:val="22"/>
        </w:rPr>
        <w:lastRenderedPageBreak/>
        <w:t>(Parry e</w:t>
      </w:r>
      <w:r w:rsidR="09886BA2" w:rsidRPr="49145D91">
        <w:rPr>
          <w:rFonts w:ascii="Arial" w:eastAsia="Arial" w:hAnsi="Arial" w:cs="Arial"/>
          <w:sz w:val="22"/>
        </w:rPr>
        <w:t>t al</w:t>
      </w:r>
      <w:r w:rsidRPr="49145D91">
        <w:rPr>
          <w:rFonts w:ascii="Arial" w:eastAsia="Arial" w:hAnsi="Arial" w:cs="Arial"/>
          <w:sz w:val="22"/>
        </w:rPr>
        <w:t>., 2023; Atherton et</w:t>
      </w:r>
      <w:r w:rsidR="34CEBF28" w:rsidRPr="49145D91">
        <w:rPr>
          <w:rFonts w:ascii="Arial" w:eastAsia="Arial" w:hAnsi="Arial" w:cs="Arial"/>
          <w:sz w:val="22"/>
        </w:rPr>
        <w:t xml:space="preserve"> al</w:t>
      </w:r>
      <w:r w:rsidRPr="49145D91">
        <w:rPr>
          <w:rFonts w:ascii="Arial" w:eastAsia="Arial" w:hAnsi="Arial" w:cs="Arial"/>
          <w:sz w:val="22"/>
        </w:rPr>
        <w:t>., 2018). For many people, telehealth provides greater flexibility in managing routine care and offers reassurance through regular remote contact.</w:t>
      </w:r>
    </w:p>
    <w:p w14:paraId="2E040B79" w14:textId="20DB1FA6" w:rsidR="198956B2" w:rsidRDefault="198956B2" w:rsidP="49145D91">
      <w:pPr>
        <w:spacing w:line="360" w:lineRule="auto"/>
        <w:jc w:val="both"/>
        <w:rPr>
          <w:rFonts w:ascii="Arial" w:eastAsia="Arial" w:hAnsi="Arial" w:cs="Arial"/>
          <w:sz w:val="22"/>
        </w:rPr>
      </w:pPr>
      <w:r w:rsidRPr="49145D91">
        <w:rPr>
          <w:rFonts w:ascii="Arial" w:eastAsia="Arial" w:hAnsi="Arial" w:cs="Arial"/>
          <w:sz w:val="22"/>
        </w:rPr>
        <w:t xml:space="preserve">Research also shows that telehealth has the potential to support early intervention. When adults submit symptom updates or physiological readings from home, clinicians may be able to identify early signs of deterioration and intervene sooner, which can help prevent complications or unnecessary hospital admissions (Ma </w:t>
      </w:r>
      <w:r w:rsidR="465F00A8" w:rsidRPr="49145D91">
        <w:rPr>
          <w:rFonts w:ascii="Arial" w:eastAsia="Arial" w:hAnsi="Arial" w:cs="Arial"/>
          <w:sz w:val="22"/>
        </w:rPr>
        <w:t>et</w:t>
      </w:r>
      <w:r w:rsidR="15205C94" w:rsidRPr="49145D91">
        <w:rPr>
          <w:rFonts w:ascii="Arial" w:eastAsia="Arial" w:hAnsi="Arial" w:cs="Arial"/>
          <w:sz w:val="22"/>
        </w:rPr>
        <w:t xml:space="preserve"> al</w:t>
      </w:r>
      <w:r w:rsidRPr="49145D91">
        <w:rPr>
          <w:rFonts w:ascii="Arial" w:eastAsia="Arial" w:hAnsi="Arial" w:cs="Arial"/>
          <w:sz w:val="22"/>
        </w:rPr>
        <w:t>, 2022). In addition, digital tools can encourage greater involvement from patients by supporting self-monitoring and helping them recognise changes in their condition, which may contribute to improved confidence and engagement (Leo et</w:t>
      </w:r>
      <w:r w:rsidR="664F539E" w:rsidRPr="49145D91">
        <w:rPr>
          <w:rFonts w:ascii="Arial" w:eastAsia="Arial" w:hAnsi="Arial" w:cs="Arial"/>
          <w:sz w:val="22"/>
        </w:rPr>
        <w:t xml:space="preserve"> al</w:t>
      </w:r>
      <w:r w:rsidRPr="49145D91">
        <w:rPr>
          <w:rFonts w:ascii="Arial" w:eastAsia="Arial" w:hAnsi="Arial" w:cs="Arial"/>
          <w:sz w:val="22"/>
        </w:rPr>
        <w:t>., 2022).</w:t>
      </w:r>
    </w:p>
    <w:p w14:paraId="79F84CFC" w14:textId="38487C40" w:rsidR="198956B2" w:rsidRDefault="198956B2" w:rsidP="49145D91">
      <w:pPr>
        <w:spacing w:line="360" w:lineRule="auto"/>
        <w:jc w:val="both"/>
        <w:rPr>
          <w:rFonts w:ascii="Arial" w:eastAsia="Arial" w:hAnsi="Arial" w:cs="Arial"/>
          <w:sz w:val="22"/>
        </w:rPr>
      </w:pPr>
      <w:r w:rsidRPr="49145D91">
        <w:rPr>
          <w:rFonts w:ascii="Arial" w:eastAsia="Arial" w:hAnsi="Arial" w:cs="Arial"/>
          <w:sz w:val="22"/>
        </w:rPr>
        <w:t>However, several barriers limit the effectiveness of telehealth in practice. Digital exclusion remains a significant concern, particularly for adults who lack the skills, confidence or internet access needed to use remote systems effectively (Good Things Foundation, 2024). There are also organisational challenges within healthcare services. Telehealth is less likely to be successful when staff do not have adequate time to review incoming data or when remote systems are not embedded into routine clinical pathways (Murphy et</w:t>
      </w:r>
      <w:r w:rsidR="08E547AA" w:rsidRPr="49145D91">
        <w:rPr>
          <w:rFonts w:ascii="Arial" w:eastAsia="Arial" w:hAnsi="Arial" w:cs="Arial"/>
          <w:sz w:val="22"/>
        </w:rPr>
        <w:t xml:space="preserve"> al</w:t>
      </w:r>
      <w:r w:rsidRPr="49145D91">
        <w:rPr>
          <w:rFonts w:ascii="Arial" w:eastAsia="Arial" w:hAnsi="Arial" w:cs="Arial"/>
          <w:sz w:val="22"/>
        </w:rPr>
        <w:t>., 2021). Studies have also shown that inconsistent follow-up and unclear clinical responsibilities can reduce the effectiveness of telehealth, especially for individuals with complex health needs (Greenhalgh et</w:t>
      </w:r>
      <w:r w:rsidR="1E97ECEC" w:rsidRPr="49145D91">
        <w:rPr>
          <w:rFonts w:ascii="Arial" w:eastAsia="Arial" w:hAnsi="Arial" w:cs="Arial"/>
          <w:sz w:val="22"/>
        </w:rPr>
        <w:t xml:space="preserve"> al</w:t>
      </w:r>
      <w:r w:rsidRPr="49145D91">
        <w:rPr>
          <w:rFonts w:ascii="Arial" w:eastAsia="Arial" w:hAnsi="Arial" w:cs="Arial"/>
          <w:sz w:val="22"/>
        </w:rPr>
        <w:t>., 2017).</w:t>
      </w:r>
    </w:p>
    <w:p w14:paraId="3E258044" w14:textId="5AAC9513" w:rsidR="437E0BE5" w:rsidRPr="00113AF3" w:rsidRDefault="00113AF3" w:rsidP="00113AF3">
      <w:pPr>
        <w:spacing w:line="360" w:lineRule="auto"/>
        <w:jc w:val="both"/>
        <w:rPr>
          <w:rFonts w:ascii="Arial" w:eastAsia="Arial" w:hAnsi="Arial" w:cs="Arial"/>
          <w:sz w:val="22"/>
        </w:rPr>
      </w:pPr>
      <w:r w:rsidRPr="00113AF3">
        <w:rPr>
          <w:rFonts w:ascii="Arial" w:eastAsia="Arial" w:hAnsi="Arial" w:cs="Arial"/>
          <w:sz w:val="22"/>
        </w:rPr>
        <w:t>Understanding these wider contextual factors is essential for interpreting research findings. Telehealth offers important opportunities to support adults with long-term conditions, but its success depends on digital access, service capacity and how well systems are integrated into everyday clinical practice. It is also important to recognise that the UK health system is currently undergoing significant digital transformation, with national strategies encouraging the adoption of remote technologies to manage rising levels of chronic illness. These broader policy developments mean that telehealth is not only a clinical tool but also a key element in shaping how future services will operate, making it vital to evaluate its strengths and limitations in real-world settings.</w:t>
      </w:r>
    </w:p>
    <w:p w14:paraId="06843A40" w14:textId="31E27D7B" w:rsidR="437E0BE5" w:rsidRDefault="437E0BE5" w:rsidP="437E0BE5">
      <w:pPr>
        <w:rPr>
          <w:rFonts w:ascii="Arial" w:eastAsia="Arial" w:hAnsi="Arial" w:cs="Arial"/>
          <w:b/>
          <w:bCs/>
        </w:rPr>
      </w:pPr>
    </w:p>
    <w:p w14:paraId="60B2CDC3" w14:textId="75A7BD94" w:rsidR="00B87E75" w:rsidRPr="00CD33A8" w:rsidRDefault="6787C21B" w:rsidP="009E391A">
      <w:pPr>
        <w:pStyle w:val="Heading1"/>
      </w:pPr>
      <w:bookmarkStart w:id="4" w:name="_Toc216018609"/>
      <w:r w:rsidRPr="2B532F71">
        <w:t>3</w:t>
      </w:r>
      <w:r w:rsidR="3DC82109" w:rsidRPr="2B532F71">
        <w:t>. Method</w:t>
      </w:r>
      <w:r w:rsidR="3A8F547B" w:rsidRPr="2B532F71">
        <w:t>s</w:t>
      </w:r>
      <w:bookmarkEnd w:id="4"/>
    </w:p>
    <w:p w14:paraId="297CB634" w14:textId="0A5CB8B6" w:rsidR="6DD8D1AF" w:rsidRDefault="06956E4B" w:rsidP="2B532F71">
      <w:pPr>
        <w:tabs>
          <w:tab w:val="left" w:pos="6540"/>
        </w:tabs>
        <w:spacing w:line="360" w:lineRule="auto"/>
        <w:jc w:val="both"/>
      </w:pPr>
      <w:r w:rsidRPr="437E0BE5">
        <w:rPr>
          <w:rFonts w:asciiTheme="minorBidi" w:hAnsiTheme="minorBidi"/>
          <w:sz w:val="22"/>
        </w:rPr>
        <w:t xml:space="preserve">This project uses a secondary research design with a scoping review approach to explore and evaluate existing academic evidence on telehealth for adults with chronic illnesses in the UK. </w:t>
      </w:r>
      <w:r w:rsidR="3D71B24B" w:rsidRPr="437E0BE5">
        <w:rPr>
          <w:rFonts w:asciiTheme="minorBidi" w:hAnsiTheme="minorBidi"/>
          <w:sz w:val="22"/>
        </w:rPr>
        <w:t>The review question, objectives, inclusion and exclusion criteria, and search strategy were taken from the previous assessment and applied consistently in this extended report.</w:t>
      </w:r>
    </w:p>
    <w:p w14:paraId="017DEE50" w14:textId="4EB5DC86" w:rsidR="437E0BE5" w:rsidRDefault="437E0BE5" w:rsidP="437E0BE5">
      <w:pPr>
        <w:tabs>
          <w:tab w:val="left" w:pos="6540"/>
        </w:tabs>
        <w:spacing w:line="360" w:lineRule="auto"/>
        <w:jc w:val="both"/>
        <w:rPr>
          <w:rFonts w:asciiTheme="minorBidi" w:hAnsiTheme="minorBidi"/>
          <w:b/>
          <w:bCs/>
        </w:rPr>
      </w:pPr>
    </w:p>
    <w:p w14:paraId="4D067611" w14:textId="2EEDFF79" w:rsidR="00CE15EF" w:rsidRPr="00CE15EF" w:rsidRDefault="00CE15EF" w:rsidP="00C93849">
      <w:pPr>
        <w:tabs>
          <w:tab w:val="left" w:pos="6540"/>
        </w:tabs>
        <w:spacing w:line="360" w:lineRule="auto"/>
        <w:jc w:val="both"/>
      </w:pPr>
      <w:r w:rsidRPr="6DD8D1AF">
        <w:rPr>
          <w:rFonts w:asciiTheme="minorBidi" w:hAnsiTheme="minorBidi"/>
          <w:b/>
          <w:bCs/>
          <w:szCs w:val="24"/>
        </w:rPr>
        <w:lastRenderedPageBreak/>
        <w:t>Databases:</w:t>
      </w:r>
      <w:r w:rsidR="24C99B3A" w:rsidRPr="6DD8D1AF">
        <w:rPr>
          <w:rFonts w:asciiTheme="minorBidi" w:hAnsiTheme="minorBidi"/>
          <w:b/>
          <w:bCs/>
          <w:sz w:val="22"/>
        </w:rPr>
        <w:t xml:space="preserve"> </w:t>
      </w:r>
      <w:r w:rsidR="24C99B3A" w:rsidRPr="6DD8D1AF">
        <w:rPr>
          <w:rFonts w:asciiTheme="minorBidi" w:hAnsiTheme="minorBidi"/>
          <w:sz w:val="22"/>
        </w:rPr>
        <w:t>Data were collected from credible and academically recognised databases to ensure reliability and quality. Searches were conducted in: PubMed/MEDLINE, ProQuest Google Scholar, UWTSD Library electronic databases (including CINAHL, PsycINFO and Scopus, where relevant)</w:t>
      </w:r>
    </w:p>
    <w:p w14:paraId="3ED922D6" w14:textId="5F8B4E51" w:rsidR="00CE15EF" w:rsidRPr="00CE15EF" w:rsidRDefault="24C99B3A" w:rsidP="6DD8D1AF">
      <w:pPr>
        <w:tabs>
          <w:tab w:val="left" w:pos="6540"/>
        </w:tabs>
        <w:spacing w:line="360" w:lineRule="auto"/>
        <w:jc w:val="both"/>
        <w:rPr>
          <w:rFonts w:asciiTheme="minorBidi" w:hAnsiTheme="minorBidi"/>
          <w:sz w:val="22"/>
        </w:rPr>
      </w:pPr>
      <w:r w:rsidRPr="6DD8D1AF">
        <w:rPr>
          <w:rFonts w:asciiTheme="minorBidi" w:hAnsiTheme="minorBidi"/>
          <w:sz w:val="22"/>
        </w:rPr>
        <w:t>Using multiple databases helped maximise the retrieval of relevant UK-based telehealth studies and reduce publication bias.</w:t>
      </w:r>
    </w:p>
    <w:p w14:paraId="26C19B46" w14:textId="081E4235" w:rsidR="00CE15EF" w:rsidRPr="00CE15EF" w:rsidRDefault="00CE15EF" w:rsidP="6DD8D1AF">
      <w:pPr>
        <w:tabs>
          <w:tab w:val="left" w:pos="6540"/>
        </w:tabs>
        <w:spacing w:line="360" w:lineRule="auto"/>
        <w:jc w:val="both"/>
        <w:rPr>
          <w:rFonts w:asciiTheme="minorBidi" w:hAnsiTheme="minorBidi"/>
          <w:sz w:val="22"/>
        </w:rPr>
      </w:pPr>
      <w:r w:rsidRPr="437E0BE5">
        <w:rPr>
          <w:rFonts w:asciiTheme="minorBidi" w:hAnsiTheme="minorBidi"/>
          <w:b/>
          <w:bCs/>
        </w:rPr>
        <w:t>Keywords:</w:t>
      </w:r>
      <w:r w:rsidRPr="437E0BE5">
        <w:rPr>
          <w:rFonts w:asciiTheme="minorBidi" w:hAnsiTheme="minorBidi"/>
        </w:rPr>
        <w:t xml:space="preserve"> </w:t>
      </w:r>
      <w:r w:rsidRPr="437E0BE5">
        <w:rPr>
          <w:rFonts w:asciiTheme="minorBidi" w:hAnsiTheme="minorBidi"/>
          <w:sz w:val="22"/>
        </w:rPr>
        <w:t>telehealth,</w:t>
      </w:r>
      <w:r w:rsidR="35BCAF51" w:rsidRPr="437E0BE5">
        <w:rPr>
          <w:rFonts w:asciiTheme="minorBidi" w:hAnsiTheme="minorBidi"/>
          <w:sz w:val="22"/>
        </w:rPr>
        <w:t xml:space="preserve"> telemedicine,</w:t>
      </w:r>
      <w:r w:rsidRPr="437E0BE5">
        <w:rPr>
          <w:rFonts w:asciiTheme="minorBidi" w:hAnsiTheme="minorBidi"/>
          <w:sz w:val="22"/>
        </w:rPr>
        <w:t xml:space="preserve"> digital healthcare, chronic illness, long-term conditions, patient wellbeing, continuity of care, patient engagement, remote consultations,</w:t>
      </w:r>
      <w:r w:rsidR="00257085" w:rsidRPr="437E0BE5">
        <w:rPr>
          <w:rFonts w:asciiTheme="minorBidi" w:hAnsiTheme="minorBidi"/>
          <w:sz w:val="22"/>
        </w:rPr>
        <w:t xml:space="preserve"> adult patients, long</w:t>
      </w:r>
      <w:r w:rsidRPr="437E0BE5">
        <w:rPr>
          <w:rFonts w:asciiTheme="minorBidi" w:hAnsiTheme="minorBidi"/>
          <w:sz w:val="22"/>
        </w:rPr>
        <w:t>-term conditions</w:t>
      </w:r>
      <w:r w:rsidR="4C6BB7DF" w:rsidRPr="437E0BE5">
        <w:rPr>
          <w:rFonts w:asciiTheme="minorBidi" w:hAnsiTheme="minorBidi"/>
          <w:sz w:val="22"/>
        </w:rPr>
        <w:t>,</w:t>
      </w:r>
      <w:r w:rsidRPr="437E0BE5">
        <w:rPr>
          <w:rFonts w:asciiTheme="minorBidi" w:hAnsiTheme="minorBidi"/>
          <w:sz w:val="22"/>
        </w:rPr>
        <w:t xml:space="preserve"> self-management, digital inclusion, </w:t>
      </w:r>
      <w:r w:rsidR="00257085" w:rsidRPr="437E0BE5">
        <w:rPr>
          <w:rFonts w:asciiTheme="minorBidi" w:hAnsiTheme="minorBidi"/>
          <w:sz w:val="22"/>
        </w:rPr>
        <w:t xml:space="preserve">diabetes, heart failure, COPD, asthma, </w:t>
      </w:r>
      <w:r w:rsidRPr="437E0BE5">
        <w:rPr>
          <w:rFonts w:asciiTheme="minorBidi" w:hAnsiTheme="minorBidi"/>
          <w:sz w:val="22"/>
        </w:rPr>
        <w:t xml:space="preserve">access to care, NHS digital transformation, UK health system, service accessibility.  </w:t>
      </w:r>
    </w:p>
    <w:p w14:paraId="0B3BA40D" w14:textId="4AA4570B" w:rsidR="437E0BE5" w:rsidRDefault="437E0BE5" w:rsidP="437E0BE5">
      <w:pPr>
        <w:tabs>
          <w:tab w:val="left" w:pos="6540"/>
        </w:tabs>
        <w:spacing w:line="360" w:lineRule="auto"/>
        <w:jc w:val="both"/>
        <w:rPr>
          <w:rFonts w:asciiTheme="minorBidi" w:hAnsiTheme="minorBidi"/>
          <w:b/>
          <w:bCs/>
        </w:rPr>
      </w:pPr>
    </w:p>
    <w:p w14:paraId="0BE70745" w14:textId="5AB0EE70" w:rsidR="006D2CC4" w:rsidRPr="006D2CC4" w:rsidRDefault="0004566B" w:rsidP="6DD8D1AF">
      <w:pPr>
        <w:tabs>
          <w:tab w:val="left" w:pos="6540"/>
        </w:tabs>
        <w:spacing w:line="360" w:lineRule="auto"/>
        <w:jc w:val="both"/>
        <w:rPr>
          <w:rFonts w:asciiTheme="minorBidi" w:hAnsiTheme="minorBidi"/>
          <w:b/>
          <w:bCs/>
          <w:szCs w:val="24"/>
        </w:rPr>
      </w:pPr>
      <w:r w:rsidRPr="6DD8D1AF">
        <w:rPr>
          <w:rFonts w:asciiTheme="minorBidi" w:hAnsiTheme="minorBidi"/>
          <w:b/>
          <w:bCs/>
          <w:szCs w:val="24"/>
        </w:rPr>
        <w:t>Inclusion crit</w:t>
      </w:r>
      <w:r w:rsidR="006D2CC4" w:rsidRPr="6DD8D1AF">
        <w:rPr>
          <w:rFonts w:asciiTheme="minorBidi" w:hAnsiTheme="minorBidi"/>
          <w:b/>
          <w:bCs/>
          <w:szCs w:val="24"/>
        </w:rPr>
        <w:t xml:space="preserve">eria: </w:t>
      </w:r>
    </w:p>
    <w:p w14:paraId="1B9BBE96" w14:textId="475FF069" w:rsidR="796A2DBC" w:rsidRDefault="796A2DBC" w:rsidP="6DD8D1AF">
      <w:pPr>
        <w:tabs>
          <w:tab w:val="left" w:pos="6540"/>
        </w:tabs>
        <w:spacing w:line="360" w:lineRule="auto"/>
        <w:jc w:val="both"/>
        <w:rPr>
          <w:rFonts w:asciiTheme="minorBidi" w:hAnsiTheme="minorBidi"/>
          <w:sz w:val="22"/>
        </w:rPr>
      </w:pPr>
      <w:r w:rsidRPr="6DD8D1AF">
        <w:rPr>
          <w:rFonts w:asciiTheme="minorBidi" w:hAnsiTheme="minorBidi"/>
          <w:b/>
          <w:bCs/>
          <w:sz w:val="22"/>
        </w:rPr>
        <w:t xml:space="preserve">• </w:t>
      </w:r>
      <w:r w:rsidRPr="6DD8D1AF">
        <w:rPr>
          <w:rFonts w:asciiTheme="minorBidi" w:hAnsiTheme="minorBidi"/>
          <w:sz w:val="22"/>
        </w:rPr>
        <w:t>UK-based empirical, peer-reviewed studies</w:t>
      </w:r>
    </w:p>
    <w:p w14:paraId="79F24F86" w14:textId="312D8F62" w:rsidR="796A2DBC" w:rsidRDefault="796A2DBC" w:rsidP="6DD8D1AF">
      <w:pPr>
        <w:tabs>
          <w:tab w:val="left" w:pos="6540"/>
        </w:tabs>
        <w:spacing w:line="360" w:lineRule="auto"/>
        <w:jc w:val="both"/>
        <w:rPr>
          <w:rFonts w:asciiTheme="minorBidi" w:hAnsiTheme="minorBidi"/>
          <w:sz w:val="22"/>
        </w:rPr>
      </w:pPr>
      <w:r w:rsidRPr="6DD8D1AF">
        <w:rPr>
          <w:rFonts w:asciiTheme="minorBidi" w:hAnsiTheme="minorBidi"/>
          <w:sz w:val="22"/>
        </w:rPr>
        <w:t>• Published between 2015 and 2025</w:t>
      </w:r>
    </w:p>
    <w:p w14:paraId="4B8B9629" w14:textId="1C686A5D" w:rsidR="796A2DBC" w:rsidRDefault="796A2DBC" w:rsidP="6DD8D1AF">
      <w:pPr>
        <w:tabs>
          <w:tab w:val="left" w:pos="6540"/>
        </w:tabs>
        <w:spacing w:line="360" w:lineRule="auto"/>
        <w:jc w:val="both"/>
        <w:rPr>
          <w:rFonts w:asciiTheme="minorBidi" w:hAnsiTheme="minorBidi"/>
          <w:sz w:val="22"/>
        </w:rPr>
      </w:pPr>
      <w:r w:rsidRPr="6DD8D1AF">
        <w:rPr>
          <w:rFonts w:asciiTheme="minorBidi" w:hAnsiTheme="minorBidi"/>
          <w:sz w:val="22"/>
        </w:rPr>
        <w:t>• Adult participants aged 18+</w:t>
      </w:r>
    </w:p>
    <w:p w14:paraId="4EBAB9F3" w14:textId="0C6A162A" w:rsidR="796A2DBC" w:rsidRDefault="796A2DBC" w:rsidP="6DD8D1AF">
      <w:pPr>
        <w:tabs>
          <w:tab w:val="left" w:pos="6540"/>
        </w:tabs>
        <w:spacing w:line="360" w:lineRule="auto"/>
        <w:jc w:val="both"/>
        <w:rPr>
          <w:rFonts w:asciiTheme="minorBidi" w:hAnsiTheme="minorBidi"/>
          <w:sz w:val="22"/>
        </w:rPr>
      </w:pPr>
      <w:r w:rsidRPr="6DD8D1AF">
        <w:rPr>
          <w:rFonts w:asciiTheme="minorBidi" w:hAnsiTheme="minorBidi"/>
          <w:sz w:val="22"/>
        </w:rPr>
        <w:t>• Focus on chronic or long-term conditions</w:t>
      </w:r>
    </w:p>
    <w:p w14:paraId="7802C673" w14:textId="4A81FC1E" w:rsidR="796A2DBC" w:rsidRDefault="0C1F582F" w:rsidP="6DD8D1AF">
      <w:pPr>
        <w:tabs>
          <w:tab w:val="left" w:pos="6540"/>
        </w:tabs>
        <w:spacing w:line="360" w:lineRule="auto"/>
        <w:jc w:val="both"/>
        <w:rPr>
          <w:rFonts w:asciiTheme="minorBidi" w:hAnsiTheme="minorBidi"/>
          <w:sz w:val="22"/>
        </w:rPr>
      </w:pPr>
      <w:r w:rsidRPr="2B532F71">
        <w:rPr>
          <w:rFonts w:asciiTheme="minorBidi" w:hAnsiTheme="minorBidi"/>
          <w:sz w:val="22"/>
        </w:rPr>
        <w:t xml:space="preserve">• </w:t>
      </w:r>
      <w:r w:rsidR="04BD27B1" w:rsidRPr="2B532F71">
        <w:rPr>
          <w:rFonts w:asciiTheme="minorBidi" w:hAnsiTheme="minorBidi"/>
          <w:sz w:val="22"/>
        </w:rPr>
        <w:t xml:space="preserve"> </w:t>
      </w:r>
      <w:r w:rsidRPr="2B532F71">
        <w:rPr>
          <w:rFonts w:asciiTheme="minorBidi" w:hAnsiTheme="minorBidi"/>
          <w:sz w:val="22"/>
        </w:rPr>
        <w:t>Telehealth, telemonitoring, remote consultations or digital support</w:t>
      </w:r>
    </w:p>
    <w:p w14:paraId="7CB32168" w14:textId="36FF7C47" w:rsidR="796A2DBC" w:rsidRDefault="0C1F582F" w:rsidP="57CAFEC2">
      <w:pPr>
        <w:tabs>
          <w:tab w:val="left" w:pos="6540"/>
        </w:tabs>
        <w:spacing w:line="360" w:lineRule="auto"/>
        <w:jc w:val="both"/>
        <w:rPr>
          <w:rFonts w:asciiTheme="minorBidi" w:hAnsiTheme="minorBidi"/>
          <w:sz w:val="22"/>
        </w:rPr>
      </w:pPr>
      <w:r w:rsidRPr="57CAFEC2">
        <w:rPr>
          <w:rFonts w:asciiTheme="minorBidi" w:hAnsiTheme="minorBidi"/>
          <w:sz w:val="22"/>
        </w:rPr>
        <w:t>•</w:t>
      </w:r>
      <w:r w:rsidR="17A8B9C7" w:rsidRPr="57CAFEC2">
        <w:rPr>
          <w:rFonts w:asciiTheme="minorBidi" w:hAnsiTheme="minorBidi"/>
          <w:sz w:val="22"/>
        </w:rPr>
        <w:t xml:space="preserve"> </w:t>
      </w:r>
      <w:r w:rsidRPr="57CAFEC2">
        <w:rPr>
          <w:rFonts w:asciiTheme="minorBidi" w:hAnsiTheme="minorBidi"/>
          <w:sz w:val="22"/>
        </w:rPr>
        <w:t>Outcomes relating to access to care, communication, engagement, self-</w:t>
      </w:r>
      <w:r w:rsidR="7D0BD38D" w:rsidRPr="57CAFEC2">
        <w:rPr>
          <w:rFonts w:asciiTheme="minorBidi" w:hAnsiTheme="minorBidi"/>
          <w:sz w:val="22"/>
        </w:rPr>
        <w:t>management,</w:t>
      </w:r>
      <w:r w:rsidRPr="57CAFEC2">
        <w:rPr>
          <w:rFonts w:asciiTheme="minorBidi" w:hAnsiTheme="minorBidi"/>
          <w:sz w:val="22"/>
        </w:rPr>
        <w:t xml:space="preserve"> or service quality</w:t>
      </w:r>
    </w:p>
    <w:p w14:paraId="4A7E7C15" w14:textId="1E366AA0" w:rsidR="796A2DBC" w:rsidRDefault="0C1F582F" w:rsidP="6DD8D1AF">
      <w:pPr>
        <w:tabs>
          <w:tab w:val="left" w:pos="6540"/>
        </w:tabs>
        <w:spacing w:line="360" w:lineRule="auto"/>
        <w:jc w:val="both"/>
        <w:rPr>
          <w:rFonts w:asciiTheme="minorBidi" w:hAnsiTheme="minorBidi"/>
          <w:sz w:val="22"/>
        </w:rPr>
      </w:pPr>
      <w:r w:rsidRPr="2B532F71">
        <w:rPr>
          <w:rFonts w:asciiTheme="minorBidi" w:hAnsiTheme="minorBidi"/>
          <w:sz w:val="22"/>
        </w:rPr>
        <w:t>• Full-text available in English</w:t>
      </w:r>
    </w:p>
    <w:p w14:paraId="67A61F52" w14:textId="77777777" w:rsidR="00F17533" w:rsidRDefault="00F17533" w:rsidP="6DD8D1AF">
      <w:pPr>
        <w:tabs>
          <w:tab w:val="left" w:pos="6540"/>
        </w:tabs>
        <w:spacing w:line="360" w:lineRule="auto"/>
        <w:jc w:val="both"/>
        <w:rPr>
          <w:rFonts w:asciiTheme="minorBidi" w:hAnsiTheme="minorBidi"/>
          <w:b/>
          <w:bCs/>
          <w:szCs w:val="24"/>
        </w:rPr>
      </w:pPr>
    </w:p>
    <w:p w14:paraId="4D1DEEA9" w14:textId="0BB631EE" w:rsidR="2A843801" w:rsidRDefault="2A843801" w:rsidP="6DD8D1AF">
      <w:pPr>
        <w:tabs>
          <w:tab w:val="left" w:pos="6540"/>
        </w:tabs>
        <w:spacing w:line="360" w:lineRule="auto"/>
        <w:jc w:val="both"/>
        <w:rPr>
          <w:rFonts w:asciiTheme="minorBidi" w:hAnsiTheme="minorBidi"/>
          <w:b/>
          <w:bCs/>
          <w:szCs w:val="24"/>
        </w:rPr>
      </w:pPr>
      <w:r w:rsidRPr="6DD8D1AF">
        <w:rPr>
          <w:rFonts w:asciiTheme="minorBidi" w:hAnsiTheme="minorBidi"/>
          <w:b/>
          <w:bCs/>
          <w:szCs w:val="24"/>
        </w:rPr>
        <w:t>Exclusion Criteria</w:t>
      </w:r>
    </w:p>
    <w:p w14:paraId="104E2E7A" w14:textId="6F3F39A3" w:rsidR="2A843801" w:rsidRDefault="2A843801" w:rsidP="6DD8D1AF">
      <w:pPr>
        <w:tabs>
          <w:tab w:val="left" w:pos="6540"/>
        </w:tabs>
        <w:spacing w:line="360" w:lineRule="auto"/>
        <w:jc w:val="both"/>
      </w:pPr>
      <w:r w:rsidRPr="6DD8D1AF">
        <w:rPr>
          <w:rFonts w:asciiTheme="minorBidi" w:hAnsiTheme="minorBidi"/>
          <w:sz w:val="22"/>
        </w:rPr>
        <w:t>• Studies conducted outside the UK</w:t>
      </w:r>
    </w:p>
    <w:p w14:paraId="7DCD6BEB" w14:textId="1D2EF7EB" w:rsidR="2A843801" w:rsidRDefault="76E0BA6B" w:rsidP="6DD8D1AF">
      <w:pPr>
        <w:tabs>
          <w:tab w:val="left" w:pos="6540"/>
        </w:tabs>
        <w:spacing w:line="360" w:lineRule="auto"/>
        <w:jc w:val="both"/>
      </w:pPr>
      <w:r w:rsidRPr="2B532F71">
        <w:rPr>
          <w:rFonts w:asciiTheme="minorBidi" w:hAnsiTheme="minorBidi"/>
          <w:sz w:val="22"/>
        </w:rPr>
        <w:t xml:space="preserve">• Non–peer-reviewed </w:t>
      </w:r>
      <w:r w:rsidR="46942F67" w:rsidRPr="2B532F71">
        <w:rPr>
          <w:rFonts w:asciiTheme="minorBidi" w:hAnsiTheme="minorBidi"/>
          <w:sz w:val="22"/>
        </w:rPr>
        <w:t>(e.g., opinion pieces, editorials)</w:t>
      </w:r>
    </w:p>
    <w:p w14:paraId="5D811E2C" w14:textId="72B0010B" w:rsidR="2A843801" w:rsidRDefault="76E0BA6B" w:rsidP="6DD8D1AF">
      <w:pPr>
        <w:tabs>
          <w:tab w:val="left" w:pos="6540"/>
        </w:tabs>
        <w:spacing w:line="360" w:lineRule="auto"/>
        <w:jc w:val="both"/>
      </w:pPr>
      <w:r w:rsidRPr="2B532F71">
        <w:rPr>
          <w:rFonts w:asciiTheme="minorBidi" w:hAnsiTheme="minorBidi"/>
          <w:sz w:val="22"/>
        </w:rPr>
        <w:t xml:space="preserve">• </w:t>
      </w:r>
      <w:r w:rsidR="121D183C" w:rsidRPr="2B532F71">
        <w:rPr>
          <w:rFonts w:asciiTheme="minorBidi" w:hAnsiTheme="minorBidi"/>
          <w:sz w:val="22"/>
        </w:rPr>
        <w:t>Participants under 18 (child or adolescent studies)</w:t>
      </w:r>
    </w:p>
    <w:p w14:paraId="63FFBBEC" w14:textId="7DCB4DD8" w:rsidR="76E0BA6B" w:rsidRDefault="76E0BA6B" w:rsidP="2B532F71">
      <w:pPr>
        <w:tabs>
          <w:tab w:val="left" w:pos="6540"/>
        </w:tabs>
        <w:spacing w:line="360" w:lineRule="auto"/>
        <w:jc w:val="both"/>
      </w:pPr>
      <w:r w:rsidRPr="2B532F71">
        <w:rPr>
          <w:rFonts w:asciiTheme="minorBidi" w:hAnsiTheme="minorBidi"/>
          <w:sz w:val="22"/>
        </w:rPr>
        <w:t>• Non-English publications</w:t>
      </w:r>
    </w:p>
    <w:p w14:paraId="4542B622" w14:textId="17825A69" w:rsidR="6DD8D1AF" w:rsidRDefault="227A81FA" w:rsidP="6DD8D1AF">
      <w:pPr>
        <w:tabs>
          <w:tab w:val="left" w:pos="6540"/>
        </w:tabs>
        <w:spacing w:line="360" w:lineRule="auto"/>
        <w:jc w:val="both"/>
      </w:pPr>
      <w:r w:rsidRPr="2B532F71">
        <w:rPr>
          <w:rFonts w:asciiTheme="minorBidi" w:hAnsiTheme="minorBidi"/>
          <w:b/>
          <w:bCs/>
          <w:sz w:val="22"/>
        </w:rPr>
        <w:t xml:space="preserve">• </w:t>
      </w:r>
      <w:r w:rsidRPr="2B532F71">
        <w:rPr>
          <w:rFonts w:asciiTheme="minorBidi" w:hAnsiTheme="minorBidi"/>
          <w:sz w:val="22"/>
        </w:rPr>
        <w:t>Studies that do not evaluate telehealth effectiveness</w:t>
      </w:r>
    </w:p>
    <w:p w14:paraId="4D979A6A" w14:textId="271CA99F" w:rsidR="2B532F71" w:rsidRDefault="2B532F71" w:rsidP="2B532F71">
      <w:pPr>
        <w:tabs>
          <w:tab w:val="left" w:pos="6540"/>
        </w:tabs>
        <w:spacing w:line="360" w:lineRule="auto"/>
        <w:jc w:val="both"/>
        <w:rPr>
          <w:rFonts w:asciiTheme="minorBidi" w:hAnsiTheme="minorBidi"/>
          <w:b/>
          <w:bCs/>
          <w:szCs w:val="24"/>
        </w:rPr>
      </w:pPr>
    </w:p>
    <w:p w14:paraId="3EE9001D" w14:textId="77777777" w:rsidR="00F17533" w:rsidRDefault="00F17533" w:rsidP="2B532F71">
      <w:pPr>
        <w:tabs>
          <w:tab w:val="left" w:pos="6540"/>
        </w:tabs>
        <w:spacing w:line="360" w:lineRule="auto"/>
        <w:jc w:val="both"/>
        <w:rPr>
          <w:rFonts w:asciiTheme="minorBidi" w:hAnsiTheme="minorBidi"/>
          <w:b/>
          <w:bCs/>
        </w:rPr>
      </w:pPr>
    </w:p>
    <w:p w14:paraId="42A1ADD9" w14:textId="2D770230" w:rsidR="4EC4D1BA" w:rsidRDefault="4EC4D1BA" w:rsidP="009E391A">
      <w:pPr>
        <w:pStyle w:val="Heading1"/>
      </w:pPr>
      <w:bookmarkStart w:id="5" w:name="_Toc216018610"/>
      <w:r w:rsidRPr="437E0BE5">
        <w:t>Analysis</w:t>
      </w:r>
      <w:bookmarkEnd w:id="5"/>
    </w:p>
    <w:p w14:paraId="3618D153" w14:textId="737B5A9A" w:rsidR="00CE15EF" w:rsidRPr="00CE15EF" w:rsidRDefault="2AB7540A" w:rsidP="2A20F00A">
      <w:pPr>
        <w:tabs>
          <w:tab w:val="left" w:pos="6540"/>
        </w:tabs>
        <w:spacing w:line="360" w:lineRule="auto"/>
        <w:jc w:val="both"/>
        <w:rPr>
          <w:rFonts w:asciiTheme="minorBidi" w:hAnsiTheme="minorBidi"/>
          <w:sz w:val="22"/>
        </w:rPr>
      </w:pPr>
      <w:r w:rsidRPr="2A20F00A">
        <w:rPr>
          <w:rFonts w:asciiTheme="minorBidi" w:hAnsiTheme="minorBidi"/>
          <w:sz w:val="22"/>
        </w:rPr>
        <w:t xml:space="preserve">The three selected studies were analysed using the six-step thematic analysis approach described by Braun and Clarke (2021). This method was chosen because it provides a clear and structured way to identify patterns across different findings, even when the studies use </w:t>
      </w:r>
      <w:bookmarkStart w:id="6" w:name="_Int_x9rpMLlt"/>
      <w:r w:rsidRPr="2A20F00A">
        <w:rPr>
          <w:rFonts w:asciiTheme="minorBidi" w:hAnsiTheme="minorBidi"/>
          <w:sz w:val="22"/>
        </w:rPr>
        <w:t>different designs</w:t>
      </w:r>
      <w:bookmarkEnd w:id="6"/>
      <w:r w:rsidRPr="2A20F00A">
        <w:rPr>
          <w:rFonts w:asciiTheme="minorBidi" w:hAnsiTheme="minorBidi"/>
          <w:sz w:val="22"/>
        </w:rPr>
        <w:t xml:space="preserve">. First, each study was read several times to become familiar with the aims, </w:t>
      </w:r>
      <w:r w:rsidR="508C9C8E" w:rsidRPr="2A20F00A">
        <w:rPr>
          <w:rFonts w:asciiTheme="minorBidi" w:hAnsiTheme="minorBidi"/>
          <w:sz w:val="22"/>
        </w:rPr>
        <w:t>methods,</w:t>
      </w:r>
      <w:r w:rsidRPr="2A20F00A">
        <w:rPr>
          <w:rFonts w:asciiTheme="minorBidi" w:hAnsiTheme="minorBidi"/>
          <w:sz w:val="22"/>
        </w:rPr>
        <w:t xml:space="preserve"> and results. Key points were highlighted, especially those related to telemonitoring, patient communication, </w:t>
      </w:r>
      <w:r w:rsidR="53822060" w:rsidRPr="2A20F00A">
        <w:rPr>
          <w:rFonts w:asciiTheme="minorBidi" w:hAnsiTheme="minorBidi"/>
          <w:sz w:val="22"/>
        </w:rPr>
        <w:t>follow-up,</w:t>
      </w:r>
      <w:r w:rsidRPr="2A20F00A">
        <w:rPr>
          <w:rFonts w:asciiTheme="minorBidi" w:hAnsiTheme="minorBidi"/>
          <w:sz w:val="22"/>
        </w:rPr>
        <w:t xml:space="preserve"> and care delivery.</w:t>
      </w:r>
    </w:p>
    <w:p w14:paraId="0B7A4978" w14:textId="492D7EB4" w:rsidR="00CE15EF" w:rsidRPr="00CE15EF" w:rsidRDefault="2AB7540A" w:rsidP="437E0BE5">
      <w:pPr>
        <w:tabs>
          <w:tab w:val="left" w:pos="6540"/>
        </w:tabs>
        <w:spacing w:line="360" w:lineRule="auto"/>
        <w:jc w:val="both"/>
        <w:rPr>
          <w:rFonts w:asciiTheme="minorBidi" w:hAnsiTheme="minorBidi"/>
          <w:sz w:val="22"/>
        </w:rPr>
      </w:pPr>
      <w:r w:rsidRPr="437E0BE5">
        <w:rPr>
          <w:rFonts w:asciiTheme="minorBidi" w:hAnsiTheme="minorBidi"/>
          <w:sz w:val="22"/>
        </w:rPr>
        <w:t>Next, initial codes were created by identifying meaningful pieces of information within each study. Examples included “regular health data,” “clinician response,” “patient confidence,” and “integration into services.” These codes helped organise the findings and showed where the studies reported similar or different experiences of telehealth.</w:t>
      </w:r>
    </w:p>
    <w:p w14:paraId="6BE105A0" w14:textId="10759F9F" w:rsidR="00CE15EF" w:rsidRPr="00CE15EF" w:rsidRDefault="2AB7540A" w:rsidP="57CAFEC2">
      <w:pPr>
        <w:tabs>
          <w:tab w:val="left" w:pos="6540"/>
        </w:tabs>
        <w:spacing w:line="360" w:lineRule="auto"/>
        <w:jc w:val="both"/>
        <w:rPr>
          <w:rFonts w:asciiTheme="minorBidi" w:hAnsiTheme="minorBidi"/>
          <w:sz w:val="22"/>
        </w:rPr>
      </w:pPr>
      <w:r w:rsidRPr="57CAFEC2">
        <w:rPr>
          <w:rFonts w:asciiTheme="minorBidi" w:hAnsiTheme="minorBidi"/>
          <w:sz w:val="22"/>
        </w:rPr>
        <w:t xml:space="preserve">The codes were then grouped together, and early theme ideas were developed. These early themes were checked against the studies to make sure they reflected the evidence accurately. Any overlaps or unclear ideas were refined. Finally, two themes were clearly defined and named. These themes represent the main patterns found across the three studies and are presented in the Results section. Using Braun and Clarke’s approach ensured the analysis was systematic, </w:t>
      </w:r>
      <w:r w:rsidR="78AA77CA" w:rsidRPr="57CAFEC2">
        <w:rPr>
          <w:rFonts w:asciiTheme="minorBidi" w:hAnsiTheme="minorBidi"/>
          <w:sz w:val="22"/>
        </w:rPr>
        <w:t>transparent,</w:t>
      </w:r>
      <w:r w:rsidRPr="57CAFEC2">
        <w:rPr>
          <w:rFonts w:asciiTheme="minorBidi" w:hAnsiTheme="minorBidi"/>
          <w:sz w:val="22"/>
        </w:rPr>
        <w:t xml:space="preserve"> and based directly on the findings of the included research.</w:t>
      </w:r>
    </w:p>
    <w:p w14:paraId="596D5642" w14:textId="77777777" w:rsidR="00F17533" w:rsidRDefault="00F17533" w:rsidP="437E0BE5">
      <w:pPr>
        <w:tabs>
          <w:tab w:val="left" w:pos="6540"/>
        </w:tabs>
        <w:spacing w:line="360" w:lineRule="auto"/>
        <w:jc w:val="both"/>
        <w:rPr>
          <w:rFonts w:asciiTheme="minorBidi" w:hAnsiTheme="minorBidi"/>
          <w:b/>
          <w:bCs/>
        </w:rPr>
      </w:pPr>
    </w:p>
    <w:p w14:paraId="0566F49E" w14:textId="6B0C7EE7" w:rsidR="00CE15EF" w:rsidRPr="00CE15EF" w:rsidRDefault="4EC4D1BA" w:rsidP="437E0BE5">
      <w:pPr>
        <w:tabs>
          <w:tab w:val="left" w:pos="6540"/>
        </w:tabs>
        <w:spacing w:line="360" w:lineRule="auto"/>
        <w:jc w:val="both"/>
      </w:pPr>
      <w:r w:rsidRPr="437E0BE5">
        <w:rPr>
          <w:rFonts w:asciiTheme="minorBidi" w:hAnsiTheme="minorBidi"/>
          <w:b/>
          <w:bCs/>
        </w:rPr>
        <w:t>Ethical considerations</w:t>
      </w:r>
      <w:r w:rsidRPr="437E0BE5">
        <w:rPr>
          <w:rFonts w:asciiTheme="minorBidi" w:hAnsiTheme="minorBidi"/>
        </w:rPr>
        <w:t xml:space="preserve"> </w:t>
      </w:r>
    </w:p>
    <w:p w14:paraId="62E7EECD" w14:textId="445467AE" w:rsidR="1A0A5630" w:rsidRDefault="1A0A5630" w:rsidP="2B532F71">
      <w:pPr>
        <w:tabs>
          <w:tab w:val="left" w:pos="6540"/>
        </w:tabs>
        <w:spacing w:line="360" w:lineRule="auto"/>
        <w:jc w:val="both"/>
        <w:rPr>
          <w:rFonts w:asciiTheme="minorBidi" w:hAnsiTheme="minorBidi"/>
          <w:sz w:val="22"/>
        </w:rPr>
      </w:pPr>
      <w:r w:rsidRPr="2B532F71">
        <w:rPr>
          <w:rFonts w:asciiTheme="minorBidi" w:hAnsiTheme="minorBidi"/>
          <w:sz w:val="22"/>
        </w:rPr>
        <w:t>This project uses secondary research, meaning it draws exclusively on existing published studies and does not involve direct contact with participants or the use of confidential data. For this reason, institutional ethical approval was not required. All primary studies included in the review had undergone ethical review within their own research settings.</w:t>
      </w:r>
    </w:p>
    <w:p w14:paraId="65CAE406" w14:textId="763EE5F0" w:rsidR="1A0A5630" w:rsidRDefault="1A0A5630" w:rsidP="57CAFEC2">
      <w:pPr>
        <w:tabs>
          <w:tab w:val="left" w:pos="6540"/>
        </w:tabs>
        <w:spacing w:line="360" w:lineRule="auto"/>
        <w:jc w:val="both"/>
        <w:rPr>
          <w:rFonts w:asciiTheme="minorBidi" w:hAnsiTheme="minorBidi"/>
          <w:sz w:val="22"/>
        </w:rPr>
      </w:pPr>
      <w:r w:rsidRPr="57CAFEC2">
        <w:rPr>
          <w:rFonts w:asciiTheme="minorBidi" w:hAnsiTheme="minorBidi"/>
          <w:sz w:val="22"/>
        </w:rPr>
        <w:t xml:space="preserve">Throughout the project, ethical principles were followed, including honesty, </w:t>
      </w:r>
      <w:r w:rsidR="0650FEDE" w:rsidRPr="57CAFEC2">
        <w:rPr>
          <w:rFonts w:asciiTheme="minorBidi" w:hAnsiTheme="minorBidi"/>
          <w:sz w:val="22"/>
        </w:rPr>
        <w:t>transparency,</w:t>
      </w:r>
      <w:r w:rsidRPr="57CAFEC2">
        <w:rPr>
          <w:rFonts w:asciiTheme="minorBidi" w:hAnsiTheme="minorBidi"/>
          <w:sz w:val="22"/>
        </w:rPr>
        <w:t xml:space="preserve"> and respect for intellectual property. All sources were referenced correctly, and no data were manipulated or misrepresented. The review also followed the British Educational Research Association (BERA, 2024) guidelines for ethical secondary research.</w:t>
      </w:r>
    </w:p>
    <w:p w14:paraId="330A126E" w14:textId="77777777" w:rsidR="00DC72D4" w:rsidRDefault="00DC72D4" w:rsidP="437E0BE5"/>
    <w:p w14:paraId="2A9B5990" w14:textId="77777777" w:rsidR="009E391A" w:rsidRDefault="009E391A" w:rsidP="009E391A">
      <w:pPr>
        <w:pStyle w:val="Heading1"/>
      </w:pPr>
      <w:bookmarkStart w:id="7" w:name="_Toc216018611"/>
    </w:p>
    <w:p w14:paraId="581C99BF" w14:textId="2D79C1BC" w:rsidR="00B87E75" w:rsidRDefault="028B5478" w:rsidP="009E391A">
      <w:pPr>
        <w:pStyle w:val="Heading1"/>
      </w:pPr>
      <w:r w:rsidRPr="437E0BE5">
        <w:t>4</w:t>
      </w:r>
      <w:r w:rsidR="3DC82109" w:rsidRPr="437E0BE5">
        <w:t>. Results</w:t>
      </w:r>
      <w:bookmarkEnd w:id="7"/>
    </w:p>
    <w:p w14:paraId="6A9B8D9E" w14:textId="5F332B12" w:rsidR="4FA85675" w:rsidRDefault="4FA85675" w:rsidP="2B532F71">
      <w:pPr>
        <w:rPr>
          <w:rFonts w:ascii="Arial" w:eastAsia="Arial" w:hAnsi="Arial" w:cs="Arial"/>
          <w:sz w:val="22"/>
        </w:rPr>
      </w:pPr>
      <w:r w:rsidRPr="2B532F71">
        <w:rPr>
          <w:rFonts w:ascii="Arial" w:eastAsia="Arial" w:hAnsi="Arial" w:cs="Arial"/>
          <w:sz w:val="22"/>
        </w:rPr>
        <w:t>The table below shows the characteristics of the studies selected for this scoping review.</w:t>
      </w:r>
    </w:p>
    <w:tbl>
      <w:tblPr>
        <w:tblStyle w:val="TableGrid"/>
        <w:tblW w:w="11250" w:type="dxa"/>
        <w:tblInd w:w="-995" w:type="dxa"/>
        <w:tblLayout w:type="fixed"/>
        <w:tblLook w:val="04A0" w:firstRow="1" w:lastRow="0" w:firstColumn="1" w:lastColumn="0" w:noHBand="0" w:noVBand="1"/>
      </w:tblPr>
      <w:tblGrid>
        <w:gridCol w:w="1170"/>
        <w:gridCol w:w="3683"/>
        <w:gridCol w:w="3373"/>
        <w:gridCol w:w="3024"/>
      </w:tblGrid>
      <w:tr w:rsidR="00C649A3" w14:paraId="6B2C6040" w14:textId="77777777" w:rsidTr="2A20F00A">
        <w:trPr>
          <w:trHeight w:val="1097"/>
        </w:trPr>
        <w:tc>
          <w:tcPr>
            <w:tcW w:w="1170" w:type="dxa"/>
          </w:tcPr>
          <w:p w14:paraId="394854B6" w14:textId="08513B34" w:rsidR="00C649A3" w:rsidRPr="001D4E15" w:rsidRDefault="008B5BF7" w:rsidP="00BD129D">
            <w:pPr>
              <w:rPr>
                <w:rFonts w:asciiTheme="minorBidi" w:hAnsiTheme="minorBidi"/>
                <w:b/>
                <w:bCs/>
                <w:sz w:val="22"/>
              </w:rPr>
            </w:pPr>
            <w:r w:rsidRPr="001D4E15">
              <w:rPr>
                <w:rFonts w:asciiTheme="minorBidi" w:hAnsiTheme="minorBidi"/>
                <w:b/>
                <w:bCs/>
                <w:sz w:val="22"/>
              </w:rPr>
              <w:t xml:space="preserve">Author and </w:t>
            </w:r>
            <w:r w:rsidR="00700E7D" w:rsidRPr="001D4E15">
              <w:rPr>
                <w:rFonts w:asciiTheme="minorBidi" w:hAnsiTheme="minorBidi"/>
                <w:b/>
                <w:bCs/>
                <w:sz w:val="22"/>
              </w:rPr>
              <w:t>pub</w:t>
            </w:r>
            <w:r w:rsidR="00F11F8D" w:rsidRPr="001D4E15">
              <w:rPr>
                <w:rFonts w:asciiTheme="minorBidi" w:hAnsiTheme="minorBidi"/>
                <w:b/>
                <w:bCs/>
                <w:sz w:val="22"/>
              </w:rPr>
              <w:t>lication year</w:t>
            </w:r>
          </w:p>
        </w:tc>
        <w:tc>
          <w:tcPr>
            <w:tcW w:w="3683" w:type="dxa"/>
          </w:tcPr>
          <w:p w14:paraId="26E6957F" w14:textId="6C22BE03" w:rsidR="00C649A3" w:rsidRPr="001D4E15" w:rsidRDefault="00134174" w:rsidP="00091669">
            <w:pPr>
              <w:jc w:val="both"/>
              <w:rPr>
                <w:rFonts w:asciiTheme="minorBidi" w:hAnsiTheme="minorBidi"/>
                <w:b/>
                <w:bCs/>
                <w:sz w:val="22"/>
              </w:rPr>
            </w:pPr>
            <w:r>
              <w:rPr>
                <w:rFonts w:asciiTheme="minorBidi" w:hAnsiTheme="minorBidi"/>
                <w:b/>
                <w:bCs/>
                <w:sz w:val="22"/>
              </w:rPr>
              <w:t xml:space="preserve">                   </w:t>
            </w:r>
            <w:r w:rsidR="00EA452B" w:rsidRPr="001D4E15">
              <w:rPr>
                <w:rFonts w:asciiTheme="minorBidi" w:hAnsiTheme="minorBidi"/>
                <w:b/>
                <w:bCs/>
                <w:sz w:val="22"/>
              </w:rPr>
              <w:t>A</w:t>
            </w:r>
            <w:r w:rsidR="00F11F8D" w:rsidRPr="001D4E15">
              <w:rPr>
                <w:rFonts w:asciiTheme="minorBidi" w:hAnsiTheme="minorBidi"/>
                <w:b/>
                <w:bCs/>
                <w:sz w:val="22"/>
              </w:rPr>
              <w:t>im</w:t>
            </w:r>
          </w:p>
        </w:tc>
        <w:tc>
          <w:tcPr>
            <w:tcW w:w="3373" w:type="dxa"/>
          </w:tcPr>
          <w:p w14:paraId="7701F8A2" w14:textId="3357C874" w:rsidR="00C649A3" w:rsidRPr="001D4E15" w:rsidRDefault="00134174" w:rsidP="00BD129D">
            <w:pPr>
              <w:rPr>
                <w:rFonts w:asciiTheme="minorBidi" w:hAnsiTheme="minorBidi"/>
                <w:b/>
                <w:bCs/>
                <w:sz w:val="22"/>
              </w:rPr>
            </w:pPr>
            <w:r>
              <w:rPr>
                <w:rFonts w:asciiTheme="minorBidi" w:hAnsiTheme="minorBidi"/>
                <w:b/>
                <w:bCs/>
                <w:sz w:val="22"/>
              </w:rPr>
              <w:t xml:space="preserve">    </w:t>
            </w:r>
            <w:r w:rsidR="009C0121" w:rsidRPr="001D4E15">
              <w:rPr>
                <w:rFonts w:asciiTheme="minorBidi" w:hAnsiTheme="minorBidi"/>
                <w:b/>
                <w:bCs/>
                <w:sz w:val="22"/>
              </w:rPr>
              <w:t>M</w:t>
            </w:r>
            <w:r w:rsidR="00D40D18">
              <w:rPr>
                <w:rFonts w:asciiTheme="minorBidi" w:hAnsiTheme="minorBidi"/>
                <w:b/>
                <w:bCs/>
                <w:sz w:val="22"/>
              </w:rPr>
              <w:t>e</w:t>
            </w:r>
            <w:r w:rsidR="00EA452B" w:rsidRPr="001D4E15">
              <w:rPr>
                <w:rFonts w:asciiTheme="minorBidi" w:hAnsiTheme="minorBidi"/>
                <w:b/>
                <w:bCs/>
                <w:sz w:val="22"/>
              </w:rPr>
              <w:t>tho</w:t>
            </w:r>
            <w:r w:rsidR="009B4933">
              <w:rPr>
                <w:rFonts w:asciiTheme="minorBidi" w:hAnsiTheme="minorBidi"/>
                <w:b/>
                <w:bCs/>
                <w:sz w:val="22"/>
              </w:rPr>
              <w:t>d</w:t>
            </w:r>
            <w:r w:rsidR="007B7F52">
              <w:rPr>
                <w:rFonts w:asciiTheme="minorBidi" w:hAnsiTheme="minorBidi"/>
                <w:b/>
                <w:bCs/>
                <w:sz w:val="22"/>
              </w:rPr>
              <w:t>o</w:t>
            </w:r>
            <w:r w:rsidR="00EA452B" w:rsidRPr="001D4E15">
              <w:rPr>
                <w:rFonts w:asciiTheme="minorBidi" w:hAnsiTheme="minorBidi"/>
                <w:b/>
                <w:bCs/>
                <w:sz w:val="22"/>
              </w:rPr>
              <w:t>logy</w:t>
            </w:r>
            <w:r w:rsidR="009C0121" w:rsidRPr="001D4E15">
              <w:rPr>
                <w:rFonts w:asciiTheme="minorBidi" w:hAnsiTheme="minorBidi"/>
                <w:b/>
                <w:bCs/>
                <w:sz w:val="22"/>
              </w:rPr>
              <w:t xml:space="preserve"> and methods</w:t>
            </w:r>
          </w:p>
        </w:tc>
        <w:tc>
          <w:tcPr>
            <w:tcW w:w="3024" w:type="dxa"/>
          </w:tcPr>
          <w:p w14:paraId="21AC5457" w14:textId="5AB11A58" w:rsidR="00C649A3" w:rsidRPr="001D4E15" w:rsidRDefault="00134174" w:rsidP="00BD129D">
            <w:pPr>
              <w:rPr>
                <w:rFonts w:asciiTheme="minorBidi" w:hAnsiTheme="minorBidi"/>
                <w:b/>
                <w:bCs/>
                <w:sz w:val="22"/>
              </w:rPr>
            </w:pPr>
            <w:r>
              <w:rPr>
                <w:rFonts w:asciiTheme="minorBidi" w:hAnsiTheme="minorBidi"/>
                <w:b/>
                <w:bCs/>
                <w:sz w:val="22"/>
              </w:rPr>
              <w:t xml:space="preserve">                </w:t>
            </w:r>
            <w:r w:rsidR="001D4E15">
              <w:rPr>
                <w:rFonts w:asciiTheme="minorBidi" w:hAnsiTheme="minorBidi"/>
                <w:b/>
                <w:bCs/>
                <w:sz w:val="22"/>
              </w:rPr>
              <w:t>F</w:t>
            </w:r>
            <w:r w:rsidR="009C0121" w:rsidRPr="001D4E15">
              <w:rPr>
                <w:rFonts w:asciiTheme="minorBidi" w:hAnsiTheme="minorBidi"/>
                <w:b/>
                <w:bCs/>
                <w:sz w:val="22"/>
              </w:rPr>
              <w:t>i</w:t>
            </w:r>
            <w:r w:rsidR="00FC635F" w:rsidRPr="001D4E15">
              <w:rPr>
                <w:rFonts w:asciiTheme="minorBidi" w:hAnsiTheme="minorBidi"/>
                <w:b/>
                <w:bCs/>
                <w:sz w:val="22"/>
              </w:rPr>
              <w:t>ndings</w:t>
            </w:r>
          </w:p>
        </w:tc>
      </w:tr>
      <w:tr w:rsidR="00C649A3" w14:paraId="532AFB01" w14:textId="77777777" w:rsidTr="2A20F00A">
        <w:trPr>
          <w:trHeight w:val="3833"/>
        </w:trPr>
        <w:tc>
          <w:tcPr>
            <w:tcW w:w="1170" w:type="dxa"/>
          </w:tcPr>
          <w:p w14:paraId="2EDB95EA" w14:textId="77777777" w:rsidR="00C649A3" w:rsidRDefault="5001BFA9" w:rsidP="2B532F71">
            <w:pPr>
              <w:rPr>
                <w:sz w:val="22"/>
              </w:rPr>
            </w:pPr>
            <w:r w:rsidRPr="2B532F71">
              <w:rPr>
                <w:sz w:val="22"/>
              </w:rPr>
              <w:t>1</w:t>
            </w:r>
          </w:p>
          <w:p w14:paraId="0D4D8F81" w14:textId="47E5E2C1" w:rsidR="0037662B" w:rsidRDefault="47364DB3" w:rsidP="33588F4B">
            <w:pPr>
              <w:rPr>
                <w:rFonts w:ascii="Arial" w:eastAsia="Arial" w:hAnsi="Arial" w:cs="Arial"/>
                <w:sz w:val="22"/>
              </w:rPr>
            </w:pPr>
            <w:r w:rsidRPr="33588F4B">
              <w:rPr>
                <w:rFonts w:ascii="Arial" w:eastAsia="Arial" w:hAnsi="Arial" w:cs="Arial"/>
                <w:sz w:val="22"/>
              </w:rPr>
              <w:t>Wild et al. (2016)</w:t>
            </w:r>
          </w:p>
          <w:p w14:paraId="1CBE2645" w14:textId="77777777" w:rsidR="0037662B" w:rsidRDefault="0037662B" w:rsidP="00BD129D"/>
          <w:p w14:paraId="2F21B275" w14:textId="77777777" w:rsidR="0037662B" w:rsidRDefault="0037662B" w:rsidP="00BD129D"/>
          <w:p w14:paraId="25B6F2DA" w14:textId="77777777" w:rsidR="0037662B" w:rsidRDefault="0037662B" w:rsidP="00BD129D"/>
          <w:p w14:paraId="755ED810" w14:textId="77777777" w:rsidR="0037662B" w:rsidRDefault="0037662B" w:rsidP="00BD129D"/>
          <w:p w14:paraId="20755E81" w14:textId="386B3E14" w:rsidR="0089439B" w:rsidRDefault="0089439B" w:rsidP="00BD129D"/>
        </w:tc>
        <w:tc>
          <w:tcPr>
            <w:tcW w:w="3683" w:type="dxa"/>
          </w:tcPr>
          <w:p w14:paraId="51B73A07" w14:textId="3992F1CF" w:rsidR="00815094" w:rsidRDefault="00743DAE" w:rsidP="00635799">
            <w:pPr>
              <w:spacing w:line="360" w:lineRule="auto"/>
              <w:rPr>
                <w:rFonts w:ascii="Arial" w:eastAsia="Arial" w:hAnsi="Arial" w:cs="Arial"/>
                <w:sz w:val="22"/>
              </w:rPr>
            </w:pPr>
            <w:r w:rsidRPr="00743DAE">
              <w:rPr>
                <w:rFonts w:ascii="Arial" w:eastAsia="Arial" w:hAnsi="Arial" w:cs="Arial"/>
                <w:sz w:val="22"/>
              </w:rPr>
              <w:t xml:space="preserve">To </w:t>
            </w:r>
            <w:r w:rsidR="00BF3CCA" w:rsidRPr="00BF3CCA">
              <w:rPr>
                <w:rFonts w:ascii="Arial" w:eastAsia="Arial" w:hAnsi="Arial" w:cs="Arial"/>
                <w:sz w:val="22"/>
              </w:rPr>
              <w:t>test whether supported telemonitoring improves glycaemic control in adults with Type 2 diabetes.</w:t>
            </w:r>
          </w:p>
        </w:tc>
        <w:tc>
          <w:tcPr>
            <w:tcW w:w="3373" w:type="dxa"/>
          </w:tcPr>
          <w:p w14:paraId="0E9CE0D4" w14:textId="77777777" w:rsidR="00894E76" w:rsidRPr="00894E76" w:rsidRDefault="00894E76" w:rsidP="00894E76">
            <w:pPr>
              <w:spacing w:line="360" w:lineRule="auto"/>
              <w:rPr>
                <w:rFonts w:ascii="Arial" w:eastAsia="Arial" w:hAnsi="Arial" w:cs="Arial"/>
                <w:sz w:val="22"/>
              </w:rPr>
            </w:pPr>
            <w:r w:rsidRPr="00894E76">
              <w:rPr>
                <w:rFonts w:ascii="Arial" w:eastAsia="Arial" w:hAnsi="Arial" w:cs="Arial"/>
                <w:sz w:val="22"/>
              </w:rPr>
              <w:t>UK multicentre randomised controlled trial,</w:t>
            </w:r>
          </w:p>
          <w:p w14:paraId="3369D831" w14:textId="77777777" w:rsidR="00894E76" w:rsidRPr="00894E76" w:rsidRDefault="00894E76" w:rsidP="00894E76">
            <w:pPr>
              <w:spacing w:line="360" w:lineRule="auto"/>
              <w:rPr>
                <w:rFonts w:ascii="Arial" w:eastAsia="Arial" w:hAnsi="Arial" w:cs="Arial"/>
                <w:sz w:val="22"/>
              </w:rPr>
            </w:pPr>
            <w:r w:rsidRPr="00894E76">
              <w:rPr>
                <w:rFonts w:ascii="Arial" w:eastAsia="Arial" w:hAnsi="Arial" w:cs="Arial"/>
                <w:sz w:val="22"/>
              </w:rPr>
              <w:t>321 adults with</w:t>
            </w:r>
          </w:p>
          <w:p w14:paraId="7E97ABF6" w14:textId="77777777" w:rsidR="00894E76" w:rsidRPr="00894E76" w:rsidRDefault="00894E76" w:rsidP="00894E76">
            <w:pPr>
              <w:spacing w:line="360" w:lineRule="auto"/>
              <w:rPr>
                <w:rFonts w:ascii="Arial" w:eastAsia="Arial" w:hAnsi="Arial" w:cs="Arial"/>
                <w:sz w:val="22"/>
              </w:rPr>
            </w:pPr>
            <w:r w:rsidRPr="00894E76">
              <w:rPr>
                <w:rFonts w:ascii="Arial" w:eastAsia="Arial" w:hAnsi="Arial" w:cs="Arial"/>
                <w:sz w:val="22"/>
              </w:rPr>
              <w:t>Type 2 diabetes; pressure intervention:</w:t>
            </w:r>
          </w:p>
          <w:p w14:paraId="1BACE63E" w14:textId="77777777" w:rsidR="00894E76" w:rsidRPr="00894E76" w:rsidRDefault="00894E76" w:rsidP="00894E76">
            <w:pPr>
              <w:spacing w:line="360" w:lineRule="auto"/>
              <w:rPr>
                <w:rFonts w:ascii="Arial" w:eastAsia="Arial" w:hAnsi="Arial" w:cs="Arial"/>
                <w:sz w:val="22"/>
              </w:rPr>
            </w:pPr>
            <w:r w:rsidRPr="00894E76">
              <w:rPr>
                <w:rFonts w:ascii="Arial" w:eastAsia="Arial" w:hAnsi="Arial" w:cs="Arial"/>
                <w:sz w:val="22"/>
              </w:rPr>
              <w:t>home telemonitoring (blood glucose,</w:t>
            </w:r>
          </w:p>
          <w:p w14:paraId="7D39FD19" w14:textId="5309A553" w:rsidR="00C649A3" w:rsidRDefault="00894E76" w:rsidP="00894E76">
            <w:pPr>
              <w:spacing w:line="360" w:lineRule="auto"/>
              <w:rPr>
                <w:rFonts w:ascii="Arial" w:eastAsia="Arial" w:hAnsi="Arial" w:cs="Arial"/>
                <w:sz w:val="22"/>
              </w:rPr>
            </w:pPr>
            <w:r w:rsidRPr="00894E76">
              <w:rPr>
                <w:rFonts w:ascii="Arial" w:eastAsia="Arial" w:hAnsi="Arial" w:cs="Arial"/>
                <w:sz w:val="22"/>
              </w:rPr>
              <w:t>BP, weight) uploaded to clinicians, compared with usual care.</w:t>
            </w:r>
          </w:p>
        </w:tc>
        <w:tc>
          <w:tcPr>
            <w:tcW w:w="3024" w:type="dxa"/>
          </w:tcPr>
          <w:p w14:paraId="25A67C70" w14:textId="77777777" w:rsidR="00894E76" w:rsidRPr="00894E76" w:rsidRDefault="00894E76" w:rsidP="00894E76">
            <w:pPr>
              <w:spacing w:line="360" w:lineRule="auto"/>
              <w:rPr>
                <w:rFonts w:ascii="Arial" w:eastAsia="Arial" w:hAnsi="Arial" w:cs="Arial"/>
                <w:sz w:val="22"/>
              </w:rPr>
            </w:pPr>
            <w:r w:rsidRPr="00894E76">
              <w:rPr>
                <w:rFonts w:ascii="Arial" w:eastAsia="Arial" w:hAnsi="Arial" w:cs="Arial"/>
                <w:sz w:val="22"/>
              </w:rPr>
              <w:t>Telemonitoring significantly improved HbA1c and blood</w:t>
            </w:r>
          </w:p>
          <w:p w14:paraId="7F0089E2" w14:textId="77777777" w:rsidR="00894E76" w:rsidRPr="00894E76" w:rsidRDefault="00894E76" w:rsidP="00894E76">
            <w:pPr>
              <w:spacing w:line="360" w:lineRule="auto"/>
              <w:rPr>
                <w:rFonts w:ascii="Arial" w:eastAsia="Arial" w:hAnsi="Arial" w:cs="Arial"/>
                <w:sz w:val="22"/>
              </w:rPr>
            </w:pPr>
            <w:r w:rsidRPr="00894E76">
              <w:rPr>
                <w:rFonts w:ascii="Arial" w:eastAsia="Arial" w:hAnsi="Arial" w:cs="Arial"/>
                <w:sz w:val="22"/>
              </w:rPr>
              <w:t>compared to usual care.</w:t>
            </w:r>
          </w:p>
          <w:p w14:paraId="34AFB120" w14:textId="52B6A1F4" w:rsidR="00C649A3" w:rsidRDefault="7BA4E536" w:rsidP="2A20F00A">
            <w:pPr>
              <w:spacing w:line="360" w:lineRule="auto"/>
              <w:rPr>
                <w:rFonts w:ascii="Arial" w:eastAsia="Arial" w:hAnsi="Arial" w:cs="Arial"/>
                <w:sz w:val="22"/>
              </w:rPr>
            </w:pPr>
            <w:bookmarkStart w:id="8" w:name="_Int_e7RBidpY"/>
            <w:r w:rsidRPr="2A20F00A">
              <w:rPr>
                <w:rFonts w:ascii="Arial" w:eastAsia="Arial" w:hAnsi="Arial" w:cs="Arial"/>
                <w:sz w:val="22"/>
              </w:rPr>
              <w:t>Strong evidence</w:t>
            </w:r>
            <w:bookmarkEnd w:id="8"/>
            <w:r w:rsidRPr="2A20F00A">
              <w:rPr>
                <w:rFonts w:ascii="Arial" w:eastAsia="Arial" w:hAnsi="Arial" w:cs="Arial"/>
                <w:sz w:val="22"/>
              </w:rPr>
              <w:t xml:space="preserve"> that telehealth supports chronic disease self-management.</w:t>
            </w:r>
          </w:p>
        </w:tc>
      </w:tr>
      <w:tr w:rsidR="00C649A3" w14:paraId="27999C82" w14:textId="77777777" w:rsidTr="2A20F00A">
        <w:tc>
          <w:tcPr>
            <w:tcW w:w="1170" w:type="dxa"/>
          </w:tcPr>
          <w:p w14:paraId="358291F7" w14:textId="77777777" w:rsidR="00C649A3" w:rsidRDefault="00EA452B" w:rsidP="00BD129D">
            <w:r>
              <w:t>2</w:t>
            </w:r>
          </w:p>
          <w:p w14:paraId="18887C64" w14:textId="77777777" w:rsidR="0089439B" w:rsidRDefault="0089439B" w:rsidP="00BD129D"/>
          <w:p w14:paraId="2849A6B2" w14:textId="6E947BB6" w:rsidR="0037662B" w:rsidRDefault="19C02F14" w:rsidP="33588F4B">
            <w:pPr>
              <w:rPr>
                <w:rFonts w:ascii="Arial" w:eastAsia="Arial" w:hAnsi="Arial" w:cs="Arial"/>
                <w:sz w:val="22"/>
              </w:rPr>
            </w:pPr>
            <w:r w:rsidRPr="33588F4B">
              <w:rPr>
                <w:rFonts w:ascii="Arial" w:eastAsia="Arial" w:hAnsi="Arial" w:cs="Arial"/>
                <w:sz w:val="22"/>
              </w:rPr>
              <w:t>Rahimi et al. (2020)</w:t>
            </w:r>
          </w:p>
          <w:p w14:paraId="2E48F280" w14:textId="77777777" w:rsidR="0037662B" w:rsidRDefault="0037662B" w:rsidP="00BD129D"/>
          <w:p w14:paraId="72285B76" w14:textId="77777777" w:rsidR="0037662B" w:rsidRDefault="0037662B" w:rsidP="00BD129D"/>
          <w:p w14:paraId="0BED25E5" w14:textId="77777777" w:rsidR="0037662B" w:rsidRDefault="0037662B" w:rsidP="00BD129D"/>
          <w:p w14:paraId="550AAA7D" w14:textId="77777777" w:rsidR="0037662B" w:rsidRDefault="0037662B" w:rsidP="00BD129D"/>
          <w:p w14:paraId="32EC4229" w14:textId="05395F2F" w:rsidR="00EA452B" w:rsidRDefault="00EA452B" w:rsidP="00BD129D"/>
        </w:tc>
        <w:tc>
          <w:tcPr>
            <w:tcW w:w="3683" w:type="dxa"/>
          </w:tcPr>
          <w:p w14:paraId="2CB2EED8" w14:textId="677580AB" w:rsidR="00C649A3" w:rsidRDefault="00C31AEE" w:rsidP="00635799">
            <w:pPr>
              <w:spacing w:line="360" w:lineRule="auto"/>
              <w:rPr>
                <w:rFonts w:ascii="Arial" w:eastAsia="Arial" w:hAnsi="Arial" w:cs="Arial"/>
                <w:sz w:val="22"/>
              </w:rPr>
            </w:pPr>
            <w:r w:rsidRPr="00C31AEE">
              <w:rPr>
                <w:rFonts w:ascii="Arial" w:eastAsia="Arial" w:hAnsi="Arial" w:cs="Arial"/>
                <w:sz w:val="22"/>
              </w:rPr>
              <w:t>To evaluate whether technology-supported home monitoring improves treatment optimisation and quality of life in adults with chronic heart failure.</w:t>
            </w:r>
          </w:p>
        </w:tc>
        <w:tc>
          <w:tcPr>
            <w:tcW w:w="3373" w:type="dxa"/>
          </w:tcPr>
          <w:p w14:paraId="1803E5A8" w14:textId="022ED798" w:rsidR="004477D0" w:rsidRPr="004477D0" w:rsidRDefault="004477D0" w:rsidP="002A2E34">
            <w:pPr>
              <w:spacing w:line="360" w:lineRule="auto"/>
              <w:rPr>
                <w:rFonts w:ascii="Arial" w:eastAsia="Arial" w:hAnsi="Arial" w:cs="Arial"/>
                <w:sz w:val="22"/>
              </w:rPr>
            </w:pPr>
            <w:r w:rsidRPr="004477D0">
              <w:rPr>
                <w:rFonts w:ascii="Arial" w:eastAsia="Arial" w:hAnsi="Arial" w:cs="Arial"/>
                <w:sz w:val="22"/>
              </w:rPr>
              <w:t xml:space="preserve">UK randomised controlled trial across </w:t>
            </w:r>
            <w:r w:rsidR="009E391A" w:rsidRPr="004477D0">
              <w:rPr>
                <w:rFonts w:ascii="Arial" w:eastAsia="Arial" w:hAnsi="Arial" w:cs="Arial"/>
                <w:sz w:val="22"/>
              </w:rPr>
              <w:t>seven</w:t>
            </w:r>
            <w:r w:rsidRPr="004477D0">
              <w:rPr>
                <w:rFonts w:ascii="Arial" w:eastAsia="Arial" w:hAnsi="Arial" w:cs="Arial"/>
                <w:sz w:val="22"/>
              </w:rPr>
              <w:t xml:space="preserve"> sites,</w:t>
            </w:r>
            <w:r w:rsidR="002A2E34">
              <w:rPr>
                <w:rFonts w:ascii="Arial" w:eastAsia="Arial" w:hAnsi="Arial" w:cs="Arial"/>
                <w:sz w:val="22"/>
              </w:rPr>
              <w:t xml:space="preserve"> </w:t>
            </w:r>
            <w:r w:rsidRPr="004477D0">
              <w:rPr>
                <w:rFonts w:ascii="Arial" w:eastAsia="Arial" w:hAnsi="Arial" w:cs="Arial"/>
                <w:sz w:val="22"/>
              </w:rPr>
              <w:t>202 adults with heart failure, both groups received digital devices.</w:t>
            </w:r>
          </w:p>
          <w:p w14:paraId="6781A70A" w14:textId="688E2031" w:rsidR="00C649A3" w:rsidRDefault="004477D0" w:rsidP="004477D0">
            <w:pPr>
              <w:spacing w:line="360" w:lineRule="auto"/>
              <w:rPr>
                <w:rFonts w:ascii="Arial" w:eastAsia="Arial" w:hAnsi="Arial" w:cs="Arial"/>
                <w:sz w:val="22"/>
              </w:rPr>
            </w:pPr>
            <w:r w:rsidRPr="004477D0">
              <w:rPr>
                <w:rFonts w:ascii="Arial" w:eastAsia="Arial" w:hAnsi="Arial" w:cs="Arial"/>
                <w:sz w:val="22"/>
              </w:rPr>
              <w:t>intervention group had specialist telehealth support; control group self-managed.</w:t>
            </w:r>
          </w:p>
        </w:tc>
        <w:tc>
          <w:tcPr>
            <w:tcW w:w="3024" w:type="dxa"/>
          </w:tcPr>
          <w:p w14:paraId="3E745F74" w14:textId="7EBBEA3C" w:rsidR="00D37B86" w:rsidRPr="00D37B86" w:rsidRDefault="00D37B86" w:rsidP="00D37B86">
            <w:pPr>
              <w:spacing w:line="360" w:lineRule="auto"/>
              <w:rPr>
                <w:rFonts w:ascii="Arial" w:eastAsia="Arial" w:hAnsi="Arial" w:cs="Arial"/>
                <w:sz w:val="22"/>
              </w:rPr>
            </w:pPr>
            <w:r w:rsidRPr="00D37B86">
              <w:rPr>
                <w:rFonts w:ascii="Arial" w:eastAsia="Arial" w:hAnsi="Arial" w:cs="Arial"/>
                <w:sz w:val="22"/>
              </w:rPr>
              <w:t>Telemonitoring was feasible, no significant improvement in primary outcomes.</w:t>
            </w:r>
          </w:p>
          <w:p w14:paraId="73F20AEA" w14:textId="117ECA72" w:rsidR="00C649A3" w:rsidRDefault="00D37B86" w:rsidP="00D37B86">
            <w:pPr>
              <w:spacing w:line="360" w:lineRule="auto"/>
              <w:rPr>
                <w:rFonts w:ascii="Arial" w:eastAsia="Arial" w:hAnsi="Arial" w:cs="Arial"/>
                <w:sz w:val="22"/>
              </w:rPr>
            </w:pPr>
            <w:r w:rsidRPr="00D37B86">
              <w:rPr>
                <w:rFonts w:ascii="Arial" w:eastAsia="Arial" w:hAnsi="Arial" w:cs="Arial"/>
                <w:sz w:val="22"/>
              </w:rPr>
              <w:t>Shows telehealth effectiveness varies across conditions.</w:t>
            </w:r>
          </w:p>
        </w:tc>
      </w:tr>
      <w:tr w:rsidR="0089439B" w14:paraId="72838103" w14:textId="77777777" w:rsidTr="2A20F00A">
        <w:trPr>
          <w:trHeight w:val="2285"/>
        </w:trPr>
        <w:tc>
          <w:tcPr>
            <w:tcW w:w="1170" w:type="dxa"/>
          </w:tcPr>
          <w:p w14:paraId="5A8FDB49" w14:textId="77777777" w:rsidR="0089439B" w:rsidRDefault="0089439B" w:rsidP="00BD129D">
            <w:r>
              <w:t>3</w:t>
            </w:r>
          </w:p>
          <w:p w14:paraId="29B4C146" w14:textId="5481C08A" w:rsidR="0089439B" w:rsidRDefault="7D66A418" w:rsidP="33588F4B">
            <w:pPr>
              <w:rPr>
                <w:rFonts w:ascii="Arial" w:eastAsia="Arial" w:hAnsi="Arial" w:cs="Arial"/>
                <w:sz w:val="22"/>
              </w:rPr>
            </w:pPr>
            <w:r w:rsidRPr="33588F4B">
              <w:rPr>
                <w:rFonts w:ascii="Arial" w:eastAsia="Arial" w:hAnsi="Arial" w:cs="Arial"/>
                <w:sz w:val="22"/>
              </w:rPr>
              <w:t>Fox et al. (2022)</w:t>
            </w:r>
          </w:p>
          <w:p w14:paraId="0463FB21" w14:textId="77777777" w:rsidR="0037662B" w:rsidRDefault="0037662B" w:rsidP="00BD129D"/>
          <w:p w14:paraId="200C1EE3" w14:textId="77777777" w:rsidR="0037662B" w:rsidRDefault="0037662B" w:rsidP="00BD129D"/>
          <w:p w14:paraId="6C66A565" w14:textId="77777777" w:rsidR="0037662B" w:rsidRDefault="0037662B" w:rsidP="00BD129D"/>
          <w:p w14:paraId="1F8BB926" w14:textId="77777777" w:rsidR="0037662B" w:rsidRDefault="0037662B" w:rsidP="00BD129D"/>
          <w:p w14:paraId="1E97B322" w14:textId="77777777" w:rsidR="0037662B" w:rsidRDefault="0037662B" w:rsidP="00BD129D"/>
          <w:p w14:paraId="39CEF2E4" w14:textId="7941A46E" w:rsidR="0089439B" w:rsidRDefault="0089439B" w:rsidP="00BD129D"/>
        </w:tc>
        <w:tc>
          <w:tcPr>
            <w:tcW w:w="3683" w:type="dxa"/>
          </w:tcPr>
          <w:p w14:paraId="5348F616" w14:textId="132B147B" w:rsidR="0089439B" w:rsidRDefault="004B7B8F" w:rsidP="002A2E34">
            <w:pPr>
              <w:spacing w:line="360" w:lineRule="auto"/>
              <w:rPr>
                <w:rFonts w:ascii="Arial" w:eastAsia="Arial" w:hAnsi="Arial" w:cs="Arial"/>
                <w:sz w:val="22"/>
              </w:rPr>
            </w:pPr>
            <w:r w:rsidRPr="004B7B8F">
              <w:rPr>
                <w:rFonts w:ascii="Arial" w:eastAsia="Arial" w:hAnsi="Arial" w:cs="Arial"/>
                <w:sz w:val="22"/>
              </w:rPr>
              <w:t>To assess</w:t>
            </w:r>
            <w:r>
              <w:rPr>
                <w:rFonts w:ascii="Arial" w:eastAsia="Arial" w:hAnsi="Arial" w:cs="Arial"/>
                <w:sz w:val="22"/>
              </w:rPr>
              <w:t xml:space="preserve"> </w:t>
            </w:r>
            <w:r w:rsidRPr="004B7B8F">
              <w:rPr>
                <w:rFonts w:ascii="Arial" w:eastAsia="Arial" w:hAnsi="Arial" w:cs="Arial"/>
                <w:sz w:val="22"/>
              </w:rPr>
              <w:t>whether telehealth support reduces exacerbations and unscheduled care in adults with</w:t>
            </w:r>
            <w:r w:rsidR="002A2E34">
              <w:rPr>
                <w:rFonts w:ascii="Arial" w:eastAsia="Arial" w:hAnsi="Arial" w:cs="Arial"/>
                <w:sz w:val="22"/>
              </w:rPr>
              <w:t xml:space="preserve"> </w:t>
            </w:r>
            <w:r w:rsidRPr="004B7B8F">
              <w:rPr>
                <w:rFonts w:ascii="Arial" w:eastAsia="Arial" w:hAnsi="Arial" w:cs="Arial"/>
                <w:sz w:val="22"/>
              </w:rPr>
              <w:t>COPD/asthma.</w:t>
            </w:r>
          </w:p>
        </w:tc>
        <w:tc>
          <w:tcPr>
            <w:tcW w:w="3373" w:type="dxa"/>
          </w:tcPr>
          <w:p w14:paraId="5C27E066" w14:textId="77777777" w:rsidR="009072BB" w:rsidRPr="009072BB" w:rsidRDefault="009072BB" w:rsidP="009072BB">
            <w:pPr>
              <w:spacing w:line="360" w:lineRule="auto"/>
              <w:rPr>
                <w:rFonts w:asciiTheme="minorBidi" w:hAnsiTheme="minorBidi"/>
                <w:sz w:val="22"/>
              </w:rPr>
            </w:pPr>
            <w:r w:rsidRPr="009072BB">
              <w:rPr>
                <w:rFonts w:asciiTheme="minorBidi" w:hAnsiTheme="minorBidi"/>
                <w:sz w:val="22"/>
              </w:rPr>
              <w:t>UK matched-cohort study involving adults with chronic respiratory diseases (COPD or asthma). The telehealth group received twice-weekly automated telephone monitoring calls with alerts reviewed by a</w:t>
            </w:r>
          </w:p>
          <w:p w14:paraId="591121DA" w14:textId="77777777" w:rsidR="009072BB" w:rsidRPr="009072BB" w:rsidRDefault="009072BB" w:rsidP="009072BB">
            <w:pPr>
              <w:spacing w:line="360" w:lineRule="auto"/>
              <w:rPr>
                <w:rFonts w:asciiTheme="minorBidi" w:hAnsiTheme="minorBidi"/>
                <w:sz w:val="22"/>
              </w:rPr>
            </w:pPr>
            <w:r w:rsidRPr="009072BB">
              <w:rPr>
                <w:rFonts w:asciiTheme="minorBidi" w:hAnsiTheme="minorBidi"/>
                <w:sz w:val="22"/>
              </w:rPr>
              <w:t>specialist respiratory nurse, who provided advice or escalated concerns when needed.</w:t>
            </w:r>
          </w:p>
          <w:p w14:paraId="31157AFE" w14:textId="7F325F01" w:rsidR="0089439B" w:rsidRDefault="009072BB" w:rsidP="009072BB">
            <w:pPr>
              <w:spacing w:line="360" w:lineRule="auto"/>
            </w:pPr>
            <w:r w:rsidRPr="009072BB">
              <w:rPr>
                <w:rFonts w:asciiTheme="minorBidi" w:hAnsiTheme="minorBidi"/>
                <w:sz w:val="22"/>
              </w:rPr>
              <w:lastRenderedPageBreak/>
              <w:t>Outcomes were compared with a matched control group receiving standard care.</w:t>
            </w:r>
          </w:p>
        </w:tc>
        <w:tc>
          <w:tcPr>
            <w:tcW w:w="3024" w:type="dxa"/>
          </w:tcPr>
          <w:p w14:paraId="143CA44B" w14:textId="0A48CB66" w:rsidR="00643E4A" w:rsidRPr="00643E4A" w:rsidRDefault="00643E4A" w:rsidP="002A2E34">
            <w:pPr>
              <w:spacing w:line="360" w:lineRule="auto"/>
              <w:rPr>
                <w:rFonts w:ascii="Arial" w:eastAsia="Arial" w:hAnsi="Arial" w:cs="Arial"/>
                <w:sz w:val="22"/>
              </w:rPr>
            </w:pPr>
            <w:r w:rsidRPr="00643E4A">
              <w:rPr>
                <w:rFonts w:ascii="Arial" w:eastAsia="Arial" w:hAnsi="Arial" w:cs="Arial"/>
                <w:sz w:val="22"/>
              </w:rPr>
              <w:lastRenderedPageBreak/>
              <w:t>Telehealth</w:t>
            </w:r>
            <w:r w:rsidR="002A2E34">
              <w:rPr>
                <w:rFonts w:ascii="Arial" w:eastAsia="Arial" w:hAnsi="Arial" w:cs="Arial"/>
                <w:sz w:val="22"/>
              </w:rPr>
              <w:t xml:space="preserve"> r</w:t>
            </w:r>
            <w:r w:rsidRPr="00643E4A">
              <w:rPr>
                <w:rFonts w:ascii="Arial" w:eastAsia="Arial" w:hAnsi="Arial" w:cs="Arial"/>
                <w:sz w:val="22"/>
              </w:rPr>
              <w:t>educed</w:t>
            </w:r>
            <w:r w:rsidR="002A2E34">
              <w:rPr>
                <w:rFonts w:ascii="Arial" w:eastAsia="Arial" w:hAnsi="Arial" w:cs="Arial"/>
                <w:sz w:val="22"/>
              </w:rPr>
              <w:t xml:space="preserve"> </w:t>
            </w:r>
            <w:r w:rsidRPr="00643E4A">
              <w:rPr>
                <w:rFonts w:ascii="Arial" w:eastAsia="Arial" w:hAnsi="Arial" w:cs="Arial"/>
                <w:sz w:val="22"/>
              </w:rPr>
              <w:t xml:space="preserve">respiratory </w:t>
            </w:r>
            <w:r w:rsidR="009E391A" w:rsidRPr="00643E4A">
              <w:rPr>
                <w:rFonts w:ascii="Arial" w:eastAsia="Arial" w:hAnsi="Arial" w:cs="Arial"/>
                <w:sz w:val="22"/>
              </w:rPr>
              <w:t>exacerbations.</w:t>
            </w:r>
          </w:p>
          <w:p w14:paraId="075EE589" w14:textId="37DC2F73" w:rsidR="00643E4A" w:rsidRPr="00643E4A" w:rsidRDefault="00643E4A" w:rsidP="002A2E34">
            <w:pPr>
              <w:spacing w:line="360" w:lineRule="auto"/>
              <w:rPr>
                <w:rFonts w:ascii="Arial" w:eastAsia="Arial" w:hAnsi="Arial" w:cs="Arial"/>
                <w:sz w:val="22"/>
              </w:rPr>
            </w:pPr>
            <w:r w:rsidRPr="00643E4A">
              <w:rPr>
                <w:rFonts w:ascii="Arial" w:eastAsia="Arial" w:hAnsi="Arial" w:cs="Arial"/>
                <w:sz w:val="22"/>
              </w:rPr>
              <w:t>and reduced GP</w:t>
            </w:r>
            <w:r w:rsidR="002A2E34">
              <w:rPr>
                <w:rFonts w:ascii="Arial" w:eastAsia="Arial" w:hAnsi="Arial" w:cs="Arial"/>
                <w:sz w:val="22"/>
              </w:rPr>
              <w:t xml:space="preserve"> </w:t>
            </w:r>
            <w:r w:rsidRPr="00643E4A">
              <w:rPr>
                <w:rFonts w:ascii="Arial" w:eastAsia="Arial" w:hAnsi="Arial" w:cs="Arial"/>
                <w:sz w:val="22"/>
              </w:rPr>
              <w:t>visits.</w:t>
            </w:r>
          </w:p>
          <w:p w14:paraId="201C2350" w14:textId="3B107811" w:rsidR="0089439B" w:rsidRDefault="00643E4A" w:rsidP="0082010F">
            <w:pPr>
              <w:spacing w:line="360" w:lineRule="auto"/>
              <w:rPr>
                <w:rFonts w:ascii="Arial" w:eastAsia="Arial" w:hAnsi="Arial" w:cs="Arial"/>
                <w:sz w:val="22"/>
              </w:rPr>
            </w:pPr>
            <w:r w:rsidRPr="00643E4A">
              <w:rPr>
                <w:rFonts w:ascii="Arial" w:eastAsia="Arial" w:hAnsi="Arial" w:cs="Arial"/>
                <w:sz w:val="22"/>
              </w:rPr>
              <w:t>Demonstrated</w:t>
            </w:r>
            <w:r w:rsidR="0082010F">
              <w:rPr>
                <w:rFonts w:ascii="Arial" w:eastAsia="Arial" w:hAnsi="Arial" w:cs="Arial"/>
                <w:sz w:val="22"/>
              </w:rPr>
              <w:t xml:space="preserve"> </w:t>
            </w:r>
            <w:r w:rsidRPr="00643E4A">
              <w:rPr>
                <w:rFonts w:ascii="Arial" w:eastAsia="Arial" w:hAnsi="Arial" w:cs="Arial"/>
                <w:sz w:val="22"/>
              </w:rPr>
              <w:t>cost-</w:t>
            </w:r>
            <w:r w:rsidR="002A2E34">
              <w:rPr>
                <w:rFonts w:ascii="Arial" w:eastAsia="Arial" w:hAnsi="Arial" w:cs="Arial"/>
                <w:sz w:val="22"/>
              </w:rPr>
              <w:t xml:space="preserve"> </w:t>
            </w:r>
            <w:r w:rsidRPr="00643E4A">
              <w:rPr>
                <w:rFonts w:ascii="Arial" w:eastAsia="Arial" w:hAnsi="Arial" w:cs="Arial"/>
                <w:sz w:val="22"/>
              </w:rPr>
              <w:t>effectiveness and</w:t>
            </w:r>
            <w:r w:rsidR="0082010F">
              <w:rPr>
                <w:rFonts w:ascii="Arial" w:eastAsia="Arial" w:hAnsi="Arial" w:cs="Arial"/>
                <w:sz w:val="22"/>
              </w:rPr>
              <w:t xml:space="preserve"> </w:t>
            </w:r>
            <w:r w:rsidRPr="00643E4A">
              <w:rPr>
                <w:rFonts w:ascii="Arial" w:eastAsia="Arial" w:hAnsi="Arial" w:cs="Arial"/>
                <w:sz w:val="22"/>
              </w:rPr>
              <w:t>better</w:t>
            </w:r>
            <w:r w:rsidR="0082010F">
              <w:rPr>
                <w:rFonts w:ascii="Arial" w:eastAsia="Arial" w:hAnsi="Arial" w:cs="Arial"/>
                <w:sz w:val="22"/>
              </w:rPr>
              <w:t xml:space="preserve"> </w:t>
            </w:r>
            <w:r w:rsidRPr="00643E4A">
              <w:rPr>
                <w:rFonts w:ascii="Arial" w:eastAsia="Arial" w:hAnsi="Arial" w:cs="Arial"/>
                <w:sz w:val="22"/>
              </w:rPr>
              <w:t>illness</w:t>
            </w:r>
            <w:r w:rsidR="0082010F">
              <w:rPr>
                <w:rFonts w:ascii="Arial" w:eastAsia="Arial" w:hAnsi="Arial" w:cs="Arial"/>
                <w:sz w:val="22"/>
              </w:rPr>
              <w:t xml:space="preserve"> </w:t>
            </w:r>
            <w:r w:rsidRPr="00643E4A">
              <w:rPr>
                <w:rFonts w:ascii="Arial" w:eastAsia="Arial" w:hAnsi="Arial" w:cs="Arial"/>
                <w:sz w:val="22"/>
              </w:rPr>
              <w:t>management</w:t>
            </w:r>
            <w:r w:rsidR="00CD17E3">
              <w:rPr>
                <w:rFonts w:ascii="Arial" w:eastAsia="Arial" w:hAnsi="Arial" w:cs="Arial"/>
                <w:sz w:val="22"/>
              </w:rPr>
              <w:t>.</w:t>
            </w:r>
          </w:p>
        </w:tc>
      </w:tr>
    </w:tbl>
    <w:p w14:paraId="756769C1" w14:textId="5D9679DC" w:rsidR="22165A2E" w:rsidRDefault="22165A2E" w:rsidP="22165A2E">
      <w:pPr>
        <w:jc w:val="both"/>
        <w:rPr>
          <w:rFonts w:ascii="Arial" w:eastAsia="Arial" w:hAnsi="Arial" w:cs="Arial"/>
          <w:b/>
          <w:bCs/>
          <w:sz w:val="22"/>
        </w:rPr>
      </w:pPr>
    </w:p>
    <w:p w14:paraId="7FF10721" w14:textId="77777777" w:rsidR="009E391A" w:rsidRDefault="009E391A" w:rsidP="22165A2E">
      <w:pPr>
        <w:jc w:val="both"/>
        <w:rPr>
          <w:rFonts w:ascii="Arial" w:eastAsia="Arial" w:hAnsi="Arial" w:cs="Arial"/>
          <w:b/>
          <w:bCs/>
          <w:sz w:val="22"/>
        </w:rPr>
      </w:pPr>
    </w:p>
    <w:p w14:paraId="2C8CA64E" w14:textId="606B9916" w:rsidR="54CF8570" w:rsidRDefault="3DFDE0FE" w:rsidP="22165A2E">
      <w:pPr>
        <w:jc w:val="both"/>
      </w:pPr>
      <w:r w:rsidRPr="22165A2E">
        <w:rPr>
          <w:rFonts w:ascii="Arial" w:eastAsia="Arial" w:hAnsi="Arial" w:cs="Arial"/>
          <w:b/>
          <w:bCs/>
          <w:sz w:val="22"/>
        </w:rPr>
        <w:t xml:space="preserve">Theme 1: Telemonitoring provides regular health data, but this does not automatically improve </w:t>
      </w:r>
      <w:r w:rsidR="009E391A" w:rsidRPr="22165A2E">
        <w:rPr>
          <w:rFonts w:ascii="Arial" w:eastAsia="Arial" w:hAnsi="Arial" w:cs="Arial"/>
          <w:b/>
          <w:bCs/>
          <w:sz w:val="22"/>
        </w:rPr>
        <w:t>outcomes.</w:t>
      </w:r>
    </w:p>
    <w:p w14:paraId="1836BE68" w14:textId="1D12C5C8" w:rsidR="54CF8570" w:rsidRDefault="3DFDE0FE" w:rsidP="2A20F00A">
      <w:pPr>
        <w:spacing w:line="360" w:lineRule="auto"/>
        <w:jc w:val="both"/>
        <w:rPr>
          <w:rFonts w:ascii="Arial" w:eastAsia="Arial" w:hAnsi="Arial" w:cs="Arial"/>
          <w:sz w:val="22"/>
        </w:rPr>
      </w:pPr>
      <w:r w:rsidRPr="2A20F00A">
        <w:rPr>
          <w:rFonts w:ascii="Arial" w:eastAsia="Arial" w:hAnsi="Arial" w:cs="Arial"/>
          <w:sz w:val="22"/>
        </w:rPr>
        <w:t xml:space="preserve">All three studies showed that telemonitoring gave clinicians more frequent health information, but this did not always translate into better clinical results. In Wild et al. (2016), patients regularly submitted glucose, blood </w:t>
      </w:r>
      <w:r w:rsidR="08D7F98F" w:rsidRPr="2A20F00A">
        <w:rPr>
          <w:rFonts w:ascii="Arial" w:eastAsia="Arial" w:hAnsi="Arial" w:cs="Arial"/>
          <w:sz w:val="22"/>
        </w:rPr>
        <w:t>pressure,</w:t>
      </w:r>
      <w:r w:rsidRPr="2A20F00A">
        <w:rPr>
          <w:rFonts w:ascii="Arial" w:eastAsia="Arial" w:hAnsi="Arial" w:cs="Arial"/>
          <w:sz w:val="22"/>
        </w:rPr>
        <w:t xml:space="preserve"> and weight readings. Although this led to a small improvement in HbA1c, there were no improvements in other measures such as weight. In Rahimi et al. (2020), adults with chronic heart failure used remote monitoring, but the extra data did not consistently lead to treatment changes, meaning there was </w:t>
      </w:r>
      <w:bookmarkStart w:id="9" w:name="_Int_4c77TIvo"/>
      <w:r w:rsidRPr="2A20F00A">
        <w:rPr>
          <w:rFonts w:ascii="Arial" w:eastAsia="Arial" w:hAnsi="Arial" w:cs="Arial"/>
          <w:sz w:val="22"/>
        </w:rPr>
        <w:t>little impact</w:t>
      </w:r>
      <w:bookmarkEnd w:id="9"/>
      <w:r w:rsidRPr="2A20F00A">
        <w:rPr>
          <w:rFonts w:ascii="Arial" w:eastAsia="Arial" w:hAnsi="Arial" w:cs="Arial"/>
          <w:sz w:val="22"/>
        </w:rPr>
        <w:t xml:space="preserve"> on quality of life or treatment optimisation. In contrast, Fox et al. (2022) reported clearer benefits because clinicians responded quickly to alerts and took appropriate action. Across these studies, the pattern is clear: collecting data alone is not enough. Telemonitoring leads to better outcomes only when clinicians have the capacity, </w:t>
      </w:r>
      <w:r w:rsidR="5B856861" w:rsidRPr="2A20F00A">
        <w:rPr>
          <w:rFonts w:ascii="Arial" w:eastAsia="Arial" w:hAnsi="Arial" w:cs="Arial"/>
          <w:sz w:val="22"/>
        </w:rPr>
        <w:t>time,</w:t>
      </w:r>
      <w:r w:rsidRPr="2A20F00A">
        <w:rPr>
          <w:rFonts w:ascii="Arial" w:eastAsia="Arial" w:hAnsi="Arial" w:cs="Arial"/>
          <w:sz w:val="22"/>
        </w:rPr>
        <w:t xml:space="preserve"> and systems in place to review incoming information and act promptly.</w:t>
      </w:r>
    </w:p>
    <w:p w14:paraId="164740A3" w14:textId="7421033F" w:rsidR="54CF8570" w:rsidRDefault="3DFDE0FE" w:rsidP="437E0BE5">
      <w:r w:rsidRPr="437E0BE5">
        <w:rPr>
          <w:rFonts w:ascii="Arial" w:eastAsia="Arial" w:hAnsi="Arial" w:cs="Arial"/>
          <w:b/>
          <w:bCs/>
        </w:rPr>
        <w:t xml:space="preserve">  </w:t>
      </w:r>
    </w:p>
    <w:p w14:paraId="54CD2B5F" w14:textId="7879F242" w:rsidR="54CF8570" w:rsidRDefault="3DFDE0FE" w:rsidP="437E0BE5">
      <w:pPr>
        <w:jc w:val="both"/>
        <w:rPr>
          <w:rFonts w:ascii="Arial" w:eastAsia="Arial" w:hAnsi="Arial" w:cs="Arial"/>
          <w:b/>
          <w:bCs/>
          <w:sz w:val="22"/>
        </w:rPr>
      </w:pPr>
      <w:r w:rsidRPr="437E0BE5">
        <w:rPr>
          <w:rFonts w:ascii="Arial" w:eastAsia="Arial" w:hAnsi="Arial" w:cs="Arial"/>
          <w:b/>
          <w:bCs/>
        </w:rPr>
        <w:t>T</w:t>
      </w:r>
      <w:r w:rsidRPr="437E0BE5">
        <w:rPr>
          <w:rFonts w:ascii="Arial" w:eastAsia="Arial" w:hAnsi="Arial" w:cs="Arial"/>
          <w:b/>
          <w:bCs/>
          <w:sz w:val="22"/>
        </w:rPr>
        <w:t xml:space="preserve">heme 2: Telehealth is most effective when fully integrated into the healthcare </w:t>
      </w:r>
      <w:r w:rsidR="009E391A" w:rsidRPr="437E0BE5">
        <w:rPr>
          <w:rFonts w:ascii="Arial" w:eastAsia="Arial" w:hAnsi="Arial" w:cs="Arial"/>
          <w:b/>
          <w:bCs/>
          <w:sz w:val="22"/>
        </w:rPr>
        <w:t>system.</w:t>
      </w:r>
    </w:p>
    <w:p w14:paraId="42F9BF1C" w14:textId="53CC9FE2" w:rsidR="54CF8570" w:rsidRDefault="3DFDE0FE" w:rsidP="57CAFEC2">
      <w:pPr>
        <w:spacing w:line="360" w:lineRule="auto"/>
        <w:jc w:val="both"/>
        <w:rPr>
          <w:rFonts w:ascii="Arial" w:eastAsia="Arial" w:hAnsi="Arial" w:cs="Arial"/>
          <w:sz w:val="22"/>
        </w:rPr>
      </w:pPr>
      <w:r w:rsidRPr="57CAFEC2">
        <w:rPr>
          <w:rFonts w:ascii="Arial" w:eastAsia="Arial" w:hAnsi="Arial" w:cs="Arial"/>
          <w:sz w:val="22"/>
        </w:rPr>
        <w:t xml:space="preserve">The second theme highlights that telehealth works best when it is part of an organised and responsive care pathway. In Rahimi et al. (2020), the remote system did not work effectively because it relied on overstretched primary care clinicians to make treatment adjustments after receiving specialist advice. This slowed down decision-making. Similarly, in Wild et al. (2016), nurses reviewed data weekly, but telemonitoring was not fully embedded into routine diabetes care, which may have limited its overall impact. The strongest outcomes were reported by Fox et al. (2022), where telehealth was integrated within a wider respiratory service. Alerts were triaged immediately by specialist nurses, and follow-up was rapid and consistent. These findings show that telehealth is more successful when it is not a separate system, but rather part of a well-organised clinical structure with clear roles, communication </w:t>
      </w:r>
      <w:r w:rsidR="180E1A7C" w:rsidRPr="57CAFEC2">
        <w:rPr>
          <w:rFonts w:ascii="Arial" w:eastAsia="Arial" w:hAnsi="Arial" w:cs="Arial"/>
          <w:sz w:val="22"/>
        </w:rPr>
        <w:t>processes,</w:t>
      </w:r>
      <w:r w:rsidRPr="57CAFEC2">
        <w:rPr>
          <w:rFonts w:ascii="Arial" w:eastAsia="Arial" w:hAnsi="Arial" w:cs="Arial"/>
          <w:sz w:val="22"/>
        </w:rPr>
        <w:t xml:space="preserve"> and timely responses.</w:t>
      </w:r>
    </w:p>
    <w:p w14:paraId="254F4907" w14:textId="4160D920" w:rsidR="437E0BE5" w:rsidRDefault="437E0BE5" w:rsidP="22165A2E">
      <w:pPr>
        <w:jc w:val="both"/>
        <w:rPr>
          <w:rFonts w:ascii="Arial" w:eastAsia="Arial" w:hAnsi="Arial" w:cs="Arial"/>
          <w:sz w:val="22"/>
        </w:rPr>
      </w:pPr>
    </w:p>
    <w:p w14:paraId="6147B4B2" w14:textId="22E20811" w:rsidR="22165A2E" w:rsidRDefault="22165A2E" w:rsidP="22165A2E">
      <w:pPr>
        <w:rPr>
          <w:rFonts w:ascii="Arial" w:eastAsia="Arial" w:hAnsi="Arial" w:cs="Arial"/>
          <w:b/>
          <w:bCs/>
        </w:rPr>
      </w:pPr>
    </w:p>
    <w:p w14:paraId="58BB14D1" w14:textId="434C93A3" w:rsidR="22165A2E" w:rsidRDefault="22165A2E" w:rsidP="22165A2E">
      <w:pPr>
        <w:rPr>
          <w:rFonts w:ascii="Arial" w:eastAsia="Arial" w:hAnsi="Arial" w:cs="Arial"/>
          <w:b/>
          <w:bCs/>
        </w:rPr>
      </w:pPr>
    </w:p>
    <w:p w14:paraId="5EA15ECE" w14:textId="3FD57505" w:rsidR="004A736E" w:rsidRDefault="028B5478" w:rsidP="009E391A">
      <w:pPr>
        <w:pStyle w:val="Heading1"/>
      </w:pPr>
      <w:bookmarkStart w:id="10" w:name="_Toc216018612"/>
      <w:r w:rsidRPr="437E0BE5">
        <w:t>5</w:t>
      </w:r>
      <w:r w:rsidR="3DC82109" w:rsidRPr="437E0BE5">
        <w:t>. Discussion</w:t>
      </w:r>
      <w:bookmarkEnd w:id="10"/>
    </w:p>
    <w:p w14:paraId="29B0DC56" w14:textId="188A17F2" w:rsidR="10ED8ADE" w:rsidRDefault="10ED8ADE" w:rsidP="00F17533">
      <w:pPr>
        <w:spacing w:line="360" w:lineRule="auto"/>
        <w:jc w:val="both"/>
      </w:pPr>
      <w:r w:rsidRPr="437E0BE5">
        <w:rPr>
          <w:rFonts w:ascii="Arial" w:eastAsia="Arial" w:hAnsi="Arial" w:cs="Arial"/>
          <w:sz w:val="22"/>
        </w:rPr>
        <w:t>This scoping review aimed to explore how telehealth supports adults living with chronic illnesses in the UK. The findings from the three included studies show that telehealth can improve access to care and provide regular health information, but its effectiveness depends on how well it is integrated into clinical practice. These results address the review question by highlighting both the potential benefits and the limitations of telehealth for adults with long-term conditions.</w:t>
      </w:r>
    </w:p>
    <w:p w14:paraId="1BA25E4E" w14:textId="0A1BB362" w:rsidR="10ED8ADE" w:rsidRDefault="10ED8ADE" w:rsidP="00F17533">
      <w:pPr>
        <w:spacing w:line="360" w:lineRule="auto"/>
        <w:jc w:val="both"/>
      </w:pPr>
      <w:r w:rsidRPr="437E0BE5">
        <w:rPr>
          <w:rFonts w:ascii="Arial" w:eastAsia="Arial" w:hAnsi="Arial" w:cs="Arial"/>
          <w:sz w:val="22"/>
        </w:rPr>
        <w:t>The first theme showed that telemonitoring generates frequent health data, but this alone does not guarantee improved outcomes. This is consistent with wider evidence showing that remote data can support early detection or reassurance only when clinicians are able to review and act on the information in a timely way (Ma et al., 2022). Other research also supports the idea that remote data must be linked to clear follow-up actions to influence patient outcomes (Leo et al., 2022). When the clinical response is slow or inconsistent, the value of telemonitoring becomes limited, as demonstrated in both Wild et al. (2016) and Rahimi et al. (2020).</w:t>
      </w:r>
    </w:p>
    <w:p w14:paraId="482D3820" w14:textId="377EFBAA" w:rsidR="10ED8ADE" w:rsidRDefault="10ED8ADE" w:rsidP="00F17533">
      <w:pPr>
        <w:spacing w:line="360" w:lineRule="auto"/>
        <w:jc w:val="both"/>
      </w:pPr>
      <w:r w:rsidRPr="437E0BE5">
        <w:rPr>
          <w:rFonts w:ascii="Arial" w:eastAsia="Arial" w:hAnsi="Arial" w:cs="Arial"/>
          <w:sz w:val="22"/>
        </w:rPr>
        <w:t xml:space="preserve">The second theme emphasised the importance of service organisation. Telehealth was most effective when built into an integrated and responsive care pathway, as shown in Fox et al. (2022). This aligns with research suggesting that digital tools produce better results when they are embedded within well-planned systems rather than used as standalone interventions (Murphy et al., 2021; Greenhalgh et al., 2017). Studies on digital transformation in the NHS also show that successful telehealth requires clear clinical roles, </w:t>
      </w:r>
      <w:r w:rsidR="009E391A" w:rsidRPr="437E0BE5">
        <w:rPr>
          <w:rFonts w:ascii="Arial" w:eastAsia="Arial" w:hAnsi="Arial" w:cs="Arial"/>
          <w:sz w:val="22"/>
        </w:rPr>
        <w:t>effective communication,</w:t>
      </w:r>
      <w:r w:rsidRPr="437E0BE5">
        <w:rPr>
          <w:rFonts w:ascii="Arial" w:eastAsia="Arial" w:hAnsi="Arial" w:cs="Arial"/>
          <w:sz w:val="22"/>
        </w:rPr>
        <w:t xml:space="preserve"> and reliable follow-up processes (NHS, 2021).</w:t>
      </w:r>
    </w:p>
    <w:p w14:paraId="17B31A9B" w14:textId="6B081CA5" w:rsidR="10ED8ADE" w:rsidRDefault="10ED8ADE" w:rsidP="00F17533">
      <w:pPr>
        <w:spacing w:line="360" w:lineRule="auto"/>
        <w:jc w:val="both"/>
      </w:pPr>
      <w:r w:rsidRPr="57CAFEC2">
        <w:rPr>
          <w:rFonts w:ascii="Arial" w:eastAsia="Arial" w:hAnsi="Arial" w:cs="Arial"/>
          <w:sz w:val="22"/>
        </w:rPr>
        <w:t xml:space="preserve">These findings are important for health and social care because they show where telehealth can support adults with long-term conditions and where further improvements are needed. Telehealth can enhance continuity, save time for </w:t>
      </w:r>
      <w:r w:rsidR="5B1DFC66" w:rsidRPr="57CAFEC2">
        <w:rPr>
          <w:rFonts w:ascii="Arial" w:eastAsia="Arial" w:hAnsi="Arial" w:cs="Arial"/>
          <w:sz w:val="22"/>
        </w:rPr>
        <w:t>patients,</w:t>
      </w:r>
      <w:r w:rsidRPr="57CAFEC2">
        <w:rPr>
          <w:rFonts w:ascii="Arial" w:eastAsia="Arial" w:hAnsi="Arial" w:cs="Arial"/>
          <w:sz w:val="22"/>
        </w:rPr>
        <w:t xml:space="preserve"> and reduce unnecessary appointments, but only when digital systems are accessible, integrated and supported by adequate staffing. Issues such as digital exclusion remain significant, particularly for adults who lack confidence using technology or have limited internet access (Good Things Foundation, 2024). This highlights the need for services to provide digital training, accessible </w:t>
      </w:r>
      <w:r w:rsidR="6B8DD93C" w:rsidRPr="57CAFEC2">
        <w:rPr>
          <w:rFonts w:ascii="Arial" w:eastAsia="Arial" w:hAnsi="Arial" w:cs="Arial"/>
          <w:sz w:val="22"/>
        </w:rPr>
        <w:t>equipment,</w:t>
      </w:r>
      <w:r w:rsidRPr="57CAFEC2">
        <w:rPr>
          <w:rFonts w:ascii="Arial" w:eastAsia="Arial" w:hAnsi="Arial" w:cs="Arial"/>
          <w:sz w:val="22"/>
        </w:rPr>
        <w:t xml:space="preserve"> and alternative consultation options for those who cannot use remote systems.</w:t>
      </w:r>
    </w:p>
    <w:p w14:paraId="280891F3" w14:textId="77777777" w:rsidR="00113AF3" w:rsidRDefault="00113AF3" w:rsidP="00F17533">
      <w:pPr>
        <w:spacing w:line="360" w:lineRule="auto"/>
        <w:jc w:val="both"/>
        <w:rPr>
          <w:rFonts w:ascii="Arial" w:eastAsia="Arial" w:hAnsi="Arial" w:cs="Arial"/>
          <w:sz w:val="22"/>
        </w:rPr>
      </w:pPr>
      <w:r w:rsidRPr="00113AF3">
        <w:rPr>
          <w:rFonts w:ascii="Arial" w:eastAsia="Arial" w:hAnsi="Arial" w:cs="Arial"/>
          <w:sz w:val="22"/>
        </w:rPr>
        <w:t xml:space="preserve">These findings also highlight the importance of considering patient perspectives when evaluating telehealth. Many adults value the convenience and reassurance that remote systems provide, particularly when managing symptoms that fluctuate or require regular </w:t>
      </w:r>
      <w:r w:rsidRPr="00113AF3">
        <w:rPr>
          <w:rFonts w:ascii="Arial" w:eastAsia="Arial" w:hAnsi="Arial" w:cs="Arial"/>
          <w:sz w:val="22"/>
        </w:rPr>
        <w:lastRenderedPageBreak/>
        <w:t>monitoring. However, some individuals may feel uncertain about relying on digital tools or may prefer face-to-face interaction for discussing complex concerns. Recognising this variation is essential for designing flexible services that accommodate different levels of digital confidence and personal preference.</w:t>
      </w:r>
    </w:p>
    <w:p w14:paraId="4293F5D9" w14:textId="0071C7BF" w:rsidR="10ED8ADE" w:rsidRDefault="10ED8ADE" w:rsidP="00F17533">
      <w:pPr>
        <w:spacing w:line="360" w:lineRule="auto"/>
        <w:jc w:val="both"/>
      </w:pPr>
      <w:r w:rsidRPr="437E0BE5">
        <w:rPr>
          <w:rFonts w:ascii="Arial" w:eastAsia="Arial" w:hAnsi="Arial" w:cs="Arial"/>
          <w:sz w:val="22"/>
        </w:rPr>
        <w:t>This review also has limitations. Only three primary studies were included, which restricts the range of evidence available. The studies also examined different chronic conditions, making direct comparison challenging. Finally, the review relied on published research only, meaning relevant grey literature may have been missed.</w:t>
      </w:r>
    </w:p>
    <w:p w14:paraId="1AF2317B" w14:textId="0DD556DB" w:rsidR="437E0BE5" w:rsidRDefault="437E0BE5" w:rsidP="437E0BE5">
      <w:pPr>
        <w:rPr>
          <w:rFonts w:ascii="Arial" w:eastAsia="Arial" w:hAnsi="Arial" w:cs="Arial"/>
          <w:b/>
          <w:bCs/>
        </w:rPr>
      </w:pPr>
    </w:p>
    <w:p w14:paraId="15D74496" w14:textId="46C857B5" w:rsidR="1BC1CD9E" w:rsidRDefault="1BC1CD9E" w:rsidP="1BC1CD9E">
      <w:pPr>
        <w:rPr>
          <w:rFonts w:ascii="Arial" w:eastAsia="Arial" w:hAnsi="Arial" w:cs="Arial"/>
          <w:b/>
          <w:bCs/>
        </w:rPr>
      </w:pPr>
    </w:p>
    <w:p w14:paraId="16FAF0EA" w14:textId="0C0C739A" w:rsidR="00B87E75" w:rsidRDefault="028B5478" w:rsidP="009E391A">
      <w:pPr>
        <w:pStyle w:val="Heading1"/>
      </w:pPr>
      <w:bookmarkStart w:id="11" w:name="_Toc216018613"/>
      <w:r w:rsidRPr="437E0BE5">
        <w:t>6</w:t>
      </w:r>
      <w:r w:rsidR="3DC82109" w:rsidRPr="437E0BE5">
        <w:t>. Conclusion</w:t>
      </w:r>
      <w:r w:rsidR="0F1535A3" w:rsidRPr="437E0BE5">
        <w:t xml:space="preserve"> and Recommendations</w:t>
      </w:r>
      <w:bookmarkEnd w:id="11"/>
    </w:p>
    <w:p w14:paraId="72A4374F" w14:textId="7E285AFC" w:rsidR="21C25E9E" w:rsidRDefault="21C25E9E" w:rsidP="57CAFEC2">
      <w:pPr>
        <w:spacing w:line="360" w:lineRule="auto"/>
        <w:jc w:val="both"/>
        <w:rPr>
          <w:rFonts w:ascii="Arial" w:eastAsia="Arial" w:hAnsi="Arial" w:cs="Arial"/>
          <w:sz w:val="22"/>
        </w:rPr>
      </w:pPr>
      <w:r w:rsidRPr="57CAFEC2">
        <w:rPr>
          <w:rFonts w:ascii="Arial" w:eastAsia="Arial" w:hAnsi="Arial" w:cs="Arial"/>
          <w:sz w:val="22"/>
        </w:rPr>
        <w:t>This scoping review explored how telehealth supports adults living with chronic illnesses in the UK. The findings showed that telemonitoring provides regular health data, but this does not automatically improve outcomes unless clinicians have the capacity to review and act on information promptly. The review also found that telehealth works best when it is fully integrated into clinical pathways with clear processes for communication and follow-up. These findings are consistent with wider research showing that digital services require strong organisational structures to be successful (NHS</w:t>
      </w:r>
      <w:r w:rsidR="00F17533" w:rsidRPr="57CAFEC2">
        <w:rPr>
          <w:rFonts w:ascii="Arial" w:eastAsia="Arial" w:hAnsi="Arial" w:cs="Arial"/>
          <w:sz w:val="22"/>
        </w:rPr>
        <w:t xml:space="preserve">, </w:t>
      </w:r>
      <w:r w:rsidRPr="57CAFEC2">
        <w:rPr>
          <w:rFonts w:ascii="Arial" w:eastAsia="Arial" w:hAnsi="Arial" w:cs="Arial"/>
          <w:sz w:val="22"/>
        </w:rPr>
        <w:t xml:space="preserve">2021). Overall, telehealth has considerable potential to enhance continuity, </w:t>
      </w:r>
      <w:r w:rsidR="523271FC" w:rsidRPr="57CAFEC2">
        <w:rPr>
          <w:rFonts w:ascii="Arial" w:eastAsia="Arial" w:hAnsi="Arial" w:cs="Arial"/>
          <w:sz w:val="22"/>
        </w:rPr>
        <w:t>access,</w:t>
      </w:r>
      <w:r w:rsidRPr="57CAFEC2">
        <w:rPr>
          <w:rFonts w:ascii="Arial" w:eastAsia="Arial" w:hAnsi="Arial" w:cs="Arial"/>
          <w:sz w:val="22"/>
        </w:rPr>
        <w:t xml:space="preserve"> and self-management; however, challenges remain related to digital exclusion, service </w:t>
      </w:r>
      <w:r w:rsidR="4C5C6B91" w:rsidRPr="57CAFEC2">
        <w:rPr>
          <w:rFonts w:ascii="Arial" w:eastAsia="Arial" w:hAnsi="Arial" w:cs="Arial"/>
          <w:sz w:val="22"/>
        </w:rPr>
        <w:t>capacity,</w:t>
      </w:r>
      <w:r w:rsidRPr="57CAFEC2">
        <w:rPr>
          <w:rFonts w:ascii="Arial" w:eastAsia="Arial" w:hAnsi="Arial" w:cs="Arial"/>
          <w:sz w:val="22"/>
        </w:rPr>
        <w:t xml:space="preserve"> and variability in follow-up. Addressing these issues will be essential for improving the quality and equity of telehealth-supported care.</w:t>
      </w:r>
    </w:p>
    <w:p w14:paraId="15C69993" w14:textId="56FA5F55" w:rsidR="3883A285" w:rsidRDefault="3883A285" w:rsidP="437E0BE5">
      <w:pPr>
        <w:rPr>
          <w:rFonts w:ascii="Arial" w:eastAsia="Arial" w:hAnsi="Arial" w:cs="Arial"/>
          <w:b/>
          <w:bCs/>
        </w:rPr>
      </w:pPr>
      <w:r w:rsidRPr="49145D91">
        <w:rPr>
          <w:rFonts w:ascii="Arial" w:eastAsia="Arial" w:hAnsi="Arial" w:cs="Arial"/>
          <w:b/>
          <w:bCs/>
        </w:rPr>
        <w:t>Recommendations</w:t>
      </w:r>
    </w:p>
    <w:p w14:paraId="04E1EF69" w14:textId="053AD0E0" w:rsidR="001D4BC6" w:rsidRPr="001D4BC6" w:rsidRDefault="001D4BC6" w:rsidP="007C0994">
      <w:pPr>
        <w:pStyle w:val="ListParagraph"/>
        <w:numPr>
          <w:ilvl w:val="0"/>
          <w:numId w:val="19"/>
        </w:numPr>
        <w:spacing w:line="360" w:lineRule="auto"/>
        <w:jc w:val="both"/>
        <w:rPr>
          <w:rFonts w:asciiTheme="minorBidi" w:hAnsiTheme="minorBidi"/>
          <w:sz w:val="22"/>
        </w:rPr>
      </w:pPr>
      <w:r w:rsidRPr="001D4BC6">
        <w:rPr>
          <w:rFonts w:asciiTheme="minorBidi" w:hAnsiTheme="minorBidi"/>
          <w:sz w:val="22"/>
        </w:rPr>
        <w:t>Increase clinical capacity to support remote monitoring.</w:t>
      </w:r>
    </w:p>
    <w:p w14:paraId="6AAA3581" w14:textId="77777777" w:rsidR="001D4BC6" w:rsidRPr="001D4BC6" w:rsidRDefault="001D4BC6" w:rsidP="007C0994">
      <w:pPr>
        <w:pStyle w:val="ListParagraph"/>
        <w:spacing w:line="360" w:lineRule="auto"/>
        <w:jc w:val="both"/>
        <w:rPr>
          <w:rFonts w:asciiTheme="minorBidi" w:hAnsiTheme="minorBidi"/>
          <w:sz w:val="22"/>
        </w:rPr>
      </w:pPr>
      <w:r w:rsidRPr="001D4BC6">
        <w:rPr>
          <w:rFonts w:asciiTheme="minorBidi" w:hAnsiTheme="minorBidi"/>
          <w:sz w:val="22"/>
        </w:rPr>
        <w:t>Future policy should ensure that clinicians have the time, staffing and resources required to review telemonitoring data promptly. Evidence shows that remote data only improves outcomes when clinical teams can act quickly and consistently (Wild et al., 2016; Rahimi et al., 2020; Fox et al., 2022).</w:t>
      </w:r>
    </w:p>
    <w:p w14:paraId="3630DBD9" w14:textId="2FF2D384" w:rsidR="001D4BC6" w:rsidRPr="007C0994" w:rsidRDefault="001D4BC6" w:rsidP="007C0994">
      <w:pPr>
        <w:pStyle w:val="ListParagraph"/>
        <w:numPr>
          <w:ilvl w:val="0"/>
          <w:numId w:val="19"/>
        </w:numPr>
        <w:spacing w:line="360" w:lineRule="auto"/>
        <w:jc w:val="both"/>
        <w:rPr>
          <w:rFonts w:asciiTheme="minorBidi" w:hAnsiTheme="minorBidi"/>
          <w:sz w:val="22"/>
        </w:rPr>
      </w:pPr>
      <w:r w:rsidRPr="007C0994">
        <w:rPr>
          <w:rFonts w:asciiTheme="minorBidi" w:hAnsiTheme="minorBidi"/>
          <w:sz w:val="22"/>
        </w:rPr>
        <w:t>Integrate telehealth into routine care pathways.</w:t>
      </w:r>
    </w:p>
    <w:p w14:paraId="0B6EED3A" w14:textId="52AE7F61" w:rsidR="001D4BC6" w:rsidRPr="001D4BC6" w:rsidRDefault="001D4BC6" w:rsidP="007C0994">
      <w:pPr>
        <w:pStyle w:val="ListParagraph"/>
        <w:spacing w:line="360" w:lineRule="auto"/>
        <w:jc w:val="both"/>
        <w:rPr>
          <w:rFonts w:asciiTheme="minorBidi" w:hAnsiTheme="minorBidi"/>
          <w:sz w:val="22"/>
        </w:rPr>
      </w:pPr>
      <w:r w:rsidRPr="001D4BC6">
        <w:rPr>
          <w:rFonts w:asciiTheme="minorBidi" w:hAnsiTheme="minorBidi"/>
          <w:sz w:val="22"/>
        </w:rPr>
        <w:t xml:space="preserve">Health and social care organisations should embed telehealth within established clinical workflows rather than treating it as a separate system. Telehealth achieves better results when it is supported by clear processes for triage, </w:t>
      </w:r>
      <w:r w:rsidR="007C0994" w:rsidRPr="001D4BC6">
        <w:rPr>
          <w:rFonts w:asciiTheme="minorBidi" w:hAnsiTheme="minorBidi"/>
          <w:sz w:val="22"/>
        </w:rPr>
        <w:t>communication,</w:t>
      </w:r>
      <w:r w:rsidRPr="001D4BC6">
        <w:rPr>
          <w:rFonts w:asciiTheme="minorBidi" w:hAnsiTheme="minorBidi"/>
          <w:sz w:val="22"/>
        </w:rPr>
        <w:t xml:space="preserve"> and follow-up (Fox et al., 2022; Greenhalgh et al., 2017).</w:t>
      </w:r>
    </w:p>
    <w:p w14:paraId="4F12A993" w14:textId="20ED2558" w:rsidR="001D4BC6" w:rsidRPr="007C0994" w:rsidRDefault="001D4BC6" w:rsidP="007C0994">
      <w:pPr>
        <w:pStyle w:val="ListParagraph"/>
        <w:numPr>
          <w:ilvl w:val="0"/>
          <w:numId w:val="19"/>
        </w:numPr>
        <w:spacing w:line="360" w:lineRule="auto"/>
        <w:jc w:val="both"/>
        <w:rPr>
          <w:rFonts w:asciiTheme="minorBidi" w:hAnsiTheme="minorBidi"/>
          <w:sz w:val="22"/>
        </w:rPr>
      </w:pPr>
      <w:r w:rsidRPr="007C0994">
        <w:rPr>
          <w:rFonts w:asciiTheme="minorBidi" w:hAnsiTheme="minorBidi"/>
          <w:sz w:val="22"/>
        </w:rPr>
        <w:t>Reduce digital exclusion as a key health inequality.</w:t>
      </w:r>
    </w:p>
    <w:p w14:paraId="1A005EBF" w14:textId="6B49A7DE" w:rsidR="001D4BC6" w:rsidRPr="001D4BC6" w:rsidRDefault="001D4BC6" w:rsidP="00113AF3">
      <w:pPr>
        <w:pStyle w:val="ListParagraph"/>
        <w:spacing w:line="360" w:lineRule="auto"/>
        <w:jc w:val="both"/>
        <w:rPr>
          <w:rFonts w:asciiTheme="minorBidi" w:hAnsiTheme="minorBidi"/>
          <w:sz w:val="22"/>
        </w:rPr>
      </w:pPr>
      <w:r w:rsidRPr="001D4BC6">
        <w:rPr>
          <w:rFonts w:asciiTheme="minorBidi" w:hAnsiTheme="minorBidi"/>
          <w:sz w:val="22"/>
        </w:rPr>
        <w:lastRenderedPageBreak/>
        <w:t xml:space="preserve">National and regional policy must prioritise digital inclusion by improving access to devices, internet </w:t>
      </w:r>
      <w:r w:rsidR="007C0994" w:rsidRPr="001D4BC6">
        <w:rPr>
          <w:rFonts w:asciiTheme="minorBidi" w:hAnsiTheme="minorBidi"/>
          <w:sz w:val="22"/>
        </w:rPr>
        <w:t>connectivity,</w:t>
      </w:r>
      <w:r w:rsidRPr="001D4BC6">
        <w:rPr>
          <w:rFonts w:asciiTheme="minorBidi" w:hAnsiTheme="minorBidi"/>
          <w:sz w:val="22"/>
        </w:rPr>
        <w:t xml:space="preserve"> and digital literacy support, especially for disadvantaged groups. Digital exclusion remains one of the biggest barriers to effective telehealth use (Good Things Foundation, 2024; Greenhalgh et al., 2017).</w:t>
      </w:r>
    </w:p>
    <w:p w14:paraId="6E1ABBCC" w14:textId="1F136853" w:rsidR="001D4BC6" w:rsidRPr="007C0994" w:rsidRDefault="001D4BC6" w:rsidP="00113AF3">
      <w:pPr>
        <w:pStyle w:val="ListParagraph"/>
        <w:numPr>
          <w:ilvl w:val="0"/>
          <w:numId w:val="19"/>
        </w:numPr>
        <w:spacing w:line="360" w:lineRule="auto"/>
        <w:jc w:val="both"/>
        <w:rPr>
          <w:rFonts w:asciiTheme="minorBidi" w:hAnsiTheme="minorBidi"/>
          <w:sz w:val="22"/>
        </w:rPr>
      </w:pPr>
      <w:r w:rsidRPr="007C0994">
        <w:rPr>
          <w:rFonts w:asciiTheme="minorBidi" w:hAnsiTheme="minorBidi"/>
          <w:sz w:val="22"/>
        </w:rPr>
        <w:t xml:space="preserve">Strengthen patient engagement through structured digital </w:t>
      </w:r>
      <w:r w:rsidR="0032176F" w:rsidRPr="007C0994">
        <w:rPr>
          <w:rFonts w:asciiTheme="minorBidi" w:hAnsiTheme="minorBidi"/>
          <w:sz w:val="22"/>
        </w:rPr>
        <w:t>education.</w:t>
      </w:r>
    </w:p>
    <w:p w14:paraId="12A37D1E" w14:textId="77777777" w:rsidR="001D4BC6" w:rsidRPr="001D4BC6" w:rsidRDefault="001D4BC6" w:rsidP="00113AF3">
      <w:pPr>
        <w:pStyle w:val="ListParagraph"/>
        <w:spacing w:line="360" w:lineRule="auto"/>
        <w:jc w:val="both"/>
        <w:rPr>
          <w:rFonts w:asciiTheme="minorBidi" w:hAnsiTheme="minorBidi"/>
          <w:sz w:val="22"/>
        </w:rPr>
      </w:pPr>
      <w:r w:rsidRPr="001D4BC6">
        <w:rPr>
          <w:rFonts w:asciiTheme="minorBidi" w:hAnsiTheme="minorBidi"/>
          <w:sz w:val="22"/>
        </w:rPr>
        <w:t>Services should introduce tailored training, user-friendly technology, and ongoing support to help adults feel confident using telehealth systems. Patient engagement and self-management improve when individuals understand how to use digital tools effectively (Leo et al., 2022; Ma et al., 2022).</w:t>
      </w:r>
    </w:p>
    <w:p w14:paraId="19F8DAAF" w14:textId="37CF6065" w:rsidR="001D4BC6" w:rsidRPr="007C0994" w:rsidRDefault="001D4BC6" w:rsidP="00113AF3">
      <w:pPr>
        <w:pStyle w:val="ListParagraph"/>
        <w:numPr>
          <w:ilvl w:val="0"/>
          <w:numId w:val="19"/>
        </w:numPr>
        <w:spacing w:line="360" w:lineRule="auto"/>
        <w:jc w:val="both"/>
        <w:rPr>
          <w:rFonts w:asciiTheme="minorBidi" w:hAnsiTheme="minorBidi"/>
          <w:sz w:val="22"/>
        </w:rPr>
      </w:pPr>
      <w:r w:rsidRPr="007C0994">
        <w:rPr>
          <w:rFonts w:asciiTheme="minorBidi" w:hAnsiTheme="minorBidi"/>
          <w:sz w:val="22"/>
        </w:rPr>
        <w:t xml:space="preserve">Support national investment and standardised guidance for telehealth </w:t>
      </w:r>
      <w:r w:rsidR="0032176F" w:rsidRPr="007C0994">
        <w:rPr>
          <w:rFonts w:asciiTheme="minorBidi" w:hAnsiTheme="minorBidi"/>
          <w:sz w:val="22"/>
        </w:rPr>
        <w:t>delivery.</w:t>
      </w:r>
    </w:p>
    <w:p w14:paraId="4F07A477" w14:textId="632FAE8A" w:rsidR="001D4BC6" w:rsidRPr="0032176F" w:rsidRDefault="001D4BC6" w:rsidP="00113AF3">
      <w:pPr>
        <w:pStyle w:val="ListParagraph"/>
        <w:spacing w:line="360" w:lineRule="auto"/>
        <w:jc w:val="both"/>
        <w:rPr>
          <w:rFonts w:asciiTheme="minorBidi" w:hAnsiTheme="minorBidi"/>
          <w:sz w:val="22"/>
        </w:rPr>
      </w:pPr>
      <w:r w:rsidRPr="0032176F">
        <w:rPr>
          <w:rFonts w:asciiTheme="minorBidi" w:hAnsiTheme="minorBidi"/>
          <w:sz w:val="22"/>
        </w:rPr>
        <w:t>Policymakers should invest in robust digital infrastructure, develop clear national standards, and ensure consistent implementation across regions. This aligns with NHS England’s focus on expanding remote monitoring and improving long-term condition management (NHS, 2023; NHS, 2021).</w:t>
      </w:r>
    </w:p>
    <w:p w14:paraId="3C4BEF48" w14:textId="77777777" w:rsidR="00113AF3" w:rsidRDefault="00113AF3" w:rsidP="00113AF3">
      <w:pPr>
        <w:pStyle w:val="Heading1"/>
      </w:pPr>
      <w:bookmarkStart w:id="12" w:name="_Toc216018614"/>
    </w:p>
    <w:p w14:paraId="2A55459B" w14:textId="77777777" w:rsidR="00113AF3" w:rsidRDefault="00113AF3" w:rsidP="009E391A">
      <w:pPr>
        <w:pStyle w:val="Heading1"/>
      </w:pPr>
    </w:p>
    <w:p w14:paraId="7DF2F582" w14:textId="77777777" w:rsidR="00113AF3" w:rsidRDefault="00113AF3" w:rsidP="00113AF3"/>
    <w:p w14:paraId="1950A198" w14:textId="77777777" w:rsidR="00113AF3" w:rsidRDefault="00113AF3" w:rsidP="009E391A">
      <w:pPr>
        <w:pStyle w:val="Heading1"/>
      </w:pPr>
    </w:p>
    <w:p w14:paraId="44EA0FF4" w14:textId="77777777" w:rsidR="00113AF3" w:rsidRDefault="00113AF3" w:rsidP="009E391A">
      <w:pPr>
        <w:pStyle w:val="Heading1"/>
      </w:pPr>
    </w:p>
    <w:p w14:paraId="696E62F6" w14:textId="77777777" w:rsidR="00113AF3" w:rsidRDefault="00113AF3" w:rsidP="00113AF3"/>
    <w:p w14:paraId="42CE9EDB" w14:textId="77777777" w:rsidR="00113AF3" w:rsidRDefault="00113AF3" w:rsidP="00113AF3"/>
    <w:p w14:paraId="21DB9467" w14:textId="77777777" w:rsidR="00113AF3" w:rsidRDefault="00113AF3" w:rsidP="00113AF3"/>
    <w:p w14:paraId="24419A1A" w14:textId="77777777" w:rsidR="00113AF3" w:rsidRDefault="00113AF3" w:rsidP="00113AF3"/>
    <w:p w14:paraId="37621EB6" w14:textId="77777777" w:rsidR="00113AF3" w:rsidRDefault="00113AF3" w:rsidP="00113AF3"/>
    <w:p w14:paraId="3ADC21B2" w14:textId="77777777" w:rsidR="00113AF3" w:rsidRDefault="00113AF3" w:rsidP="00113AF3"/>
    <w:p w14:paraId="2E8D54D1" w14:textId="77777777" w:rsidR="00113AF3" w:rsidRDefault="00113AF3" w:rsidP="00113AF3"/>
    <w:p w14:paraId="14B030A0" w14:textId="77777777" w:rsidR="00113AF3" w:rsidRDefault="00113AF3" w:rsidP="00113AF3"/>
    <w:p w14:paraId="0BD06446" w14:textId="77777777" w:rsidR="00113AF3" w:rsidRDefault="00113AF3" w:rsidP="00113AF3"/>
    <w:p w14:paraId="42158EB9" w14:textId="77777777" w:rsidR="00113AF3" w:rsidRDefault="00113AF3" w:rsidP="00113AF3"/>
    <w:p w14:paraId="1C162E70" w14:textId="7FD8FAAC" w:rsidR="00BE745A" w:rsidRDefault="00B87E75" w:rsidP="009E391A">
      <w:pPr>
        <w:pStyle w:val="Heading1"/>
      </w:pPr>
      <w:r w:rsidRPr="1BC1CD9E">
        <w:lastRenderedPageBreak/>
        <w:t>References</w:t>
      </w:r>
      <w:bookmarkEnd w:id="12"/>
    </w:p>
    <w:p w14:paraId="058306D2" w14:textId="0AAFA76C" w:rsidR="00BE745A" w:rsidRPr="00BE745A" w:rsidRDefault="00BE745A" w:rsidP="2A20F00A">
      <w:pPr>
        <w:spacing w:line="360" w:lineRule="auto"/>
        <w:jc w:val="both"/>
        <w:rPr>
          <w:rFonts w:ascii="Arial" w:eastAsia="Arial" w:hAnsi="Arial" w:cs="Arial"/>
          <w:b/>
          <w:bCs/>
          <w:sz w:val="22"/>
        </w:rPr>
      </w:pPr>
      <w:bookmarkStart w:id="13" w:name="_Int_0qeFd29T"/>
      <w:r w:rsidRPr="2A20F00A">
        <w:rPr>
          <w:rFonts w:ascii="Arial" w:eastAsia="Arial" w:hAnsi="Arial" w:cs="Arial"/>
          <w:sz w:val="22"/>
          <w:lang w:val="en-US"/>
        </w:rPr>
        <w:t xml:space="preserve">Atherton, H., Brant, H., </w:t>
      </w:r>
      <w:proofErr w:type="spellStart"/>
      <w:r w:rsidRPr="2A20F00A">
        <w:rPr>
          <w:rFonts w:ascii="Arial" w:eastAsia="Arial" w:hAnsi="Arial" w:cs="Arial"/>
          <w:sz w:val="22"/>
          <w:lang w:val="en-US"/>
        </w:rPr>
        <w:t>Ziebland</w:t>
      </w:r>
      <w:proofErr w:type="spellEnd"/>
      <w:r w:rsidRPr="2A20F00A">
        <w:rPr>
          <w:rFonts w:ascii="Arial" w:eastAsia="Arial" w:hAnsi="Arial" w:cs="Arial"/>
          <w:sz w:val="22"/>
          <w:lang w:val="en-US"/>
        </w:rPr>
        <w:t>, S. et al. (</w:t>
      </w:r>
      <w:r w:rsidR="00361676" w:rsidRPr="2A20F00A">
        <w:rPr>
          <w:rFonts w:ascii="Arial" w:eastAsia="Arial" w:hAnsi="Arial" w:cs="Arial"/>
          <w:sz w:val="22"/>
          <w:lang w:val="en-US"/>
        </w:rPr>
        <w:t>2018)</w:t>
      </w:r>
      <w:r w:rsidR="004F695C" w:rsidRPr="2A20F00A">
        <w:rPr>
          <w:rFonts w:ascii="Arial" w:eastAsia="Arial" w:hAnsi="Arial" w:cs="Arial"/>
          <w:sz w:val="22"/>
          <w:lang w:val="en-US"/>
        </w:rPr>
        <w:t xml:space="preserve"> ‘</w:t>
      </w:r>
      <w:r w:rsidRPr="2A20F00A">
        <w:rPr>
          <w:rFonts w:ascii="Arial" w:eastAsia="Arial" w:hAnsi="Arial" w:cs="Arial"/>
          <w:sz w:val="22"/>
          <w:lang w:val="en-US"/>
        </w:rPr>
        <w:t>The potential of alternatives to face-to-face consultation in general practice: a qualitative study</w:t>
      </w:r>
      <w:r w:rsidR="004F695C" w:rsidRPr="2A20F00A">
        <w:rPr>
          <w:rFonts w:ascii="Arial" w:eastAsia="Arial" w:hAnsi="Arial" w:cs="Arial"/>
          <w:sz w:val="22"/>
          <w:lang w:val="en-US"/>
        </w:rPr>
        <w:t xml:space="preserve">’, </w:t>
      </w:r>
      <w:r w:rsidRPr="2A20F00A">
        <w:rPr>
          <w:rFonts w:ascii="Arial" w:eastAsia="Arial" w:hAnsi="Arial" w:cs="Arial"/>
          <w:i/>
          <w:iCs/>
          <w:sz w:val="22"/>
          <w:lang w:val="en-US"/>
        </w:rPr>
        <w:t>British Journal of General Practice</w:t>
      </w:r>
      <w:r w:rsidRPr="2A20F00A">
        <w:rPr>
          <w:rFonts w:ascii="Arial" w:eastAsia="Arial" w:hAnsi="Arial" w:cs="Arial"/>
          <w:sz w:val="22"/>
          <w:lang w:val="en-US"/>
        </w:rPr>
        <w:t>.</w:t>
      </w:r>
      <w:bookmarkEnd w:id="13"/>
      <w:r w:rsidRPr="2A20F00A">
        <w:rPr>
          <w:rFonts w:ascii="Arial" w:eastAsia="Arial" w:hAnsi="Arial" w:cs="Arial"/>
          <w:sz w:val="22"/>
          <w:lang w:val="en-US"/>
        </w:rPr>
        <w:t xml:space="preserve"> </w:t>
      </w:r>
      <w:r w:rsidR="00F17533" w:rsidRPr="2A20F00A">
        <w:rPr>
          <w:rFonts w:ascii="Arial" w:eastAsia="Arial" w:hAnsi="Arial" w:cs="Arial"/>
          <w:sz w:val="22"/>
          <w:lang w:val="en-US"/>
        </w:rPr>
        <w:t xml:space="preserve">68(669), pp. 29–37. </w:t>
      </w:r>
      <w:r w:rsidRPr="2A20F00A">
        <w:rPr>
          <w:rFonts w:ascii="Arial" w:eastAsia="Arial" w:hAnsi="Arial" w:cs="Arial"/>
          <w:sz w:val="22"/>
          <w:lang w:val="en-US"/>
        </w:rPr>
        <w:t xml:space="preserve">Available at: </w:t>
      </w:r>
      <w:hyperlink r:id="rId13">
        <w:r w:rsidR="0003768D" w:rsidRPr="2A20F00A">
          <w:rPr>
            <w:rStyle w:val="Hyperlink"/>
            <w:rFonts w:ascii="Arial" w:eastAsia="Arial" w:hAnsi="Arial" w:cs="Arial"/>
            <w:sz w:val="22"/>
            <w:lang w:val="en-US"/>
          </w:rPr>
          <w:t>https://pubmed.ncbi.nlm.nih.gov/29889485/</w:t>
        </w:r>
      </w:hyperlink>
      <w:r w:rsidR="0003768D" w:rsidRPr="2A20F00A">
        <w:rPr>
          <w:rFonts w:ascii="Arial" w:eastAsia="Arial" w:hAnsi="Arial" w:cs="Arial"/>
          <w:sz w:val="22"/>
          <w:lang w:val="en-US"/>
        </w:rPr>
        <w:t xml:space="preserve"> </w:t>
      </w:r>
      <w:r w:rsidRPr="2A20F00A">
        <w:rPr>
          <w:rFonts w:ascii="Arial" w:eastAsia="Arial" w:hAnsi="Arial" w:cs="Arial"/>
          <w:sz w:val="22"/>
          <w:lang w:val="en-US"/>
        </w:rPr>
        <w:t>(Accessed:1 December 2025).</w:t>
      </w:r>
    </w:p>
    <w:p w14:paraId="0EA95AF8" w14:textId="3303347E" w:rsidR="00BE745A" w:rsidRDefault="00BE745A" w:rsidP="1DE34E22">
      <w:pPr>
        <w:spacing w:before="240" w:after="158" w:line="360" w:lineRule="auto"/>
        <w:jc w:val="both"/>
      </w:pPr>
      <w:bookmarkStart w:id="14" w:name="_Int_QUUGYNJB"/>
      <w:r w:rsidRPr="2A20F00A">
        <w:rPr>
          <w:rFonts w:ascii="Arial" w:eastAsia="Arial" w:hAnsi="Arial" w:cs="Arial"/>
          <w:sz w:val="22"/>
          <w:lang w:val="en-US"/>
        </w:rPr>
        <w:t xml:space="preserve">Bashi, N., </w:t>
      </w:r>
      <w:proofErr w:type="spellStart"/>
      <w:r w:rsidRPr="2A20F00A">
        <w:rPr>
          <w:rFonts w:ascii="Arial" w:eastAsia="Arial" w:hAnsi="Arial" w:cs="Arial"/>
          <w:sz w:val="22"/>
          <w:lang w:val="en-US"/>
        </w:rPr>
        <w:t>Karunanithi</w:t>
      </w:r>
      <w:proofErr w:type="spellEnd"/>
      <w:r w:rsidRPr="2A20F00A">
        <w:rPr>
          <w:rFonts w:ascii="Arial" w:eastAsia="Arial" w:hAnsi="Arial" w:cs="Arial"/>
          <w:sz w:val="22"/>
          <w:lang w:val="en-US"/>
        </w:rPr>
        <w:t xml:space="preserve">, M., Fatehi, F., Ding, </w:t>
      </w:r>
      <w:r w:rsidR="278ABF4D" w:rsidRPr="2A20F00A">
        <w:rPr>
          <w:rFonts w:ascii="Arial" w:eastAsia="Arial" w:hAnsi="Arial" w:cs="Arial"/>
          <w:sz w:val="22"/>
          <w:lang w:val="en-US"/>
        </w:rPr>
        <w:t>H.,</w:t>
      </w:r>
      <w:r w:rsidRPr="2A20F00A">
        <w:rPr>
          <w:rFonts w:ascii="Arial" w:eastAsia="Arial" w:hAnsi="Arial" w:cs="Arial"/>
          <w:sz w:val="22"/>
          <w:lang w:val="en-US"/>
        </w:rPr>
        <w:t xml:space="preserve"> and Walters, D. (</w:t>
      </w:r>
      <w:proofErr w:type="gramStart"/>
      <w:r w:rsidR="009E391A" w:rsidRPr="2A20F00A">
        <w:rPr>
          <w:rFonts w:ascii="Arial" w:eastAsia="Arial" w:hAnsi="Arial" w:cs="Arial"/>
          <w:sz w:val="22"/>
          <w:lang w:val="en-US"/>
        </w:rPr>
        <w:t>2017) ‘</w:t>
      </w:r>
      <w:proofErr w:type="gramEnd"/>
      <w:r w:rsidRPr="2A20F00A">
        <w:rPr>
          <w:rFonts w:ascii="Arial" w:eastAsia="Arial" w:hAnsi="Arial" w:cs="Arial"/>
          <w:sz w:val="22"/>
          <w:lang w:val="en-US"/>
        </w:rPr>
        <w:t>Remote monitoring of patients with heart failure</w:t>
      </w:r>
      <w:r w:rsidR="6AB94AC5" w:rsidRPr="2A20F00A">
        <w:rPr>
          <w:rFonts w:ascii="Arial" w:eastAsia="Arial" w:hAnsi="Arial" w:cs="Arial"/>
          <w:sz w:val="22"/>
          <w:lang w:val="en-US"/>
        </w:rPr>
        <w:t xml:space="preserve">: </w:t>
      </w:r>
      <w:r w:rsidR="523B014D" w:rsidRPr="2A20F00A">
        <w:rPr>
          <w:rFonts w:ascii="Arial" w:eastAsia="Arial" w:hAnsi="Arial" w:cs="Arial"/>
          <w:sz w:val="22"/>
          <w:lang w:val="en-US"/>
        </w:rPr>
        <w:t>an overview of systematic reviews’,</w:t>
      </w:r>
      <w:r w:rsidR="00361676" w:rsidRPr="2A20F00A">
        <w:rPr>
          <w:rFonts w:ascii="Arial" w:eastAsia="Arial" w:hAnsi="Arial" w:cs="Arial"/>
          <w:i/>
          <w:iCs/>
          <w:sz w:val="22"/>
          <w:lang w:val="en-US"/>
        </w:rPr>
        <w:t xml:space="preserve"> </w:t>
      </w:r>
      <w:r w:rsidRPr="2A20F00A">
        <w:rPr>
          <w:rFonts w:ascii="Arial" w:eastAsia="Arial" w:hAnsi="Arial" w:cs="Arial"/>
          <w:i/>
          <w:iCs/>
          <w:sz w:val="22"/>
          <w:lang w:val="en-US"/>
        </w:rPr>
        <w:t>Journal of Medical Internet Research</w:t>
      </w:r>
      <w:r w:rsidRPr="2A20F00A">
        <w:rPr>
          <w:rFonts w:ascii="Arial" w:eastAsia="Arial" w:hAnsi="Arial" w:cs="Arial"/>
          <w:sz w:val="22"/>
          <w:lang w:val="en-US"/>
        </w:rPr>
        <w:t>,</w:t>
      </w:r>
      <w:r w:rsidR="00F17533">
        <w:t xml:space="preserve"> </w:t>
      </w:r>
      <w:r w:rsidR="00F17533" w:rsidRPr="2A20F00A">
        <w:rPr>
          <w:rFonts w:ascii="Arial" w:eastAsia="Arial" w:hAnsi="Arial" w:cs="Arial"/>
          <w:sz w:val="22"/>
          <w:lang w:val="en-US"/>
        </w:rPr>
        <w:t xml:space="preserve">19(1), </w:t>
      </w:r>
      <w:r w:rsidR="583721B0" w:rsidRPr="2A20F00A">
        <w:rPr>
          <w:rFonts w:ascii="Arial" w:eastAsia="Arial" w:hAnsi="Arial" w:cs="Arial"/>
          <w:sz w:val="22"/>
          <w:lang w:val="en-US"/>
        </w:rPr>
        <w:t>e</w:t>
      </w:r>
      <w:r w:rsidR="00F17533" w:rsidRPr="2A20F00A">
        <w:rPr>
          <w:rFonts w:ascii="Arial" w:eastAsia="Arial" w:hAnsi="Arial" w:cs="Arial"/>
          <w:sz w:val="22"/>
          <w:lang w:val="en-US"/>
        </w:rPr>
        <w:t>18.</w:t>
      </w:r>
      <w:bookmarkEnd w:id="14"/>
      <w:r w:rsidRPr="2A20F00A">
        <w:rPr>
          <w:rFonts w:ascii="Arial" w:eastAsia="Arial" w:hAnsi="Arial" w:cs="Arial"/>
          <w:sz w:val="22"/>
          <w:lang w:val="en-US"/>
        </w:rPr>
        <w:t xml:space="preserve"> Available at:</w:t>
      </w:r>
      <w:r w:rsidR="005023AF">
        <w:t xml:space="preserve"> </w:t>
      </w:r>
      <w:hyperlink r:id="rId14">
        <w:r w:rsidR="005023AF" w:rsidRPr="2A20F00A">
          <w:rPr>
            <w:rStyle w:val="Hyperlink"/>
            <w:rFonts w:ascii="Arial" w:eastAsia="Arial" w:hAnsi="Arial" w:cs="Arial"/>
            <w:sz w:val="22"/>
            <w:lang w:val="en-US"/>
          </w:rPr>
          <w:t>https://www.jmir.org/2017/1/e18/</w:t>
        </w:r>
      </w:hyperlink>
      <w:r w:rsidR="005023AF" w:rsidRPr="2A20F00A">
        <w:rPr>
          <w:rFonts w:ascii="Arial" w:eastAsia="Arial" w:hAnsi="Arial" w:cs="Arial"/>
          <w:sz w:val="22"/>
          <w:lang w:val="en-US"/>
        </w:rPr>
        <w:t xml:space="preserve"> </w:t>
      </w:r>
      <w:r w:rsidRPr="2A20F00A">
        <w:rPr>
          <w:rFonts w:ascii="Arial" w:eastAsia="Arial" w:hAnsi="Arial" w:cs="Arial"/>
          <w:sz w:val="22"/>
          <w:lang w:val="en-US"/>
        </w:rPr>
        <w:t>(Accessed: 1 December 2025).</w:t>
      </w:r>
    </w:p>
    <w:p w14:paraId="121383CF" w14:textId="5328FFAD" w:rsidR="00BE745A" w:rsidRDefault="00BE745A" w:rsidP="2A20F00A">
      <w:pPr>
        <w:tabs>
          <w:tab w:val="left" w:pos="6540"/>
        </w:tabs>
        <w:spacing w:line="360" w:lineRule="auto"/>
        <w:jc w:val="both"/>
        <w:rPr>
          <w:rFonts w:ascii="Arial" w:eastAsia="Arial" w:hAnsi="Arial" w:cs="Arial"/>
          <w:sz w:val="22"/>
        </w:rPr>
      </w:pPr>
      <w:r w:rsidRPr="568568C9">
        <w:rPr>
          <w:rFonts w:asciiTheme="minorBidi" w:hAnsiTheme="minorBidi"/>
          <w:sz w:val="22"/>
        </w:rPr>
        <w:t xml:space="preserve">Braun, </w:t>
      </w:r>
      <w:r w:rsidR="0810EAE7" w:rsidRPr="568568C9">
        <w:rPr>
          <w:rFonts w:asciiTheme="minorBidi" w:hAnsiTheme="minorBidi"/>
          <w:sz w:val="22"/>
        </w:rPr>
        <w:t>V.,</w:t>
      </w:r>
      <w:r w:rsidRPr="568568C9">
        <w:rPr>
          <w:rFonts w:asciiTheme="minorBidi" w:hAnsiTheme="minorBidi"/>
          <w:sz w:val="22"/>
        </w:rPr>
        <w:t xml:space="preserve"> and Clarke, V. (2021)</w:t>
      </w:r>
      <w:r w:rsidR="001F18D2" w:rsidRPr="568568C9">
        <w:rPr>
          <w:rFonts w:asciiTheme="minorBidi" w:hAnsiTheme="minorBidi"/>
          <w:sz w:val="22"/>
        </w:rPr>
        <w:t xml:space="preserve"> </w:t>
      </w:r>
      <w:r w:rsidR="04510461" w:rsidRPr="568568C9">
        <w:rPr>
          <w:rFonts w:asciiTheme="minorBidi" w:hAnsiTheme="minorBidi"/>
          <w:sz w:val="22"/>
        </w:rPr>
        <w:t>‘</w:t>
      </w:r>
      <w:r w:rsidRPr="568568C9">
        <w:rPr>
          <w:rFonts w:asciiTheme="minorBidi" w:hAnsiTheme="minorBidi"/>
          <w:sz w:val="22"/>
        </w:rPr>
        <w:t xml:space="preserve">One size fit </w:t>
      </w:r>
      <w:r w:rsidR="4E4D4DF9" w:rsidRPr="568568C9">
        <w:rPr>
          <w:rFonts w:asciiTheme="minorBidi" w:hAnsiTheme="minorBidi"/>
          <w:sz w:val="22"/>
        </w:rPr>
        <w:t>all?</w:t>
      </w:r>
      <w:r w:rsidR="6B089A16" w:rsidRPr="568568C9">
        <w:rPr>
          <w:rFonts w:asciiTheme="minorBidi" w:hAnsiTheme="minorBidi"/>
          <w:sz w:val="22"/>
        </w:rPr>
        <w:t xml:space="preserve"> </w:t>
      </w:r>
      <w:r w:rsidRPr="568568C9">
        <w:rPr>
          <w:rFonts w:asciiTheme="minorBidi" w:hAnsiTheme="minorBidi"/>
          <w:sz w:val="22"/>
        </w:rPr>
        <w:t xml:space="preserve">What counts as quality practice in </w:t>
      </w:r>
      <w:r w:rsidR="76B944F0" w:rsidRPr="568568C9">
        <w:rPr>
          <w:rFonts w:asciiTheme="minorBidi" w:hAnsiTheme="minorBidi"/>
          <w:sz w:val="22"/>
        </w:rPr>
        <w:t xml:space="preserve">(reflexive) </w:t>
      </w:r>
      <w:r w:rsidRPr="568568C9">
        <w:rPr>
          <w:rFonts w:asciiTheme="minorBidi" w:hAnsiTheme="minorBidi"/>
          <w:sz w:val="22"/>
        </w:rPr>
        <w:t xml:space="preserve">thematic </w:t>
      </w:r>
      <w:r w:rsidR="672F344D" w:rsidRPr="568568C9">
        <w:rPr>
          <w:rFonts w:asciiTheme="minorBidi" w:hAnsiTheme="minorBidi"/>
          <w:sz w:val="22"/>
        </w:rPr>
        <w:t>analysis?</w:t>
      </w:r>
      <w:r w:rsidR="7BAF598A" w:rsidRPr="568568C9">
        <w:rPr>
          <w:rFonts w:asciiTheme="minorBidi" w:hAnsiTheme="minorBidi"/>
          <w:sz w:val="22"/>
        </w:rPr>
        <w:t>’</w:t>
      </w:r>
      <w:r w:rsidRPr="568568C9">
        <w:rPr>
          <w:rFonts w:asciiTheme="minorBidi" w:hAnsiTheme="minorBidi"/>
          <w:sz w:val="22"/>
        </w:rPr>
        <w:t xml:space="preserve"> </w:t>
      </w:r>
      <w:r w:rsidR="00F17533" w:rsidRPr="568568C9">
        <w:rPr>
          <w:rFonts w:asciiTheme="minorBidi" w:hAnsiTheme="minorBidi"/>
          <w:i/>
          <w:iCs/>
          <w:sz w:val="22"/>
        </w:rPr>
        <w:t>Qualitative Research in Psychology</w:t>
      </w:r>
      <w:r w:rsidR="00F17533" w:rsidRPr="568568C9">
        <w:rPr>
          <w:rFonts w:asciiTheme="minorBidi" w:hAnsiTheme="minorBidi"/>
          <w:sz w:val="22"/>
        </w:rPr>
        <w:t>.</w:t>
      </w:r>
      <w:r w:rsidRPr="568568C9">
        <w:rPr>
          <w:rFonts w:asciiTheme="minorBidi" w:hAnsiTheme="minorBidi"/>
          <w:sz w:val="22"/>
        </w:rPr>
        <w:t xml:space="preserve">18(3), pp. 328–352. Available at: </w:t>
      </w:r>
      <w:hyperlink r:id="rId15">
        <w:r w:rsidR="00402A03" w:rsidRPr="568568C9">
          <w:rPr>
            <w:rStyle w:val="Hyperlink"/>
            <w:rFonts w:asciiTheme="minorBidi" w:hAnsiTheme="minorBidi"/>
            <w:sz w:val="22"/>
          </w:rPr>
          <w:t>https://www.tandfonline.com/doi/abs/10.1080/14780887.2020.1769238</w:t>
        </w:r>
      </w:hyperlink>
      <w:r w:rsidR="00402A03" w:rsidRPr="568568C9">
        <w:rPr>
          <w:rFonts w:asciiTheme="minorBidi" w:hAnsiTheme="minorBidi"/>
          <w:sz w:val="22"/>
        </w:rPr>
        <w:t xml:space="preserve"> </w:t>
      </w:r>
      <w:r w:rsidRPr="568568C9">
        <w:rPr>
          <w:rFonts w:ascii="Arial" w:eastAsia="Arial" w:hAnsi="Arial" w:cs="Arial"/>
          <w:sz w:val="22"/>
        </w:rPr>
        <w:t xml:space="preserve">(Accessed: 1 December 2025). </w:t>
      </w:r>
    </w:p>
    <w:p w14:paraId="11B45A05" w14:textId="6D09D241" w:rsidR="00BE745A" w:rsidRDefault="00BE745A" w:rsidP="2A20F00A">
      <w:pPr>
        <w:spacing w:before="240" w:after="158" w:line="360" w:lineRule="auto"/>
        <w:jc w:val="both"/>
        <w:rPr>
          <w:rFonts w:ascii="Arial" w:eastAsia="Arial" w:hAnsi="Arial" w:cs="Arial"/>
          <w:color w:val="000000" w:themeColor="text1"/>
          <w:sz w:val="22"/>
          <w:lang w:val="en-US"/>
        </w:rPr>
      </w:pPr>
      <w:bookmarkStart w:id="15" w:name="_Int_36pTqVZA"/>
      <w:r w:rsidRPr="2A20F00A">
        <w:rPr>
          <w:rFonts w:ascii="Arial" w:eastAsia="Arial" w:hAnsi="Arial" w:cs="Arial"/>
          <w:color w:val="000000" w:themeColor="text1"/>
          <w:sz w:val="22"/>
          <w:lang w:val="en-US"/>
        </w:rPr>
        <w:t xml:space="preserve">British Educational Research Association (BERA) (2024) </w:t>
      </w:r>
      <w:r w:rsidRPr="2A20F00A">
        <w:rPr>
          <w:rFonts w:ascii="Arial" w:eastAsia="Arial" w:hAnsi="Arial" w:cs="Arial"/>
          <w:i/>
          <w:iCs/>
          <w:color w:val="000000" w:themeColor="text1"/>
          <w:sz w:val="22"/>
          <w:lang w:val="en-US"/>
        </w:rPr>
        <w:t>Ethical Guidelines for Educational Research</w:t>
      </w:r>
      <w:r w:rsidRPr="2A20F00A">
        <w:rPr>
          <w:rFonts w:ascii="Arial" w:eastAsia="Arial" w:hAnsi="Arial" w:cs="Arial"/>
          <w:color w:val="000000" w:themeColor="text1"/>
          <w:sz w:val="22"/>
          <w:lang w:val="en-US"/>
        </w:rPr>
        <w:t>.</w:t>
      </w:r>
      <w:bookmarkEnd w:id="15"/>
      <w:r w:rsidRPr="2A20F00A">
        <w:rPr>
          <w:rFonts w:ascii="Arial" w:eastAsia="Arial" w:hAnsi="Arial" w:cs="Arial"/>
          <w:color w:val="000000" w:themeColor="text1"/>
          <w:sz w:val="22"/>
          <w:lang w:val="en-US"/>
        </w:rPr>
        <w:t xml:space="preserve"> 5</w:t>
      </w:r>
      <w:r w:rsidRPr="2A20F00A">
        <w:rPr>
          <w:rFonts w:ascii="Arial" w:eastAsia="Arial" w:hAnsi="Arial" w:cs="Arial"/>
          <w:color w:val="000000" w:themeColor="text1"/>
          <w:sz w:val="22"/>
          <w:vertAlign w:val="superscript"/>
          <w:lang w:val="en-US"/>
        </w:rPr>
        <w:t>th</w:t>
      </w:r>
      <w:r w:rsidR="00C94FAA" w:rsidRPr="2A20F00A">
        <w:rPr>
          <w:rFonts w:ascii="Arial" w:eastAsia="Arial" w:hAnsi="Arial" w:cs="Arial"/>
          <w:color w:val="000000" w:themeColor="text1"/>
          <w:sz w:val="22"/>
          <w:lang w:val="en-US"/>
        </w:rPr>
        <w:t xml:space="preserve"> </w:t>
      </w:r>
      <w:proofErr w:type="spellStart"/>
      <w:proofErr w:type="gramStart"/>
      <w:r w:rsidR="00C94FAA" w:rsidRPr="2A20F00A">
        <w:rPr>
          <w:rFonts w:ascii="Arial" w:eastAsia="Arial" w:hAnsi="Arial" w:cs="Arial"/>
          <w:color w:val="000000" w:themeColor="text1"/>
          <w:sz w:val="22"/>
          <w:lang w:val="en-US"/>
        </w:rPr>
        <w:t>edn</w:t>
      </w:r>
      <w:proofErr w:type="spellEnd"/>
      <w:proofErr w:type="gramEnd"/>
      <w:r w:rsidRPr="2A20F00A">
        <w:rPr>
          <w:rFonts w:ascii="Arial" w:eastAsia="Arial" w:hAnsi="Arial" w:cs="Arial"/>
          <w:color w:val="000000" w:themeColor="text1"/>
          <w:sz w:val="22"/>
          <w:lang w:val="en-US"/>
        </w:rPr>
        <w:t xml:space="preserve">. London: BERA. Available at: </w:t>
      </w:r>
      <w:hyperlink r:id="rId16">
        <w:r w:rsidR="00032D8C" w:rsidRPr="2A20F00A">
          <w:rPr>
            <w:rStyle w:val="Hyperlink"/>
            <w:rFonts w:ascii="Arial" w:eastAsia="Arial" w:hAnsi="Arial" w:cs="Arial"/>
            <w:sz w:val="22"/>
            <w:lang w:val="en-US"/>
          </w:rPr>
          <w:t>https://www.bera.ac.uk/publication/ethical-guidelines-for-educational-research-fifth-edition-2024</w:t>
        </w:r>
      </w:hyperlink>
      <w:r w:rsidR="00032D8C" w:rsidRPr="2A20F00A">
        <w:rPr>
          <w:rFonts w:ascii="Arial" w:eastAsia="Arial" w:hAnsi="Arial" w:cs="Arial"/>
          <w:color w:val="000000" w:themeColor="text1"/>
          <w:sz w:val="22"/>
          <w:lang w:val="en-US"/>
        </w:rPr>
        <w:t xml:space="preserve"> </w:t>
      </w:r>
      <w:r w:rsidRPr="2A20F00A">
        <w:rPr>
          <w:rFonts w:ascii="Arial" w:eastAsia="Arial" w:hAnsi="Arial" w:cs="Arial"/>
          <w:color w:val="000000" w:themeColor="text1"/>
          <w:sz w:val="22"/>
          <w:lang w:val="en-US"/>
        </w:rPr>
        <w:t>(Accessed:1 December 2025).</w:t>
      </w:r>
    </w:p>
    <w:p w14:paraId="41AB1ACE" w14:textId="38B239B3" w:rsidR="00BE745A" w:rsidRDefault="5476C149" w:rsidP="1DE34E22">
      <w:pPr>
        <w:spacing w:before="240" w:after="158" w:line="360" w:lineRule="auto"/>
        <w:jc w:val="both"/>
      </w:pPr>
      <w:r w:rsidRPr="2A20F00A">
        <w:rPr>
          <w:rFonts w:ascii="Arial" w:eastAsia="Arial" w:hAnsi="Arial" w:cs="Arial"/>
          <w:sz w:val="22"/>
          <w:lang w:val="en-US"/>
        </w:rPr>
        <w:t xml:space="preserve">Fox, L., Heiden, E., Chauhan, M.A.J., Longstaff, J.M., Balls, L., De Vos, R., Neville, D.M., Jones, T.L., Leung, A.W., Morrison, L., Rupani, H., Brown, T.P., Stores, R. and Chauhan, A.J. (2022) ‘Evaluation of telehealth support in an integrated respiratory clinic’, NPJ Primary Care Respiratory Medicine, 32(1), 51. Available at: </w:t>
      </w:r>
      <w:hyperlink r:id="rId17">
        <w:r w:rsidRPr="2A20F00A">
          <w:rPr>
            <w:rStyle w:val="Hyperlink"/>
            <w:rFonts w:ascii="Arial" w:eastAsia="Arial" w:hAnsi="Arial" w:cs="Arial"/>
            <w:sz w:val="22"/>
            <w:lang w:val="en-US"/>
          </w:rPr>
          <w:t>https://pubmed.ncbi.nlm.nih.gov/36369507/</w:t>
        </w:r>
      </w:hyperlink>
      <w:r w:rsidRPr="2A20F00A">
        <w:rPr>
          <w:rFonts w:ascii="Arial" w:eastAsia="Arial" w:hAnsi="Arial" w:cs="Arial"/>
          <w:sz w:val="22"/>
          <w:lang w:val="en-US"/>
        </w:rPr>
        <w:t xml:space="preserve"> (Accessed: 1 December 2025). </w:t>
      </w:r>
    </w:p>
    <w:p w14:paraId="2041E99F" w14:textId="5D24102F" w:rsidR="00BE745A" w:rsidRDefault="00BE745A" w:rsidP="1DE34E22">
      <w:pPr>
        <w:spacing w:before="240" w:after="158" w:line="360" w:lineRule="auto"/>
        <w:jc w:val="both"/>
      </w:pPr>
      <w:bookmarkStart w:id="16" w:name="_Int_fiOGL6XR"/>
      <w:r w:rsidRPr="2A20F00A">
        <w:rPr>
          <w:rFonts w:ascii="Arial" w:eastAsia="Arial" w:hAnsi="Arial" w:cs="Arial"/>
          <w:sz w:val="22"/>
          <w:lang w:val="en-US"/>
        </w:rPr>
        <w:t xml:space="preserve">Good Things Foundation (2024) </w:t>
      </w:r>
      <w:r w:rsidRPr="2A20F00A">
        <w:rPr>
          <w:rFonts w:ascii="Arial" w:eastAsia="Arial" w:hAnsi="Arial" w:cs="Arial"/>
          <w:i/>
          <w:iCs/>
          <w:sz w:val="22"/>
          <w:lang w:val="en-US"/>
        </w:rPr>
        <w:t>Mitigating risks of digital exclusion in health systems.</w:t>
      </w:r>
      <w:bookmarkEnd w:id="16"/>
      <w:r w:rsidRPr="2A20F00A">
        <w:rPr>
          <w:rFonts w:ascii="Arial" w:eastAsia="Arial" w:hAnsi="Arial" w:cs="Arial"/>
          <w:i/>
          <w:iCs/>
          <w:sz w:val="22"/>
          <w:lang w:val="en-US"/>
        </w:rPr>
        <w:t xml:space="preserve"> </w:t>
      </w:r>
      <w:r w:rsidRPr="2A20F00A">
        <w:rPr>
          <w:rFonts w:ascii="Arial" w:eastAsia="Arial" w:hAnsi="Arial" w:cs="Arial"/>
          <w:sz w:val="22"/>
          <w:lang w:val="en-US"/>
        </w:rPr>
        <w:t xml:space="preserve">Available at: </w:t>
      </w:r>
      <w:hyperlink r:id="rId18">
        <w:r w:rsidR="00602B46" w:rsidRPr="2A20F00A">
          <w:rPr>
            <w:rStyle w:val="Hyperlink"/>
            <w:rFonts w:ascii="Arial" w:eastAsia="Arial" w:hAnsi="Arial" w:cs="Arial"/>
            <w:sz w:val="22"/>
            <w:lang w:val="en-US"/>
          </w:rPr>
          <w:t>https://www.goodthingsfoundation.org/policy-and-research/research-and-evidence/research-2024/health-inequalities-digital-exclusion.html</w:t>
        </w:r>
      </w:hyperlink>
      <w:r w:rsidR="00602B46" w:rsidRPr="2A20F00A">
        <w:rPr>
          <w:rFonts w:ascii="Arial" w:eastAsia="Arial" w:hAnsi="Arial" w:cs="Arial"/>
          <w:sz w:val="22"/>
          <w:lang w:val="en-US"/>
        </w:rPr>
        <w:t xml:space="preserve"> </w:t>
      </w:r>
      <w:r w:rsidRPr="2A20F00A">
        <w:rPr>
          <w:rFonts w:ascii="Arial" w:eastAsia="Arial" w:hAnsi="Arial" w:cs="Arial"/>
          <w:sz w:val="22"/>
          <w:lang w:val="en-US"/>
        </w:rPr>
        <w:t>(Accessed:1 December 2025).</w:t>
      </w:r>
    </w:p>
    <w:p w14:paraId="1BAC2DF7" w14:textId="5F2DF8D1" w:rsidR="00BE745A" w:rsidRDefault="00BE745A" w:rsidP="2A20F00A">
      <w:pPr>
        <w:spacing w:before="240" w:after="158" w:line="360" w:lineRule="auto"/>
        <w:jc w:val="both"/>
        <w:rPr>
          <w:rFonts w:ascii="Arial" w:eastAsia="Arial" w:hAnsi="Arial" w:cs="Arial"/>
          <w:color w:val="000000" w:themeColor="text1"/>
          <w:sz w:val="22"/>
          <w:lang w:val="en-US"/>
        </w:rPr>
      </w:pPr>
      <w:r w:rsidRPr="2A20F00A">
        <w:rPr>
          <w:rFonts w:ascii="Arial" w:eastAsia="Arial" w:hAnsi="Arial" w:cs="Arial"/>
          <w:color w:val="000000" w:themeColor="text1"/>
          <w:sz w:val="22"/>
          <w:lang w:val="en-US"/>
        </w:rPr>
        <w:t xml:space="preserve">Greenhalgh, T., </w:t>
      </w:r>
      <w:proofErr w:type="spellStart"/>
      <w:r w:rsidRPr="2A20F00A">
        <w:rPr>
          <w:rFonts w:ascii="Arial" w:eastAsia="Arial" w:hAnsi="Arial" w:cs="Arial"/>
          <w:color w:val="000000" w:themeColor="text1"/>
          <w:sz w:val="22"/>
          <w:lang w:val="en-US"/>
        </w:rPr>
        <w:t>Wherton</w:t>
      </w:r>
      <w:proofErr w:type="spellEnd"/>
      <w:r w:rsidRPr="2A20F00A">
        <w:rPr>
          <w:rFonts w:ascii="Arial" w:eastAsia="Arial" w:hAnsi="Arial" w:cs="Arial"/>
          <w:color w:val="000000" w:themeColor="text1"/>
          <w:sz w:val="22"/>
          <w:lang w:val="en-US"/>
        </w:rPr>
        <w:t>, J., Papoutsi, C.</w:t>
      </w:r>
      <w:r w:rsidR="69E73E51" w:rsidRPr="2A20F00A">
        <w:rPr>
          <w:rFonts w:ascii="Arial" w:eastAsia="Arial" w:hAnsi="Arial" w:cs="Arial"/>
          <w:color w:val="000000" w:themeColor="text1"/>
          <w:sz w:val="22"/>
          <w:lang w:val="en-US"/>
        </w:rPr>
        <w:t xml:space="preserve"> </w:t>
      </w:r>
      <w:r w:rsidR="4AEB4729" w:rsidRPr="2A20F00A">
        <w:rPr>
          <w:rFonts w:ascii="Arial" w:eastAsia="Arial" w:hAnsi="Arial" w:cs="Arial"/>
          <w:color w:val="000000" w:themeColor="text1"/>
          <w:sz w:val="22"/>
          <w:lang w:val="en-US"/>
        </w:rPr>
        <w:t xml:space="preserve">et al. </w:t>
      </w:r>
      <w:r w:rsidRPr="2A20F00A">
        <w:rPr>
          <w:rFonts w:ascii="Arial" w:eastAsia="Arial" w:hAnsi="Arial" w:cs="Arial"/>
          <w:color w:val="000000" w:themeColor="text1"/>
          <w:sz w:val="22"/>
          <w:lang w:val="en-US"/>
        </w:rPr>
        <w:t>(</w:t>
      </w:r>
      <w:proofErr w:type="gramStart"/>
      <w:r w:rsidRPr="2A20F00A">
        <w:rPr>
          <w:rFonts w:ascii="Arial" w:eastAsia="Arial" w:hAnsi="Arial" w:cs="Arial"/>
          <w:color w:val="000000" w:themeColor="text1"/>
          <w:sz w:val="22"/>
          <w:lang w:val="en-US"/>
        </w:rPr>
        <w:t>2017) ‘</w:t>
      </w:r>
      <w:proofErr w:type="gramEnd"/>
      <w:r w:rsidRPr="2A20F00A">
        <w:rPr>
          <w:rFonts w:ascii="Arial" w:eastAsia="Arial" w:hAnsi="Arial" w:cs="Arial"/>
          <w:color w:val="000000" w:themeColor="text1"/>
          <w:sz w:val="22"/>
          <w:lang w:val="en-US"/>
        </w:rPr>
        <w:t>Beyond adoption: a new framework for theorizing and evaluating nonadaptation, abandonment, and challenges to the scale-up, spread, and sustainability of health and care technologies</w:t>
      </w:r>
      <w:r w:rsidR="50814B21" w:rsidRPr="2A20F00A">
        <w:rPr>
          <w:rFonts w:ascii="Arial" w:eastAsia="Arial" w:hAnsi="Arial" w:cs="Arial"/>
          <w:color w:val="000000" w:themeColor="text1"/>
          <w:sz w:val="22"/>
          <w:lang w:val="en-US"/>
        </w:rPr>
        <w:t>,’</w:t>
      </w:r>
      <w:r w:rsidR="44462E9E" w:rsidRPr="2A20F00A">
        <w:rPr>
          <w:rFonts w:ascii="Arial" w:eastAsia="Arial" w:hAnsi="Arial" w:cs="Arial"/>
          <w:color w:val="000000" w:themeColor="text1"/>
          <w:sz w:val="22"/>
          <w:lang w:val="en-US"/>
        </w:rPr>
        <w:t xml:space="preserve"> </w:t>
      </w:r>
      <w:r w:rsidRPr="2A20F00A">
        <w:rPr>
          <w:rFonts w:ascii="Arial" w:eastAsia="Arial" w:hAnsi="Arial" w:cs="Arial"/>
          <w:i/>
          <w:iCs/>
          <w:color w:val="000000" w:themeColor="text1"/>
          <w:sz w:val="22"/>
          <w:lang w:val="en-US"/>
        </w:rPr>
        <w:t>Journal of Medical Internet Research,</w:t>
      </w:r>
      <w:r w:rsidRPr="2A20F00A">
        <w:rPr>
          <w:rFonts w:ascii="Arial" w:eastAsia="Arial" w:hAnsi="Arial" w:cs="Arial"/>
          <w:color w:val="000000" w:themeColor="text1"/>
          <w:sz w:val="22"/>
          <w:lang w:val="en-US"/>
        </w:rPr>
        <w:t xml:space="preserve"> 19(11), e367. Available at: </w:t>
      </w:r>
      <w:hyperlink r:id="rId19">
        <w:r w:rsidRPr="2A20F00A">
          <w:rPr>
            <w:rStyle w:val="Hyperlink"/>
            <w:rFonts w:ascii="Arial" w:eastAsia="Arial" w:hAnsi="Arial" w:cs="Arial"/>
            <w:sz w:val="22"/>
            <w:lang w:val="en-US"/>
          </w:rPr>
          <w:t>https://www.jmir.org/2017/11/e367/</w:t>
        </w:r>
      </w:hyperlink>
      <w:r w:rsidRPr="2A20F00A">
        <w:rPr>
          <w:rFonts w:ascii="Arial" w:eastAsia="Arial" w:hAnsi="Arial" w:cs="Arial"/>
          <w:color w:val="000000" w:themeColor="text1"/>
          <w:sz w:val="22"/>
          <w:lang w:val="en-US"/>
        </w:rPr>
        <w:t xml:space="preserve"> (Accessed:1 December 2025).</w:t>
      </w:r>
    </w:p>
    <w:p w14:paraId="376C0EDC" w14:textId="3DE543CD" w:rsidR="00BE745A" w:rsidRDefault="00BE745A" w:rsidP="6DD8D1AF">
      <w:pPr>
        <w:spacing w:before="240" w:after="158" w:line="360" w:lineRule="auto"/>
        <w:jc w:val="both"/>
      </w:pPr>
      <w:r w:rsidRPr="49145D91">
        <w:rPr>
          <w:rFonts w:ascii="Arial" w:eastAsia="Arial" w:hAnsi="Arial" w:cs="Arial"/>
          <w:color w:val="000000" w:themeColor="text1"/>
          <w:sz w:val="22"/>
          <w:lang w:val="en-US"/>
        </w:rPr>
        <w:t>Ladds, E., Khan, M., Moore, L., Kalin, A. and Greenhalgh, T. (2023) ‘The impact of remote care approaches on continuity in UK primary care: mixed-studies systematic review</w:t>
      </w:r>
      <w:r w:rsidR="2E65E672" w:rsidRPr="49145D91">
        <w:rPr>
          <w:rFonts w:ascii="Arial" w:eastAsia="Arial" w:hAnsi="Arial" w:cs="Arial"/>
          <w:color w:val="000000" w:themeColor="text1"/>
          <w:sz w:val="22"/>
          <w:lang w:val="en-US"/>
        </w:rPr>
        <w:t>,’</w:t>
      </w:r>
      <w:r w:rsidRPr="49145D91">
        <w:rPr>
          <w:rFonts w:ascii="Arial" w:eastAsia="Arial" w:hAnsi="Arial" w:cs="Arial"/>
          <w:color w:val="000000" w:themeColor="text1"/>
          <w:sz w:val="22"/>
          <w:lang w:val="en-US"/>
        </w:rPr>
        <w:t xml:space="preserve"> </w:t>
      </w:r>
      <w:r w:rsidRPr="49145D91">
        <w:rPr>
          <w:rFonts w:ascii="Arial" w:eastAsia="Arial" w:hAnsi="Arial" w:cs="Arial"/>
          <w:i/>
          <w:iCs/>
          <w:color w:val="000000" w:themeColor="text1"/>
          <w:sz w:val="22"/>
          <w:lang w:val="en-US"/>
        </w:rPr>
        <w:t xml:space="preserve">British </w:t>
      </w:r>
      <w:r w:rsidRPr="49145D91">
        <w:rPr>
          <w:rFonts w:ascii="Arial" w:eastAsia="Arial" w:hAnsi="Arial" w:cs="Arial"/>
          <w:i/>
          <w:iCs/>
          <w:color w:val="000000" w:themeColor="text1"/>
          <w:sz w:val="22"/>
          <w:lang w:val="en-US"/>
        </w:rPr>
        <w:lastRenderedPageBreak/>
        <w:t>Journal of General Practice</w:t>
      </w:r>
      <w:r w:rsidRPr="49145D91">
        <w:rPr>
          <w:rFonts w:ascii="Arial" w:eastAsia="Arial" w:hAnsi="Arial" w:cs="Arial"/>
          <w:color w:val="000000" w:themeColor="text1"/>
          <w:sz w:val="22"/>
          <w:lang w:val="en-US"/>
        </w:rPr>
        <w:t xml:space="preserve">, 73(730), e374–e385. Available at: </w:t>
      </w:r>
      <w:hyperlink r:id="rId20">
        <w:r w:rsidRPr="49145D91">
          <w:rPr>
            <w:rStyle w:val="Hyperlink"/>
            <w:rFonts w:ascii="Arial" w:eastAsia="Arial" w:hAnsi="Arial" w:cs="Arial"/>
            <w:sz w:val="22"/>
            <w:lang w:val="en-US"/>
          </w:rPr>
          <w:t>https://bjgp.org/content/73/730/e374</w:t>
        </w:r>
      </w:hyperlink>
      <w:r w:rsidRPr="49145D91">
        <w:rPr>
          <w:rFonts w:ascii="Arial" w:eastAsia="Arial" w:hAnsi="Arial" w:cs="Arial"/>
          <w:color w:val="000000" w:themeColor="text1"/>
          <w:sz w:val="22"/>
          <w:lang w:val="en-US"/>
        </w:rPr>
        <w:t xml:space="preserve"> (Accessed: 1 December 2025).</w:t>
      </w:r>
    </w:p>
    <w:p w14:paraId="4782D541" w14:textId="166BC2F5" w:rsidR="00BE745A" w:rsidRDefault="14B03770" w:rsidP="6693F8F1">
      <w:pPr>
        <w:shd w:val="clear" w:color="auto" w:fill="FFFFFF" w:themeFill="background1"/>
        <w:spacing w:after="0" w:line="360" w:lineRule="auto"/>
        <w:jc w:val="both"/>
      </w:pPr>
      <w:r w:rsidRPr="568568C9">
        <w:rPr>
          <w:rFonts w:ascii="Arial" w:eastAsia="Arial" w:hAnsi="Arial" w:cs="Arial"/>
          <w:color w:val="000000" w:themeColor="text1"/>
          <w:sz w:val="22"/>
          <w:lang w:val="en-US"/>
        </w:rPr>
        <w:t>Leo, E., O’Connor, S., Monahan, M. and O’Donoghue, J. (</w:t>
      </w:r>
      <w:proofErr w:type="gramStart"/>
      <w:r w:rsidR="00113AF3" w:rsidRPr="568568C9">
        <w:rPr>
          <w:rFonts w:ascii="Arial" w:eastAsia="Arial" w:hAnsi="Arial" w:cs="Arial"/>
          <w:color w:val="000000" w:themeColor="text1"/>
          <w:sz w:val="22"/>
          <w:lang w:val="en-US"/>
        </w:rPr>
        <w:t>2022) ‘</w:t>
      </w:r>
      <w:proofErr w:type="gramEnd"/>
      <w:r w:rsidRPr="568568C9">
        <w:rPr>
          <w:rFonts w:ascii="Arial" w:eastAsia="Arial" w:hAnsi="Arial" w:cs="Arial"/>
          <w:color w:val="000000" w:themeColor="text1"/>
          <w:sz w:val="22"/>
          <w:lang w:val="en-US"/>
        </w:rPr>
        <w:t>Interactive remote patient monitoring devices for managing chronic health conditions: systematic review and meta-analysis’, Sensors, 22(21), 8204</w:t>
      </w:r>
      <w:r w:rsidR="00F17533" w:rsidRPr="568568C9">
        <w:rPr>
          <w:rFonts w:ascii="Arial" w:eastAsia="Arial" w:hAnsi="Arial" w:cs="Arial"/>
          <w:color w:val="000000" w:themeColor="text1"/>
          <w:sz w:val="22"/>
          <w:lang w:val="en-US"/>
        </w:rPr>
        <w:t>.</w:t>
      </w:r>
      <w:r w:rsidR="00BE745A" w:rsidRPr="568568C9">
        <w:rPr>
          <w:rFonts w:ascii="Arial" w:eastAsia="Arial" w:hAnsi="Arial" w:cs="Arial"/>
          <w:color w:val="000000" w:themeColor="text1"/>
          <w:sz w:val="22"/>
          <w:lang w:val="en-US"/>
        </w:rPr>
        <w:t xml:space="preserve"> Available at:</w:t>
      </w:r>
      <w:r w:rsidR="00705700">
        <w:t xml:space="preserve"> </w:t>
      </w:r>
      <w:hyperlink r:id="rId21">
        <w:r w:rsidR="00705700" w:rsidRPr="568568C9">
          <w:rPr>
            <w:rStyle w:val="Hyperlink"/>
            <w:rFonts w:ascii="Arial" w:eastAsia="Arial" w:hAnsi="Arial" w:cs="Arial"/>
            <w:sz w:val="22"/>
            <w:lang w:val="en-US"/>
          </w:rPr>
          <w:t>https://pmc.ncbi.nlm.nih.gov/articles/PMC9673001/</w:t>
        </w:r>
      </w:hyperlink>
      <w:r w:rsidR="00705700" w:rsidRPr="568568C9">
        <w:rPr>
          <w:rFonts w:ascii="Arial" w:eastAsia="Arial" w:hAnsi="Arial" w:cs="Arial"/>
          <w:color w:val="000000" w:themeColor="text1"/>
          <w:sz w:val="22"/>
          <w:lang w:val="en-US"/>
        </w:rPr>
        <w:t xml:space="preserve"> </w:t>
      </w:r>
      <w:r w:rsidR="00BE745A" w:rsidRPr="568568C9">
        <w:rPr>
          <w:rFonts w:ascii="Arial" w:eastAsia="Arial" w:hAnsi="Arial" w:cs="Arial"/>
          <w:sz w:val="22"/>
          <w:lang w:val="en-US"/>
        </w:rPr>
        <w:t>(Accessed:1 December 2025).</w:t>
      </w:r>
    </w:p>
    <w:p w14:paraId="013BF576" w14:textId="16540063" w:rsidR="00BE745A" w:rsidRDefault="00BE745A" w:rsidP="6DD8D1AF">
      <w:pPr>
        <w:spacing w:before="240" w:after="158" w:line="360" w:lineRule="auto"/>
        <w:jc w:val="both"/>
      </w:pPr>
      <w:r w:rsidRPr="49145D91">
        <w:rPr>
          <w:rFonts w:ascii="Arial" w:eastAsia="Arial" w:hAnsi="Arial" w:cs="Arial"/>
          <w:sz w:val="22"/>
        </w:rPr>
        <w:t xml:space="preserve">Ma, C., Zhou, Y., Zhou, M., Ye, L. and Song, H. (2022) </w:t>
      </w:r>
      <w:r w:rsidRPr="49145D91">
        <w:rPr>
          <w:rFonts w:ascii="Arial" w:eastAsia="Arial" w:hAnsi="Arial" w:cs="Arial"/>
          <w:i/>
          <w:iCs/>
          <w:sz w:val="22"/>
        </w:rPr>
        <w:t>‘</w:t>
      </w:r>
      <w:r w:rsidRPr="49145D91">
        <w:rPr>
          <w:rFonts w:ascii="Arial" w:eastAsia="Arial" w:hAnsi="Arial" w:cs="Arial"/>
          <w:sz w:val="22"/>
        </w:rPr>
        <w:t>Telemedicine application in patients</w:t>
      </w:r>
      <w:r w:rsidRPr="49145D91">
        <w:rPr>
          <w:rFonts w:ascii="Arial" w:eastAsia="Arial" w:hAnsi="Arial" w:cs="Arial"/>
          <w:i/>
          <w:iCs/>
          <w:sz w:val="22"/>
        </w:rPr>
        <w:t xml:space="preserve"> </w:t>
      </w:r>
      <w:r w:rsidRPr="49145D91">
        <w:rPr>
          <w:rFonts w:ascii="Arial" w:eastAsia="Arial" w:hAnsi="Arial" w:cs="Arial"/>
          <w:sz w:val="22"/>
        </w:rPr>
        <w:t>with chronic disease: a systematic review and meta-analysis</w:t>
      </w:r>
      <w:r w:rsidR="7CD50C9E" w:rsidRPr="49145D91">
        <w:rPr>
          <w:rFonts w:ascii="Arial" w:eastAsia="Arial" w:hAnsi="Arial" w:cs="Arial"/>
          <w:sz w:val="22"/>
        </w:rPr>
        <w:t>.’</w:t>
      </w:r>
      <w:r w:rsidRPr="49145D91">
        <w:rPr>
          <w:rFonts w:ascii="Arial" w:eastAsia="Arial" w:hAnsi="Arial" w:cs="Arial"/>
          <w:sz w:val="22"/>
        </w:rPr>
        <w:t xml:space="preserve"> </w:t>
      </w:r>
      <w:r w:rsidR="00F17533" w:rsidRPr="49145D91">
        <w:rPr>
          <w:rFonts w:ascii="Arial" w:eastAsia="Arial" w:hAnsi="Arial" w:cs="Arial"/>
          <w:i/>
          <w:iCs/>
          <w:sz w:val="22"/>
        </w:rPr>
        <w:t>BMC Medical Informatics and Decision Making</w:t>
      </w:r>
      <w:r w:rsidR="00F17533" w:rsidRPr="49145D91">
        <w:rPr>
          <w:rFonts w:ascii="Arial" w:eastAsia="Arial" w:hAnsi="Arial" w:cs="Arial"/>
          <w:sz w:val="22"/>
        </w:rPr>
        <w:t>, 22, 242</w:t>
      </w:r>
      <w:r w:rsidRPr="49145D91">
        <w:rPr>
          <w:rFonts w:ascii="Arial" w:eastAsia="Arial" w:hAnsi="Arial" w:cs="Arial"/>
          <w:sz w:val="22"/>
        </w:rPr>
        <w:t>Available at:</w:t>
      </w:r>
      <w:r w:rsidR="0025173B" w:rsidRPr="0025173B">
        <w:t xml:space="preserve"> </w:t>
      </w:r>
      <w:hyperlink r:id="rId22" w:history="1">
        <w:r w:rsidR="0025173B" w:rsidRPr="00B017F3">
          <w:rPr>
            <w:rStyle w:val="Hyperlink"/>
            <w:rFonts w:ascii="Arial" w:eastAsia="Arial" w:hAnsi="Arial" w:cs="Arial"/>
            <w:sz w:val="22"/>
          </w:rPr>
          <w:t>https://pubmed.ncbi.nlm.nih.gov/35440082/</w:t>
        </w:r>
      </w:hyperlink>
      <w:r w:rsidR="0025173B">
        <w:rPr>
          <w:rFonts w:ascii="Arial" w:eastAsia="Arial" w:hAnsi="Arial" w:cs="Arial"/>
          <w:sz w:val="22"/>
        </w:rPr>
        <w:t xml:space="preserve"> </w:t>
      </w:r>
      <w:r w:rsidRPr="49145D91">
        <w:rPr>
          <w:rFonts w:ascii="Arial" w:eastAsia="Arial" w:hAnsi="Arial" w:cs="Arial"/>
          <w:sz w:val="22"/>
        </w:rPr>
        <w:t xml:space="preserve"> (Accessed:1 December 2025).</w:t>
      </w:r>
    </w:p>
    <w:p w14:paraId="744450FC" w14:textId="0A624A45" w:rsidR="00BE745A" w:rsidRDefault="00BE745A" w:rsidP="1DE34E22">
      <w:pPr>
        <w:spacing w:before="240" w:after="158" w:line="360" w:lineRule="auto"/>
        <w:jc w:val="both"/>
      </w:pPr>
      <w:r w:rsidRPr="49145D91">
        <w:rPr>
          <w:rFonts w:ascii="Arial" w:eastAsia="Arial" w:hAnsi="Arial" w:cs="Arial"/>
          <w:sz w:val="22"/>
          <w:lang w:val="en-US"/>
        </w:rPr>
        <w:t>Murphy, M., Scott, L.J., Salisbury, C. et al. (2021) ‘Implementation of remote consulting in UK primary care following the COVID-19 pandemic</w:t>
      </w:r>
      <w:r w:rsidR="220C7ED8" w:rsidRPr="49145D91">
        <w:rPr>
          <w:rFonts w:ascii="Arial" w:eastAsia="Arial" w:hAnsi="Arial" w:cs="Arial"/>
          <w:sz w:val="22"/>
          <w:lang w:val="en-US"/>
        </w:rPr>
        <w:t>;</w:t>
      </w:r>
      <w:r w:rsidRPr="49145D91">
        <w:rPr>
          <w:rFonts w:ascii="Arial" w:eastAsia="Arial" w:hAnsi="Arial" w:cs="Arial"/>
          <w:sz w:val="22"/>
          <w:lang w:val="en-US"/>
        </w:rPr>
        <w:t xml:space="preserve"> </w:t>
      </w:r>
      <w:r w:rsidRPr="49145D91">
        <w:rPr>
          <w:rFonts w:ascii="Arial" w:eastAsia="Arial" w:hAnsi="Arial" w:cs="Arial"/>
          <w:i/>
          <w:iCs/>
          <w:sz w:val="22"/>
          <w:lang w:val="en-US"/>
        </w:rPr>
        <w:t>British Journal of General Practice</w:t>
      </w:r>
      <w:r w:rsidRPr="49145D91">
        <w:rPr>
          <w:rFonts w:ascii="Arial" w:eastAsia="Arial" w:hAnsi="Arial" w:cs="Arial"/>
          <w:sz w:val="22"/>
          <w:lang w:val="en-US"/>
        </w:rPr>
        <w:t xml:space="preserve">, 71(704), e166–e177. Available at: </w:t>
      </w:r>
      <w:hyperlink r:id="rId23" w:history="1">
        <w:r w:rsidR="003C7704" w:rsidRPr="00B017F3">
          <w:rPr>
            <w:rStyle w:val="Hyperlink"/>
            <w:rFonts w:ascii="Arial" w:eastAsia="Arial" w:hAnsi="Arial" w:cs="Arial"/>
            <w:sz w:val="22"/>
            <w:lang w:val="en-US"/>
          </w:rPr>
          <w:t>https://pubmed.ncbi.nlm.nih.gov/35440082/</w:t>
        </w:r>
      </w:hyperlink>
      <w:r w:rsidR="003C7704">
        <w:rPr>
          <w:rFonts w:ascii="Arial" w:eastAsia="Arial" w:hAnsi="Arial" w:cs="Arial"/>
          <w:sz w:val="22"/>
          <w:lang w:val="en-US"/>
        </w:rPr>
        <w:t xml:space="preserve"> </w:t>
      </w:r>
      <w:r w:rsidRPr="49145D91">
        <w:rPr>
          <w:rFonts w:ascii="Arial" w:eastAsia="Arial" w:hAnsi="Arial" w:cs="Arial"/>
          <w:sz w:val="22"/>
          <w:lang w:val="en-US"/>
        </w:rPr>
        <w:t xml:space="preserve">(Accessed: 1 December 2025). </w:t>
      </w:r>
    </w:p>
    <w:p w14:paraId="7BE3B853" w14:textId="61CAC432" w:rsidR="00BE745A" w:rsidRDefault="00BE745A" w:rsidP="1DE34E22">
      <w:pPr>
        <w:spacing w:before="240" w:after="158" w:line="360" w:lineRule="auto"/>
        <w:jc w:val="both"/>
      </w:pPr>
      <w:r w:rsidRPr="49145D91">
        <w:rPr>
          <w:rFonts w:ascii="Arial" w:eastAsia="Arial" w:hAnsi="Arial" w:cs="Arial"/>
          <w:sz w:val="22"/>
          <w:lang w:val="en-US"/>
        </w:rPr>
        <w:t xml:space="preserve">NHS Confederation (2021) </w:t>
      </w:r>
      <w:r w:rsidRPr="49145D91">
        <w:rPr>
          <w:rFonts w:ascii="Arial" w:eastAsia="Arial" w:hAnsi="Arial" w:cs="Arial"/>
          <w:i/>
          <w:iCs/>
          <w:sz w:val="22"/>
          <w:lang w:val="en-US"/>
        </w:rPr>
        <w:t>Digital transformation in community health services.</w:t>
      </w:r>
      <w:r w:rsidRPr="49145D91">
        <w:rPr>
          <w:rFonts w:ascii="Arial" w:eastAsia="Arial" w:hAnsi="Arial" w:cs="Arial"/>
          <w:sz w:val="22"/>
          <w:lang w:val="en-US"/>
        </w:rPr>
        <w:t xml:space="preserve"> London. Available at</w:t>
      </w:r>
      <w:r w:rsidR="001C1193">
        <w:rPr>
          <w:rFonts w:ascii="Arial" w:eastAsia="Arial" w:hAnsi="Arial" w:cs="Arial"/>
          <w:sz w:val="22"/>
          <w:lang w:val="en-US"/>
        </w:rPr>
        <w:t xml:space="preserve">: </w:t>
      </w:r>
      <w:hyperlink r:id="rId24" w:history="1">
        <w:r w:rsidR="001C1193" w:rsidRPr="00B017F3">
          <w:rPr>
            <w:rStyle w:val="Hyperlink"/>
            <w:rFonts w:ascii="Arial" w:eastAsia="Arial" w:hAnsi="Arial" w:cs="Arial"/>
            <w:sz w:val="22"/>
            <w:lang w:val="en-US"/>
          </w:rPr>
          <w:t>https://www.nhsconfed.org/system/files/2021-11/Digital-transformation-in-community-health-services.pdf</w:t>
        </w:r>
      </w:hyperlink>
      <w:r w:rsidR="001C1193">
        <w:rPr>
          <w:rFonts w:ascii="Arial" w:eastAsia="Arial" w:hAnsi="Arial" w:cs="Arial"/>
          <w:sz w:val="22"/>
          <w:lang w:val="en-US"/>
        </w:rPr>
        <w:t xml:space="preserve"> </w:t>
      </w:r>
      <w:r w:rsidRPr="49145D91">
        <w:rPr>
          <w:rFonts w:ascii="Arial" w:eastAsia="Arial" w:hAnsi="Arial" w:cs="Arial"/>
          <w:sz w:val="22"/>
          <w:lang w:val="en-US"/>
        </w:rPr>
        <w:t>(Accessed: 1 December 2025).</w:t>
      </w:r>
    </w:p>
    <w:p w14:paraId="6A23395E" w14:textId="39C3876C" w:rsidR="00BE745A" w:rsidRDefault="00BE745A" w:rsidP="1DE34E22">
      <w:pPr>
        <w:spacing w:before="240" w:after="158" w:line="360" w:lineRule="auto"/>
        <w:jc w:val="both"/>
      </w:pPr>
      <w:r w:rsidRPr="49145D91">
        <w:rPr>
          <w:rFonts w:ascii="Arial" w:eastAsia="Arial" w:hAnsi="Arial" w:cs="Arial"/>
          <w:sz w:val="22"/>
          <w:lang w:val="en-US"/>
        </w:rPr>
        <w:t>NHS England (2023)</w:t>
      </w:r>
      <w:r w:rsidR="1F1A0E61" w:rsidRPr="49145D91">
        <w:rPr>
          <w:rFonts w:ascii="Arial" w:eastAsia="Arial" w:hAnsi="Arial" w:cs="Arial"/>
          <w:sz w:val="22"/>
          <w:lang w:val="en-US"/>
        </w:rPr>
        <w:t xml:space="preserve"> </w:t>
      </w:r>
      <w:r w:rsidRPr="49145D91">
        <w:rPr>
          <w:rFonts w:ascii="Arial" w:eastAsia="Arial" w:hAnsi="Arial" w:cs="Arial"/>
          <w:i/>
          <w:iCs/>
          <w:sz w:val="22"/>
          <w:lang w:val="en-US"/>
        </w:rPr>
        <w:t xml:space="preserve">Managing heart </w:t>
      </w:r>
      <w:proofErr w:type="gramStart"/>
      <w:r w:rsidR="00F60DFE" w:rsidRPr="49145D91">
        <w:rPr>
          <w:rFonts w:ascii="Arial" w:eastAsia="Arial" w:hAnsi="Arial" w:cs="Arial"/>
          <w:i/>
          <w:iCs/>
          <w:sz w:val="22"/>
          <w:lang w:val="en-US"/>
        </w:rPr>
        <w:t>failure</w:t>
      </w:r>
      <w:r w:rsidR="00113AF3">
        <w:rPr>
          <w:rFonts w:ascii="Arial" w:eastAsia="Arial" w:hAnsi="Arial" w:cs="Arial"/>
          <w:i/>
          <w:iCs/>
          <w:sz w:val="22"/>
          <w:lang w:val="en-US"/>
        </w:rPr>
        <w:t xml:space="preserve"> </w:t>
      </w:r>
      <w:r w:rsidR="00F60DFE" w:rsidRPr="49145D91">
        <w:rPr>
          <w:rFonts w:ascii="Arial" w:eastAsia="Arial" w:hAnsi="Arial" w:cs="Arial"/>
          <w:i/>
          <w:iCs/>
          <w:sz w:val="22"/>
          <w:lang w:val="en-US"/>
        </w:rPr>
        <w:t>@</w:t>
      </w:r>
      <w:proofErr w:type="gramEnd"/>
      <w:r w:rsidRPr="49145D91">
        <w:rPr>
          <w:rFonts w:ascii="Arial" w:eastAsia="Arial" w:hAnsi="Arial" w:cs="Arial"/>
          <w:i/>
          <w:iCs/>
          <w:sz w:val="22"/>
          <w:lang w:val="en-US"/>
        </w:rPr>
        <w:t>home.</w:t>
      </w:r>
      <w:r w:rsidRPr="49145D91">
        <w:rPr>
          <w:rFonts w:ascii="Arial" w:eastAsia="Arial" w:hAnsi="Arial" w:cs="Arial"/>
          <w:sz w:val="22"/>
          <w:lang w:val="en-US"/>
        </w:rPr>
        <w:t xml:space="preserve"> Available at</w:t>
      </w:r>
      <w:r w:rsidR="003A6270">
        <w:rPr>
          <w:rFonts w:ascii="Arial" w:eastAsia="Arial" w:hAnsi="Arial" w:cs="Arial"/>
          <w:sz w:val="22"/>
          <w:lang w:val="en-US"/>
        </w:rPr>
        <w:t xml:space="preserve">: </w:t>
      </w:r>
      <w:hyperlink r:id="rId25" w:history="1">
        <w:r w:rsidR="0064708D" w:rsidRPr="00B017F3">
          <w:rPr>
            <w:rStyle w:val="Hyperlink"/>
            <w:rFonts w:ascii="Arial" w:eastAsia="Arial" w:hAnsi="Arial" w:cs="Arial"/>
            <w:sz w:val="22"/>
            <w:lang w:val="en-US"/>
          </w:rPr>
          <w:t>https://www.england.nhs.uk/nhs-at-home/managing-heart-failure-at-home/</w:t>
        </w:r>
      </w:hyperlink>
      <w:r w:rsidR="0064708D">
        <w:rPr>
          <w:rFonts w:ascii="Arial" w:eastAsia="Arial" w:hAnsi="Arial" w:cs="Arial"/>
          <w:sz w:val="22"/>
          <w:lang w:val="en-US"/>
        </w:rPr>
        <w:t xml:space="preserve"> </w:t>
      </w:r>
      <w:r w:rsidRPr="49145D91">
        <w:rPr>
          <w:rFonts w:ascii="Arial" w:eastAsia="Arial" w:hAnsi="Arial" w:cs="Arial"/>
          <w:sz w:val="22"/>
          <w:lang w:val="en-US"/>
        </w:rPr>
        <w:t>(Accessed: 1 December 2025).</w:t>
      </w:r>
    </w:p>
    <w:p w14:paraId="645CB6AB" w14:textId="26986A33" w:rsidR="00BE745A" w:rsidRDefault="00BE745A" w:rsidP="1DE34E22">
      <w:pPr>
        <w:spacing w:before="240" w:after="158" w:line="360" w:lineRule="auto"/>
        <w:jc w:val="both"/>
      </w:pPr>
      <w:r w:rsidRPr="568568C9">
        <w:rPr>
          <w:rFonts w:ascii="Arial" w:eastAsia="Arial" w:hAnsi="Arial" w:cs="Arial"/>
          <w:sz w:val="22"/>
          <w:lang w:val="en-US"/>
        </w:rPr>
        <w:t>NHS England (2023</w:t>
      </w:r>
      <w:r w:rsidR="00407C0E" w:rsidRPr="568568C9">
        <w:rPr>
          <w:rFonts w:ascii="Arial" w:eastAsia="Arial" w:hAnsi="Arial" w:cs="Arial"/>
          <w:sz w:val="22"/>
          <w:lang w:val="en-US"/>
        </w:rPr>
        <w:t>)</w:t>
      </w:r>
      <w:r w:rsidR="00407C0E">
        <w:t xml:space="preserve"> </w:t>
      </w:r>
      <w:r w:rsidR="00407C0E" w:rsidRPr="568568C9">
        <w:rPr>
          <w:rFonts w:ascii="Arial" w:eastAsia="Arial" w:hAnsi="Arial" w:cs="Arial"/>
          <w:i/>
          <w:iCs/>
          <w:sz w:val="22"/>
          <w:lang w:val="en-US"/>
        </w:rPr>
        <w:t>Supporting care with remote monitoring</w:t>
      </w:r>
      <w:r w:rsidRPr="568568C9">
        <w:rPr>
          <w:rFonts w:ascii="Arial" w:eastAsia="Arial" w:hAnsi="Arial" w:cs="Arial"/>
          <w:sz w:val="22"/>
          <w:lang w:val="en-US"/>
        </w:rPr>
        <w:t xml:space="preserve">. Available at: </w:t>
      </w:r>
      <w:hyperlink r:id="rId26">
        <w:r w:rsidR="0059197F" w:rsidRPr="568568C9">
          <w:rPr>
            <w:rStyle w:val="Hyperlink"/>
            <w:rFonts w:ascii="Arial" w:eastAsia="Arial" w:hAnsi="Arial" w:cs="Arial"/>
            <w:sz w:val="22"/>
            <w:lang w:val="en-US"/>
          </w:rPr>
          <w:t>https://transform.england.nhs.uk/covid-19-response/technology-nhs/supporting-the-innovation-collaboratives-to-expand-their-remote-monitoring-plans/</w:t>
        </w:r>
      </w:hyperlink>
      <w:r w:rsidR="76741E27" w:rsidRPr="568568C9">
        <w:rPr>
          <w:rFonts w:ascii="Arial" w:eastAsia="Arial" w:hAnsi="Arial" w:cs="Arial"/>
          <w:sz w:val="22"/>
          <w:lang w:val="en-US"/>
        </w:rPr>
        <w:t xml:space="preserve"> </w:t>
      </w:r>
      <w:r w:rsidRPr="568568C9">
        <w:rPr>
          <w:rFonts w:ascii="Arial" w:eastAsia="Arial" w:hAnsi="Arial" w:cs="Arial"/>
          <w:sz w:val="22"/>
          <w:lang w:val="en-US"/>
        </w:rPr>
        <w:t>(Accessed: 1 December 2025).</w:t>
      </w:r>
    </w:p>
    <w:p w14:paraId="53D8B10F" w14:textId="4DE682F2" w:rsidR="00BE745A" w:rsidRDefault="00BE745A" w:rsidP="568568C9">
      <w:pPr>
        <w:spacing w:before="240" w:after="158" w:line="360" w:lineRule="auto"/>
        <w:jc w:val="both"/>
        <w:rPr>
          <w:rFonts w:ascii="Arial" w:eastAsia="Arial" w:hAnsi="Arial" w:cs="Arial"/>
          <w:color w:val="000000" w:themeColor="text1"/>
          <w:sz w:val="22"/>
        </w:rPr>
      </w:pPr>
      <w:r w:rsidRPr="568568C9">
        <w:rPr>
          <w:rFonts w:ascii="Arial" w:eastAsia="Arial" w:hAnsi="Arial" w:cs="Arial"/>
          <w:color w:val="000000" w:themeColor="text1"/>
          <w:sz w:val="22"/>
        </w:rPr>
        <w:t>Parry, W., Fraser, C., Crellin, E.</w:t>
      </w:r>
      <w:r w:rsidR="07232FA3" w:rsidRPr="568568C9">
        <w:rPr>
          <w:rFonts w:ascii="Arial" w:eastAsia="Arial" w:hAnsi="Arial" w:cs="Arial"/>
          <w:color w:val="000000" w:themeColor="text1"/>
          <w:sz w:val="22"/>
        </w:rPr>
        <w:t xml:space="preserve"> et al</w:t>
      </w:r>
      <w:r w:rsidRPr="568568C9">
        <w:rPr>
          <w:rFonts w:ascii="Arial" w:eastAsia="Arial" w:hAnsi="Arial" w:cs="Arial"/>
          <w:color w:val="000000" w:themeColor="text1"/>
          <w:sz w:val="22"/>
        </w:rPr>
        <w:t xml:space="preserve">. (2023) </w:t>
      </w:r>
      <w:r w:rsidR="34E06014" w:rsidRPr="568568C9">
        <w:rPr>
          <w:rFonts w:ascii="Arial" w:eastAsia="Arial" w:hAnsi="Arial" w:cs="Arial"/>
          <w:color w:val="000000" w:themeColor="text1"/>
          <w:sz w:val="22"/>
        </w:rPr>
        <w:t>‘</w:t>
      </w:r>
      <w:r w:rsidRPr="568568C9">
        <w:rPr>
          <w:rFonts w:ascii="Arial" w:eastAsia="Arial" w:hAnsi="Arial" w:cs="Arial"/>
          <w:color w:val="000000" w:themeColor="text1"/>
          <w:sz w:val="22"/>
        </w:rPr>
        <w:t xml:space="preserve">Continuity of Care and Consultation mode in General Practice in </w:t>
      </w:r>
      <w:r w:rsidR="00821C83" w:rsidRPr="568568C9">
        <w:rPr>
          <w:rFonts w:ascii="Arial" w:eastAsia="Arial" w:hAnsi="Arial" w:cs="Arial"/>
          <w:color w:val="000000" w:themeColor="text1"/>
          <w:sz w:val="22"/>
        </w:rPr>
        <w:t>England,</w:t>
      </w:r>
      <w:r w:rsidRPr="568568C9">
        <w:rPr>
          <w:rFonts w:ascii="Arial" w:eastAsia="Arial" w:hAnsi="Arial" w:cs="Arial"/>
          <w:color w:val="000000" w:themeColor="text1"/>
          <w:sz w:val="22"/>
        </w:rPr>
        <w:t xml:space="preserve"> </w:t>
      </w:r>
      <w:r w:rsidRPr="568568C9">
        <w:rPr>
          <w:rFonts w:ascii="Arial" w:eastAsia="Arial" w:hAnsi="Arial" w:cs="Arial"/>
          <w:i/>
          <w:iCs/>
          <w:color w:val="000000" w:themeColor="text1"/>
          <w:sz w:val="22"/>
        </w:rPr>
        <w:t>BMJ Open</w:t>
      </w:r>
      <w:r w:rsidRPr="568568C9">
        <w:rPr>
          <w:rFonts w:ascii="Arial" w:eastAsia="Arial" w:hAnsi="Arial" w:cs="Arial"/>
          <w:color w:val="000000" w:themeColor="text1"/>
          <w:sz w:val="22"/>
        </w:rPr>
        <w:t>, 13(11</w:t>
      </w:r>
      <w:r w:rsidR="00F17533" w:rsidRPr="568568C9">
        <w:rPr>
          <w:rFonts w:ascii="Arial" w:eastAsia="Arial" w:hAnsi="Arial" w:cs="Arial"/>
          <w:color w:val="000000" w:themeColor="text1"/>
          <w:sz w:val="22"/>
        </w:rPr>
        <w:t>),</w:t>
      </w:r>
      <w:r w:rsidRPr="568568C9">
        <w:rPr>
          <w:rFonts w:ascii="Arial" w:eastAsia="Arial" w:hAnsi="Arial" w:cs="Arial"/>
          <w:color w:val="000000" w:themeColor="text1"/>
          <w:sz w:val="22"/>
        </w:rPr>
        <w:t xml:space="preserve"> Available at: </w:t>
      </w:r>
      <w:hyperlink r:id="rId27">
        <w:r w:rsidRPr="568568C9">
          <w:rPr>
            <w:rStyle w:val="Hyperlink"/>
            <w:rFonts w:ascii="Arial" w:eastAsia="Arial" w:hAnsi="Arial" w:cs="Arial"/>
            <w:sz w:val="22"/>
          </w:rPr>
          <w:t>https://bmjopen.bmj.com/content/13/11/e075152</w:t>
        </w:r>
      </w:hyperlink>
      <w:r w:rsidRPr="568568C9">
        <w:rPr>
          <w:rFonts w:ascii="Arial" w:eastAsia="Arial" w:hAnsi="Arial" w:cs="Arial"/>
          <w:color w:val="000000" w:themeColor="text1"/>
          <w:sz w:val="22"/>
        </w:rPr>
        <w:t xml:space="preserve"> (Accessed: 1 December 2025).</w:t>
      </w:r>
    </w:p>
    <w:p w14:paraId="3B0D7EB7" w14:textId="2E9CA71F" w:rsidR="00BE745A" w:rsidRDefault="00BE745A" w:rsidP="6DD8D1AF">
      <w:pPr>
        <w:tabs>
          <w:tab w:val="left" w:pos="6540"/>
        </w:tabs>
        <w:spacing w:line="360" w:lineRule="auto"/>
        <w:jc w:val="both"/>
      </w:pPr>
      <w:r w:rsidRPr="568568C9">
        <w:rPr>
          <w:rFonts w:asciiTheme="minorBidi" w:hAnsiTheme="minorBidi"/>
          <w:sz w:val="22"/>
        </w:rPr>
        <w:t xml:space="preserve">Rahimi, K., </w:t>
      </w:r>
      <w:proofErr w:type="spellStart"/>
      <w:r w:rsidRPr="568568C9">
        <w:rPr>
          <w:rFonts w:asciiTheme="minorBidi" w:hAnsiTheme="minorBidi"/>
          <w:sz w:val="22"/>
        </w:rPr>
        <w:t>Nazarzadeh</w:t>
      </w:r>
      <w:proofErr w:type="spellEnd"/>
      <w:r w:rsidRPr="568568C9">
        <w:rPr>
          <w:rFonts w:asciiTheme="minorBidi" w:hAnsiTheme="minorBidi"/>
          <w:sz w:val="22"/>
        </w:rPr>
        <w:t>, M., Pinho-Gomes, A.C. et</w:t>
      </w:r>
      <w:r w:rsidR="791DDC12" w:rsidRPr="568568C9">
        <w:rPr>
          <w:rFonts w:asciiTheme="minorBidi" w:hAnsiTheme="minorBidi"/>
          <w:sz w:val="22"/>
        </w:rPr>
        <w:t xml:space="preserve"> al</w:t>
      </w:r>
      <w:r w:rsidRPr="568568C9">
        <w:rPr>
          <w:rFonts w:asciiTheme="minorBidi" w:hAnsiTheme="minorBidi"/>
          <w:sz w:val="22"/>
        </w:rPr>
        <w:t>. (2020)</w:t>
      </w:r>
      <w:r w:rsidR="09C1663E" w:rsidRPr="568568C9">
        <w:rPr>
          <w:rFonts w:asciiTheme="minorBidi" w:hAnsiTheme="minorBidi"/>
          <w:sz w:val="22"/>
        </w:rPr>
        <w:t xml:space="preserve"> ‘</w:t>
      </w:r>
      <w:r w:rsidRPr="568568C9">
        <w:rPr>
          <w:rFonts w:asciiTheme="minorBidi" w:hAnsiTheme="minorBidi"/>
          <w:sz w:val="22"/>
        </w:rPr>
        <w:t>Home</w:t>
      </w:r>
      <w:r w:rsidRPr="568568C9">
        <w:rPr>
          <w:rFonts w:asciiTheme="minorBidi" w:hAnsiTheme="minorBidi"/>
          <w:i/>
          <w:iCs/>
          <w:sz w:val="22"/>
        </w:rPr>
        <w:t xml:space="preserve"> </w:t>
      </w:r>
      <w:r w:rsidRPr="568568C9">
        <w:rPr>
          <w:rFonts w:asciiTheme="minorBidi" w:hAnsiTheme="minorBidi"/>
          <w:sz w:val="22"/>
        </w:rPr>
        <w:t>monitoring with technology-supported management in chronic heart failure: a randomised trial</w:t>
      </w:r>
      <w:r w:rsidR="00F17533" w:rsidRPr="568568C9">
        <w:rPr>
          <w:rFonts w:asciiTheme="minorBidi" w:hAnsiTheme="minorBidi"/>
          <w:sz w:val="22"/>
        </w:rPr>
        <w:t>;</w:t>
      </w:r>
      <w:r w:rsidRPr="568568C9">
        <w:rPr>
          <w:rFonts w:asciiTheme="minorBidi" w:hAnsiTheme="minorBidi"/>
          <w:sz w:val="22"/>
        </w:rPr>
        <w:t xml:space="preserve"> </w:t>
      </w:r>
      <w:r w:rsidRPr="568568C9">
        <w:rPr>
          <w:rFonts w:asciiTheme="minorBidi" w:hAnsiTheme="minorBidi"/>
          <w:i/>
          <w:iCs/>
          <w:sz w:val="22"/>
        </w:rPr>
        <w:t>Heart</w:t>
      </w:r>
      <w:r w:rsidRPr="568568C9">
        <w:rPr>
          <w:rFonts w:asciiTheme="minorBidi" w:hAnsiTheme="minorBidi"/>
          <w:sz w:val="22"/>
        </w:rPr>
        <w:t>, 106(20), pp.1573–1578. Available at</w:t>
      </w:r>
      <w:r w:rsidR="00B407D9" w:rsidRPr="568568C9">
        <w:rPr>
          <w:rFonts w:asciiTheme="minorBidi" w:hAnsiTheme="minorBidi"/>
          <w:sz w:val="22"/>
        </w:rPr>
        <w:t>:</w:t>
      </w:r>
      <w:r w:rsidRPr="568568C9">
        <w:rPr>
          <w:rFonts w:ascii="Arial" w:eastAsia="Arial" w:hAnsi="Arial" w:cs="Arial"/>
          <w:sz w:val="22"/>
        </w:rPr>
        <w:t xml:space="preserve"> </w:t>
      </w:r>
      <w:hyperlink r:id="rId28">
        <w:r w:rsidR="00C31961" w:rsidRPr="568568C9">
          <w:rPr>
            <w:rStyle w:val="Hyperlink"/>
            <w:rFonts w:ascii="Arial" w:eastAsia="Arial" w:hAnsi="Arial" w:cs="Arial"/>
            <w:sz w:val="22"/>
          </w:rPr>
          <w:t>https://pubmed.ncbi.nlm.nih.gov/32580977/</w:t>
        </w:r>
      </w:hyperlink>
      <w:r w:rsidR="00C31961" w:rsidRPr="568568C9">
        <w:rPr>
          <w:rFonts w:ascii="Arial" w:eastAsia="Arial" w:hAnsi="Arial" w:cs="Arial"/>
          <w:sz w:val="22"/>
        </w:rPr>
        <w:t xml:space="preserve"> </w:t>
      </w:r>
      <w:r w:rsidRPr="568568C9">
        <w:rPr>
          <w:rFonts w:ascii="Arial" w:eastAsia="Arial" w:hAnsi="Arial" w:cs="Arial"/>
          <w:sz w:val="22"/>
        </w:rPr>
        <w:t>(Accessed: 1 December 2025).</w:t>
      </w:r>
    </w:p>
    <w:p w14:paraId="0FC30C66" w14:textId="7BFFC6D5" w:rsidR="00BE745A" w:rsidRDefault="00BE745A" w:rsidP="6DD8D1AF">
      <w:pPr>
        <w:spacing w:before="240" w:after="158" w:line="360" w:lineRule="auto"/>
        <w:jc w:val="both"/>
      </w:pPr>
      <w:r w:rsidRPr="568568C9">
        <w:rPr>
          <w:rFonts w:ascii="Arial" w:eastAsia="Arial" w:hAnsi="Arial" w:cs="Arial"/>
          <w:color w:val="000000" w:themeColor="text1"/>
          <w:sz w:val="22"/>
          <w:lang w:val="en-US"/>
        </w:rPr>
        <w:lastRenderedPageBreak/>
        <w:t>Salisbury, C., Foster, A., Hopper, C. et al. (</w:t>
      </w:r>
      <w:proofErr w:type="gramStart"/>
      <w:r w:rsidRPr="568568C9">
        <w:rPr>
          <w:rFonts w:ascii="Arial" w:eastAsia="Arial" w:hAnsi="Arial" w:cs="Arial"/>
          <w:color w:val="000000" w:themeColor="text1"/>
          <w:sz w:val="22"/>
          <w:lang w:val="en-US"/>
        </w:rPr>
        <w:t>2016) ‘</w:t>
      </w:r>
      <w:proofErr w:type="gramEnd"/>
      <w:r w:rsidRPr="568568C9">
        <w:rPr>
          <w:rFonts w:ascii="Arial" w:eastAsia="Arial" w:hAnsi="Arial" w:cs="Arial"/>
          <w:color w:val="000000" w:themeColor="text1"/>
          <w:sz w:val="22"/>
          <w:lang w:val="en-US"/>
        </w:rPr>
        <w:t xml:space="preserve">Effectiveness of an integrated telehealth service for patients with depression: pragmatic randomized controlled. </w:t>
      </w:r>
      <w:r w:rsidR="00F17533" w:rsidRPr="568568C9">
        <w:rPr>
          <w:rFonts w:ascii="Arial" w:eastAsia="Arial" w:hAnsi="Arial" w:cs="Arial"/>
          <w:i/>
          <w:iCs/>
          <w:color w:val="000000" w:themeColor="text1"/>
          <w:sz w:val="22"/>
          <w:lang w:val="en-US"/>
        </w:rPr>
        <w:t>British Journal of General Practice</w:t>
      </w:r>
      <w:r w:rsidR="00F17533" w:rsidRPr="568568C9">
        <w:rPr>
          <w:rFonts w:ascii="Arial" w:eastAsia="Arial" w:hAnsi="Arial" w:cs="Arial"/>
          <w:color w:val="000000" w:themeColor="text1"/>
          <w:sz w:val="22"/>
          <w:lang w:val="en-US"/>
        </w:rPr>
        <w:t>, 66(648), e240–e248.</w:t>
      </w:r>
      <w:r w:rsidR="2832D13A" w:rsidRPr="568568C9">
        <w:rPr>
          <w:rFonts w:ascii="Arial" w:eastAsia="Arial" w:hAnsi="Arial" w:cs="Arial"/>
          <w:color w:val="000000" w:themeColor="text1"/>
          <w:sz w:val="22"/>
          <w:lang w:val="en-US"/>
        </w:rPr>
        <w:t xml:space="preserve"> </w:t>
      </w:r>
      <w:r w:rsidRPr="568568C9">
        <w:rPr>
          <w:rFonts w:ascii="Arial" w:eastAsia="Arial" w:hAnsi="Arial" w:cs="Arial"/>
          <w:color w:val="000000" w:themeColor="text1"/>
          <w:sz w:val="22"/>
          <w:lang w:val="en-US"/>
        </w:rPr>
        <w:t>Available at</w:t>
      </w:r>
      <w:r w:rsidR="002E7FE2" w:rsidRPr="568568C9">
        <w:rPr>
          <w:rFonts w:ascii="Arial" w:eastAsia="Arial" w:hAnsi="Arial" w:cs="Arial"/>
          <w:color w:val="000000" w:themeColor="text1"/>
          <w:sz w:val="22"/>
          <w:lang w:val="en-US"/>
        </w:rPr>
        <w:t xml:space="preserve">: </w:t>
      </w:r>
      <w:hyperlink r:id="rId29">
        <w:r w:rsidR="00B1405A" w:rsidRPr="568568C9">
          <w:rPr>
            <w:rStyle w:val="Hyperlink"/>
            <w:rFonts w:ascii="Arial" w:eastAsia="Arial" w:hAnsi="Arial" w:cs="Arial"/>
            <w:sz w:val="22"/>
            <w:lang w:val="en-US"/>
          </w:rPr>
          <w:t>https://pubmed.ncbi.nlm.nih.gov/27132075/</w:t>
        </w:r>
      </w:hyperlink>
      <w:r w:rsidR="00B1405A" w:rsidRPr="568568C9">
        <w:rPr>
          <w:rFonts w:ascii="Arial" w:eastAsia="Arial" w:hAnsi="Arial" w:cs="Arial"/>
          <w:sz w:val="22"/>
          <w:lang w:val="en-US"/>
        </w:rPr>
        <w:t xml:space="preserve"> (</w:t>
      </w:r>
      <w:r w:rsidRPr="568568C9">
        <w:rPr>
          <w:rFonts w:ascii="Arial" w:eastAsia="Arial" w:hAnsi="Arial" w:cs="Arial"/>
          <w:sz w:val="22"/>
          <w:lang w:val="en-US"/>
        </w:rPr>
        <w:t>Accessed:1 December 2025).</w:t>
      </w:r>
    </w:p>
    <w:p w14:paraId="48BF5755" w14:textId="661CAE47" w:rsidR="00BE745A" w:rsidRDefault="00BE745A" w:rsidP="6DD8D1AF">
      <w:pPr>
        <w:tabs>
          <w:tab w:val="left" w:pos="6540"/>
        </w:tabs>
        <w:spacing w:line="360" w:lineRule="auto"/>
        <w:jc w:val="both"/>
      </w:pPr>
      <w:r w:rsidRPr="1DE34E22">
        <w:rPr>
          <w:rFonts w:asciiTheme="minorBidi" w:hAnsiTheme="minorBidi"/>
          <w:sz w:val="22"/>
        </w:rPr>
        <w:t>Salisbury, C., O’Cathain, A., Edwards, L., Thomas, C., Gaunt, D., Dixon, P. et al. (2016) ‘</w:t>
      </w:r>
      <w:r w:rsidRPr="00F17533">
        <w:rPr>
          <w:rFonts w:asciiTheme="minorBidi" w:hAnsiTheme="minorBidi"/>
          <w:sz w:val="22"/>
        </w:rPr>
        <w:t>Telehealth for patients at high risk of cardiovascular disease</w:t>
      </w:r>
      <w:r w:rsidRPr="1DE34E22">
        <w:rPr>
          <w:rFonts w:asciiTheme="minorBidi" w:hAnsiTheme="minorBidi"/>
          <w:sz w:val="22"/>
        </w:rPr>
        <w:t>: pragmatic randomised controlled trial’,</w:t>
      </w:r>
      <w:r w:rsidRPr="00F17533">
        <w:rPr>
          <w:rFonts w:asciiTheme="minorBidi" w:hAnsiTheme="minorBidi"/>
          <w:i/>
          <w:iCs/>
          <w:sz w:val="22"/>
        </w:rPr>
        <w:t xml:space="preserve"> BMJ</w:t>
      </w:r>
      <w:r w:rsidRPr="1DE34E22">
        <w:rPr>
          <w:rFonts w:asciiTheme="minorBidi" w:hAnsiTheme="minorBidi"/>
          <w:sz w:val="22"/>
        </w:rPr>
        <w:t xml:space="preserve">, 353, i1951. Available at: </w:t>
      </w:r>
      <w:hyperlink r:id="rId30" w:history="1">
        <w:r w:rsidR="00A95BE7" w:rsidRPr="00B017F3">
          <w:rPr>
            <w:rStyle w:val="Hyperlink"/>
            <w:rFonts w:asciiTheme="minorBidi" w:hAnsiTheme="minorBidi"/>
            <w:sz w:val="22"/>
          </w:rPr>
          <w:t>https://pubmed.ncbi.nlm.nih.gov/27252245/</w:t>
        </w:r>
      </w:hyperlink>
      <w:r w:rsidR="00A95BE7">
        <w:rPr>
          <w:rFonts w:asciiTheme="minorBidi" w:hAnsiTheme="minorBidi"/>
          <w:sz w:val="22"/>
        </w:rPr>
        <w:t xml:space="preserve"> </w:t>
      </w:r>
      <w:r w:rsidRPr="1DE34E22">
        <w:rPr>
          <w:rFonts w:ascii="Arial" w:eastAsia="Arial" w:hAnsi="Arial" w:cs="Arial"/>
          <w:sz w:val="22"/>
        </w:rPr>
        <w:t>(Accessed:1 December 2025).</w:t>
      </w:r>
    </w:p>
    <w:p w14:paraId="6F862D25" w14:textId="779DEC92" w:rsidR="00BE745A" w:rsidRDefault="00BE745A" w:rsidP="2B532F71">
      <w:pPr>
        <w:spacing w:before="240" w:after="158" w:line="360" w:lineRule="auto"/>
        <w:jc w:val="both"/>
      </w:pPr>
      <w:r w:rsidRPr="1DE34E22">
        <w:rPr>
          <w:rFonts w:ascii="Arial" w:eastAsia="Arial" w:hAnsi="Arial" w:cs="Arial"/>
          <w:sz w:val="22"/>
          <w:lang w:val="en-US"/>
        </w:rPr>
        <w:t xml:space="preserve">Shaw, S., </w:t>
      </w:r>
      <w:proofErr w:type="spellStart"/>
      <w:r w:rsidRPr="1DE34E22">
        <w:rPr>
          <w:rFonts w:ascii="Arial" w:eastAsia="Arial" w:hAnsi="Arial" w:cs="Arial"/>
          <w:sz w:val="22"/>
          <w:lang w:val="en-US"/>
        </w:rPr>
        <w:t>Wherton</w:t>
      </w:r>
      <w:proofErr w:type="spellEnd"/>
      <w:r w:rsidRPr="1DE34E22">
        <w:rPr>
          <w:rFonts w:ascii="Arial" w:eastAsia="Arial" w:hAnsi="Arial" w:cs="Arial"/>
          <w:sz w:val="22"/>
          <w:lang w:val="en-US"/>
        </w:rPr>
        <w:t>, J., Vijayaraghavan, S, et</w:t>
      </w:r>
      <w:r w:rsidR="00694DA0">
        <w:rPr>
          <w:rFonts w:ascii="Arial" w:eastAsia="Arial" w:hAnsi="Arial" w:cs="Arial"/>
          <w:sz w:val="22"/>
          <w:lang w:val="en-US"/>
        </w:rPr>
        <w:t xml:space="preserve"> al</w:t>
      </w:r>
      <w:r w:rsidRPr="1DE34E22">
        <w:rPr>
          <w:rFonts w:ascii="Arial" w:eastAsia="Arial" w:hAnsi="Arial" w:cs="Arial"/>
          <w:sz w:val="22"/>
          <w:lang w:val="en-US"/>
        </w:rPr>
        <w:t xml:space="preserve">. (2018) ‘Advantages and limitations of virtual online consultations in an NHS acute trust: </w:t>
      </w:r>
      <w:r w:rsidRPr="00F17533">
        <w:rPr>
          <w:rFonts w:ascii="Arial" w:eastAsia="Arial" w:hAnsi="Arial" w:cs="Arial"/>
          <w:sz w:val="22"/>
          <w:lang w:val="en-US"/>
        </w:rPr>
        <w:t>the VOCAL mixed-methods study’</w:t>
      </w:r>
      <w:r w:rsidRPr="1DE34E22">
        <w:rPr>
          <w:rFonts w:ascii="Arial" w:eastAsia="Arial" w:hAnsi="Arial" w:cs="Arial"/>
          <w:sz w:val="22"/>
          <w:lang w:val="en-US"/>
        </w:rPr>
        <w:t xml:space="preserve">, </w:t>
      </w:r>
      <w:r w:rsidR="00F17533" w:rsidRPr="00F17533">
        <w:rPr>
          <w:rFonts w:ascii="Arial" w:eastAsia="Arial" w:hAnsi="Arial" w:cs="Arial"/>
          <w:i/>
          <w:iCs/>
          <w:sz w:val="22"/>
          <w:lang w:val="en-US"/>
        </w:rPr>
        <w:t>Health Services and Delivery Research</w:t>
      </w:r>
      <w:r w:rsidR="00F17533">
        <w:rPr>
          <w:rFonts w:ascii="Arial" w:eastAsia="Arial" w:hAnsi="Arial" w:cs="Arial"/>
          <w:sz w:val="22"/>
          <w:lang w:val="en-US"/>
        </w:rPr>
        <w:t xml:space="preserve">, </w:t>
      </w:r>
      <w:r w:rsidRPr="1DE34E22">
        <w:rPr>
          <w:rFonts w:ascii="Arial" w:eastAsia="Arial" w:hAnsi="Arial" w:cs="Arial"/>
          <w:sz w:val="22"/>
          <w:lang w:val="en-US"/>
        </w:rPr>
        <w:t>6(21), pp. 1–136. Available at</w:t>
      </w:r>
      <w:r w:rsidR="008E3ABF">
        <w:rPr>
          <w:rFonts w:ascii="Arial" w:eastAsia="Arial" w:hAnsi="Arial" w:cs="Arial"/>
          <w:sz w:val="22"/>
          <w:lang w:val="en-US"/>
        </w:rPr>
        <w:t>:</w:t>
      </w:r>
      <w:r w:rsidR="008E3ABF" w:rsidRPr="008E3ABF">
        <w:t xml:space="preserve"> </w:t>
      </w:r>
      <w:hyperlink r:id="rId31" w:history="1">
        <w:r w:rsidR="008E3ABF" w:rsidRPr="00B017F3">
          <w:rPr>
            <w:rStyle w:val="Hyperlink"/>
            <w:rFonts w:ascii="Arial" w:eastAsia="Arial" w:hAnsi="Arial" w:cs="Arial"/>
            <w:sz w:val="22"/>
            <w:lang w:val="en-US"/>
          </w:rPr>
          <w:t>https://pubmed.ncbi.nlm.nih.gov/29939519/</w:t>
        </w:r>
      </w:hyperlink>
      <w:r w:rsidR="008E3ABF">
        <w:rPr>
          <w:rFonts w:ascii="Arial" w:eastAsia="Arial" w:hAnsi="Arial" w:cs="Arial"/>
          <w:sz w:val="22"/>
          <w:lang w:val="en-US"/>
        </w:rPr>
        <w:t xml:space="preserve"> </w:t>
      </w:r>
      <w:r w:rsidRPr="1DE34E22">
        <w:rPr>
          <w:rFonts w:ascii="Arial" w:eastAsia="Arial" w:hAnsi="Arial" w:cs="Arial"/>
          <w:sz w:val="22"/>
          <w:lang w:val="en-US"/>
        </w:rPr>
        <w:t>(Accessed: 1 December 2025).</w:t>
      </w:r>
    </w:p>
    <w:p w14:paraId="097ED968" w14:textId="6EBCCCC7" w:rsidR="00BE745A" w:rsidRDefault="00BE745A" w:rsidP="49145D91">
      <w:pPr>
        <w:spacing w:before="240" w:after="158" w:line="360" w:lineRule="auto"/>
        <w:jc w:val="both"/>
        <w:rPr>
          <w:rFonts w:ascii="Arial" w:eastAsia="Arial" w:hAnsi="Arial" w:cs="Arial"/>
          <w:color w:val="000000" w:themeColor="text1"/>
          <w:sz w:val="22"/>
          <w:lang w:val="en-US"/>
        </w:rPr>
      </w:pPr>
      <w:proofErr w:type="spellStart"/>
      <w:r w:rsidRPr="49145D91">
        <w:rPr>
          <w:rFonts w:ascii="Arial" w:eastAsia="Arial" w:hAnsi="Arial" w:cs="Arial"/>
          <w:color w:val="000000" w:themeColor="text1"/>
          <w:sz w:val="22"/>
          <w:lang w:val="en-US"/>
        </w:rPr>
        <w:t>Wherton</w:t>
      </w:r>
      <w:proofErr w:type="spellEnd"/>
      <w:r w:rsidRPr="49145D91">
        <w:rPr>
          <w:rFonts w:ascii="Arial" w:eastAsia="Arial" w:hAnsi="Arial" w:cs="Arial"/>
          <w:color w:val="000000" w:themeColor="text1"/>
          <w:sz w:val="22"/>
          <w:lang w:val="en-US"/>
        </w:rPr>
        <w:t xml:space="preserve">, J., Greenhalgh, T., Shaw, S., </w:t>
      </w:r>
      <w:r w:rsidR="006E6480">
        <w:rPr>
          <w:rFonts w:ascii="Arial" w:eastAsia="Arial" w:hAnsi="Arial" w:cs="Arial"/>
          <w:color w:val="000000" w:themeColor="text1"/>
          <w:sz w:val="22"/>
          <w:lang w:val="en-US"/>
        </w:rPr>
        <w:t xml:space="preserve">et al </w:t>
      </w:r>
      <w:r w:rsidRPr="49145D91">
        <w:rPr>
          <w:rFonts w:ascii="Arial" w:eastAsia="Arial" w:hAnsi="Arial" w:cs="Arial"/>
          <w:color w:val="000000" w:themeColor="text1"/>
          <w:sz w:val="22"/>
          <w:lang w:val="en-US"/>
        </w:rPr>
        <w:t>(2021) Expanding video consultation services at pace and scale in the NHS: lessons from the pandemic,</w:t>
      </w:r>
      <w:r w:rsidRPr="49145D91">
        <w:rPr>
          <w:rFonts w:ascii="Arial" w:eastAsia="Arial" w:hAnsi="Arial" w:cs="Arial"/>
          <w:i/>
          <w:iCs/>
          <w:color w:val="000000" w:themeColor="text1"/>
          <w:sz w:val="22"/>
          <w:lang w:val="en-US"/>
        </w:rPr>
        <w:t xml:space="preserve"> Journal of Medical Internet Research</w:t>
      </w:r>
      <w:r w:rsidRPr="49145D91">
        <w:rPr>
          <w:rFonts w:ascii="Arial" w:eastAsia="Arial" w:hAnsi="Arial" w:cs="Arial"/>
          <w:color w:val="000000" w:themeColor="text1"/>
          <w:sz w:val="22"/>
          <w:lang w:val="en-US"/>
        </w:rPr>
        <w:t>.</w:t>
      </w:r>
      <w:r w:rsidR="00F17533">
        <w:t xml:space="preserve"> </w:t>
      </w:r>
      <w:r w:rsidR="00F17533" w:rsidRPr="49145D91">
        <w:rPr>
          <w:rFonts w:ascii="Arial" w:eastAsia="Arial" w:hAnsi="Arial" w:cs="Arial"/>
          <w:color w:val="000000" w:themeColor="text1"/>
          <w:sz w:val="22"/>
          <w:lang w:val="en-US"/>
        </w:rPr>
        <w:t>23(10), e31374.</w:t>
      </w:r>
      <w:r w:rsidRPr="49145D91">
        <w:rPr>
          <w:rFonts w:ascii="Arial" w:eastAsia="Arial" w:hAnsi="Arial" w:cs="Arial"/>
          <w:color w:val="000000" w:themeColor="text1"/>
          <w:sz w:val="22"/>
          <w:lang w:val="en-US"/>
        </w:rPr>
        <w:t xml:space="preserve"> Available at: </w:t>
      </w:r>
      <w:hyperlink r:id="rId32">
        <w:r w:rsidRPr="49145D91">
          <w:rPr>
            <w:rStyle w:val="Hyperlink"/>
            <w:rFonts w:ascii="Arial" w:eastAsia="Arial" w:hAnsi="Arial" w:cs="Arial"/>
            <w:sz w:val="22"/>
            <w:lang w:val="en-US"/>
          </w:rPr>
          <w:t>https://www.jmir.org/2021/10/e31374/</w:t>
        </w:r>
      </w:hyperlink>
      <w:r w:rsidRPr="49145D91">
        <w:rPr>
          <w:rFonts w:ascii="Arial" w:eastAsia="Arial" w:hAnsi="Arial" w:cs="Arial"/>
          <w:color w:val="000000" w:themeColor="text1"/>
          <w:sz w:val="22"/>
          <w:lang w:val="en-US"/>
        </w:rPr>
        <w:t xml:space="preserve"> (Accessed:1 December 2025).</w:t>
      </w:r>
    </w:p>
    <w:p w14:paraId="62673316" w14:textId="3C67B067" w:rsidR="00BE745A" w:rsidRPr="00CD33A8" w:rsidRDefault="00BE745A" w:rsidP="33588F4B">
      <w:pPr>
        <w:tabs>
          <w:tab w:val="left" w:pos="6540"/>
        </w:tabs>
        <w:spacing w:line="360" w:lineRule="auto"/>
        <w:jc w:val="both"/>
      </w:pPr>
      <w:r w:rsidRPr="49145D91">
        <w:rPr>
          <w:rFonts w:asciiTheme="minorBidi" w:hAnsiTheme="minorBidi"/>
          <w:sz w:val="22"/>
        </w:rPr>
        <w:t>Wild, S.H., Hanley, J., McKnight, J., et</w:t>
      </w:r>
      <w:r w:rsidR="0A3195E9" w:rsidRPr="49145D91">
        <w:rPr>
          <w:rFonts w:asciiTheme="minorBidi" w:hAnsiTheme="minorBidi"/>
          <w:sz w:val="22"/>
        </w:rPr>
        <w:t xml:space="preserve"> al</w:t>
      </w:r>
      <w:r w:rsidRPr="49145D91">
        <w:rPr>
          <w:rFonts w:asciiTheme="minorBidi" w:hAnsiTheme="minorBidi"/>
          <w:sz w:val="22"/>
        </w:rPr>
        <w:t xml:space="preserve">. (2016) </w:t>
      </w:r>
      <w:r w:rsidR="00A27792">
        <w:rPr>
          <w:rFonts w:asciiTheme="minorBidi" w:hAnsiTheme="minorBidi"/>
          <w:sz w:val="22"/>
        </w:rPr>
        <w:t>‘</w:t>
      </w:r>
      <w:r w:rsidRPr="49145D91">
        <w:rPr>
          <w:rFonts w:asciiTheme="minorBidi" w:hAnsiTheme="minorBidi"/>
          <w:sz w:val="22"/>
        </w:rPr>
        <w:t xml:space="preserve">Supported telemonitoring and glycaemic control in people with type 2 diabetes: the </w:t>
      </w:r>
      <w:proofErr w:type="spellStart"/>
      <w:r w:rsidRPr="49145D91">
        <w:rPr>
          <w:rFonts w:asciiTheme="minorBidi" w:hAnsiTheme="minorBidi"/>
          <w:sz w:val="22"/>
        </w:rPr>
        <w:t>Telescot</w:t>
      </w:r>
      <w:proofErr w:type="spellEnd"/>
      <w:r w:rsidRPr="49145D91">
        <w:rPr>
          <w:rFonts w:asciiTheme="minorBidi" w:hAnsiTheme="minorBidi"/>
          <w:sz w:val="22"/>
        </w:rPr>
        <w:t xml:space="preserve"> Diabetes pragmatic multicentre randomised controlled trial</w:t>
      </w:r>
      <w:r w:rsidRPr="49145D91">
        <w:rPr>
          <w:rFonts w:asciiTheme="minorBidi" w:hAnsiTheme="minorBidi"/>
          <w:i/>
          <w:iCs/>
          <w:sz w:val="22"/>
        </w:rPr>
        <w:t>.</w:t>
      </w:r>
      <w:r w:rsidRPr="49145D91">
        <w:rPr>
          <w:rFonts w:asciiTheme="minorBidi" w:hAnsiTheme="minorBidi"/>
          <w:sz w:val="22"/>
        </w:rPr>
        <w:t>,</w:t>
      </w:r>
      <w:r w:rsidR="00F17533">
        <w:t xml:space="preserve"> </w:t>
      </w:r>
      <w:r w:rsidR="00F17533" w:rsidRPr="49145D91">
        <w:rPr>
          <w:rFonts w:asciiTheme="minorBidi" w:hAnsiTheme="minorBidi"/>
          <w:i/>
          <w:iCs/>
          <w:sz w:val="22"/>
        </w:rPr>
        <w:t>PLOS Medicine,</w:t>
      </w:r>
      <w:r w:rsidRPr="49145D91">
        <w:rPr>
          <w:rFonts w:asciiTheme="minorBidi" w:hAnsiTheme="minorBidi"/>
          <w:sz w:val="22"/>
        </w:rPr>
        <w:t xml:space="preserve"> 13(7), pp.1–17. Available at: </w:t>
      </w:r>
      <w:hyperlink r:id="rId33" w:history="1">
        <w:r w:rsidR="0072472D" w:rsidRPr="00B017F3">
          <w:rPr>
            <w:rStyle w:val="Hyperlink"/>
            <w:rFonts w:asciiTheme="minorBidi" w:hAnsiTheme="minorBidi"/>
            <w:sz w:val="22"/>
          </w:rPr>
          <w:t>https://pubmed.ncbi.nlm.nih.gov/27458809/</w:t>
        </w:r>
      </w:hyperlink>
      <w:r w:rsidR="0072472D">
        <w:rPr>
          <w:rFonts w:asciiTheme="minorBidi" w:hAnsiTheme="minorBidi"/>
          <w:sz w:val="22"/>
        </w:rPr>
        <w:t xml:space="preserve"> </w:t>
      </w:r>
      <w:r w:rsidRPr="49145D91">
        <w:rPr>
          <w:rFonts w:ascii="Arial" w:eastAsia="Arial" w:hAnsi="Arial" w:cs="Arial"/>
          <w:sz w:val="22"/>
        </w:rPr>
        <w:t>(Accessed:1 December 2025).</w:t>
      </w:r>
    </w:p>
    <w:p w14:paraId="0910C1DE" w14:textId="22D13ED2" w:rsidR="1DE34E22" w:rsidRDefault="1DE34E22" w:rsidP="1DE34E22">
      <w:pPr>
        <w:spacing w:before="240" w:after="158" w:line="360" w:lineRule="auto"/>
        <w:jc w:val="both"/>
        <w:rPr>
          <w:rFonts w:ascii="Arial" w:eastAsia="Arial" w:hAnsi="Arial" w:cs="Arial"/>
          <w:sz w:val="22"/>
          <w:lang w:val="en-US"/>
        </w:rPr>
      </w:pPr>
    </w:p>
    <w:p w14:paraId="54AC8C2D" w14:textId="762F1F43" w:rsidR="1DE34E22" w:rsidRDefault="1DE34E22" w:rsidP="1DE34E22">
      <w:pPr>
        <w:spacing w:before="240" w:after="158" w:line="360" w:lineRule="auto"/>
        <w:jc w:val="both"/>
        <w:rPr>
          <w:rFonts w:ascii="Arial" w:eastAsia="Arial" w:hAnsi="Arial" w:cs="Arial"/>
          <w:sz w:val="22"/>
          <w:lang w:val="en-US"/>
        </w:rPr>
      </w:pPr>
    </w:p>
    <w:p w14:paraId="35A63DCE" w14:textId="7F83E6FC" w:rsidR="6DD8D1AF" w:rsidRDefault="6DD8D1AF" w:rsidP="6DD8D1AF">
      <w:pPr>
        <w:spacing w:before="240" w:after="158" w:line="360" w:lineRule="auto"/>
        <w:jc w:val="both"/>
        <w:rPr>
          <w:rFonts w:ascii="Arial" w:eastAsia="Arial" w:hAnsi="Arial" w:cs="Arial"/>
          <w:color w:val="000000" w:themeColor="text1"/>
          <w:sz w:val="22"/>
          <w:lang w:val="en-US"/>
        </w:rPr>
      </w:pPr>
    </w:p>
    <w:p w14:paraId="76AE4526" w14:textId="4D1A97BB" w:rsidR="6DD8D1AF" w:rsidRDefault="6DD8D1AF" w:rsidP="6DD8D1AF">
      <w:pPr>
        <w:spacing w:before="240" w:after="158" w:line="360" w:lineRule="auto"/>
        <w:jc w:val="both"/>
        <w:rPr>
          <w:rFonts w:ascii="Arial" w:eastAsia="Arial" w:hAnsi="Arial" w:cs="Arial"/>
          <w:color w:val="000000" w:themeColor="text1"/>
          <w:sz w:val="22"/>
          <w:lang w:val="en-US"/>
        </w:rPr>
      </w:pPr>
    </w:p>
    <w:p w14:paraId="2B232134" w14:textId="37AC18E9" w:rsidR="6DD8D1AF" w:rsidRDefault="6DD8D1AF" w:rsidP="6DD8D1AF">
      <w:pPr>
        <w:spacing w:before="240" w:after="158" w:line="360" w:lineRule="auto"/>
        <w:jc w:val="both"/>
        <w:rPr>
          <w:rFonts w:ascii="Arial" w:eastAsia="Arial" w:hAnsi="Arial" w:cs="Arial"/>
          <w:color w:val="000000" w:themeColor="text1"/>
          <w:sz w:val="22"/>
          <w:lang w:val="en-US"/>
        </w:rPr>
      </w:pPr>
    </w:p>
    <w:p w14:paraId="77AF17AC" w14:textId="68346A9B" w:rsidR="6DD8D1AF" w:rsidRDefault="6DD8D1AF" w:rsidP="6DD8D1AF">
      <w:pPr>
        <w:tabs>
          <w:tab w:val="left" w:pos="6540"/>
        </w:tabs>
        <w:spacing w:line="360" w:lineRule="auto"/>
        <w:jc w:val="both"/>
        <w:rPr>
          <w:rFonts w:ascii="Arial" w:eastAsia="Arial" w:hAnsi="Arial" w:cs="Arial"/>
          <w:sz w:val="22"/>
        </w:rPr>
      </w:pPr>
    </w:p>
    <w:sectPr w:rsidR="6DD8D1AF" w:rsidSect="00635799">
      <w:headerReference w:type="default"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46A9D" w14:textId="77777777" w:rsidR="00736E53" w:rsidRDefault="00736E53" w:rsidP="003E4ECF">
      <w:pPr>
        <w:spacing w:after="0" w:line="240" w:lineRule="auto"/>
      </w:pPr>
      <w:r>
        <w:separator/>
      </w:r>
    </w:p>
  </w:endnote>
  <w:endnote w:type="continuationSeparator" w:id="0">
    <w:p w14:paraId="53F3AFDB" w14:textId="77777777" w:rsidR="00736E53" w:rsidRDefault="00736E53"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DE34E22" w14:paraId="057C85C9" w14:textId="77777777" w:rsidTr="1DE34E22">
      <w:trPr>
        <w:trHeight w:val="300"/>
      </w:trPr>
      <w:tc>
        <w:tcPr>
          <w:tcW w:w="3005" w:type="dxa"/>
        </w:tcPr>
        <w:p w14:paraId="0CBF0D56" w14:textId="1274CA38" w:rsidR="1DE34E22" w:rsidRDefault="1DE34E22" w:rsidP="1DE34E22">
          <w:pPr>
            <w:pStyle w:val="Header"/>
            <w:ind w:left="-115"/>
          </w:pPr>
        </w:p>
      </w:tc>
      <w:tc>
        <w:tcPr>
          <w:tcW w:w="3005" w:type="dxa"/>
        </w:tcPr>
        <w:p w14:paraId="1D87CEFA" w14:textId="2EEC6E81" w:rsidR="1DE34E22" w:rsidRDefault="1DE34E22" w:rsidP="1DE34E22">
          <w:pPr>
            <w:pStyle w:val="Header"/>
            <w:jc w:val="center"/>
          </w:pPr>
        </w:p>
      </w:tc>
      <w:tc>
        <w:tcPr>
          <w:tcW w:w="3005" w:type="dxa"/>
        </w:tcPr>
        <w:p w14:paraId="076139A3" w14:textId="6DFE7824" w:rsidR="1DE34E22" w:rsidRDefault="1DE34E22" w:rsidP="1DE34E22">
          <w:pPr>
            <w:pStyle w:val="Header"/>
            <w:ind w:right="-115"/>
            <w:jc w:val="right"/>
          </w:pPr>
        </w:p>
      </w:tc>
    </w:tr>
  </w:tbl>
  <w:p w14:paraId="30D6757D" w14:textId="70BC0047" w:rsidR="1DE34E22" w:rsidRDefault="1DE34E22" w:rsidP="1DE34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9BDCD" w14:textId="77777777" w:rsidR="00736E53" w:rsidRDefault="00736E53" w:rsidP="003E4ECF">
      <w:pPr>
        <w:spacing w:after="0" w:line="240" w:lineRule="auto"/>
      </w:pPr>
      <w:r>
        <w:separator/>
      </w:r>
    </w:p>
  </w:footnote>
  <w:footnote w:type="continuationSeparator" w:id="0">
    <w:p w14:paraId="4B9D0E07" w14:textId="77777777" w:rsidR="00736E53" w:rsidRDefault="00736E53"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DE34E22" w14:paraId="06C4D741" w14:textId="77777777" w:rsidTr="1DE34E22">
      <w:trPr>
        <w:trHeight w:val="300"/>
      </w:trPr>
      <w:tc>
        <w:tcPr>
          <w:tcW w:w="3005" w:type="dxa"/>
        </w:tcPr>
        <w:p w14:paraId="7F3EF2FB" w14:textId="60C2C932" w:rsidR="1DE34E22" w:rsidRDefault="1DE34E22" w:rsidP="1DE34E22">
          <w:pPr>
            <w:pStyle w:val="Header"/>
            <w:ind w:left="-115"/>
          </w:pPr>
        </w:p>
      </w:tc>
      <w:tc>
        <w:tcPr>
          <w:tcW w:w="3005" w:type="dxa"/>
        </w:tcPr>
        <w:p w14:paraId="2C7F5CE1" w14:textId="390A1453" w:rsidR="1DE34E22" w:rsidRDefault="1DE34E22" w:rsidP="1DE34E22">
          <w:pPr>
            <w:pStyle w:val="Header"/>
            <w:jc w:val="center"/>
          </w:pPr>
        </w:p>
      </w:tc>
      <w:tc>
        <w:tcPr>
          <w:tcW w:w="3005" w:type="dxa"/>
        </w:tcPr>
        <w:p w14:paraId="157B0C19" w14:textId="2F710335" w:rsidR="1DE34E22" w:rsidRDefault="1DE34E22" w:rsidP="1DE34E22">
          <w:pPr>
            <w:pStyle w:val="Header"/>
            <w:ind w:right="-115"/>
            <w:jc w:val="right"/>
          </w:pPr>
        </w:p>
      </w:tc>
    </w:tr>
  </w:tbl>
  <w:p w14:paraId="69767B66" w14:textId="5401F491" w:rsidR="1DE34E22" w:rsidRDefault="1DE34E22" w:rsidP="1DE34E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DE34E22" w14:paraId="1D85E089" w14:textId="77777777" w:rsidTr="1DE34E22">
      <w:trPr>
        <w:trHeight w:val="300"/>
      </w:trPr>
      <w:tc>
        <w:tcPr>
          <w:tcW w:w="3005" w:type="dxa"/>
        </w:tcPr>
        <w:p w14:paraId="47A339AE" w14:textId="14B2939D" w:rsidR="1DE34E22" w:rsidRDefault="1DE34E22" w:rsidP="1DE34E22">
          <w:pPr>
            <w:pStyle w:val="Header"/>
            <w:ind w:left="-115"/>
          </w:pPr>
        </w:p>
      </w:tc>
      <w:tc>
        <w:tcPr>
          <w:tcW w:w="3005" w:type="dxa"/>
        </w:tcPr>
        <w:p w14:paraId="4C7422C2" w14:textId="16264EC8" w:rsidR="1DE34E22" w:rsidRDefault="1DE34E22" w:rsidP="1DE34E22">
          <w:pPr>
            <w:pStyle w:val="Header"/>
            <w:jc w:val="center"/>
          </w:pPr>
        </w:p>
      </w:tc>
      <w:tc>
        <w:tcPr>
          <w:tcW w:w="3005" w:type="dxa"/>
        </w:tcPr>
        <w:p w14:paraId="22BE4869" w14:textId="0697B44A" w:rsidR="1DE34E22" w:rsidRDefault="1DE34E22" w:rsidP="1DE34E22">
          <w:pPr>
            <w:pStyle w:val="Header"/>
            <w:ind w:right="-115"/>
            <w:jc w:val="right"/>
          </w:pPr>
        </w:p>
      </w:tc>
    </w:tr>
  </w:tbl>
  <w:p w14:paraId="2901D86C" w14:textId="422356E5" w:rsidR="1DE34E22" w:rsidRDefault="1DE34E22" w:rsidP="1DE34E22">
    <w:pPr>
      <w:pStyle w:val="Header"/>
    </w:pPr>
  </w:p>
</w:hdr>
</file>

<file path=word/intelligence2.xml><?xml version="1.0" encoding="utf-8"?>
<int2:intelligence xmlns:int2="http://schemas.microsoft.com/office/intelligence/2020/intelligence" xmlns:oel="http://schemas.microsoft.com/office/2019/extlst">
  <int2:observations>
    <int2:textHash int2:hashCode="u2pVTAfjZcviD4" int2:id="9KpkUhPm">
      <int2:state int2:value="Rejected" int2:type="spell"/>
    </int2:textHash>
    <int2:textHash int2:hashCode="Y7rxyEYEGk+h8X" int2:id="HFTCEn3R">
      <int2:state int2:value="Rejected" int2:type="spell"/>
    </int2:textHash>
    <int2:textHash int2:hashCode="2jMZXSprvS9atY" int2:id="6dwAgnDY">
      <int2:state int2:value="Rejected" int2:type="spell"/>
    </int2:textHash>
    <int2:textHash int2:hashCode="hPPycm2MNknKJc" int2:id="9tNFtHUH">
      <int2:state int2:value="Rejected" int2:type="spell"/>
    </int2:textHash>
    <int2:textHash int2:hashCode="eQFPAaannmy25q" int2:id="H6qhPkRd">
      <int2:state int2:value="Rejected" int2:type="spell"/>
    </int2:textHash>
    <int2:textHash int2:hashCode="y7YcMpWQia7nE7" int2:id="MkiEuFOr">
      <int2:state int2:value="Rejected" int2:type="spell"/>
    </int2:textHash>
    <int2:textHash int2:hashCode="A4FyHNHJgIQP+U" int2:id="UAwt9Yr4">
      <int2:state int2:value="Rejected" int2:type="spell"/>
    </int2:textHash>
    <int2:textHash int2:hashCode="xQ/ZDMDfRkVyzx" int2:id="VDpnX8Fh">
      <int2:state int2:value="Rejected" int2:type="spell"/>
    </int2:textHash>
    <int2:textHash int2:hashCode="yohNltUiucVjwY" int2:id="acyZOLi8">
      <int2:state int2:value="Rejected" int2:type="spell"/>
    </int2:textHash>
    <int2:textHash int2:hashCode="/jFn2GdrIEEQEj" int2:id="iUDFRIe3">
      <int2:state int2:value="Rejected" int2:type="spell"/>
    </int2:textHash>
    <int2:textHash int2:hashCode="iygL1Joi929gMS" int2:id="jltXzWz1">
      <int2:state int2:value="Rejected" int2:type="spell"/>
    </int2:textHash>
    <int2:bookmark int2:bookmarkName="_Int_fiOGL6XR" int2:invalidationBookmarkName="" int2:hashCode="gK67/apHRO8pmv" int2:id="GrK5Mtzg">
      <int2:state int2:value="Rejected" int2:type="similarity"/>
      <int2:extLst>
        <oel:ext uri="426473B9-03D8-482F-96C9-C2C85392BACA">
          <int2:similarityCritique int2:version="1" int2:context="Good Things Foundation (2024) Mitigating risks of digital exclusion in health systems.">
            <int2:source int2:sourceType="Online" int2:sourceTitle="Understanding digital exclusion – 100% Digital Leeds" int2:sourceUrl="https://digitalinclusionleeds.com/support-for-organisations/understanding-digital-exclusion" int2:sourceSnippet="The scale of digital exclusion UK Consumer Digital Index 2024 Lloyds Bank, 2024 The Consumer Digital Index is the UK’s largest study of digital and financial lives. First published in 2016, the report uses transactional and survey data. Varied research with over 35,000 people has been completed so far.">
              <int2:suggestions int2:citationType="Inline">
                <int2:suggestion int2:citationStyle="Mla" int2:isIdentical="0">
                  <int2:citationText>(“Understanding digital exclusion – 100% Digital Leeds”)</int2:citationText>
                </int2:suggestion>
                <int2:suggestion int2:citationStyle="Apa" int2:isIdentical="0">
                  <int2:citationText>(“Understanding digital exclusion – 100% Digital Leeds”)</int2:citationText>
                </int2:suggestion>
                <int2:suggestion int2:citationStyle="Chicago" int2:isIdentical="0">
                  <int2:citationText>(“Understanding digital exclusion – 100% Digital Leeds”)</int2:citationText>
                </int2:suggestion>
              </int2:suggestions>
              <int2:suggestions int2:citationType="Full">
                <int2:suggestion int2:citationStyle="Mla" int2:isIdentical="0">
                  <int2:citationText>&lt;i&gt;Understanding digital exclusion – 100% Digital Leeds&lt;/i&gt;, https://digitalinclusionleeds.com/support-for-organisations/understanding-digital-exclusion.</int2:citationText>
                </int2:suggestion>
                <int2:suggestion int2:citationStyle="Apa" int2:isIdentical="0">
                  <int2:citationText>&lt;i&gt;Understanding digital exclusion – 100% Digital Leeds&lt;/i&gt;. (n.d.). Retrieved from https://digitalinclusionleeds.com/support-for-organisations/understanding-digital-exclusion</int2:citationText>
                </int2:suggestion>
                <int2:suggestion int2:citationStyle="Chicago" int2:isIdentical="0">
                  <int2:citationText>“Understanding digital exclusion – 100% Digital Leeds” n.d., https://digitalinclusionleeds.com/support-for-organisations/understanding-digital-exclusion.</int2:citationText>
                </int2:suggestion>
              </int2:suggestions>
            </int2:source>
          </int2:similarityCritique>
        </oel:ext>
      </int2:extLst>
    </int2:bookmark>
    <int2:bookmark int2:bookmarkName="_Int_36pTqVZA" int2:invalidationBookmarkName="" int2:hashCode="SbOIUciShdXhUQ" int2:id="oMuNMQDN">
      <int2:state int2:value="Rejected" int2:type="similarity"/>
      <int2:extLst>
        <oel:ext uri="426473B9-03D8-482F-96C9-C2C85392BACA">
          <int2:similarityCritique int2:version="1" int2:context="British Educational Research Association (BERA) (2024) Ethical Guidelines for Educational Research.">
            <int2:source int2:sourceType="Online" int2:sourceTitle="Ethical-Guidelines-for-Educational-Research-5th-edition (1).pdf ..." int2:sourceUrl="https://www.collegesidekick.com/study-docs/23274941" int2:sourceSnippet="ETHICAL GUIDELINES FOR EDUCATIONAL RESEARCH, FIFTH EDITION 5 Letter from the President Dear colleague, On behalf of the Council of the British Educational Research Association (BERA), I am very pleased to present to you the fifth edition (2024) of our Ethical Guidelines for Educational Research . I would like to thank all of the BERA members and professional office staff whose commitment and ...">
              <int2:suggestions int2:citationType="Inline">
                <int2:suggestion int2:citationStyle="Mla" int2:isIdentical="0">
                  <int2:citationText>(“Ethical-Guidelines-for-Educational-Research-5th-edition (1).pdf ...”)</int2:citationText>
                </int2:suggestion>
                <int2:suggestion int2:citationStyle="Apa" int2:isIdentical="0">
                  <int2:citationText>(“Ethical-Guidelines-for-Educational-Research-5th-edition (1).pdf ...”)</int2:citationText>
                </int2:suggestion>
                <int2:suggestion int2:citationStyle="Chicago" int2:isIdentical="0">
                  <int2:citationText>(“Ethical-Guidelines-for-Educational-Research-5th-edition (1).pdf ...”)</int2:citationText>
                </int2:suggestion>
              </int2:suggestions>
              <int2:suggestions int2:citationType="Full">
                <int2:suggestion int2:citationStyle="Mla" int2:isIdentical="0">
                  <int2:citationText>&lt;i&gt;Ethical-Guidelines-for-Educational-Research-5th-edition (1).pdf ...&lt;/i&gt;, https://www.collegesidekick.com/study-docs/23274941.</int2:citationText>
                </int2:suggestion>
                <int2:suggestion int2:citationStyle="Apa" int2:isIdentical="0">
                  <int2:citationText>&lt;i&gt;Ethical-Guidelines-for-Educational-Research-5th-edition (1).pdf ...&lt;/i&gt;. (n.d.). Retrieved from https://www.collegesidekick.com/study-docs/23274941</int2:citationText>
                </int2:suggestion>
                <int2:suggestion int2:citationStyle="Chicago" int2:isIdentical="0">
                  <int2:citationText>“Ethical-Guidelines-for-Educational-Research-5th-edition (1).pdf ...” n.d., https://www.collegesidekick.com/study-docs/23274941.</int2:citationText>
                </int2:suggestion>
              </int2:suggestions>
            </int2:source>
            <int2:source int2:sourceType="Online" int2:sourceTitle="British Educational Research Association (BERA)’s Post" int2:sourceUrl="https://www.linkedin.com/posts/british-educational-research-association_berawera2024-activity-7252604547058077696-ev3b" int2:sourceSnippet="British Educational Research Association (BERA) 3,024 followers 2d Did you miss any keynote lectures at #BERAWERA2024? 🌟The keynote videos from The BERA Conference 2024 and WERA Focal Meeting ...">
              <int2:suggestions int2:citationType="Inline">
                <int2:suggestion int2:citationStyle="Mla" int2:isIdentical="0">
                  <int2:citationText>(“British Educational Research Association (BERA)’s Post”)</int2:citationText>
                </int2:suggestion>
                <int2:suggestion int2:citationStyle="Apa" int2:isIdentical="0">
                  <int2:citationText>(“British Educational Research Association (BERA)’s Post”)</int2:citationText>
                </int2:suggestion>
                <int2:suggestion int2:citationStyle="Chicago" int2:isIdentical="0">
                  <int2:citationText>(“British Educational Research Association (BERA)’s Post”)</int2:citationText>
                </int2:suggestion>
              </int2:suggestions>
              <int2:suggestions int2:citationType="Full">
                <int2:suggestion int2:citationStyle="Mla" int2:isIdentical="0">
                  <int2:citationText>&lt;i&gt;British Educational Research Association (BERA)’s Post&lt;/i&gt;, https://www.linkedin.com/posts/british-educational-research-association_berawera2024-activity-7252604547058077696-ev3b.</int2:citationText>
                </int2:suggestion>
                <int2:suggestion int2:citationStyle="Apa" int2:isIdentical="0">
                  <int2:citationText>&lt;i&gt;British Educational Research Association (BERA)’s Post&lt;/i&gt;. (n.d.). Retrieved from https://www.linkedin.com/posts/british-educational-research-association_berawera2024-activity-7252604547058077696-ev3b</int2:citationText>
                </int2:suggestion>
                <int2:suggestion int2:citationStyle="Chicago" int2:isIdentical="0">
                  <int2:citationText>“British Educational Research Association (BERA)’s Post” n.d., https://www.linkedin.com/posts/british-educational-research-association_berawera2024-activity-7252604547058077696-ev3b.</int2:citationText>
                </int2:suggestion>
              </int2:suggestions>
            </int2:source>
          </int2:similarityCritique>
        </oel:ext>
      </int2:extLst>
    </int2:bookmark>
    <int2:bookmark int2:bookmarkName="_Int_QUUGYNJB" int2:invalidationBookmarkName="" int2:hashCode="XiKF4emvcblsmk" int2:id="V7WfyQus">
      <int2:state int2:value="Rejected" int2:type="similarity"/>
      <int2:extLst>
        <oel:ext uri="426473B9-03D8-482F-96C9-C2C85392BACA">
          <int2:similarityCritique int2:version="1" int2:context="Bashi, N., Karunanithi, M., Fatehi, F., Ding, H., and Walters, D. (2017) ‘Remote monitoring of patients with heart failure: an overview of systematic reviews’, Journal of Medical Internet Research, 19(1), e18.">
            <int2:source int2:sourceType="Online" int2:sourceTitle="A flexible protocol for a systematic review of remote patient ..." int2:sourceUrl="https://www.cambridge.org/core/journals/primary-health-care-research-and-development/article/flexible-protocol-for-a-systematic-review-of-remote-patient-monitoring/A49D29BFBE6059AFBD1F13B59B878EAD" int2:sourceSnippet="Bashi, N, Karunanithi, M, Fatehi, F, Ding, H and Walters, D (2017) Remote monitoring of patients with heart failure: an overview of systematic reviews. Journal of Medical Internet Research 19, e18.">
              <int2:suggestions int2:citationType="Inline">
                <int2:suggestion int2:citationStyle="Mla" int2:isIdentical="0">
                  <int2:citationText>(“A flexible protocol for a systematic review of remote patient ...”)</int2:citationText>
                </int2:suggestion>
                <int2:suggestion int2:citationStyle="Apa" int2:isIdentical="0">
                  <int2:citationText>(“A flexible protocol for a systematic review of remote patient ...”)</int2:citationText>
                </int2:suggestion>
                <int2:suggestion int2:citationStyle="Chicago" int2:isIdentical="0">
                  <int2:citationText>(“A flexible protocol for a systematic review of remote patient ...”)</int2:citationText>
                </int2:suggestion>
              </int2:suggestions>
              <int2:suggestions int2:citationType="Full">
                <int2:suggestion int2:citationStyle="Mla" int2:isIdentical="0">
                  <int2:citationText>&lt;i&gt;A flexible protocol for a systematic review of remote patient ...&lt;/i&gt;, https://www.cambridge.org/core/journals/primary-health-care-research-and-development/article/flexible-protocol-for-a-systematic-review-of-remote-patient-monitoring/A49D29BFBE6059AFBD1F13B59B878EAD.</int2:citationText>
                </int2:suggestion>
                <int2:suggestion int2:citationStyle="Apa" int2:isIdentical="0">
                  <int2:citationText>&lt;i&gt;A flexible protocol for a systematic review of remote patient ...&lt;/i&gt;. (n.d.). Retrieved from https://www.cambridge.org/core/journals/primary-health-care-research-and-development/article/flexible-protocol-for-a-systematic-review-of-remote-patient-monitoring/A49D29BFBE6059AFBD1F13B59B878EAD</int2:citationText>
                </int2:suggestion>
                <int2:suggestion int2:citationStyle="Chicago" int2:isIdentical="0">
                  <int2:citationText>“A flexible protocol for a systematic review of remote patient ...” n.d., https://www.cambridge.org/core/journals/primary-health-care-research-and-development/article/flexible-protocol-for-a-systematic-review-of-remote-patient-monitoring/A49D29BFBE6059AFBD1F13B59B878EAD.</int2:citationText>
                </int2:suggestion>
              </int2:suggestions>
            </int2:source>
            <int2:source int2:sourceType="Online" int2:sourceTitle="A flexible protocol for a systematic review of remote patient ..." int2:sourceUrl="https://pmc.ncbi.nlm.nih.gov/articles/PMC7681106/" int2:sourceSnippet="Bashi N, Karunanithi M, Fatehi F, Ding H and Walters D (2017) Remote monitoring of patients with heart failure: an overview of systematic reviews. Journal of Medical Internet Research 19, e18.">
              <int2:suggestions int2:citationType="Inline">
                <int2:suggestion int2:citationStyle="Mla" int2:isIdentical="0">
                  <int2:citationText>(“A flexible protocol for a systematic review of remote patient ...”)</int2:citationText>
                </int2:suggestion>
                <int2:suggestion int2:citationStyle="Apa" int2:isIdentical="0">
                  <int2:citationText>(“A flexible protocol for a systematic review of remote patient ...”)</int2:citationText>
                </int2:suggestion>
                <int2:suggestion int2:citationStyle="Chicago" int2:isIdentical="0">
                  <int2:citationText>(“A flexible protocol for a systematic review of remote patient ...”)</int2:citationText>
                </int2:suggestion>
              </int2:suggestions>
              <int2:suggestions int2:citationType="Full">
                <int2:suggestion int2:citationStyle="Mla" int2:isIdentical="0">
                  <int2:citationText>&lt;i&gt;A flexible protocol for a systematic review of remote patient ...&lt;/i&gt;, https://pmc.ncbi.nlm.nih.gov/articles/PMC7681106/.</int2:citationText>
                </int2:suggestion>
                <int2:suggestion int2:citationStyle="Apa" int2:isIdentical="0">
                  <int2:citationText>&lt;i&gt;A flexible protocol for a systematic review of remote patient ...&lt;/i&gt;. (n.d.). Retrieved from https://pmc.ncbi.nlm.nih.gov/articles/PMC7681106/</int2:citationText>
                </int2:suggestion>
                <int2:suggestion int2:citationStyle="Chicago" int2:isIdentical="0">
                  <int2:citationText>“A flexible protocol for a systematic review of remote patient ...” n.d., https://pmc.ncbi.nlm.nih.gov/articles/PMC7681106/.</int2:citationText>
                </int2:suggestion>
              </int2:suggestions>
            </int2:source>
          </int2:similarityCritique>
        </oel:ext>
      </int2:extLst>
    </int2:bookmark>
    <int2:bookmark int2:bookmarkName="_Int_0qeFd29T" int2:invalidationBookmarkName="" int2:hashCode="U3H9MqKpjHOl5E" int2:id="8V8iG1fx">
      <int2:state int2:value="Rejected" int2:type="similarity"/>
      <int2:extLst>
        <oel:ext uri="426473B9-03D8-482F-96C9-C2C85392BACA">
          <int2:similarityCritique int2:version="1" int2:context="Atherton, H., Brant, H., Ziebland, S. et al. (2018) ‘The potential of alternatives to face-to-face consultation in general practice: a qualitative study’, British Journal of General Practice.">
            <int2:source int2:sourceType="Online" int2:sourceTitle="Alternatives to the face-to-face consultation in general practice ..." int2:sourceUrl="https://research-information.bris.ac.uk/files/156823098/e293.full.pdf" int2:sourceSnippet="Atherton H, Brant H, Ziebland S, et al. The potential of alternatives to face-to-face consultation in general practice, and the impact on different patient groups: a mixed methods case study.">
              <int2:suggestions int2:citationType="Inline">
                <int2:suggestion int2:citationStyle="Mla" int2:isIdentical="0">
                  <int2:citationText>(“Alternatives to the face-to-face consultation in general practice ...”)</int2:citationText>
                </int2:suggestion>
                <int2:suggestion int2:citationStyle="Apa" int2:isIdentical="0">
                  <int2:citationText>(“Alternatives to the face-to-face consultation in general practice ...”)</int2:citationText>
                </int2:suggestion>
                <int2:suggestion int2:citationStyle="Chicago" int2:isIdentical="0">
                  <int2:citationText>(“Alternatives to the face-to-face consultation in general practice ...”)</int2:citationText>
                </int2:suggestion>
              </int2:suggestions>
              <int2:suggestions int2:citationType="Full">
                <int2:suggestion int2:citationStyle="Mla" int2:isIdentical="0">
                  <int2:citationText>&lt;i&gt;Alternatives to the face-to-face consultation in general practice ...&lt;/i&gt;, https://research-information.bris.ac.uk/files/156823098/e293.full.pdf.</int2:citationText>
                </int2:suggestion>
                <int2:suggestion int2:citationStyle="Apa" int2:isIdentical="0">
                  <int2:citationText>&lt;i&gt;Alternatives to the face-to-face consultation in general practice ...&lt;/i&gt;. (n.d.). Retrieved from https://research-information.bris.ac.uk/files/156823098/e293.full.pdf</int2:citationText>
                </int2:suggestion>
                <int2:suggestion int2:citationStyle="Chicago" int2:isIdentical="0">
                  <int2:citationText>“Alternatives to the face-to-face consultation in general practice ...” n.d., https://research-information.bris.ac.uk/files/156823098/e293.full.pdf.</int2:citationText>
                </int2:suggestion>
              </int2:suggestions>
            </int2:source>
            <int2:source int2:sourceType="Online" int2:sourceTitle="Demographic details of patients by practice - The potential of ..." int2:sourceUrl="https://www.ncbi.nlm.nih.gov/books/NBK507076/" int2:sourceSnippet="Atherton H, Brant H, Ziebland S, et al. The potential of alternatives to face-to-face consultation in general practice, and the impact on different patient groups: a mixed-methods case study.">
              <int2:suggestions int2:citationType="Inline">
                <int2:suggestion int2:citationStyle="Mla" int2:isIdentical="0">
                  <int2:citationText>(“Demographic details of patients by practice - The potential of ...”)</int2:citationText>
                </int2:suggestion>
                <int2:suggestion int2:citationStyle="Apa" int2:isIdentical="0">
                  <int2:citationText>(“Demographic details of patients by practice - The potential of ...”)</int2:citationText>
                </int2:suggestion>
                <int2:suggestion int2:citationStyle="Chicago" int2:isIdentical="0">
                  <int2:citationText>(“Demographic details of patients by practice - The potential of ...”)</int2:citationText>
                </int2:suggestion>
              </int2:suggestions>
              <int2:suggestions int2:citationType="Full">
                <int2:suggestion int2:citationStyle="Mla" int2:isIdentical="0">
                  <int2:citationText>&lt;i&gt;Demographic details of patients by practice - The potential of ...&lt;/i&gt;, https://www.ncbi.nlm.nih.gov/books/NBK507076/.</int2:citationText>
                </int2:suggestion>
                <int2:suggestion int2:citationStyle="Apa" int2:isIdentical="0">
                  <int2:citationText>&lt;i&gt;Demographic details of patients by practice - The potential of ...&lt;/i&gt;. (n.d.). Retrieved from https://www.ncbi.nlm.nih.gov/books/NBK507076/</int2:citationText>
                </int2:suggestion>
                <int2:suggestion int2:citationStyle="Chicago" int2:isIdentical="0">
                  <int2:citationText>“Demographic details of patients by practice - The potential of ...” n.d., https://www.ncbi.nlm.nih.gov/books/NBK507076/.</int2:citationText>
                </int2:suggestion>
              </int2:suggestions>
            </int2:source>
          </int2:similarityCritique>
        </oel:ext>
      </int2:extLst>
    </int2:bookmark>
    <int2:bookmark int2:bookmarkName="_Int_x9rpMLlt" int2:invalidationBookmarkName="" int2:hashCode="A4URq+NyP6cqDN" int2:id="IZ7Hxe9f">
      <int2:state int2:value="Rejected" int2:type="style"/>
    </int2:bookmark>
    <int2:bookmark int2:bookmarkName="_Int_e7RBidpY" int2:invalidationBookmarkName="" int2:hashCode="XRc7ZiJsqzQMd3" int2:id="LTz1cw8o">
      <int2:state int2:value="Rejected" int2:type="style"/>
    </int2:bookmark>
    <int2:bookmark int2:bookmarkName="_Int_4c77TIvo" int2:invalidationBookmarkName="" int2:hashCode="a8FKXNgIInISIq" int2:id="d3ntQ8ZJ">
      <int2:state int2:value="Rejected" int2:type="style"/>
    </int2:bookmark>
    <int2:entireDocument int2:id="O4v3sKRk">
      <int2:extLst>
        <oel:ext uri="E302BA01-7950-474C-9AD3-286E660C40A8">
          <int2:similaritySummary int2:version="1" int2:runId="1765133196394" int2:tilesCheckedInThisRun="140" int2:totalNumOfTiles="140" int2:similarityAnnotationCount="4" int2:numWords="3933" int2:numFlaggedWords="82"/>
        </oel:ext>
      </int2:extLst>
    </int2:entireDocument>
  </int2:observations>
  <int2:intelligenceSettings/>
  <int2:onDemandWorkflows>
    <int2:onDemandWorkflow int2:type="SimilarityCheck" int2:paragraphVersions="2C89A28D-372DC866 75F3C79D-21D2BC2C 243DD131-708E1463 7B6C1B88-77777777 45D4155B-77777777 72F9E0B5-77777777 4E122A33-77777777 3119DED5-77777777 70D2C27B-77777777 48865244-16E88213 08D969E0-77777777 640EE014-607BCFA2 22BA5F7C-77777777 402BF139-17BF58B2 3EB6D5DB-77777777 631A96CC-77777777 4A14774E-77777777 28B086A4-77777777 401826D8-77777777 314FDC94-77777777 7BE1C926-77777777 5047A3B2-77777777 5D802059-77777777 37AAFCC3-77777777 2AE92798-77777777 2BCFB7FC-77777777 666B32F9-5AD218D6 05AB2C84-4E84F96B 13E00080-137FF22A 5436C70C-12F93328 59D2CE5F-23E72F99 0743EE3A-321A3E3B 5416E722-227CCBA8 0DADE8CF-43953D89 63C8FE6D-2A5965EF 30D58267-4D813512 09F864FD-08C94C27 194700E6-6BD19266 53FA39DE-7504A2AB 418AC9F9-5EC26C73 547EEFA0-63C772CF 2E79F7ED-182913C0 7AE771D5-1C06E45A 4F7320CB-000D21B8 4025DD14-1CBB8736 61EAB468-560F5F4C 0027BB56-77777777 3914D9AE-09A0FD72 6AB549F8-7FBC0D13 40B4269A-50316DE0 12D76753-5E672751 0B7493E2-289F8AD2 54475E0E-3DCA1491 0CC1D07C-06A9A296 05D3DC3A-04B6B317 47D6CE29-2D4CFFA5 04CF7494-5DBC8C3F 40B1FD11-25282B7F 41FF2803-53FD81FA 723549D8-5D903848 5C1DF044-628EE408 61937F24-6C82A1C8 5C7FFE43-77777777 354A277C-77777777 78D97D09-77777777 18A3E73D-4A9EBCED 4F0CD5E5-7474B8A9 61B7D57F-0284B357 220DF274-79CF494B 3C72C297-31379F1A 2E040B79-20DB1FA6 79F84CFC-38487C40 41A8D132-7EA60B89 60DB8B1D-4C755EF0 3E258044-5E591D8D 06843A40-31E27D7B 60B2CDC3-75A7BD94 297CB634-0A5CB8B6 017DEE50-4EB5DC86 4D067611-2EEDFF79 3ED922D6-5F8B4E51 26C19B46-081E4235 0B3BA40D-4AA4570B 0BE70745-5AB0EE70 1B9BBE96-475FF069 79F24F86-312D8F62 4B8B9629-1C686A5D 4EBAB9F3-0C6A162A 7802C673-4A81FC1E 7CB32168-36FF7C47 4A7E7C15-1E366AA0 67A61F52-77777777 4D1DEEA9-0BB631EE 104E2E7A-6F3F39A3 7DCD6BEB-1D2EF7EB 5D811E2C-72B0010B 63FFBBEC-7DCB4DD8 4542B622-17825A69 4D979A6A-271CA99F 3EE9001D-77777777 42A1ADD9-2D770230 3618D153-737B5A9A 0B7A4978-492D7EB4 6BE105A0-10759F9F 596D5642-77777777 0566F49E-6B0C7EE7 62E7EECD-445467AE 65CAE406-763EE5F0 330A126E-77777777 2A9B5990-77777777 581C99BF-2D79C1BC 6A9B8D9E-5F332B12 394854B6-08513B34 26E6957F-6C22BE03 7701F8A2-3357C874 21AC5457-5AB11A58 2EDB95EA-77777777 0D4D8F81-47E5E2C1 1CBE2645-77777777 2F21B275-77777777 25B6F2DA-77777777 755ED810-77777777 20755E81-386B3E14 51B73A07-3992F1CF 0E9CE0D4-77777777 3369D831-77777777 7E97ABF6-77777777 1BACE63E-77777777 7D39FD19-5309A553 25A67C70-77777777 7F0089E2-77777777 34AFB120-52B6A1F4 358291F7-77777777 18887C64-77777777 2849A6B2-6E947BB6 2E48F280-77777777 72285B76-77777777 0BED25E5-77777777 550AAA7D-77777777 32EC4229-05395F2F 2CB2EED8-677580AB 1803E5A8-022ED798 6781A70A-688E2031 3E745F74-7EBBEA3C 73F20AEA-117ECA72 5A8FDB49-77777777 29B4C146-5481C08A 0463FB21-77777777 200C1EE3-77777777 6C66A565-77777777 1F8BB926-77777777 1E97B322-77777777 39CEF2E4-7941A46E 5348F616-132B147B 5C27E066-77777777 591121DA-77777777 31157AFE-7F325F01 143CA44B-0A48CB66 075EE589-37DC2F73 201C2350-3B107811 756769C1-5D9679DC 7FF10721-77777777 2C8CA64E-606B9916 1836BE68-1D12C5C8 164740A3-7421033F 54CD2B5F-7879F242 42F9BF1C-53CC9FE2 254F4907-4160D920 6147B4B2-22E20811 58BB14D1-434C93A3 5EA15ECE-3FD57505 29B0DC56-188A17F2 1BA25E4E-0A1BB362 482D3820-377EFBAA 17B31A9B-6B081CA5 4293F5D9-5D5D4AE0 1AF2317B-0DD556DB 15D74496-46C857B5 16FAF0EA-0C0C739A 72A4374F-7E285AFC 15C69993-56FA5F55 04E1EF69-053AD0E0 6AAA3581-77777777 3630DBD9-2FF2D384 0B6EED3A-52AE7F61 4F12A993-20ED2558 1A005EBF-6B49A7DE 6E1ABBCC-1F136853 12A37D1E-77777777 19F8DAAF-37CF6065 4F07A477-632FAE8A 1C162E70-246D4868 058306D2-0AAFA76C 0EA95AF8-3303347E 121383CF-4D5A3C45 11B45A05-6D09D241 41AB1ACE-38B239B3 2041E99F-5D24102F 1BAC2DF7-5F2DF8D1 376C0EDC-3DE543CD 4782D541-4B594B07 013BF576-16540063 744450FC-0A624A45 7BE3B853-61CAC432 6A23395E-5124D32D 645CB6AB-7E028939 53D8B10F-7E7CBD43 3B0D7EB7-260F81B6 0FC30C66-110F3F1E 48BF5755-661CAE47 6F862D25-779DEC92 097ED968-6EBCCCC7 62673316-3C67B067 0910C1DE-22D13ED2 54AC8C2D-762F1F43 35A63DCE-7F83E6FC 76AE4526-4D1A97BB 2B232134-37AC18E9 77AF17AC-68346A9B 7F3EF2FB-60C2C932 2C7F5CE1-390A1453 157B0C19-2F710335 69767B66-5401F491 47A339AE-14B2939D 4C7422C2-16264EC8 22BE4869-0697B44A 2901D86C-422356E5 22F0D82E-45C034A5 65BDCB89-77777777 0CBF0D56-1274CA38 1D87CEFA-2EEC6E81 076139A3-6DFE7824 30D6757D-70BC004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75945"/>
    <w:multiLevelType w:val="hybridMultilevel"/>
    <w:tmpl w:val="18E8C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59F32"/>
    <w:multiLevelType w:val="hybridMultilevel"/>
    <w:tmpl w:val="E176261A"/>
    <w:lvl w:ilvl="0" w:tplc="FA16C5CC">
      <w:start w:val="1"/>
      <w:numFmt w:val="bullet"/>
      <w:lvlText w:val=""/>
      <w:lvlJc w:val="left"/>
      <w:pPr>
        <w:ind w:left="720" w:hanging="360"/>
      </w:pPr>
      <w:rPr>
        <w:rFonts w:ascii="Symbol" w:hAnsi="Symbol" w:hint="default"/>
      </w:rPr>
    </w:lvl>
    <w:lvl w:ilvl="1" w:tplc="D5B41ABC">
      <w:start w:val="1"/>
      <w:numFmt w:val="bullet"/>
      <w:lvlText w:val="o"/>
      <w:lvlJc w:val="left"/>
      <w:pPr>
        <w:ind w:left="1440" w:hanging="360"/>
      </w:pPr>
      <w:rPr>
        <w:rFonts w:ascii="Courier New" w:hAnsi="Courier New" w:hint="default"/>
      </w:rPr>
    </w:lvl>
    <w:lvl w:ilvl="2" w:tplc="0F4AE0B2">
      <w:start w:val="1"/>
      <w:numFmt w:val="bullet"/>
      <w:lvlText w:val=""/>
      <w:lvlJc w:val="left"/>
      <w:pPr>
        <w:ind w:left="2160" w:hanging="360"/>
      </w:pPr>
      <w:rPr>
        <w:rFonts w:ascii="Wingdings" w:hAnsi="Wingdings" w:hint="default"/>
      </w:rPr>
    </w:lvl>
    <w:lvl w:ilvl="3" w:tplc="CEB69338">
      <w:start w:val="1"/>
      <w:numFmt w:val="bullet"/>
      <w:lvlText w:val=""/>
      <w:lvlJc w:val="left"/>
      <w:pPr>
        <w:ind w:left="2880" w:hanging="360"/>
      </w:pPr>
      <w:rPr>
        <w:rFonts w:ascii="Symbol" w:hAnsi="Symbol" w:hint="default"/>
      </w:rPr>
    </w:lvl>
    <w:lvl w:ilvl="4" w:tplc="33106CFE">
      <w:start w:val="1"/>
      <w:numFmt w:val="bullet"/>
      <w:lvlText w:val="o"/>
      <w:lvlJc w:val="left"/>
      <w:pPr>
        <w:ind w:left="3600" w:hanging="360"/>
      </w:pPr>
      <w:rPr>
        <w:rFonts w:ascii="Courier New" w:hAnsi="Courier New" w:hint="default"/>
      </w:rPr>
    </w:lvl>
    <w:lvl w:ilvl="5" w:tplc="AAA88A52">
      <w:start w:val="1"/>
      <w:numFmt w:val="bullet"/>
      <w:lvlText w:val=""/>
      <w:lvlJc w:val="left"/>
      <w:pPr>
        <w:ind w:left="4320" w:hanging="360"/>
      </w:pPr>
      <w:rPr>
        <w:rFonts w:ascii="Wingdings" w:hAnsi="Wingdings" w:hint="default"/>
      </w:rPr>
    </w:lvl>
    <w:lvl w:ilvl="6" w:tplc="003A18FC">
      <w:start w:val="1"/>
      <w:numFmt w:val="bullet"/>
      <w:lvlText w:val=""/>
      <w:lvlJc w:val="left"/>
      <w:pPr>
        <w:ind w:left="5040" w:hanging="360"/>
      </w:pPr>
      <w:rPr>
        <w:rFonts w:ascii="Symbol" w:hAnsi="Symbol" w:hint="default"/>
      </w:rPr>
    </w:lvl>
    <w:lvl w:ilvl="7" w:tplc="FC5A8A74">
      <w:start w:val="1"/>
      <w:numFmt w:val="bullet"/>
      <w:lvlText w:val="o"/>
      <w:lvlJc w:val="left"/>
      <w:pPr>
        <w:ind w:left="5760" w:hanging="360"/>
      </w:pPr>
      <w:rPr>
        <w:rFonts w:ascii="Courier New" w:hAnsi="Courier New" w:hint="default"/>
      </w:rPr>
    </w:lvl>
    <w:lvl w:ilvl="8" w:tplc="EA2C3A78">
      <w:start w:val="1"/>
      <w:numFmt w:val="bullet"/>
      <w:lvlText w:val=""/>
      <w:lvlJc w:val="left"/>
      <w:pPr>
        <w:ind w:left="6480" w:hanging="360"/>
      </w:pPr>
      <w:rPr>
        <w:rFonts w:ascii="Wingdings" w:hAnsi="Wingdings" w:hint="default"/>
      </w:rPr>
    </w:lvl>
  </w:abstractNum>
  <w:abstractNum w:abstractNumId="2" w15:restartNumberingAfterBreak="0">
    <w:nsid w:val="1501EFA2"/>
    <w:multiLevelType w:val="hybridMultilevel"/>
    <w:tmpl w:val="AA84318E"/>
    <w:lvl w:ilvl="0" w:tplc="6896DCB8">
      <w:start w:val="1"/>
      <w:numFmt w:val="bullet"/>
      <w:lvlText w:val=""/>
      <w:lvlJc w:val="left"/>
      <w:pPr>
        <w:ind w:left="720" w:hanging="360"/>
      </w:pPr>
      <w:rPr>
        <w:rFonts w:ascii="Symbol" w:hAnsi="Symbol" w:hint="default"/>
      </w:rPr>
    </w:lvl>
    <w:lvl w:ilvl="1" w:tplc="3962CCC4">
      <w:start w:val="1"/>
      <w:numFmt w:val="bullet"/>
      <w:lvlText w:val="o"/>
      <w:lvlJc w:val="left"/>
      <w:pPr>
        <w:ind w:left="1440" w:hanging="360"/>
      </w:pPr>
      <w:rPr>
        <w:rFonts w:ascii="Courier New" w:hAnsi="Courier New" w:hint="default"/>
      </w:rPr>
    </w:lvl>
    <w:lvl w:ilvl="2" w:tplc="F7704842">
      <w:start w:val="1"/>
      <w:numFmt w:val="bullet"/>
      <w:lvlText w:val=""/>
      <w:lvlJc w:val="left"/>
      <w:pPr>
        <w:ind w:left="2160" w:hanging="360"/>
      </w:pPr>
      <w:rPr>
        <w:rFonts w:ascii="Wingdings" w:hAnsi="Wingdings" w:hint="default"/>
      </w:rPr>
    </w:lvl>
    <w:lvl w:ilvl="3" w:tplc="7D603DB4">
      <w:start w:val="1"/>
      <w:numFmt w:val="bullet"/>
      <w:lvlText w:val=""/>
      <w:lvlJc w:val="left"/>
      <w:pPr>
        <w:ind w:left="2880" w:hanging="360"/>
      </w:pPr>
      <w:rPr>
        <w:rFonts w:ascii="Symbol" w:hAnsi="Symbol" w:hint="default"/>
      </w:rPr>
    </w:lvl>
    <w:lvl w:ilvl="4" w:tplc="B5AE6318">
      <w:start w:val="1"/>
      <w:numFmt w:val="bullet"/>
      <w:lvlText w:val="o"/>
      <w:lvlJc w:val="left"/>
      <w:pPr>
        <w:ind w:left="3600" w:hanging="360"/>
      </w:pPr>
      <w:rPr>
        <w:rFonts w:ascii="Courier New" w:hAnsi="Courier New" w:hint="default"/>
      </w:rPr>
    </w:lvl>
    <w:lvl w:ilvl="5" w:tplc="0E343596">
      <w:start w:val="1"/>
      <w:numFmt w:val="bullet"/>
      <w:lvlText w:val=""/>
      <w:lvlJc w:val="left"/>
      <w:pPr>
        <w:ind w:left="4320" w:hanging="360"/>
      </w:pPr>
      <w:rPr>
        <w:rFonts w:ascii="Wingdings" w:hAnsi="Wingdings" w:hint="default"/>
      </w:rPr>
    </w:lvl>
    <w:lvl w:ilvl="6" w:tplc="0AC20B1C">
      <w:start w:val="1"/>
      <w:numFmt w:val="bullet"/>
      <w:lvlText w:val=""/>
      <w:lvlJc w:val="left"/>
      <w:pPr>
        <w:ind w:left="5040" w:hanging="360"/>
      </w:pPr>
      <w:rPr>
        <w:rFonts w:ascii="Symbol" w:hAnsi="Symbol" w:hint="default"/>
      </w:rPr>
    </w:lvl>
    <w:lvl w:ilvl="7" w:tplc="B0287578">
      <w:start w:val="1"/>
      <w:numFmt w:val="bullet"/>
      <w:lvlText w:val="o"/>
      <w:lvlJc w:val="left"/>
      <w:pPr>
        <w:ind w:left="5760" w:hanging="360"/>
      </w:pPr>
      <w:rPr>
        <w:rFonts w:ascii="Courier New" w:hAnsi="Courier New" w:hint="default"/>
      </w:rPr>
    </w:lvl>
    <w:lvl w:ilvl="8" w:tplc="115E9E6C">
      <w:start w:val="1"/>
      <w:numFmt w:val="bullet"/>
      <w:lvlText w:val=""/>
      <w:lvlJc w:val="left"/>
      <w:pPr>
        <w:ind w:left="6480" w:hanging="360"/>
      </w:pPr>
      <w:rPr>
        <w:rFonts w:ascii="Wingdings" w:hAnsi="Wingdings" w:hint="default"/>
      </w:rPr>
    </w:lvl>
  </w:abstractNum>
  <w:abstractNum w:abstractNumId="3" w15:restartNumberingAfterBreak="0">
    <w:nsid w:val="2518D87E"/>
    <w:multiLevelType w:val="hybridMultilevel"/>
    <w:tmpl w:val="B434A882"/>
    <w:lvl w:ilvl="0" w:tplc="19622304">
      <w:start w:val="1"/>
      <w:numFmt w:val="bullet"/>
      <w:lvlText w:val=""/>
      <w:lvlJc w:val="left"/>
      <w:pPr>
        <w:ind w:left="720" w:hanging="360"/>
      </w:pPr>
      <w:rPr>
        <w:rFonts w:ascii="Symbol" w:hAnsi="Symbol" w:hint="default"/>
      </w:rPr>
    </w:lvl>
    <w:lvl w:ilvl="1" w:tplc="C744F68E">
      <w:start w:val="1"/>
      <w:numFmt w:val="bullet"/>
      <w:lvlText w:val="o"/>
      <w:lvlJc w:val="left"/>
      <w:pPr>
        <w:ind w:left="1440" w:hanging="360"/>
      </w:pPr>
      <w:rPr>
        <w:rFonts w:ascii="Courier New" w:hAnsi="Courier New" w:hint="default"/>
      </w:rPr>
    </w:lvl>
    <w:lvl w:ilvl="2" w:tplc="5A0A9894">
      <w:start w:val="1"/>
      <w:numFmt w:val="bullet"/>
      <w:lvlText w:val=""/>
      <w:lvlJc w:val="left"/>
      <w:pPr>
        <w:ind w:left="2160" w:hanging="360"/>
      </w:pPr>
      <w:rPr>
        <w:rFonts w:ascii="Wingdings" w:hAnsi="Wingdings" w:hint="default"/>
      </w:rPr>
    </w:lvl>
    <w:lvl w:ilvl="3" w:tplc="D4CAFECC">
      <w:start w:val="1"/>
      <w:numFmt w:val="bullet"/>
      <w:lvlText w:val=""/>
      <w:lvlJc w:val="left"/>
      <w:pPr>
        <w:ind w:left="2880" w:hanging="360"/>
      </w:pPr>
      <w:rPr>
        <w:rFonts w:ascii="Symbol" w:hAnsi="Symbol" w:hint="default"/>
      </w:rPr>
    </w:lvl>
    <w:lvl w:ilvl="4" w:tplc="5C9C51C0">
      <w:start w:val="1"/>
      <w:numFmt w:val="bullet"/>
      <w:lvlText w:val="o"/>
      <w:lvlJc w:val="left"/>
      <w:pPr>
        <w:ind w:left="3600" w:hanging="360"/>
      </w:pPr>
      <w:rPr>
        <w:rFonts w:ascii="Courier New" w:hAnsi="Courier New" w:hint="default"/>
      </w:rPr>
    </w:lvl>
    <w:lvl w:ilvl="5" w:tplc="BD249ADE">
      <w:start w:val="1"/>
      <w:numFmt w:val="bullet"/>
      <w:lvlText w:val=""/>
      <w:lvlJc w:val="left"/>
      <w:pPr>
        <w:ind w:left="4320" w:hanging="360"/>
      </w:pPr>
      <w:rPr>
        <w:rFonts w:ascii="Wingdings" w:hAnsi="Wingdings" w:hint="default"/>
      </w:rPr>
    </w:lvl>
    <w:lvl w:ilvl="6" w:tplc="BB52DE38">
      <w:start w:val="1"/>
      <w:numFmt w:val="bullet"/>
      <w:lvlText w:val=""/>
      <w:lvlJc w:val="left"/>
      <w:pPr>
        <w:ind w:left="5040" w:hanging="360"/>
      </w:pPr>
      <w:rPr>
        <w:rFonts w:ascii="Symbol" w:hAnsi="Symbol" w:hint="default"/>
      </w:rPr>
    </w:lvl>
    <w:lvl w:ilvl="7" w:tplc="BEE866C6">
      <w:start w:val="1"/>
      <w:numFmt w:val="bullet"/>
      <w:lvlText w:val="o"/>
      <w:lvlJc w:val="left"/>
      <w:pPr>
        <w:ind w:left="5760" w:hanging="360"/>
      </w:pPr>
      <w:rPr>
        <w:rFonts w:ascii="Courier New" w:hAnsi="Courier New" w:hint="default"/>
      </w:rPr>
    </w:lvl>
    <w:lvl w:ilvl="8" w:tplc="4FD64C64">
      <w:start w:val="1"/>
      <w:numFmt w:val="bullet"/>
      <w:lvlText w:val=""/>
      <w:lvlJc w:val="left"/>
      <w:pPr>
        <w:ind w:left="6480" w:hanging="360"/>
      </w:pPr>
      <w:rPr>
        <w:rFonts w:ascii="Wingdings" w:hAnsi="Wingdings" w:hint="default"/>
      </w:rPr>
    </w:lvl>
  </w:abstractNum>
  <w:abstractNum w:abstractNumId="4" w15:restartNumberingAfterBreak="0">
    <w:nsid w:val="30012228"/>
    <w:multiLevelType w:val="hybridMultilevel"/>
    <w:tmpl w:val="53C0484A"/>
    <w:lvl w:ilvl="0" w:tplc="CB3A0C10">
      <w:start w:val="1"/>
      <w:numFmt w:val="decimal"/>
      <w:lvlText w:val="%1."/>
      <w:lvlJc w:val="left"/>
      <w:pPr>
        <w:ind w:left="720" w:hanging="360"/>
      </w:pPr>
    </w:lvl>
    <w:lvl w:ilvl="1" w:tplc="35EE7AB0">
      <w:start w:val="1"/>
      <w:numFmt w:val="lowerLetter"/>
      <w:lvlText w:val="%2."/>
      <w:lvlJc w:val="left"/>
      <w:pPr>
        <w:ind w:left="1440" w:hanging="360"/>
      </w:pPr>
    </w:lvl>
    <w:lvl w:ilvl="2" w:tplc="40CE81EC">
      <w:start w:val="1"/>
      <w:numFmt w:val="lowerRoman"/>
      <w:lvlText w:val="%3."/>
      <w:lvlJc w:val="right"/>
      <w:pPr>
        <w:ind w:left="2160" w:hanging="180"/>
      </w:pPr>
    </w:lvl>
    <w:lvl w:ilvl="3" w:tplc="C49C3036">
      <w:start w:val="1"/>
      <w:numFmt w:val="decimal"/>
      <w:lvlText w:val="%4."/>
      <w:lvlJc w:val="left"/>
      <w:pPr>
        <w:ind w:left="2880" w:hanging="360"/>
      </w:pPr>
    </w:lvl>
    <w:lvl w:ilvl="4" w:tplc="E2C89BAC">
      <w:start w:val="1"/>
      <w:numFmt w:val="lowerLetter"/>
      <w:lvlText w:val="%5."/>
      <w:lvlJc w:val="left"/>
      <w:pPr>
        <w:ind w:left="3600" w:hanging="360"/>
      </w:pPr>
    </w:lvl>
    <w:lvl w:ilvl="5" w:tplc="B5203F6A">
      <w:start w:val="1"/>
      <w:numFmt w:val="lowerRoman"/>
      <w:lvlText w:val="%6."/>
      <w:lvlJc w:val="right"/>
      <w:pPr>
        <w:ind w:left="4320" w:hanging="180"/>
      </w:pPr>
    </w:lvl>
    <w:lvl w:ilvl="6" w:tplc="3BD6D61E">
      <w:start w:val="1"/>
      <w:numFmt w:val="decimal"/>
      <w:lvlText w:val="%7."/>
      <w:lvlJc w:val="left"/>
      <w:pPr>
        <w:ind w:left="5040" w:hanging="360"/>
      </w:pPr>
    </w:lvl>
    <w:lvl w:ilvl="7" w:tplc="F962BEDA">
      <w:start w:val="1"/>
      <w:numFmt w:val="lowerLetter"/>
      <w:lvlText w:val="%8."/>
      <w:lvlJc w:val="left"/>
      <w:pPr>
        <w:ind w:left="5760" w:hanging="360"/>
      </w:pPr>
    </w:lvl>
    <w:lvl w:ilvl="8" w:tplc="5B80BDA2">
      <w:start w:val="1"/>
      <w:numFmt w:val="lowerRoman"/>
      <w:lvlText w:val="%9."/>
      <w:lvlJc w:val="right"/>
      <w:pPr>
        <w:ind w:left="6480" w:hanging="180"/>
      </w:pPr>
    </w:lvl>
  </w:abstractNum>
  <w:abstractNum w:abstractNumId="5" w15:restartNumberingAfterBreak="0">
    <w:nsid w:val="306C91E5"/>
    <w:multiLevelType w:val="hybridMultilevel"/>
    <w:tmpl w:val="7D1C2672"/>
    <w:lvl w:ilvl="0" w:tplc="581CB8C8">
      <w:start w:val="1"/>
      <w:numFmt w:val="bullet"/>
      <w:lvlText w:val=""/>
      <w:lvlJc w:val="left"/>
      <w:pPr>
        <w:ind w:left="720" w:hanging="360"/>
      </w:pPr>
      <w:rPr>
        <w:rFonts w:ascii="Symbol" w:hAnsi="Symbol" w:hint="default"/>
      </w:rPr>
    </w:lvl>
    <w:lvl w:ilvl="1" w:tplc="6C323F48">
      <w:start w:val="1"/>
      <w:numFmt w:val="bullet"/>
      <w:lvlText w:val="o"/>
      <w:lvlJc w:val="left"/>
      <w:pPr>
        <w:ind w:left="1440" w:hanging="360"/>
      </w:pPr>
      <w:rPr>
        <w:rFonts w:ascii="Courier New" w:hAnsi="Courier New" w:hint="default"/>
      </w:rPr>
    </w:lvl>
    <w:lvl w:ilvl="2" w:tplc="1422E2BE">
      <w:start w:val="1"/>
      <w:numFmt w:val="bullet"/>
      <w:lvlText w:val=""/>
      <w:lvlJc w:val="left"/>
      <w:pPr>
        <w:ind w:left="2160" w:hanging="360"/>
      </w:pPr>
      <w:rPr>
        <w:rFonts w:ascii="Wingdings" w:hAnsi="Wingdings" w:hint="default"/>
      </w:rPr>
    </w:lvl>
    <w:lvl w:ilvl="3" w:tplc="576E6882">
      <w:start w:val="1"/>
      <w:numFmt w:val="bullet"/>
      <w:lvlText w:val=""/>
      <w:lvlJc w:val="left"/>
      <w:pPr>
        <w:ind w:left="2880" w:hanging="360"/>
      </w:pPr>
      <w:rPr>
        <w:rFonts w:ascii="Symbol" w:hAnsi="Symbol" w:hint="default"/>
      </w:rPr>
    </w:lvl>
    <w:lvl w:ilvl="4" w:tplc="A89ACEEC">
      <w:start w:val="1"/>
      <w:numFmt w:val="bullet"/>
      <w:lvlText w:val="o"/>
      <w:lvlJc w:val="left"/>
      <w:pPr>
        <w:ind w:left="3600" w:hanging="360"/>
      </w:pPr>
      <w:rPr>
        <w:rFonts w:ascii="Courier New" w:hAnsi="Courier New" w:hint="default"/>
      </w:rPr>
    </w:lvl>
    <w:lvl w:ilvl="5" w:tplc="B142AFBA">
      <w:start w:val="1"/>
      <w:numFmt w:val="bullet"/>
      <w:lvlText w:val=""/>
      <w:lvlJc w:val="left"/>
      <w:pPr>
        <w:ind w:left="4320" w:hanging="360"/>
      </w:pPr>
      <w:rPr>
        <w:rFonts w:ascii="Wingdings" w:hAnsi="Wingdings" w:hint="default"/>
      </w:rPr>
    </w:lvl>
    <w:lvl w:ilvl="6" w:tplc="E6608298">
      <w:start w:val="1"/>
      <w:numFmt w:val="bullet"/>
      <w:lvlText w:val=""/>
      <w:lvlJc w:val="left"/>
      <w:pPr>
        <w:ind w:left="5040" w:hanging="360"/>
      </w:pPr>
      <w:rPr>
        <w:rFonts w:ascii="Symbol" w:hAnsi="Symbol" w:hint="default"/>
      </w:rPr>
    </w:lvl>
    <w:lvl w:ilvl="7" w:tplc="986C0B2A">
      <w:start w:val="1"/>
      <w:numFmt w:val="bullet"/>
      <w:lvlText w:val="o"/>
      <w:lvlJc w:val="left"/>
      <w:pPr>
        <w:ind w:left="5760" w:hanging="360"/>
      </w:pPr>
      <w:rPr>
        <w:rFonts w:ascii="Courier New" w:hAnsi="Courier New" w:hint="default"/>
      </w:rPr>
    </w:lvl>
    <w:lvl w:ilvl="8" w:tplc="CCCA1BEC">
      <w:start w:val="1"/>
      <w:numFmt w:val="bullet"/>
      <w:lvlText w:val=""/>
      <w:lvlJc w:val="left"/>
      <w:pPr>
        <w:ind w:left="6480" w:hanging="360"/>
      </w:pPr>
      <w:rPr>
        <w:rFonts w:ascii="Wingdings" w:hAnsi="Wingdings" w:hint="default"/>
      </w:rPr>
    </w:lvl>
  </w:abstractNum>
  <w:abstractNum w:abstractNumId="6" w15:restartNumberingAfterBreak="0">
    <w:nsid w:val="37C58FB0"/>
    <w:multiLevelType w:val="hybridMultilevel"/>
    <w:tmpl w:val="FA08B60E"/>
    <w:lvl w:ilvl="0" w:tplc="B9A0CC2E">
      <w:start w:val="1"/>
      <w:numFmt w:val="bullet"/>
      <w:lvlText w:val=""/>
      <w:lvlJc w:val="left"/>
      <w:pPr>
        <w:ind w:left="720" w:hanging="360"/>
      </w:pPr>
      <w:rPr>
        <w:rFonts w:ascii="Symbol" w:hAnsi="Symbol" w:hint="default"/>
      </w:rPr>
    </w:lvl>
    <w:lvl w:ilvl="1" w:tplc="8FB22802">
      <w:start w:val="1"/>
      <w:numFmt w:val="bullet"/>
      <w:lvlText w:val="o"/>
      <w:lvlJc w:val="left"/>
      <w:pPr>
        <w:ind w:left="1440" w:hanging="360"/>
      </w:pPr>
      <w:rPr>
        <w:rFonts w:ascii="Courier New" w:hAnsi="Courier New" w:hint="default"/>
      </w:rPr>
    </w:lvl>
    <w:lvl w:ilvl="2" w:tplc="4D1CA9B2">
      <w:start w:val="1"/>
      <w:numFmt w:val="bullet"/>
      <w:lvlText w:val=""/>
      <w:lvlJc w:val="left"/>
      <w:pPr>
        <w:ind w:left="2160" w:hanging="360"/>
      </w:pPr>
      <w:rPr>
        <w:rFonts w:ascii="Wingdings" w:hAnsi="Wingdings" w:hint="default"/>
      </w:rPr>
    </w:lvl>
    <w:lvl w:ilvl="3" w:tplc="9F2CCE12">
      <w:start w:val="1"/>
      <w:numFmt w:val="bullet"/>
      <w:lvlText w:val=""/>
      <w:lvlJc w:val="left"/>
      <w:pPr>
        <w:ind w:left="2880" w:hanging="360"/>
      </w:pPr>
      <w:rPr>
        <w:rFonts w:ascii="Symbol" w:hAnsi="Symbol" w:hint="default"/>
      </w:rPr>
    </w:lvl>
    <w:lvl w:ilvl="4" w:tplc="0F9AE704">
      <w:start w:val="1"/>
      <w:numFmt w:val="bullet"/>
      <w:lvlText w:val="o"/>
      <w:lvlJc w:val="left"/>
      <w:pPr>
        <w:ind w:left="3600" w:hanging="360"/>
      </w:pPr>
      <w:rPr>
        <w:rFonts w:ascii="Courier New" w:hAnsi="Courier New" w:hint="default"/>
      </w:rPr>
    </w:lvl>
    <w:lvl w:ilvl="5" w:tplc="1506C93C">
      <w:start w:val="1"/>
      <w:numFmt w:val="bullet"/>
      <w:lvlText w:val=""/>
      <w:lvlJc w:val="left"/>
      <w:pPr>
        <w:ind w:left="4320" w:hanging="360"/>
      </w:pPr>
      <w:rPr>
        <w:rFonts w:ascii="Wingdings" w:hAnsi="Wingdings" w:hint="default"/>
      </w:rPr>
    </w:lvl>
    <w:lvl w:ilvl="6" w:tplc="8ADCAFA0">
      <w:start w:val="1"/>
      <w:numFmt w:val="bullet"/>
      <w:lvlText w:val=""/>
      <w:lvlJc w:val="left"/>
      <w:pPr>
        <w:ind w:left="5040" w:hanging="360"/>
      </w:pPr>
      <w:rPr>
        <w:rFonts w:ascii="Symbol" w:hAnsi="Symbol" w:hint="default"/>
      </w:rPr>
    </w:lvl>
    <w:lvl w:ilvl="7" w:tplc="09D48E5C">
      <w:start w:val="1"/>
      <w:numFmt w:val="bullet"/>
      <w:lvlText w:val="o"/>
      <w:lvlJc w:val="left"/>
      <w:pPr>
        <w:ind w:left="5760" w:hanging="360"/>
      </w:pPr>
      <w:rPr>
        <w:rFonts w:ascii="Courier New" w:hAnsi="Courier New" w:hint="default"/>
      </w:rPr>
    </w:lvl>
    <w:lvl w:ilvl="8" w:tplc="C800484A">
      <w:start w:val="1"/>
      <w:numFmt w:val="bullet"/>
      <w:lvlText w:val=""/>
      <w:lvlJc w:val="left"/>
      <w:pPr>
        <w:ind w:left="6480" w:hanging="360"/>
      </w:pPr>
      <w:rPr>
        <w:rFonts w:ascii="Wingdings" w:hAnsi="Wingdings" w:hint="default"/>
      </w:rPr>
    </w:lvl>
  </w:abstractNum>
  <w:abstractNum w:abstractNumId="7" w15:restartNumberingAfterBreak="0">
    <w:nsid w:val="3C6FCF09"/>
    <w:multiLevelType w:val="hybridMultilevel"/>
    <w:tmpl w:val="F66873F2"/>
    <w:lvl w:ilvl="0" w:tplc="66C4F606">
      <w:start w:val="1"/>
      <w:numFmt w:val="bullet"/>
      <w:lvlText w:val=""/>
      <w:lvlJc w:val="left"/>
      <w:pPr>
        <w:ind w:left="720" w:hanging="360"/>
      </w:pPr>
      <w:rPr>
        <w:rFonts w:ascii="Symbol" w:hAnsi="Symbol" w:hint="default"/>
      </w:rPr>
    </w:lvl>
    <w:lvl w:ilvl="1" w:tplc="C66EE7E4">
      <w:start w:val="1"/>
      <w:numFmt w:val="bullet"/>
      <w:lvlText w:val="o"/>
      <w:lvlJc w:val="left"/>
      <w:pPr>
        <w:ind w:left="1440" w:hanging="360"/>
      </w:pPr>
      <w:rPr>
        <w:rFonts w:ascii="Courier New" w:hAnsi="Courier New" w:hint="default"/>
      </w:rPr>
    </w:lvl>
    <w:lvl w:ilvl="2" w:tplc="CFF213FA">
      <w:start w:val="1"/>
      <w:numFmt w:val="bullet"/>
      <w:lvlText w:val=""/>
      <w:lvlJc w:val="left"/>
      <w:pPr>
        <w:ind w:left="2160" w:hanging="360"/>
      </w:pPr>
      <w:rPr>
        <w:rFonts w:ascii="Wingdings" w:hAnsi="Wingdings" w:hint="default"/>
      </w:rPr>
    </w:lvl>
    <w:lvl w:ilvl="3" w:tplc="BE60D9B4">
      <w:start w:val="1"/>
      <w:numFmt w:val="bullet"/>
      <w:lvlText w:val=""/>
      <w:lvlJc w:val="left"/>
      <w:pPr>
        <w:ind w:left="2880" w:hanging="360"/>
      </w:pPr>
      <w:rPr>
        <w:rFonts w:ascii="Symbol" w:hAnsi="Symbol" w:hint="default"/>
      </w:rPr>
    </w:lvl>
    <w:lvl w:ilvl="4" w:tplc="465466BA">
      <w:start w:val="1"/>
      <w:numFmt w:val="bullet"/>
      <w:lvlText w:val="o"/>
      <w:lvlJc w:val="left"/>
      <w:pPr>
        <w:ind w:left="3600" w:hanging="360"/>
      </w:pPr>
      <w:rPr>
        <w:rFonts w:ascii="Courier New" w:hAnsi="Courier New" w:hint="default"/>
      </w:rPr>
    </w:lvl>
    <w:lvl w:ilvl="5" w:tplc="72EA197E">
      <w:start w:val="1"/>
      <w:numFmt w:val="bullet"/>
      <w:lvlText w:val=""/>
      <w:lvlJc w:val="left"/>
      <w:pPr>
        <w:ind w:left="4320" w:hanging="360"/>
      </w:pPr>
      <w:rPr>
        <w:rFonts w:ascii="Wingdings" w:hAnsi="Wingdings" w:hint="default"/>
      </w:rPr>
    </w:lvl>
    <w:lvl w:ilvl="6" w:tplc="5C60401C">
      <w:start w:val="1"/>
      <w:numFmt w:val="bullet"/>
      <w:lvlText w:val=""/>
      <w:lvlJc w:val="left"/>
      <w:pPr>
        <w:ind w:left="5040" w:hanging="360"/>
      </w:pPr>
      <w:rPr>
        <w:rFonts w:ascii="Symbol" w:hAnsi="Symbol" w:hint="default"/>
      </w:rPr>
    </w:lvl>
    <w:lvl w:ilvl="7" w:tplc="FD1E1C3E">
      <w:start w:val="1"/>
      <w:numFmt w:val="bullet"/>
      <w:lvlText w:val="o"/>
      <w:lvlJc w:val="left"/>
      <w:pPr>
        <w:ind w:left="5760" w:hanging="360"/>
      </w:pPr>
      <w:rPr>
        <w:rFonts w:ascii="Courier New" w:hAnsi="Courier New" w:hint="default"/>
      </w:rPr>
    </w:lvl>
    <w:lvl w:ilvl="8" w:tplc="00283E48">
      <w:start w:val="1"/>
      <w:numFmt w:val="bullet"/>
      <w:lvlText w:val=""/>
      <w:lvlJc w:val="left"/>
      <w:pPr>
        <w:ind w:left="6480" w:hanging="360"/>
      </w:pPr>
      <w:rPr>
        <w:rFonts w:ascii="Wingdings" w:hAnsi="Wingdings" w:hint="default"/>
      </w:rPr>
    </w:lvl>
  </w:abstractNum>
  <w:abstractNum w:abstractNumId="8" w15:restartNumberingAfterBreak="0">
    <w:nsid w:val="3F92575D"/>
    <w:multiLevelType w:val="hybridMultilevel"/>
    <w:tmpl w:val="EEF02CF4"/>
    <w:lvl w:ilvl="0" w:tplc="FCD4E0BC">
      <w:start w:val="1"/>
      <w:numFmt w:val="decimal"/>
      <w:lvlText w:val="%1."/>
      <w:lvlJc w:val="left"/>
      <w:pPr>
        <w:ind w:left="720" w:hanging="360"/>
      </w:pPr>
    </w:lvl>
    <w:lvl w:ilvl="1" w:tplc="27CAD1D8">
      <w:start w:val="1"/>
      <w:numFmt w:val="lowerLetter"/>
      <w:lvlText w:val="%2."/>
      <w:lvlJc w:val="left"/>
      <w:pPr>
        <w:ind w:left="1440" w:hanging="360"/>
      </w:pPr>
    </w:lvl>
    <w:lvl w:ilvl="2" w:tplc="01B86F4A">
      <w:start w:val="1"/>
      <w:numFmt w:val="lowerRoman"/>
      <w:lvlText w:val="%3."/>
      <w:lvlJc w:val="right"/>
      <w:pPr>
        <w:ind w:left="2160" w:hanging="180"/>
      </w:pPr>
    </w:lvl>
    <w:lvl w:ilvl="3" w:tplc="CCFEBEEA">
      <w:start w:val="1"/>
      <w:numFmt w:val="decimal"/>
      <w:lvlText w:val="%4."/>
      <w:lvlJc w:val="left"/>
      <w:pPr>
        <w:ind w:left="2880" w:hanging="360"/>
      </w:pPr>
    </w:lvl>
    <w:lvl w:ilvl="4" w:tplc="9932B1BA">
      <w:start w:val="1"/>
      <w:numFmt w:val="lowerLetter"/>
      <w:lvlText w:val="%5."/>
      <w:lvlJc w:val="left"/>
      <w:pPr>
        <w:ind w:left="3600" w:hanging="360"/>
      </w:pPr>
    </w:lvl>
    <w:lvl w:ilvl="5" w:tplc="9F9E1FFA">
      <w:start w:val="1"/>
      <w:numFmt w:val="lowerRoman"/>
      <w:lvlText w:val="%6."/>
      <w:lvlJc w:val="right"/>
      <w:pPr>
        <w:ind w:left="4320" w:hanging="180"/>
      </w:pPr>
    </w:lvl>
    <w:lvl w:ilvl="6" w:tplc="FAB6ADA4">
      <w:start w:val="1"/>
      <w:numFmt w:val="decimal"/>
      <w:lvlText w:val="%7."/>
      <w:lvlJc w:val="left"/>
      <w:pPr>
        <w:ind w:left="5040" w:hanging="360"/>
      </w:pPr>
    </w:lvl>
    <w:lvl w:ilvl="7" w:tplc="0B889C1A">
      <w:start w:val="1"/>
      <w:numFmt w:val="lowerLetter"/>
      <w:lvlText w:val="%8."/>
      <w:lvlJc w:val="left"/>
      <w:pPr>
        <w:ind w:left="5760" w:hanging="360"/>
      </w:pPr>
    </w:lvl>
    <w:lvl w:ilvl="8" w:tplc="0CE2B296">
      <w:start w:val="1"/>
      <w:numFmt w:val="lowerRoman"/>
      <w:lvlText w:val="%9."/>
      <w:lvlJc w:val="right"/>
      <w:pPr>
        <w:ind w:left="6480" w:hanging="180"/>
      </w:pPr>
    </w:lvl>
  </w:abstractNum>
  <w:abstractNum w:abstractNumId="9" w15:restartNumberingAfterBreak="0">
    <w:nsid w:val="49DA4DD8"/>
    <w:multiLevelType w:val="hybridMultilevel"/>
    <w:tmpl w:val="92901E02"/>
    <w:lvl w:ilvl="0" w:tplc="7F100106">
      <w:start w:val="1"/>
      <w:numFmt w:val="decimal"/>
      <w:lvlText w:val="%1."/>
      <w:lvlJc w:val="left"/>
      <w:pPr>
        <w:ind w:left="720" w:hanging="360"/>
      </w:pPr>
    </w:lvl>
    <w:lvl w:ilvl="1" w:tplc="AE70A1B2">
      <w:start w:val="1"/>
      <w:numFmt w:val="lowerLetter"/>
      <w:lvlText w:val="%2."/>
      <w:lvlJc w:val="left"/>
      <w:pPr>
        <w:ind w:left="1440" w:hanging="360"/>
      </w:pPr>
    </w:lvl>
    <w:lvl w:ilvl="2" w:tplc="ABC63696">
      <w:start w:val="1"/>
      <w:numFmt w:val="lowerRoman"/>
      <w:lvlText w:val="%3."/>
      <w:lvlJc w:val="right"/>
      <w:pPr>
        <w:ind w:left="2160" w:hanging="180"/>
      </w:pPr>
    </w:lvl>
    <w:lvl w:ilvl="3" w:tplc="6780FDFA">
      <w:start w:val="1"/>
      <w:numFmt w:val="decimal"/>
      <w:lvlText w:val="%4."/>
      <w:lvlJc w:val="left"/>
      <w:pPr>
        <w:ind w:left="2880" w:hanging="360"/>
      </w:pPr>
    </w:lvl>
    <w:lvl w:ilvl="4" w:tplc="2D2A103E">
      <w:start w:val="1"/>
      <w:numFmt w:val="lowerLetter"/>
      <w:lvlText w:val="%5."/>
      <w:lvlJc w:val="left"/>
      <w:pPr>
        <w:ind w:left="3600" w:hanging="360"/>
      </w:pPr>
    </w:lvl>
    <w:lvl w:ilvl="5" w:tplc="75ACD12E">
      <w:start w:val="1"/>
      <w:numFmt w:val="lowerRoman"/>
      <w:lvlText w:val="%6."/>
      <w:lvlJc w:val="right"/>
      <w:pPr>
        <w:ind w:left="4320" w:hanging="180"/>
      </w:pPr>
    </w:lvl>
    <w:lvl w:ilvl="6" w:tplc="62EA1404">
      <w:start w:val="1"/>
      <w:numFmt w:val="decimal"/>
      <w:lvlText w:val="%7."/>
      <w:lvlJc w:val="left"/>
      <w:pPr>
        <w:ind w:left="5040" w:hanging="360"/>
      </w:pPr>
    </w:lvl>
    <w:lvl w:ilvl="7" w:tplc="3AC64BE0">
      <w:start w:val="1"/>
      <w:numFmt w:val="lowerLetter"/>
      <w:lvlText w:val="%8."/>
      <w:lvlJc w:val="left"/>
      <w:pPr>
        <w:ind w:left="5760" w:hanging="360"/>
      </w:pPr>
    </w:lvl>
    <w:lvl w:ilvl="8" w:tplc="412E00C4">
      <w:start w:val="1"/>
      <w:numFmt w:val="lowerRoman"/>
      <w:lvlText w:val="%9."/>
      <w:lvlJc w:val="right"/>
      <w:pPr>
        <w:ind w:left="6480" w:hanging="180"/>
      </w:pPr>
    </w:lvl>
  </w:abstractNum>
  <w:abstractNum w:abstractNumId="10" w15:restartNumberingAfterBreak="0">
    <w:nsid w:val="54DF983A"/>
    <w:multiLevelType w:val="hybridMultilevel"/>
    <w:tmpl w:val="8804739E"/>
    <w:lvl w:ilvl="0" w:tplc="10304A96">
      <w:start w:val="1"/>
      <w:numFmt w:val="bullet"/>
      <w:lvlText w:val=""/>
      <w:lvlJc w:val="left"/>
      <w:pPr>
        <w:ind w:left="720" w:hanging="360"/>
      </w:pPr>
      <w:rPr>
        <w:rFonts w:ascii="Symbol" w:hAnsi="Symbol" w:hint="default"/>
      </w:rPr>
    </w:lvl>
    <w:lvl w:ilvl="1" w:tplc="E938CA7E">
      <w:start w:val="1"/>
      <w:numFmt w:val="bullet"/>
      <w:lvlText w:val="o"/>
      <w:lvlJc w:val="left"/>
      <w:pPr>
        <w:ind w:left="1440" w:hanging="360"/>
      </w:pPr>
      <w:rPr>
        <w:rFonts w:ascii="Courier New" w:hAnsi="Courier New" w:hint="default"/>
      </w:rPr>
    </w:lvl>
    <w:lvl w:ilvl="2" w:tplc="BED234AC">
      <w:start w:val="1"/>
      <w:numFmt w:val="bullet"/>
      <w:lvlText w:val=""/>
      <w:lvlJc w:val="left"/>
      <w:pPr>
        <w:ind w:left="2160" w:hanging="360"/>
      </w:pPr>
      <w:rPr>
        <w:rFonts w:ascii="Wingdings" w:hAnsi="Wingdings" w:hint="default"/>
      </w:rPr>
    </w:lvl>
    <w:lvl w:ilvl="3" w:tplc="1F5EDA9C">
      <w:start w:val="1"/>
      <w:numFmt w:val="bullet"/>
      <w:lvlText w:val=""/>
      <w:lvlJc w:val="left"/>
      <w:pPr>
        <w:ind w:left="2880" w:hanging="360"/>
      </w:pPr>
      <w:rPr>
        <w:rFonts w:ascii="Symbol" w:hAnsi="Symbol" w:hint="default"/>
      </w:rPr>
    </w:lvl>
    <w:lvl w:ilvl="4" w:tplc="4128EADC">
      <w:start w:val="1"/>
      <w:numFmt w:val="bullet"/>
      <w:lvlText w:val="o"/>
      <w:lvlJc w:val="left"/>
      <w:pPr>
        <w:ind w:left="3600" w:hanging="360"/>
      </w:pPr>
      <w:rPr>
        <w:rFonts w:ascii="Courier New" w:hAnsi="Courier New" w:hint="default"/>
      </w:rPr>
    </w:lvl>
    <w:lvl w:ilvl="5" w:tplc="B130252E">
      <w:start w:val="1"/>
      <w:numFmt w:val="bullet"/>
      <w:lvlText w:val=""/>
      <w:lvlJc w:val="left"/>
      <w:pPr>
        <w:ind w:left="4320" w:hanging="360"/>
      </w:pPr>
      <w:rPr>
        <w:rFonts w:ascii="Wingdings" w:hAnsi="Wingdings" w:hint="default"/>
      </w:rPr>
    </w:lvl>
    <w:lvl w:ilvl="6" w:tplc="CB04F18E">
      <w:start w:val="1"/>
      <w:numFmt w:val="bullet"/>
      <w:lvlText w:val=""/>
      <w:lvlJc w:val="left"/>
      <w:pPr>
        <w:ind w:left="5040" w:hanging="360"/>
      </w:pPr>
      <w:rPr>
        <w:rFonts w:ascii="Symbol" w:hAnsi="Symbol" w:hint="default"/>
      </w:rPr>
    </w:lvl>
    <w:lvl w:ilvl="7" w:tplc="676880DE">
      <w:start w:val="1"/>
      <w:numFmt w:val="bullet"/>
      <w:lvlText w:val="o"/>
      <w:lvlJc w:val="left"/>
      <w:pPr>
        <w:ind w:left="5760" w:hanging="360"/>
      </w:pPr>
      <w:rPr>
        <w:rFonts w:ascii="Courier New" w:hAnsi="Courier New" w:hint="default"/>
      </w:rPr>
    </w:lvl>
    <w:lvl w:ilvl="8" w:tplc="314EC38A">
      <w:start w:val="1"/>
      <w:numFmt w:val="bullet"/>
      <w:lvlText w:val=""/>
      <w:lvlJc w:val="left"/>
      <w:pPr>
        <w:ind w:left="6480" w:hanging="360"/>
      </w:pPr>
      <w:rPr>
        <w:rFonts w:ascii="Wingdings" w:hAnsi="Wingdings" w:hint="default"/>
      </w:rPr>
    </w:lvl>
  </w:abstractNum>
  <w:abstractNum w:abstractNumId="11" w15:restartNumberingAfterBreak="0">
    <w:nsid w:val="5946FB8F"/>
    <w:multiLevelType w:val="hybridMultilevel"/>
    <w:tmpl w:val="85A45318"/>
    <w:lvl w:ilvl="0" w:tplc="2E329508">
      <w:start w:val="1"/>
      <w:numFmt w:val="bullet"/>
      <w:lvlText w:val=""/>
      <w:lvlJc w:val="left"/>
      <w:pPr>
        <w:ind w:left="720" w:hanging="360"/>
      </w:pPr>
      <w:rPr>
        <w:rFonts w:ascii="Symbol" w:hAnsi="Symbol" w:hint="default"/>
      </w:rPr>
    </w:lvl>
    <w:lvl w:ilvl="1" w:tplc="B9765906">
      <w:start w:val="1"/>
      <w:numFmt w:val="bullet"/>
      <w:lvlText w:val="o"/>
      <w:lvlJc w:val="left"/>
      <w:pPr>
        <w:ind w:left="1440" w:hanging="360"/>
      </w:pPr>
      <w:rPr>
        <w:rFonts w:ascii="Courier New" w:hAnsi="Courier New" w:hint="default"/>
      </w:rPr>
    </w:lvl>
    <w:lvl w:ilvl="2" w:tplc="BDE6CA30">
      <w:start w:val="1"/>
      <w:numFmt w:val="bullet"/>
      <w:lvlText w:val=""/>
      <w:lvlJc w:val="left"/>
      <w:pPr>
        <w:ind w:left="2160" w:hanging="360"/>
      </w:pPr>
      <w:rPr>
        <w:rFonts w:ascii="Wingdings" w:hAnsi="Wingdings" w:hint="default"/>
      </w:rPr>
    </w:lvl>
    <w:lvl w:ilvl="3" w:tplc="371230C0">
      <w:start w:val="1"/>
      <w:numFmt w:val="bullet"/>
      <w:lvlText w:val=""/>
      <w:lvlJc w:val="left"/>
      <w:pPr>
        <w:ind w:left="2880" w:hanging="360"/>
      </w:pPr>
      <w:rPr>
        <w:rFonts w:ascii="Symbol" w:hAnsi="Symbol" w:hint="default"/>
      </w:rPr>
    </w:lvl>
    <w:lvl w:ilvl="4" w:tplc="8C5E6FCA">
      <w:start w:val="1"/>
      <w:numFmt w:val="bullet"/>
      <w:lvlText w:val="o"/>
      <w:lvlJc w:val="left"/>
      <w:pPr>
        <w:ind w:left="3600" w:hanging="360"/>
      </w:pPr>
      <w:rPr>
        <w:rFonts w:ascii="Courier New" w:hAnsi="Courier New" w:hint="default"/>
      </w:rPr>
    </w:lvl>
    <w:lvl w:ilvl="5" w:tplc="278CAC24">
      <w:start w:val="1"/>
      <w:numFmt w:val="bullet"/>
      <w:lvlText w:val=""/>
      <w:lvlJc w:val="left"/>
      <w:pPr>
        <w:ind w:left="4320" w:hanging="360"/>
      </w:pPr>
      <w:rPr>
        <w:rFonts w:ascii="Wingdings" w:hAnsi="Wingdings" w:hint="default"/>
      </w:rPr>
    </w:lvl>
    <w:lvl w:ilvl="6" w:tplc="6104679C">
      <w:start w:val="1"/>
      <w:numFmt w:val="bullet"/>
      <w:lvlText w:val=""/>
      <w:lvlJc w:val="left"/>
      <w:pPr>
        <w:ind w:left="5040" w:hanging="360"/>
      </w:pPr>
      <w:rPr>
        <w:rFonts w:ascii="Symbol" w:hAnsi="Symbol" w:hint="default"/>
      </w:rPr>
    </w:lvl>
    <w:lvl w:ilvl="7" w:tplc="22FA1B4A">
      <w:start w:val="1"/>
      <w:numFmt w:val="bullet"/>
      <w:lvlText w:val="o"/>
      <w:lvlJc w:val="left"/>
      <w:pPr>
        <w:ind w:left="5760" w:hanging="360"/>
      </w:pPr>
      <w:rPr>
        <w:rFonts w:ascii="Courier New" w:hAnsi="Courier New" w:hint="default"/>
      </w:rPr>
    </w:lvl>
    <w:lvl w:ilvl="8" w:tplc="4FBC3462">
      <w:start w:val="1"/>
      <w:numFmt w:val="bullet"/>
      <w:lvlText w:val=""/>
      <w:lvlJc w:val="left"/>
      <w:pPr>
        <w:ind w:left="6480" w:hanging="360"/>
      </w:pPr>
      <w:rPr>
        <w:rFonts w:ascii="Wingdings" w:hAnsi="Wingdings" w:hint="default"/>
      </w:rPr>
    </w:lvl>
  </w:abstractNum>
  <w:abstractNum w:abstractNumId="12" w15:restartNumberingAfterBreak="0">
    <w:nsid w:val="5E1175F1"/>
    <w:multiLevelType w:val="hybridMultilevel"/>
    <w:tmpl w:val="D8C6A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082F51"/>
    <w:multiLevelType w:val="hybridMultilevel"/>
    <w:tmpl w:val="9214B3AA"/>
    <w:lvl w:ilvl="0" w:tplc="08D2C4A2">
      <w:start w:val="1"/>
      <w:numFmt w:val="bullet"/>
      <w:lvlText w:val=""/>
      <w:lvlJc w:val="left"/>
      <w:pPr>
        <w:ind w:left="720" w:hanging="360"/>
      </w:pPr>
      <w:rPr>
        <w:rFonts w:ascii="Symbol" w:hAnsi="Symbol" w:hint="default"/>
      </w:rPr>
    </w:lvl>
    <w:lvl w:ilvl="1" w:tplc="ECD691B8">
      <w:start w:val="1"/>
      <w:numFmt w:val="bullet"/>
      <w:lvlText w:val="o"/>
      <w:lvlJc w:val="left"/>
      <w:pPr>
        <w:ind w:left="1440" w:hanging="360"/>
      </w:pPr>
      <w:rPr>
        <w:rFonts w:ascii="Courier New" w:hAnsi="Courier New" w:hint="default"/>
      </w:rPr>
    </w:lvl>
    <w:lvl w:ilvl="2" w:tplc="C5E4510A">
      <w:start w:val="1"/>
      <w:numFmt w:val="bullet"/>
      <w:lvlText w:val=""/>
      <w:lvlJc w:val="left"/>
      <w:pPr>
        <w:ind w:left="2160" w:hanging="360"/>
      </w:pPr>
      <w:rPr>
        <w:rFonts w:ascii="Wingdings" w:hAnsi="Wingdings" w:hint="default"/>
      </w:rPr>
    </w:lvl>
    <w:lvl w:ilvl="3" w:tplc="3E9AEA6E">
      <w:start w:val="1"/>
      <w:numFmt w:val="bullet"/>
      <w:lvlText w:val=""/>
      <w:lvlJc w:val="left"/>
      <w:pPr>
        <w:ind w:left="2880" w:hanging="360"/>
      </w:pPr>
      <w:rPr>
        <w:rFonts w:ascii="Symbol" w:hAnsi="Symbol" w:hint="default"/>
      </w:rPr>
    </w:lvl>
    <w:lvl w:ilvl="4" w:tplc="0BD4133A">
      <w:start w:val="1"/>
      <w:numFmt w:val="bullet"/>
      <w:lvlText w:val="o"/>
      <w:lvlJc w:val="left"/>
      <w:pPr>
        <w:ind w:left="3600" w:hanging="360"/>
      </w:pPr>
      <w:rPr>
        <w:rFonts w:ascii="Courier New" w:hAnsi="Courier New" w:hint="default"/>
      </w:rPr>
    </w:lvl>
    <w:lvl w:ilvl="5" w:tplc="052CA120">
      <w:start w:val="1"/>
      <w:numFmt w:val="bullet"/>
      <w:lvlText w:val=""/>
      <w:lvlJc w:val="left"/>
      <w:pPr>
        <w:ind w:left="4320" w:hanging="360"/>
      </w:pPr>
      <w:rPr>
        <w:rFonts w:ascii="Wingdings" w:hAnsi="Wingdings" w:hint="default"/>
      </w:rPr>
    </w:lvl>
    <w:lvl w:ilvl="6" w:tplc="D99E4526">
      <w:start w:val="1"/>
      <w:numFmt w:val="bullet"/>
      <w:lvlText w:val=""/>
      <w:lvlJc w:val="left"/>
      <w:pPr>
        <w:ind w:left="5040" w:hanging="360"/>
      </w:pPr>
      <w:rPr>
        <w:rFonts w:ascii="Symbol" w:hAnsi="Symbol" w:hint="default"/>
      </w:rPr>
    </w:lvl>
    <w:lvl w:ilvl="7" w:tplc="2D66FBBC">
      <w:start w:val="1"/>
      <w:numFmt w:val="bullet"/>
      <w:lvlText w:val="o"/>
      <w:lvlJc w:val="left"/>
      <w:pPr>
        <w:ind w:left="5760" w:hanging="360"/>
      </w:pPr>
      <w:rPr>
        <w:rFonts w:ascii="Courier New" w:hAnsi="Courier New" w:hint="default"/>
      </w:rPr>
    </w:lvl>
    <w:lvl w:ilvl="8" w:tplc="1F50B858">
      <w:start w:val="1"/>
      <w:numFmt w:val="bullet"/>
      <w:lvlText w:val=""/>
      <w:lvlJc w:val="left"/>
      <w:pPr>
        <w:ind w:left="6480" w:hanging="360"/>
      </w:pPr>
      <w:rPr>
        <w:rFonts w:ascii="Wingdings" w:hAnsi="Wingdings" w:hint="default"/>
      </w:rPr>
    </w:lvl>
  </w:abstractNum>
  <w:abstractNum w:abstractNumId="14" w15:restartNumberingAfterBreak="0">
    <w:nsid w:val="616EFB32"/>
    <w:multiLevelType w:val="hybridMultilevel"/>
    <w:tmpl w:val="A334A204"/>
    <w:lvl w:ilvl="0" w:tplc="0978C150">
      <w:start w:val="1"/>
      <w:numFmt w:val="bullet"/>
      <w:lvlText w:val=""/>
      <w:lvlJc w:val="left"/>
      <w:pPr>
        <w:ind w:left="720" w:hanging="360"/>
      </w:pPr>
      <w:rPr>
        <w:rFonts w:ascii="Symbol" w:hAnsi="Symbol" w:hint="default"/>
      </w:rPr>
    </w:lvl>
    <w:lvl w:ilvl="1" w:tplc="C45EBB20">
      <w:start w:val="1"/>
      <w:numFmt w:val="bullet"/>
      <w:lvlText w:val="o"/>
      <w:lvlJc w:val="left"/>
      <w:pPr>
        <w:ind w:left="1440" w:hanging="360"/>
      </w:pPr>
      <w:rPr>
        <w:rFonts w:ascii="Courier New" w:hAnsi="Courier New" w:hint="default"/>
      </w:rPr>
    </w:lvl>
    <w:lvl w:ilvl="2" w:tplc="4D7ABE6E">
      <w:start w:val="1"/>
      <w:numFmt w:val="bullet"/>
      <w:lvlText w:val=""/>
      <w:lvlJc w:val="left"/>
      <w:pPr>
        <w:ind w:left="2160" w:hanging="360"/>
      </w:pPr>
      <w:rPr>
        <w:rFonts w:ascii="Wingdings" w:hAnsi="Wingdings" w:hint="default"/>
      </w:rPr>
    </w:lvl>
    <w:lvl w:ilvl="3" w:tplc="0E4CCAAC">
      <w:start w:val="1"/>
      <w:numFmt w:val="bullet"/>
      <w:lvlText w:val=""/>
      <w:lvlJc w:val="left"/>
      <w:pPr>
        <w:ind w:left="2880" w:hanging="360"/>
      </w:pPr>
      <w:rPr>
        <w:rFonts w:ascii="Symbol" w:hAnsi="Symbol" w:hint="default"/>
      </w:rPr>
    </w:lvl>
    <w:lvl w:ilvl="4" w:tplc="C5C469F6">
      <w:start w:val="1"/>
      <w:numFmt w:val="bullet"/>
      <w:lvlText w:val="o"/>
      <w:lvlJc w:val="left"/>
      <w:pPr>
        <w:ind w:left="3600" w:hanging="360"/>
      </w:pPr>
      <w:rPr>
        <w:rFonts w:ascii="Courier New" w:hAnsi="Courier New" w:hint="default"/>
      </w:rPr>
    </w:lvl>
    <w:lvl w:ilvl="5" w:tplc="5E80A85A">
      <w:start w:val="1"/>
      <w:numFmt w:val="bullet"/>
      <w:lvlText w:val=""/>
      <w:lvlJc w:val="left"/>
      <w:pPr>
        <w:ind w:left="4320" w:hanging="360"/>
      </w:pPr>
      <w:rPr>
        <w:rFonts w:ascii="Wingdings" w:hAnsi="Wingdings" w:hint="default"/>
      </w:rPr>
    </w:lvl>
    <w:lvl w:ilvl="6" w:tplc="14D0CBD8">
      <w:start w:val="1"/>
      <w:numFmt w:val="bullet"/>
      <w:lvlText w:val=""/>
      <w:lvlJc w:val="left"/>
      <w:pPr>
        <w:ind w:left="5040" w:hanging="360"/>
      </w:pPr>
      <w:rPr>
        <w:rFonts w:ascii="Symbol" w:hAnsi="Symbol" w:hint="default"/>
      </w:rPr>
    </w:lvl>
    <w:lvl w:ilvl="7" w:tplc="9D486A58">
      <w:start w:val="1"/>
      <w:numFmt w:val="bullet"/>
      <w:lvlText w:val="o"/>
      <w:lvlJc w:val="left"/>
      <w:pPr>
        <w:ind w:left="5760" w:hanging="360"/>
      </w:pPr>
      <w:rPr>
        <w:rFonts w:ascii="Courier New" w:hAnsi="Courier New" w:hint="default"/>
      </w:rPr>
    </w:lvl>
    <w:lvl w:ilvl="8" w:tplc="1158CBE0">
      <w:start w:val="1"/>
      <w:numFmt w:val="bullet"/>
      <w:lvlText w:val=""/>
      <w:lvlJc w:val="left"/>
      <w:pPr>
        <w:ind w:left="6480" w:hanging="360"/>
      </w:pPr>
      <w:rPr>
        <w:rFonts w:ascii="Wingdings" w:hAnsi="Wingdings" w:hint="default"/>
      </w:rPr>
    </w:lvl>
  </w:abstractNum>
  <w:abstractNum w:abstractNumId="15" w15:restartNumberingAfterBreak="0">
    <w:nsid w:val="62083DA6"/>
    <w:multiLevelType w:val="hybridMultilevel"/>
    <w:tmpl w:val="35BCBCDC"/>
    <w:lvl w:ilvl="0" w:tplc="D1B0EC4A">
      <w:start w:val="1"/>
      <w:numFmt w:val="bullet"/>
      <w:lvlText w:val=""/>
      <w:lvlJc w:val="left"/>
      <w:pPr>
        <w:ind w:left="720" w:hanging="360"/>
      </w:pPr>
      <w:rPr>
        <w:rFonts w:ascii="Symbol" w:hAnsi="Symbol" w:hint="default"/>
      </w:rPr>
    </w:lvl>
    <w:lvl w:ilvl="1" w:tplc="67165780">
      <w:start w:val="1"/>
      <w:numFmt w:val="bullet"/>
      <w:lvlText w:val="o"/>
      <w:lvlJc w:val="left"/>
      <w:pPr>
        <w:ind w:left="1440" w:hanging="360"/>
      </w:pPr>
      <w:rPr>
        <w:rFonts w:ascii="Courier New" w:hAnsi="Courier New" w:hint="default"/>
      </w:rPr>
    </w:lvl>
    <w:lvl w:ilvl="2" w:tplc="37B2F460">
      <w:start w:val="1"/>
      <w:numFmt w:val="bullet"/>
      <w:lvlText w:val=""/>
      <w:lvlJc w:val="left"/>
      <w:pPr>
        <w:ind w:left="2160" w:hanging="360"/>
      </w:pPr>
      <w:rPr>
        <w:rFonts w:ascii="Wingdings" w:hAnsi="Wingdings" w:hint="default"/>
      </w:rPr>
    </w:lvl>
    <w:lvl w:ilvl="3" w:tplc="900A7608">
      <w:start w:val="1"/>
      <w:numFmt w:val="bullet"/>
      <w:lvlText w:val=""/>
      <w:lvlJc w:val="left"/>
      <w:pPr>
        <w:ind w:left="2880" w:hanging="360"/>
      </w:pPr>
      <w:rPr>
        <w:rFonts w:ascii="Symbol" w:hAnsi="Symbol" w:hint="default"/>
      </w:rPr>
    </w:lvl>
    <w:lvl w:ilvl="4" w:tplc="7B22228C">
      <w:start w:val="1"/>
      <w:numFmt w:val="bullet"/>
      <w:lvlText w:val="o"/>
      <w:lvlJc w:val="left"/>
      <w:pPr>
        <w:ind w:left="3600" w:hanging="360"/>
      </w:pPr>
      <w:rPr>
        <w:rFonts w:ascii="Courier New" w:hAnsi="Courier New" w:hint="default"/>
      </w:rPr>
    </w:lvl>
    <w:lvl w:ilvl="5" w:tplc="DC7AB764">
      <w:start w:val="1"/>
      <w:numFmt w:val="bullet"/>
      <w:lvlText w:val=""/>
      <w:lvlJc w:val="left"/>
      <w:pPr>
        <w:ind w:left="4320" w:hanging="360"/>
      </w:pPr>
      <w:rPr>
        <w:rFonts w:ascii="Wingdings" w:hAnsi="Wingdings" w:hint="default"/>
      </w:rPr>
    </w:lvl>
    <w:lvl w:ilvl="6" w:tplc="E4C05EC0">
      <w:start w:val="1"/>
      <w:numFmt w:val="bullet"/>
      <w:lvlText w:val=""/>
      <w:lvlJc w:val="left"/>
      <w:pPr>
        <w:ind w:left="5040" w:hanging="360"/>
      </w:pPr>
      <w:rPr>
        <w:rFonts w:ascii="Symbol" w:hAnsi="Symbol" w:hint="default"/>
      </w:rPr>
    </w:lvl>
    <w:lvl w:ilvl="7" w:tplc="78302ECA">
      <w:start w:val="1"/>
      <w:numFmt w:val="bullet"/>
      <w:lvlText w:val="o"/>
      <w:lvlJc w:val="left"/>
      <w:pPr>
        <w:ind w:left="5760" w:hanging="360"/>
      </w:pPr>
      <w:rPr>
        <w:rFonts w:ascii="Courier New" w:hAnsi="Courier New" w:hint="default"/>
      </w:rPr>
    </w:lvl>
    <w:lvl w:ilvl="8" w:tplc="5DA6FFFA">
      <w:start w:val="1"/>
      <w:numFmt w:val="bullet"/>
      <w:lvlText w:val=""/>
      <w:lvlJc w:val="left"/>
      <w:pPr>
        <w:ind w:left="6480" w:hanging="360"/>
      </w:pPr>
      <w:rPr>
        <w:rFonts w:ascii="Wingdings" w:hAnsi="Wingdings" w:hint="default"/>
      </w:rPr>
    </w:lvl>
  </w:abstractNum>
  <w:abstractNum w:abstractNumId="16" w15:restartNumberingAfterBreak="0">
    <w:nsid w:val="6C59778C"/>
    <w:multiLevelType w:val="hybridMultilevel"/>
    <w:tmpl w:val="92FC78B0"/>
    <w:lvl w:ilvl="0" w:tplc="86BC5220">
      <w:start w:val="1"/>
      <w:numFmt w:val="bullet"/>
      <w:lvlText w:val=""/>
      <w:lvlJc w:val="left"/>
      <w:pPr>
        <w:ind w:left="720" w:hanging="360"/>
      </w:pPr>
      <w:rPr>
        <w:rFonts w:ascii="Symbol" w:hAnsi="Symbol" w:hint="default"/>
      </w:rPr>
    </w:lvl>
    <w:lvl w:ilvl="1" w:tplc="EB220C06">
      <w:start w:val="1"/>
      <w:numFmt w:val="bullet"/>
      <w:lvlText w:val="o"/>
      <w:lvlJc w:val="left"/>
      <w:pPr>
        <w:ind w:left="1440" w:hanging="360"/>
      </w:pPr>
      <w:rPr>
        <w:rFonts w:ascii="Courier New" w:hAnsi="Courier New" w:hint="default"/>
      </w:rPr>
    </w:lvl>
    <w:lvl w:ilvl="2" w:tplc="8A403530">
      <w:start w:val="1"/>
      <w:numFmt w:val="bullet"/>
      <w:lvlText w:val=""/>
      <w:lvlJc w:val="left"/>
      <w:pPr>
        <w:ind w:left="2160" w:hanging="360"/>
      </w:pPr>
      <w:rPr>
        <w:rFonts w:ascii="Wingdings" w:hAnsi="Wingdings" w:hint="default"/>
      </w:rPr>
    </w:lvl>
    <w:lvl w:ilvl="3" w:tplc="BBEA8CC8">
      <w:start w:val="1"/>
      <w:numFmt w:val="bullet"/>
      <w:lvlText w:val=""/>
      <w:lvlJc w:val="left"/>
      <w:pPr>
        <w:ind w:left="2880" w:hanging="360"/>
      </w:pPr>
      <w:rPr>
        <w:rFonts w:ascii="Symbol" w:hAnsi="Symbol" w:hint="default"/>
      </w:rPr>
    </w:lvl>
    <w:lvl w:ilvl="4" w:tplc="533A6796">
      <w:start w:val="1"/>
      <w:numFmt w:val="bullet"/>
      <w:lvlText w:val="o"/>
      <w:lvlJc w:val="left"/>
      <w:pPr>
        <w:ind w:left="3600" w:hanging="360"/>
      </w:pPr>
      <w:rPr>
        <w:rFonts w:ascii="Courier New" w:hAnsi="Courier New" w:hint="default"/>
      </w:rPr>
    </w:lvl>
    <w:lvl w:ilvl="5" w:tplc="5694C022">
      <w:start w:val="1"/>
      <w:numFmt w:val="bullet"/>
      <w:lvlText w:val=""/>
      <w:lvlJc w:val="left"/>
      <w:pPr>
        <w:ind w:left="4320" w:hanging="360"/>
      </w:pPr>
      <w:rPr>
        <w:rFonts w:ascii="Wingdings" w:hAnsi="Wingdings" w:hint="default"/>
      </w:rPr>
    </w:lvl>
    <w:lvl w:ilvl="6" w:tplc="54D49DB6">
      <w:start w:val="1"/>
      <w:numFmt w:val="bullet"/>
      <w:lvlText w:val=""/>
      <w:lvlJc w:val="left"/>
      <w:pPr>
        <w:ind w:left="5040" w:hanging="360"/>
      </w:pPr>
      <w:rPr>
        <w:rFonts w:ascii="Symbol" w:hAnsi="Symbol" w:hint="default"/>
      </w:rPr>
    </w:lvl>
    <w:lvl w:ilvl="7" w:tplc="DE1C6D70">
      <w:start w:val="1"/>
      <w:numFmt w:val="bullet"/>
      <w:lvlText w:val="o"/>
      <w:lvlJc w:val="left"/>
      <w:pPr>
        <w:ind w:left="5760" w:hanging="360"/>
      </w:pPr>
      <w:rPr>
        <w:rFonts w:ascii="Courier New" w:hAnsi="Courier New" w:hint="default"/>
      </w:rPr>
    </w:lvl>
    <w:lvl w:ilvl="8" w:tplc="D8CA4DC0">
      <w:start w:val="1"/>
      <w:numFmt w:val="bullet"/>
      <w:lvlText w:val=""/>
      <w:lvlJc w:val="left"/>
      <w:pPr>
        <w:ind w:left="6480" w:hanging="360"/>
      </w:pPr>
      <w:rPr>
        <w:rFonts w:ascii="Wingdings" w:hAnsi="Wingdings" w:hint="default"/>
      </w:rPr>
    </w:lvl>
  </w:abstractNum>
  <w:abstractNum w:abstractNumId="17" w15:restartNumberingAfterBreak="0">
    <w:nsid w:val="6DDF5D0A"/>
    <w:multiLevelType w:val="hybridMultilevel"/>
    <w:tmpl w:val="124AE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320CC63"/>
    <w:multiLevelType w:val="hybridMultilevel"/>
    <w:tmpl w:val="BB74E28A"/>
    <w:lvl w:ilvl="0" w:tplc="7CF40EA8">
      <w:start w:val="1"/>
      <w:numFmt w:val="bullet"/>
      <w:lvlText w:val=""/>
      <w:lvlJc w:val="left"/>
      <w:pPr>
        <w:ind w:left="720" w:hanging="360"/>
      </w:pPr>
      <w:rPr>
        <w:rFonts w:ascii="Symbol" w:hAnsi="Symbol" w:hint="default"/>
      </w:rPr>
    </w:lvl>
    <w:lvl w:ilvl="1" w:tplc="8C0C2D6C">
      <w:start w:val="1"/>
      <w:numFmt w:val="bullet"/>
      <w:lvlText w:val="o"/>
      <w:lvlJc w:val="left"/>
      <w:pPr>
        <w:ind w:left="1440" w:hanging="360"/>
      </w:pPr>
      <w:rPr>
        <w:rFonts w:ascii="Courier New" w:hAnsi="Courier New" w:hint="default"/>
      </w:rPr>
    </w:lvl>
    <w:lvl w:ilvl="2" w:tplc="D768668C">
      <w:start w:val="1"/>
      <w:numFmt w:val="bullet"/>
      <w:lvlText w:val=""/>
      <w:lvlJc w:val="left"/>
      <w:pPr>
        <w:ind w:left="2160" w:hanging="360"/>
      </w:pPr>
      <w:rPr>
        <w:rFonts w:ascii="Wingdings" w:hAnsi="Wingdings" w:hint="default"/>
      </w:rPr>
    </w:lvl>
    <w:lvl w:ilvl="3" w:tplc="83C6A530">
      <w:start w:val="1"/>
      <w:numFmt w:val="bullet"/>
      <w:lvlText w:val=""/>
      <w:lvlJc w:val="left"/>
      <w:pPr>
        <w:ind w:left="2880" w:hanging="360"/>
      </w:pPr>
      <w:rPr>
        <w:rFonts w:ascii="Symbol" w:hAnsi="Symbol" w:hint="default"/>
      </w:rPr>
    </w:lvl>
    <w:lvl w:ilvl="4" w:tplc="CFA6CE56">
      <w:start w:val="1"/>
      <w:numFmt w:val="bullet"/>
      <w:lvlText w:val="o"/>
      <w:lvlJc w:val="left"/>
      <w:pPr>
        <w:ind w:left="3600" w:hanging="360"/>
      </w:pPr>
      <w:rPr>
        <w:rFonts w:ascii="Courier New" w:hAnsi="Courier New" w:hint="default"/>
      </w:rPr>
    </w:lvl>
    <w:lvl w:ilvl="5" w:tplc="56C054CE">
      <w:start w:val="1"/>
      <w:numFmt w:val="bullet"/>
      <w:lvlText w:val=""/>
      <w:lvlJc w:val="left"/>
      <w:pPr>
        <w:ind w:left="4320" w:hanging="360"/>
      </w:pPr>
      <w:rPr>
        <w:rFonts w:ascii="Wingdings" w:hAnsi="Wingdings" w:hint="default"/>
      </w:rPr>
    </w:lvl>
    <w:lvl w:ilvl="6" w:tplc="D12051B0">
      <w:start w:val="1"/>
      <w:numFmt w:val="bullet"/>
      <w:lvlText w:val=""/>
      <w:lvlJc w:val="left"/>
      <w:pPr>
        <w:ind w:left="5040" w:hanging="360"/>
      </w:pPr>
      <w:rPr>
        <w:rFonts w:ascii="Symbol" w:hAnsi="Symbol" w:hint="default"/>
      </w:rPr>
    </w:lvl>
    <w:lvl w:ilvl="7" w:tplc="3EC0A548">
      <w:start w:val="1"/>
      <w:numFmt w:val="bullet"/>
      <w:lvlText w:val="o"/>
      <w:lvlJc w:val="left"/>
      <w:pPr>
        <w:ind w:left="5760" w:hanging="360"/>
      </w:pPr>
      <w:rPr>
        <w:rFonts w:ascii="Courier New" w:hAnsi="Courier New" w:hint="default"/>
      </w:rPr>
    </w:lvl>
    <w:lvl w:ilvl="8" w:tplc="66E83E46">
      <w:start w:val="1"/>
      <w:numFmt w:val="bullet"/>
      <w:lvlText w:val=""/>
      <w:lvlJc w:val="left"/>
      <w:pPr>
        <w:ind w:left="6480" w:hanging="360"/>
      </w:pPr>
      <w:rPr>
        <w:rFonts w:ascii="Wingdings" w:hAnsi="Wingdings" w:hint="default"/>
      </w:rPr>
    </w:lvl>
  </w:abstractNum>
  <w:num w:numId="1" w16cid:durableId="169486359">
    <w:abstractNumId w:val="14"/>
  </w:num>
  <w:num w:numId="2" w16cid:durableId="174156966">
    <w:abstractNumId w:val="9"/>
  </w:num>
  <w:num w:numId="3" w16cid:durableId="816531089">
    <w:abstractNumId w:val="18"/>
  </w:num>
  <w:num w:numId="4" w16cid:durableId="2000183015">
    <w:abstractNumId w:val="16"/>
  </w:num>
  <w:num w:numId="5" w16cid:durableId="386685554">
    <w:abstractNumId w:val="10"/>
  </w:num>
  <w:num w:numId="6" w16cid:durableId="1876843027">
    <w:abstractNumId w:val="1"/>
  </w:num>
  <w:num w:numId="7" w16cid:durableId="513809096">
    <w:abstractNumId w:val="6"/>
  </w:num>
  <w:num w:numId="8" w16cid:durableId="324479484">
    <w:abstractNumId w:val="13"/>
  </w:num>
  <w:num w:numId="9" w16cid:durableId="1275937985">
    <w:abstractNumId w:val="5"/>
  </w:num>
  <w:num w:numId="10" w16cid:durableId="414982677">
    <w:abstractNumId w:val="3"/>
  </w:num>
  <w:num w:numId="11" w16cid:durableId="332538622">
    <w:abstractNumId w:val="15"/>
  </w:num>
  <w:num w:numId="12" w16cid:durableId="829324120">
    <w:abstractNumId w:val="7"/>
  </w:num>
  <w:num w:numId="13" w16cid:durableId="1989167839">
    <w:abstractNumId w:val="11"/>
  </w:num>
  <w:num w:numId="14" w16cid:durableId="1209488529">
    <w:abstractNumId w:val="8"/>
  </w:num>
  <w:num w:numId="15" w16cid:durableId="996692464">
    <w:abstractNumId w:val="4"/>
  </w:num>
  <w:num w:numId="16" w16cid:durableId="140080817">
    <w:abstractNumId w:val="2"/>
  </w:num>
  <w:num w:numId="17" w16cid:durableId="369110037">
    <w:abstractNumId w:val="12"/>
  </w:num>
  <w:num w:numId="18" w16cid:durableId="269625549">
    <w:abstractNumId w:val="0"/>
  </w:num>
  <w:num w:numId="19" w16cid:durableId="16346018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5302"/>
    <w:rsid w:val="00017BDD"/>
    <w:rsid w:val="00030CF1"/>
    <w:rsid w:val="0003213D"/>
    <w:rsid w:val="00032D8C"/>
    <w:rsid w:val="0003768D"/>
    <w:rsid w:val="0004566B"/>
    <w:rsid w:val="000572BF"/>
    <w:rsid w:val="00061DA3"/>
    <w:rsid w:val="000711FD"/>
    <w:rsid w:val="00074402"/>
    <w:rsid w:val="00085C48"/>
    <w:rsid w:val="00091669"/>
    <w:rsid w:val="000B6809"/>
    <w:rsid w:val="000E55B9"/>
    <w:rsid w:val="000F79A1"/>
    <w:rsid w:val="00100B40"/>
    <w:rsid w:val="00112279"/>
    <w:rsid w:val="00113AF3"/>
    <w:rsid w:val="00117239"/>
    <w:rsid w:val="0013330D"/>
    <w:rsid w:val="001340B9"/>
    <w:rsid w:val="00134174"/>
    <w:rsid w:val="00134B1A"/>
    <w:rsid w:val="00141643"/>
    <w:rsid w:val="00153249"/>
    <w:rsid w:val="001673FD"/>
    <w:rsid w:val="001715CE"/>
    <w:rsid w:val="001A19AF"/>
    <w:rsid w:val="001A6D11"/>
    <w:rsid w:val="001B0F4A"/>
    <w:rsid w:val="001C1193"/>
    <w:rsid w:val="001C59C1"/>
    <w:rsid w:val="001D4BC6"/>
    <w:rsid w:val="001D4E15"/>
    <w:rsid w:val="001D7C03"/>
    <w:rsid w:val="001F18D2"/>
    <w:rsid w:val="001F2805"/>
    <w:rsid w:val="00207C27"/>
    <w:rsid w:val="002106A6"/>
    <w:rsid w:val="00213B32"/>
    <w:rsid w:val="00215410"/>
    <w:rsid w:val="002155C8"/>
    <w:rsid w:val="00216C85"/>
    <w:rsid w:val="00234F49"/>
    <w:rsid w:val="00244607"/>
    <w:rsid w:val="00250C3B"/>
    <w:rsid w:val="0025173B"/>
    <w:rsid w:val="00251BEF"/>
    <w:rsid w:val="00255799"/>
    <w:rsid w:val="00257085"/>
    <w:rsid w:val="0026393A"/>
    <w:rsid w:val="00270F46"/>
    <w:rsid w:val="00273EDD"/>
    <w:rsid w:val="00281C0E"/>
    <w:rsid w:val="00284419"/>
    <w:rsid w:val="00287C56"/>
    <w:rsid w:val="0029339F"/>
    <w:rsid w:val="00296B09"/>
    <w:rsid w:val="00296F66"/>
    <w:rsid w:val="002A1CF0"/>
    <w:rsid w:val="002A2D1F"/>
    <w:rsid w:val="002A2E34"/>
    <w:rsid w:val="002A55C6"/>
    <w:rsid w:val="002B0819"/>
    <w:rsid w:val="002C3965"/>
    <w:rsid w:val="002C62D6"/>
    <w:rsid w:val="002D6C07"/>
    <w:rsid w:val="002E7DEA"/>
    <w:rsid w:val="002E7FE2"/>
    <w:rsid w:val="002F5078"/>
    <w:rsid w:val="002F7094"/>
    <w:rsid w:val="00305EC7"/>
    <w:rsid w:val="003060F4"/>
    <w:rsid w:val="0032176F"/>
    <w:rsid w:val="00321C4C"/>
    <w:rsid w:val="00330E80"/>
    <w:rsid w:val="00334252"/>
    <w:rsid w:val="00361086"/>
    <w:rsid w:val="00361676"/>
    <w:rsid w:val="00362109"/>
    <w:rsid w:val="003650EB"/>
    <w:rsid w:val="00365DB4"/>
    <w:rsid w:val="0036629F"/>
    <w:rsid w:val="0037281E"/>
    <w:rsid w:val="0037662B"/>
    <w:rsid w:val="00380827"/>
    <w:rsid w:val="00392BBC"/>
    <w:rsid w:val="003A6270"/>
    <w:rsid w:val="003C7704"/>
    <w:rsid w:val="003D09FC"/>
    <w:rsid w:val="003D7799"/>
    <w:rsid w:val="003E4ECF"/>
    <w:rsid w:val="003F507A"/>
    <w:rsid w:val="00402A03"/>
    <w:rsid w:val="00407C0E"/>
    <w:rsid w:val="00410B54"/>
    <w:rsid w:val="0042015D"/>
    <w:rsid w:val="00424EFE"/>
    <w:rsid w:val="004402B2"/>
    <w:rsid w:val="004409EF"/>
    <w:rsid w:val="00441230"/>
    <w:rsid w:val="00446B0D"/>
    <w:rsid w:val="004477D0"/>
    <w:rsid w:val="00461060"/>
    <w:rsid w:val="00463482"/>
    <w:rsid w:val="00467CC4"/>
    <w:rsid w:val="004752C5"/>
    <w:rsid w:val="00492B2D"/>
    <w:rsid w:val="00497D9B"/>
    <w:rsid w:val="004A736E"/>
    <w:rsid w:val="004B0105"/>
    <w:rsid w:val="004B232F"/>
    <w:rsid w:val="004B41AF"/>
    <w:rsid w:val="004B53AA"/>
    <w:rsid w:val="004B7B8F"/>
    <w:rsid w:val="004E6DE2"/>
    <w:rsid w:val="004F695C"/>
    <w:rsid w:val="005023AF"/>
    <w:rsid w:val="00533699"/>
    <w:rsid w:val="005352FA"/>
    <w:rsid w:val="00540393"/>
    <w:rsid w:val="0054460C"/>
    <w:rsid w:val="00563368"/>
    <w:rsid w:val="00587D0A"/>
    <w:rsid w:val="0059197F"/>
    <w:rsid w:val="00597AB4"/>
    <w:rsid w:val="005A0554"/>
    <w:rsid w:val="005A249F"/>
    <w:rsid w:val="005B0901"/>
    <w:rsid w:val="005C150F"/>
    <w:rsid w:val="005D0819"/>
    <w:rsid w:val="005E04B1"/>
    <w:rsid w:val="005E7F64"/>
    <w:rsid w:val="005F3377"/>
    <w:rsid w:val="00602B46"/>
    <w:rsid w:val="006068BC"/>
    <w:rsid w:val="00631B86"/>
    <w:rsid w:val="006322C5"/>
    <w:rsid w:val="00635799"/>
    <w:rsid w:val="006368CD"/>
    <w:rsid w:val="00643AE5"/>
    <w:rsid w:val="00643E4A"/>
    <w:rsid w:val="0064708D"/>
    <w:rsid w:val="00662F35"/>
    <w:rsid w:val="006805C7"/>
    <w:rsid w:val="0069251B"/>
    <w:rsid w:val="006925AA"/>
    <w:rsid w:val="00694DA0"/>
    <w:rsid w:val="006A4505"/>
    <w:rsid w:val="006A782F"/>
    <w:rsid w:val="006B5394"/>
    <w:rsid w:val="006B75FA"/>
    <w:rsid w:val="006C03A3"/>
    <w:rsid w:val="006C247B"/>
    <w:rsid w:val="006D2CC4"/>
    <w:rsid w:val="006E6480"/>
    <w:rsid w:val="00700E7D"/>
    <w:rsid w:val="00705700"/>
    <w:rsid w:val="00712978"/>
    <w:rsid w:val="00712D85"/>
    <w:rsid w:val="00721E7C"/>
    <w:rsid w:val="0072472D"/>
    <w:rsid w:val="00725177"/>
    <w:rsid w:val="00733C28"/>
    <w:rsid w:val="00736E53"/>
    <w:rsid w:val="00743DAE"/>
    <w:rsid w:val="00744B1B"/>
    <w:rsid w:val="0076619B"/>
    <w:rsid w:val="00767C8C"/>
    <w:rsid w:val="007739DE"/>
    <w:rsid w:val="00795230"/>
    <w:rsid w:val="007A1BF8"/>
    <w:rsid w:val="007B6800"/>
    <w:rsid w:val="007B7F52"/>
    <w:rsid w:val="007C0994"/>
    <w:rsid w:val="007C2098"/>
    <w:rsid w:val="007C3EF0"/>
    <w:rsid w:val="007C42DC"/>
    <w:rsid w:val="007D03ED"/>
    <w:rsid w:val="007D331F"/>
    <w:rsid w:val="007F1895"/>
    <w:rsid w:val="007F6A67"/>
    <w:rsid w:val="00807A79"/>
    <w:rsid w:val="00814A9E"/>
    <w:rsid w:val="00815094"/>
    <w:rsid w:val="00817E5C"/>
    <w:rsid w:val="0082010F"/>
    <w:rsid w:val="00820834"/>
    <w:rsid w:val="008214CF"/>
    <w:rsid w:val="00821C83"/>
    <w:rsid w:val="0082518F"/>
    <w:rsid w:val="00844BB4"/>
    <w:rsid w:val="0086454A"/>
    <w:rsid w:val="00867703"/>
    <w:rsid w:val="008737B4"/>
    <w:rsid w:val="00880961"/>
    <w:rsid w:val="0088491C"/>
    <w:rsid w:val="0089439B"/>
    <w:rsid w:val="00894E76"/>
    <w:rsid w:val="00894F0D"/>
    <w:rsid w:val="008B0053"/>
    <w:rsid w:val="008B5BF7"/>
    <w:rsid w:val="008C2E87"/>
    <w:rsid w:val="008E35B8"/>
    <w:rsid w:val="008E3ABF"/>
    <w:rsid w:val="008E5E13"/>
    <w:rsid w:val="008E74AA"/>
    <w:rsid w:val="008F58E4"/>
    <w:rsid w:val="0090040D"/>
    <w:rsid w:val="009072BB"/>
    <w:rsid w:val="009136A5"/>
    <w:rsid w:val="009352CA"/>
    <w:rsid w:val="00940BCA"/>
    <w:rsid w:val="009658C2"/>
    <w:rsid w:val="009830BD"/>
    <w:rsid w:val="00995411"/>
    <w:rsid w:val="009B4933"/>
    <w:rsid w:val="009C0121"/>
    <w:rsid w:val="009C1A27"/>
    <w:rsid w:val="009D052C"/>
    <w:rsid w:val="009D1D1E"/>
    <w:rsid w:val="009D7A74"/>
    <w:rsid w:val="009E391A"/>
    <w:rsid w:val="00A00028"/>
    <w:rsid w:val="00A035FD"/>
    <w:rsid w:val="00A221EE"/>
    <w:rsid w:val="00A27792"/>
    <w:rsid w:val="00A431C5"/>
    <w:rsid w:val="00A71E8E"/>
    <w:rsid w:val="00A7243D"/>
    <w:rsid w:val="00A80496"/>
    <w:rsid w:val="00A81F1A"/>
    <w:rsid w:val="00A95BE7"/>
    <w:rsid w:val="00AA06FA"/>
    <w:rsid w:val="00AA2A3B"/>
    <w:rsid w:val="00AA5856"/>
    <w:rsid w:val="00AC2607"/>
    <w:rsid w:val="00B038D3"/>
    <w:rsid w:val="00B1405A"/>
    <w:rsid w:val="00B325AF"/>
    <w:rsid w:val="00B407D9"/>
    <w:rsid w:val="00B57095"/>
    <w:rsid w:val="00B77F22"/>
    <w:rsid w:val="00B87C6F"/>
    <w:rsid w:val="00B87E75"/>
    <w:rsid w:val="00B92A05"/>
    <w:rsid w:val="00BA10EE"/>
    <w:rsid w:val="00BB4994"/>
    <w:rsid w:val="00BB711E"/>
    <w:rsid w:val="00BC2DE6"/>
    <w:rsid w:val="00BD129D"/>
    <w:rsid w:val="00BD4F37"/>
    <w:rsid w:val="00BE745A"/>
    <w:rsid w:val="00BF3BCA"/>
    <w:rsid w:val="00BF3CCA"/>
    <w:rsid w:val="00BF63A6"/>
    <w:rsid w:val="00C00BC2"/>
    <w:rsid w:val="00C054A5"/>
    <w:rsid w:val="00C1164A"/>
    <w:rsid w:val="00C17F23"/>
    <w:rsid w:val="00C22486"/>
    <w:rsid w:val="00C31961"/>
    <w:rsid w:val="00C31AEE"/>
    <w:rsid w:val="00C32AB5"/>
    <w:rsid w:val="00C35515"/>
    <w:rsid w:val="00C3671E"/>
    <w:rsid w:val="00C563FC"/>
    <w:rsid w:val="00C56B0D"/>
    <w:rsid w:val="00C649A3"/>
    <w:rsid w:val="00C66E67"/>
    <w:rsid w:val="00C72958"/>
    <w:rsid w:val="00C93849"/>
    <w:rsid w:val="00C94FAA"/>
    <w:rsid w:val="00C95C26"/>
    <w:rsid w:val="00CA057D"/>
    <w:rsid w:val="00CC0F00"/>
    <w:rsid w:val="00CC5D7E"/>
    <w:rsid w:val="00CD17E3"/>
    <w:rsid w:val="00CD33A8"/>
    <w:rsid w:val="00CD3626"/>
    <w:rsid w:val="00CD6BD1"/>
    <w:rsid w:val="00CE15EF"/>
    <w:rsid w:val="00CE684E"/>
    <w:rsid w:val="00CF731E"/>
    <w:rsid w:val="00D0229F"/>
    <w:rsid w:val="00D116FD"/>
    <w:rsid w:val="00D22DF3"/>
    <w:rsid w:val="00D24DBD"/>
    <w:rsid w:val="00D37B86"/>
    <w:rsid w:val="00D40D18"/>
    <w:rsid w:val="00D41FD0"/>
    <w:rsid w:val="00D516FF"/>
    <w:rsid w:val="00D64396"/>
    <w:rsid w:val="00D90DED"/>
    <w:rsid w:val="00D91D94"/>
    <w:rsid w:val="00D94583"/>
    <w:rsid w:val="00D971A3"/>
    <w:rsid w:val="00DC72D4"/>
    <w:rsid w:val="00DE34B2"/>
    <w:rsid w:val="00E15F0F"/>
    <w:rsid w:val="00E22EF8"/>
    <w:rsid w:val="00E2485A"/>
    <w:rsid w:val="00E34496"/>
    <w:rsid w:val="00E363D5"/>
    <w:rsid w:val="00E3CDB4"/>
    <w:rsid w:val="00E569FD"/>
    <w:rsid w:val="00E620E7"/>
    <w:rsid w:val="00E73671"/>
    <w:rsid w:val="00E97ED2"/>
    <w:rsid w:val="00EA00E2"/>
    <w:rsid w:val="00EA1DAC"/>
    <w:rsid w:val="00EA288A"/>
    <w:rsid w:val="00EA452B"/>
    <w:rsid w:val="00EB02BB"/>
    <w:rsid w:val="00EC29D3"/>
    <w:rsid w:val="00ED7207"/>
    <w:rsid w:val="00EF1408"/>
    <w:rsid w:val="00F11F8D"/>
    <w:rsid w:val="00F17533"/>
    <w:rsid w:val="00F2140F"/>
    <w:rsid w:val="00F244A5"/>
    <w:rsid w:val="00F25FC9"/>
    <w:rsid w:val="00F31AF2"/>
    <w:rsid w:val="00F50518"/>
    <w:rsid w:val="00F53006"/>
    <w:rsid w:val="00F60DFE"/>
    <w:rsid w:val="00F66E1B"/>
    <w:rsid w:val="00F738DA"/>
    <w:rsid w:val="00F74FF4"/>
    <w:rsid w:val="00F90EF9"/>
    <w:rsid w:val="00FB6488"/>
    <w:rsid w:val="00FB65E1"/>
    <w:rsid w:val="00FC635F"/>
    <w:rsid w:val="00FD16EC"/>
    <w:rsid w:val="00FD5BBD"/>
    <w:rsid w:val="00FD5F3F"/>
    <w:rsid w:val="00FD69DB"/>
    <w:rsid w:val="00FE386A"/>
    <w:rsid w:val="00FE406E"/>
    <w:rsid w:val="00FF23F0"/>
    <w:rsid w:val="011F3974"/>
    <w:rsid w:val="0133D30A"/>
    <w:rsid w:val="0159E184"/>
    <w:rsid w:val="01916B3D"/>
    <w:rsid w:val="01A145F8"/>
    <w:rsid w:val="025D61E4"/>
    <w:rsid w:val="028AA71F"/>
    <w:rsid w:val="028B5478"/>
    <w:rsid w:val="037B7555"/>
    <w:rsid w:val="0385E764"/>
    <w:rsid w:val="03E7526C"/>
    <w:rsid w:val="0431094D"/>
    <w:rsid w:val="04510461"/>
    <w:rsid w:val="0455AF05"/>
    <w:rsid w:val="046D9CCD"/>
    <w:rsid w:val="049F5A1B"/>
    <w:rsid w:val="04B8E9CC"/>
    <w:rsid w:val="04BD27B1"/>
    <w:rsid w:val="04D61EC6"/>
    <w:rsid w:val="04F0FFF8"/>
    <w:rsid w:val="055B3E95"/>
    <w:rsid w:val="062AD50C"/>
    <w:rsid w:val="0650FEDE"/>
    <w:rsid w:val="06580F12"/>
    <w:rsid w:val="06956E4B"/>
    <w:rsid w:val="06B917D6"/>
    <w:rsid w:val="06E5B169"/>
    <w:rsid w:val="06FD8E1F"/>
    <w:rsid w:val="07232FA3"/>
    <w:rsid w:val="07712870"/>
    <w:rsid w:val="0773B00F"/>
    <w:rsid w:val="077E0CF9"/>
    <w:rsid w:val="07CC1F2C"/>
    <w:rsid w:val="07F0B86D"/>
    <w:rsid w:val="0810EAE7"/>
    <w:rsid w:val="081301D1"/>
    <w:rsid w:val="0872BD0E"/>
    <w:rsid w:val="08CF19C3"/>
    <w:rsid w:val="08D7F98F"/>
    <w:rsid w:val="08E547AA"/>
    <w:rsid w:val="0918FF24"/>
    <w:rsid w:val="09886BA2"/>
    <w:rsid w:val="09992713"/>
    <w:rsid w:val="09C1663E"/>
    <w:rsid w:val="09C765CA"/>
    <w:rsid w:val="09F0C350"/>
    <w:rsid w:val="0A3195E9"/>
    <w:rsid w:val="0AB04F83"/>
    <w:rsid w:val="0B111123"/>
    <w:rsid w:val="0B690860"/>
    <w:rsid w:val="0B7CBE7E"/>
    <w:rsid w:val="0B97C74E"/>
    <w:rsid w:val="0C1F582F"/>
    <w:rsid w:val="0CECF4E1"/>
    <w:rsid w:val="0D24CD92"/>
    <w:rsid w:val="0D2EAF33"/>
    <w:rsid w:val="0D7153B5"/>
    <w:rsid w:val="0D7B9C8F"/>
    <w:rsid w:val="0D8CB762"/>
    <w:rsid w:val="0DF5200C"/>
    <w:rsid w:val="0E9876B5"/>
    <w:rsid w:val="0ECFE208"/>
    <w:rsid w:val="0F1535A3"/>
    <w:rsid w:val="0F3B18FC"/>
    <w:rsid w:val="0F6869DE"/>
    <w:rsid w:val="0F80BD52"/>
    <w:rsid w:val="0FB718DB"/>
    <w:rsid w:val="0FE078B4"/>
    <w:rsid w:val="10399DBA"/>
    <w:rsid w:val="109C0453"/>
    <w:rsid w:val="109E8688"/>
    <w:rsid w:val="10ED8ADE"/>
    <w:rsid w:val="1103E171"/>
    <w:rsid w:val="121D183C"/>
    <w:rsid w:val="12440D12"/>
    <w:rsid w:val="12BEB3D1"/>
    <w:rsid w:val="12D31582"/>
    <w:rsid w:val="13CDEEFF"/>
    <w:rsid w:val="13E4D6E8"/>
    <w:rsid w:val="147B5BDD"/>
    <w:rsid w:val="14B03770"/>
    <w:rsid w:val="14D1BC95"/>
    <w:rsid w:val="14ED150D"/>
    <w:rsid w:val="151D8488"/>
    <w:rsid w:val="15205C94"/>
    <w:rsid w:val="15265817"/>
    <w:rsid w:val="1573ADFD"/>
    <w:rsid w:val="157A0DF7"/>
    <w:rsid w:val="158ECC17"/>
    <w:rsid w:val="1594721B"/>
    <w:rsid w:val="16AE4C73"/>
    <w:rsid w:val="16BE5A98"/>
    <w:rsid w:val="16F4600A"/>
    <w:rsid w:val="17663C39"/>
    <w:rsid w:val="1790D536"/>
    <w:rsid w:val="17A8B9C7"/>
    <w:rsid w:val="17B4CC9B"/>
    <w:rsid w:val="17BA30C2"/>
    <w:rsid w:val="17FFAFC5"/>
    <w:rsid w:val="180ADFAA"/>
    <w:rsid w:val="180E1A7C"/>
    <w:rsid w:val="18C74BFF"/>
    <w:rsid w:val="18E577D4"/>
    <w:rsid w:val="190202D3"/>
    <w:rsid w:val="191B5A70"/>
    <w:rsid w:val="198956B2"/>
    <w:rsid w:val="19C02F14"/>
    <w:rsid w:val="1A0A5630"/>
    <w:rsid w:val="1A33A7FC"/>
    <w:rsid w:val="1A77F510"/>
    <w:rsid w:val="1AB7C571"/>
    <w:rsid w:val="1B4E5BD2"/>
    <w:rsid w:val="1B6A32B6"/>
    <w:rsid w:val="1B7EB6CB"/>
    <w:rsid w:val="1B8D5A59"/>
    <w:rsid w:val="1BBA802C"/>
    <w:rsid w:val="1BC1CD9E"/>
    <w:rsid w:val="1C298D7D"/>
    <w:rsid w:val="1C688E3A"/>
    <w:rsid w:val="1C972E3D"/>
    <w:rsid w:val="1CC8DF39"/>
    <w:rsid w:val="1CDF8626"/>
    <w:rsid w:val="1CECAE1C"/>
    <w:rsid w:val="1D300327"/>
    <w:rsid w:val="1D75C33F"/>
    <w:rsid w:val="1D9F3983"/>
    <w:rsid w:val="1DE34E22"/>
    <w:rsid w:val="1DF3C162"/>
    <w:rsid w:val="1E4F5BF2"/>
    <w:rsid w:val="1E97ECEC"/>
    <w:rsid w:val="1ECA8ED6"/>
    <w:rsid w:val="1EDE299E"/>
    <w:rsid w:val="1EF64377"/>
    <w:rsid w:val="1F1A0E61"/>
    <w:rsid w:val="1F521B68"/>
    <w:rsid w:val="1F7E1BE0"/>
    <w:rsid w:val="1FC18756"/>
    <w:rsid w:val="1FC46FC0"/>
    <w:rsid w:val="1FD1A4A6"/>
    <w:rsid w:val="1FE9526B"/>
    <w:rsid w:val="1FFCDF45"/>
    <w:rsid w:val="2036A1A1"/>
    <w:rsid w:val="21AE0D1E"/>
    <w:rsid w:val="21C25E9E"/>
    <w:rsid w:val="220C7ED8"/>
    <w:rsid w:val="22154AE5"/>
    <w:rsid w:val="22165A2E"/>
    <w:rsid w:val="227A81FA"/>
    <w:rsid w:val="22970AF2"/>
    <w:rsid w:val="229D90D9"/>
    <w:rsid w:val="22CB96D1"/>
    <w:rsid w:val="23885A33"/>
    <w:rsid w:val="2419DCAF"/>
    <w:rsid w:val="245FE571"/>
    <w:rsid w:val="24695B56"/>
    <w:rsid w:val="247E48ED"/>
    <w:rsid w:val="24C99B3A"/>
    <w:rsid w:val="25B7556F"/>
    <w:rsid w:val="265EE058"/>
    <w:rsid w:val="266084C7"/>
    <w:rsid w:val="26E5DE63"/>
    <w:rsid w:val="2723587F"/>
    <w:rsid w:val="2728EF76"/>
    <w:rsid w:val="2764A090"/>
    <w:rsid w:val="278ABF4D"/>
    <w:rsid w:val="278E4DBF"/>
    <w:rsid w:val="27917E3A"/>
    <w:rsid w:val="27943B85"/>
    <w:rsid w:val="27C01A98"/>
    <w:rsid w:val="27DAA455"/>
    <w:rsid w:val="2832D13A"/>
    <w:rsid w:val="28356088"/>
    <w:rsid w:val="2897219B"/>
    <w:rsid w:val="28C8FC71"/>
    <w:rsid w:val="28EE80C8"/>
    <w:rsid w:val="2929D846"/>
    <w:rsid w:val="2958B0CD"/>
    <w:rsid w:val="29BEFE5A"/>
    <w:rsid w:val="2A20F00A"/>
    <w:rsid w:val="2A30FEFD"/>
    <w:rsid w:val="2A5F3106"/>
    <w:rsid w:val="2A843801"/>
    <w:rsid w:val="2A9BF24A"/>
    <w:rsid w:val="2AB7540A"/>
    <w:rsid w:val="2AEAAD7F"/>
    <w:rsid w:val="2B13029C"/>
    <w:rsid w:val="2B1561EB"/>
    <w:rsid w:val="2B532F71"/>
    <w:rsid w:val="2BF72D6C"/>
    <w:rsid w:val="2C4FED2E"/>
    <w:rsid w:val="2CE601BF"/>
    <w:rsid w:val="2E2AE451"/>
    <w:rsid w:val="2E322AA8"/>
    <w:rsid w:val="2E65E672"/>
    <w:rsid w:val="2E675A56"/>
    <w:rsid w:val="2E81B321"/>
    <w:rsid w:val="2E90C94E"/>
    <w:rsid w:val="2E97FA1C"/>
    <w:rsid w:val="2EEAAEB9"/>
    <w:rsid w:val="2F02ABEF"/>
    <w:rsid w:val="2F26EEA8"/>
    <w:rsid w:val="2F33D130"/>
    <w:rsid w:val="2F6EDDD9"/>
    <w:rsid w:val="2FC2F33D"/>
    <w:rsid w:val="2FDF0AB9"/>
    <w:rsid w:val="303354BC"/>
    <w:rsid w:val="30BE22F8"/>
    <w:rsid w:val="30C48674"/>
    <w:rsid w:val="30EAFFE6"/>
    <w:rsid w:val="3131E532"/>
    <w:rsid w:val="325F7011"/>
    <w:rsid w:val="3279CCD1"/>
    <w:rsid w:val="32C9EA28"/>
    <w:rsid w:val="33588F4B"/>
    <w:rsid w:val="33940832"/>
    <w:rsid w:val="33AFD723"/>
    <w:rsid w:val="33FC4E09"/>
    <w:rsid w:val="342ED7FE"/>
    <w:rsid w:val="34C296D2"/>
    <w:rsid w:val="34CEBF28"/>
    <w:rsid w:val="34E06014"/>
    <w:rsid w:val="34FD73D5"/>
    <w:rsid w:val="35033353"/>
    <w:rsid w:val="3535D017"/>
    <w:rsid w:val="35BCAF51"/>
    <w:rsid w:val="36F12E58"/>
    <w:rsid w:val="370F8E24"/>
    <w:rsid w:val="37B46872"/>
    <w:rsid w:val="37C246A7"/>
    <w:rsid w:val="386FC31A"/>
    <w:rsid w:val="3883A285"/>
    <w:rsid w:val="389893B3"/>
    <w:rsid w:val="3905EF86"/>
    <w:rsid w:val="392488A7"/>
    <w:rsid w:val="3974D9B2"/>
    <w:rsid w:val="3A274725"/>
    <w:rsid w:val="3A38E901"/>
    <w:rsid w:val="3A8F547B"/>
    <w:rsid w:val="3AE3375D"/>
    <w:rsid w:val="3B9E1C13"/>
    <w:rsid w:val="3BB16C49"/>
    <w:rsid w:val="3BC35897"/>
    <w:rsid w:val="3C0E06FC"/>
    <w:rsid w:val="3C3AAA5F"/>
    <w:rsid w:val="3C3D52ED"/>
    <w:rsid w:val="3CA8007A"/>
    <w:rsid w:val="3CFB1981"/>
    <w:rsid w:val="3D5A9B24"/>
    <w:rsid w:val="3D5CCE5F"/>
    <w:rsid w:val="3D71B24B"/>
    <w:rsid w:val="3DC82109"/>
    <w:rsid w:val="3DFDE0FE"/>
    <w:rsid w:val="3E107923"/>
    <w:rsid w:val="3FA0C70B"/>
    <w:rsid w:val="3FCC1814"/>
    <w:rsid w:val="3FF20FA7"/>
    <w:rsid w:val="4003B536"/>
    <w:rsid w:val="4063E758"/>
    <w:rsid w:val="40EB6D33"/>
    <w:rsid w:val="412B21AA"/>
    <w:rsid w:val="4266E7D8"/>
    <w:rsid w:val="4280BB04"/>
    <w:rsid w:val="429F7E65"/>
    <w:rsid w:val="42A40555"/>
    <w:rsid w:val="42B2FDE7"/>
    <w:rsid w:val="42B39067"/>
    <w:rsid w:val="437E0BE5"/>
    <w:rsid w:val="43D5E762"/>
    <w:rsid w:val="43E724E7"/>
    <w:rsid w:val="443138D1"/>
    <w:rsid w:val="44462E9E"/>
    <w:rsid w:val="4458D5DE"/>
    <w:rsid w:val="446F8EB2"/>
    <w:rsid w:val="4523B14F"/>
    <w:rsid w:val="45D7332F"/>
    <w:rsid w:val="45EDE2E0"/>
    <w:rsid w:val="460A7096"/>
    <w:rsid w:val="4618B592"/>
    <w:rsid w:val="465F00A8"/>
    <w:rsid w:val="4686F342"/>
    <w:rsid w:val="46942F67"/>
    <w:rsid w:val="46B33868"/>
    <w:rsid w:val="46B86929"/>
    <w:rsid w:val="46CACCBC"/>
    <w:rsid w:val="47364DB3"/>
    <w:rsid w:val="47D66409"/>
    <w:rsid w:val="47E849A2"/>
    <w:rsid w:val="48174C3C"/>
    <w:rsid w:val="4823DB7C"/>
    <w:rsid w:val="4862C6C0"/>
    <w:rsid w:val="4882EE23"/>
    <w:rsid w:val="488FDE71"/>
    <w:rsid w:val="48D62233"/>
    <w:rsid w:val="49145D91"/>
    <w:rsid w:val="49339B5D"/>
    <w:rsid w:val="49BDA38A"/>
    <w:rsid w:val="49EF6F73"/>
    <w:rsid w:val="4AEB4729"/>
    <w:rsid w:val="4BA14ACA"/>
    <w:rsid w:val="4BCACDA9"/>
    <w:rsid w:val="4C1D7B1A"/>
    <w:rsid w:val="4C4A91AF"/>
    <w:rsid w:val="4C55333C"/>
    <w:rsid w:val="4C5C6B91"/>
    <w:rsid w:val="4C6BB7DF"/>
    <w:rsid w:val="4DFD3C2F"/>
    <w:rsid w:val="4E4D4DF9"/>
    <w:rsid w:val="4E51A87F"/>
    <w:rsid w:val="4E561D82"/>
    <w:rsid w:val="4E61B276"/>
    <w:rsid w:val="4EC4D1BA"/>
    <w:rsid w:val="4EC61392"/>
    <w:rsid w:val="4F0A2E6C"/>
    <w:rsid w:val="4F390216"/>
    <w:rsid w:val="4F7E7115"/>
    <w:rsid w:val="4F812023"/>
    <w:rsid w:val="4FA85675"/>
    <w:rsid w:val="4FD9A5EA"/>
    <w:rsid w:val="5001BFA9"/>
    <w:rsid w:val="501F44E4"/>
    <w:rsid w:val="503DCCB3"/>
    <w:rsid w:val="50814B21"/>
    <w:rsid w:val="508C9C8E"/>
    <w:rsid w:val="50BE54E3"/>
    <w:rsid w:val="50C71ED7"/>
    <w:rsid w:val="518FA1D6"/>
    <w:rsid w:val="523271FC"/>
    <w:rsid w:val="523B014D"/>
    <w:rsid w:val="52C56B8D"/>
    <w:rsid w:val="53014E22"/>
    <w:rsid w:val="5364DE1B"/>
    <w:rsid w:val="53822060"/>
    <w:rsid w:val="5476C149"/>
    <w:rsid w:val="54964141"/>
    <w:rsid w:val="54CF8570"/>
    <w:rsid w:val="551F7BEE"/>
    <w:rsid w:val="554C971A"/>
    <w:rsid w:val="55C52FAA"/>
    <w:rsid w:val="55C6AE6D"/>
    <w:rsid w:val="55E85EB2"/>
    <w:rsid w:val="55F29BFB"/>
    <w:rsid w:val="55FB95D7"/>
    <w:rsid w:val="568568C9"/>
    <w:rsid w:val="576CC3C1"/>
    <w:rsid w:val="57BB799E"/>
    <w:rsid w:val="57CAFEC2"/>
    <w:rsid w:val="57D8DB96"/>
    <w:rsid w:val="57EC8B9D"/>
    <w:rsid w:val="58080A02"/>
    <w:rsid w:val="581709CC"/>
    <w:rsid w:val="583721B0"/>
    <w:rsid w:val="583B598D"/>
    <w:rsid w:val="5847FC20"/>
    <w:rsid w:val="58AB70C6"/>
    <w:rsid w:val="58AF2494"/>
    <w:rsid w:val="593D8D97"/>
    <w:rsid w:val="594AF430"/>
    <w:rsid w:val="59510652"/>
    <w:rsid w:val="59706EEB"/>
    <w:rsid w:val="597D39B3"/>
    <w:rsid w:val="59D1F8FE"/>
    <w:rsid w:val="59DFCE46"/>
    <w:rsid w:val="59EBE334"/>
    <w:rsid w:val="5A0C3E0E"/>
    <w:rsid w:val="5A99A38A"/>
    <w:rsid w:val="5ABBED8F"/>
    <w:rsid w:val="5B1DFC66"/>
    <w:rsid w:val="5B506D9E"/>
    <w:rsid w:val="5B856861"/>
    <w:rsid w:val="5C2E6884"/>
    <w:rsid w:val="5C6290B6"/>
    <w:rsid w:val="5CA254BB"/>
    <w:rsid w:val="5D948C1D"/>
    <w:rsid w:val="5DD9D13E"/>
    <w:rsid w:val="5DE3A792"/>
    <w:rsid w:val="5DF5871F"/>
    <w:rsid w:val="5E26F6E0"/>
    <w:rsid w:val="5E44E083"/>
    <w:rsid w:val="5E522875"/>
    <w:rsid w:val="5F4EE01B"/>
    <w:rsid w:val="5F6A9EDF"/>
    <w:rsid w:val="5F904B9C"/>
    <w:rsid w:val="5FA2A7C1"/>
    <w:rsid w:val="601B55F7"/>
    <w:rsid w:val="603B7774"/>
    <w:rsid w:val="6051BCCB"/>
    <w:rsid w:val="608581E3"/>
    <w:rsid w:val="609D37FD"/>
    <w:rsid w:val="60A37597"/>
    <w:rsid w:val="6240B17B"/>
    <w:rsid w:val="62D67943"/>
    <w:rsid w:val="6318F21E"/>
    <w:rsid w:val="634ABC76"/>
    <w:rsid w:val="6361F150"/>
    <w:rsid w:val="6382F1DE"/>
    <w:rsid w:val="63E0C7A3"/>
    <w:rsid w:val="642720C9"/>
    <w:rsid w:val="649B9E63"/>
    <w:rsid w:val="64CB30F9"/>
    <w:rsid w:val="64E65E9C"/>
    <w:rsid w:val="64F40D04"/>
    <w:rsid w:val="6513FB61"/>
    <w:rsid w:val="6515C466"/>
    <w:rsid w:val="653D4FBE"/>
    <w:rsid w:val="6580518B"/>
    <w:rsid w:val="65B900C6"/>
    <w:rsid w:val="660E8BBD"/>
    <w:rsid w:val="660FB7CF"/>
    <w:rsid w:val="664F539E"/>
    <w:rsid w:val="6693F8F1"/>
    <w:rsid w:val="66EE070A"/>
    <w:rsid w:val="672F344D"/>
    <w:rsid w:val="67855AF0"/>
    <w:rsid w:val="6787C21B"/>
    <w:rsid w:val="678D54EF"/>
    <w:rsid w:val="6793C598"/>
    <w:rsid w:val="679F3ED4"/>
    <w:rsid w:val="67BEFB54"/>
    <w:rsid w:val="686F2B29"/>
    <w:rsid w:val="69E73E51"/>
    <w:rsid w:val="6AA2409F"/>
    <w:rsid w:val="6AA78BF9"/>
    <w:rsid w:val="6AB94AC5"/>
    <w:rsid w:val="6AE03BA4"/>
    <w:rsid w:val="6B037832"/>
    <w:rsid w:val="6B089A16"/>
    <w:rsid w:val="6B4A601B"/>
    <w:rsid w:val="6B6B7DED"/>
    <w:rsid w:val="6B8BC248"/>
    <w:rsid w:val="6B8DD93C"/>
    <w:rsid w:val="6BB41F8F"/>
    <w:rsid w:val="6C033B70"/>
    <w:rsid w:val="6CE48430"/>
    <w:rsid w:val="6D259F30"/>
    <w:rsid w:val="6D2ED5E4"/>
    <w:rsid w:val="6D33F940"/>
    <w:rsid w:val="6D891B8C"/>
    <w:rsid w:val="6DD8D1AF"/>
    <w:rsid w:val="6EDF4DB9"/>
    <w:rsid w:val="6EE3550C"/>
    <w:rsid w:val="6EE7054B"/>
    <w:rsid w:val="6FAB0F45"/>
    <w:rsid w:val="701DAFC1"/>
    <w:rsid w:val="708B4C11"/>
    <w:rsid w:val="7098259D"/>
    <w:rsid w:val="70CF1F11"/>
    <w:rsid w:val="70E95C5D"/>
    <w:rsid w:val="70FDF39F"/>
    <w:rsid w:val="7101FEBA"/>
    <w:rsid w:val="71112AC0"/>
    <w:rsid w:val="7183F0B0"/>
    <w:rsid w:val="71B41720"/>
    <w:rsid w:val="71E650E6"/>
    <w:rsid w:val="7234A0AE"/>
    <w:rsid w:val="726EBF9B"/>
    <w:rsid w:val="732B1526"/>
    <w:rsid w:val="738D7675"/>
    <w:rsid w:val="73972EFB"/>
    <w:rsid w:val="740ABE41"/>
    <w:rsid w:val="74BD30D5"/>
    <w:rsid w:val="74D8D1D0"/>
    <w:rsid w:val="752C5AA1"/>
    <w:rsid w:val="75A393C3"/>
    <w:rsid w:val="762E0AAC"/>
    <w:rsid w:val="7663AB5E"/>
    <w:rsid w:val="76741E27"/>
    <w:rsid w:val="76B944F0"/>
    <w:rsid w:val="76E0BA6B"/>
    <w:rsid w:val="77129A55"/>
    <w:rsid w:val="77A5DE38"/>
    <w:rsid w:val="77E643C3"/>
    <w:rsid w:val="781D8989"/>
    <w:rsid w:val="78AA77CA"/>
    <w:rsid w:val="78F2F3C2"/>
    <w:rsid w:val="791DDC12"/>
    <w:rsid w:val="792386B0"/>
    <w:rsid w:val="793BD721"/>
    <w:rsid w:val="796A2DBC"/>
    <w:rsid w:val="79A4C4FA"/>
    <w:rsid w:val="79DC4E4A"/>
    <w:rsid w:val="79F2CEC2"/>
    <w:rsid w:val="7A8F65A0"/>
    <w:rsid w:val="7AA9C5D4"/>
    <w:rsid w:val="7B87C370"/>
    <w:rsid w:val="7BA4E536"/>
    <w:rsid w:val="7BAF598A"/>
    <w:rsid w:val="7BCE4841"/>
    <w:rsid w:val="7C9B3CE2"/>
    <w:rsid w:val="7CD50C9E"/>
    <w:rsid w:val="7CDC0A78"/>
    <w:rsid w:val="7CF7E27A"/>
    <w:rsid w:val="7D0BD38D"/>
    <w:rsid w:val="7D5CF4C7"/>
    <w:rsid w:val="7D66A418"/>
    <w:rsid w:val="7D821CEF"/>
    <w:rsid w:val="7E1955B8"/>
    <w:rsid w:val="7E2D4309"/>
    <w:rsid w:val="7E8A9F7C"/>
    <w:rsid w:val="7EC65D1F"/>
    <w:rsid w:val="7FD74F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4D4A95D-2A26-4681-97A2-FA0DB1DC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391A"/>
    <w:pPr>
      <w:keepNext/>
      <w:keepLines/>
      <w:spacing w:before="240" w:after="0" w:line="360" w:lineRule="auto"/>
      <w:outlineLvl w:val="0"/>
    </w:pPr>
    <w:rPr>
      <w:rFonts w:ascii="Arial" w:eastAsiaTheme="majorEastAsia" w:hAnsi="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91A"/>
    <w:rPr>
      <w:rFonts w:ascii="Arial" w:eastAsiaTheme="majorEastAsia" w:hAnsi="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C649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33588F4B"/>
    <w:pPr>
      <w:ind w:left="720"/>
      <w:contextualSpacing/>
    </w:pPr>
  </w:style>
  <w:style w:type="character" w:styleId="Hyperlink">
    <w:name w:val="Hyperlink"/>
    <w:basedOn w:val="DefaultParagraphFont"/>
    <w:uiPriority w:val="99"/>
    <w:unhideWhenUsed/>
    <w:rsid w:val="33588F4B"/>
    <w:rPr>
      <w:color w:val="0563C1"/>
      <w:u w:val="single"/>
    </w:rPr>
  </w:style>
  <w:style w:type="paragraph" w:styleId="NoSpacing">
    <w:name w:val="No Spacing"/>
    <w:link w:val="NoSpacingChar"/>
    <w:uiPriority w:val="1"/>
    <w:qFormat/>
    <w:rsid w:val="00635799"/>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635799"/>
    <w:rPr>
      <w:rFonts w:asciiTheme="minorHAnsi" w:eastAsiaTheme="minorEastAsia" w:hAnsiTheme="minorHAnsi"/>
      <w:sz w:val="22"/>
      <w:lang w:val="en-US"/>
    </w:rPr>
  </w:style>
  <w:style w:type="character" w:styleId="FollowedHyperlink">
    <w:name w:val="FollowedHyperlink"/>
    <w:basedOn w:val="DefaultParagraphFont"/>
    <w:uiPriority w:val="99"/>
    <w:semiHidden/>
    <w:unhideWhenUsed/>
    <w:rsid w:val="004409EF"/>
    <w:rPr>
      <w:color w:val="954F72" w:themeColor="followedHyperlink"/>
      <w:u w:val="single"/>
    </w:rPr>
  </w:style>
  <w:style w:type="character" w:styleId="UnresolvedMention">
    <w:name w:val="Unresolved Mention"/>
    <w:basedOn w:val="DefaultParagraphFont"/>
    <w:uiPriority w:val="99"/>
    <w:semiHidden/>
    <w:unhideWhenUsed/>
    <w:rsid w:val="0003768D"/>
    <w:rPr>
      <w:color w:val="605E5C"/>
      <w:shd w:val="clear" w:color="auto" w:fill="E1DFDD"/>
    </w:rPr>
  </w:style>
  <w:style w:type="paragraph" w:styleId="TOCHeading">
    <w:name w:val="TOC Heading"/>
    <w:basedOn w:val="Heading1"/>
    <w:next w:val="Normal"/>
    <w:uiPriority w:val="39"/>
    <w:unhideWhenUsed/>
    <w:qFormat/>
    <w:rsid w:val="00BB4994"/>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BB499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29889485/" TargetMode="External"/><Relationship Id="rId18" Type="http://schemas.openxmlformats.org/officeDocument/2006/relationships/hyperlink" Target="https://www.goodthingsfoundation.org/policy-and-research/research-and-evidence/research-2024/health-inequalities-digital-exclusion.html" TargetMode="External"/><Relationship Id="rId26" Type="http://schemas.openxmlformats.org/officeDocument/2006/relationships/hyperlink" Target="https://transform.england.nhs.uk/covid-19-response/technology-nhs/supporting-the-innovation-collaboratives-to-expand-their-remote-monitoring-plans/" TargetMode="External"/><Relationship Id="rId39" Type="http://schemas.openxmlformats.org/officeDocument/2006/relationships/theme" Target="theme/theme1.xml"/><Relationship Id="rId21" Type="http://schemas.openxmlformats.org/officeDocument/2006/relationships/hyperlink" Target="https://pmc.ncbi.nlm.nih.gov/articles/PMC9673001/"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pubmed.ncbi.nlm.nih.gov/36369507/" TargetMode="External"/><Relationship Id="rId25" Type="http://schemas.openxmlformats.org/officeDocument/2006/relationships/hyperlink" Target="https://www.england.nhs.uk/nhs-at-home/managing-heart-failure-at-home/" TargetMode="External"/><Relationship Id="rId33" Type="http://schemas.openxmlformats.org/officeDocument/2006/relationships/hyperlink" Target="https://pubmed.ncbi.nlm.nih.gov/27458809/"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era.ac.uk/publication/ethical-guidelines-for-educational-research-fifth-edition-2024" TargetMode="External"/><Relationship Id="rId20" Type="http://schemas.openxmlformats.org/officeDocument/2006/relationships/hyperlink" Target="https://bjgp.org/content/73/730/e374" TargetMode="External"/><Relationship Id="rId29" Type="http://schemas.openxmlformats.org/officeDocument/2006/relationships/hyperlink" Target="https://pubmed.ncbi.nlm.nih.gov/2713207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confed.org/system/files/2021-11/Digital-transformation-in-community-health-services.pdf" TargetMode="External"/><Relationship Id="rId32" Type="http://schemas.openxmlformats.org/officeDocument/2006/relationships/hyperlink" Target="https://www.jmir.org/2021/10/e31374/" TargetMode="External"/><Relationship Id="rId37" Type="http://schemas.openxmlformats.org/officeDocument/2006/relationships/footer" Target="footer2.xm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tandfonline.com/doi/abs/10.1080/14780887.2020.1769238" TargetMode="External"/><Relationship Id="rId23" Type="http://schemas.openxmlformats.org/officeDocument/2006/relationships/hyperlink" Target="https://pubmed.ncbi.nlm.nih.gov/35440082/" TargetMode="External"/><Relationship Id="rId28" Type="http://schemas.openxmlformats.org/officeDocument/2006/relationships/hyperlink" Target="https://pubmed.ncbi.nlm.nih.gov/32580977/" TargetMode="External"/><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jmir.org/2017/11/e367/" TargetMode="External"/><Relationship Id="rId31" Type="http://schemas.openxmlformats.org/officeDocument/2006/relationships/hyperlink" Target="https://pubmed.ncbi.nlm.nih.gov/299395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mir.org/2017/1/e18/" TargetMode="External"/><Relationship Id="rId22" Type="http://schemas.openxmlformats.org/officeDocument/2006/relationships/hyperlink" Target="https://pubmed.ncbi.nlm.nih.gov/35440082/" TargetMode="External"/><Relationship Id="rId27" Type="http://schemas.openxmlformats.org/officeDocument/2006/relationships/hyperlink" Target="https://bmjopen.bmj.com/content/13/11/e075152" TargetMode="External"/><Relationship Id="rId30" Type="http://schemas.openxmlformats.org/officeDocument/2006/relationships/hyperlink" Target="https://pubmed.ncbi.nlm.nih.gov/27252245/"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45b623c2a596617fdfdac7199fb99c37">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7fdfb0482b05684cc66a26096ac977e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2AB929-0DD8-4274-8287-4A376679A957}">
  <ds:schemaRefs>
    <ds:schemaRef ds:uri="http://schemas.openxmlformats.org/officeDocument/2006/bibliography"/>
  </ds:schemaRefs>
</ds:datastoreItem>
</file>

<file path=customXml/itemProps2.xml><?xml version="1.0" encoding="utf-8"?>
<ds:datastoreItem xmlns:ds="http://schemas.openxmlformats.org/officeDocument/2006/customXml" ds:itemID="{A00D5910-FA56-421D-854A-96FC3AC33D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34C9BD-7B22-4A43-A7E0-BC5634C1F67C}">
  <ds:schemaRefs>
    <ds:schemaRef ds:uri="http://schemas.openxmlformats.org/package/2006/metadata/core-properties"/>
    <ds:schemaRef ds:uri="http://purl.org/dc/elements/1.1/"/>
    <ds:schemaRef ds:uri="http://purl.org/dc/dcmitype/"/>
    <ds:schemaRef ds:uri="http://schemas.microsoft.com/office/2006/metadata/properties"/>
    <ds:schemaRef ds:uri="b6c735d2-3114-479d-9f38-f4e14bc16876"/>
    <ds:schemaRef ds:uri="http://www.w3.org/XML/1998/namespace"/>
    <ds:schemaRef ds:uri="http://schemas.microsoft.com/office/2006/documentManagement/types"/>
    <ds:schemaRef ds:uri="http://schemas.microsoft.com/office/infopath/2007/PartnerControls"/>
    <ds:schemaRef ds:uri="bd58668a-75ed-4e88-8b6f-7357ab2eb406"/>
    <ds:schemaRef ds:uri="http://purl.org/dc/terms/"/>
  </ds:schemaRefs>
</ds:datastoreItem>
</file>

<file path=customXml/itemProps4.xml><?xml version="1.0" encoding="utf-8"?>
<ds:datastoreItem xmlns:ds="http://schemas.openxmlformats.org/officeDocument/2006/customXml" ds:itemID="{35DDEC4E-23CE-4550-9A10-76147239D3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4412</Words>
  <Characters>28373</Characters>
  <Application>Microsoft Office Word</Application>
  <DocSecurity>0</DocSecurity>
  <Lines>591</Lines>
  <Paragraphs>185</Paragraphs>
  <ScaleCrop>false</ScaleCrop>
  <Company/>
  <LinksUpToDate>false</LinksUpToDate>
  <CharactersWithSpaces>32600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Fatemeh Heydari (2323552)</cp:lastModifiedBy>
  <cp:revision>2</cp:revision>
  <dcterms:created xsi:type="dcterms:W3CDTF">2025-12-07T21:55:00Z</dcterms:created>
  <dcterms:modified xsi:type="dcterms:W3CDTF">2025-12-07T21:55:00Z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