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9673B"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002B6467"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65C0FEBD"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78AFFE66"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5B20FA8D"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6EBABDFD"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5A4E89E8"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2988EC71" w14:textId="77777777" w:rsidR="00E90FEA" w:rsidRDefault="00E90FEA" w:rsidP="002A7BB2">
      <w:pPr>
        <w:spacing w:line="360" w:lineRule="auto"/>
        <w:jc w:val="center"/>
        <w:rPr>
          <w:rStyle w:val="normaltextrun"/>
          <w:rFonts w:ascii="Times New Roman" w:hAnsi="Times New Roman" w:cs="Times New Roman"/>
          <w:b/>
          <w:bCs/>
          <w:color w:val="000000"/>
          <w:sz w:val="32"/>
          <w:szCs w:val="32"/>
          <w:shd w:val="clear" w:color="auto" w:fill="FFFFFF"/>
          <w:lang w:val="en-GB"/>
        </w:rPr>
      </w:pPr>
    </w:p>
    <w:p w14:paraId="638318ED" w14:textId="120D7688" w:rsidR="002A7BB2" w:rsidRPr="007A10D4" w:rsidRDefault="002A7BB2" w:rsidP="002A7BB2">
      <w:pPr>
        <w:spacing w:line="360" w:lineRule="auto"/>
        <w:jc w:val="center"/>
        <w:rPr>
          <w:rStyle w:val="eop"/>
          <w:rFonts w:ascii="Times New Roman" w:hAnsi="Times New Roman" w:cs="Times New Roman"/>
          <w:b/>
          <w:bCs/>
          <w:color w:val="000000"/>
          <w:sz w:val="72"/>
          <w:szCs w:val="72"/>
          <w:shd w:val="clear" w:color="auto" w:fill="FFFFFF"/>
        </w:rPr>
      </w:pPr>
      <w:r w:rsidRPr="007A10D4">
        <w:rPr>
          <w:rStyle w:val="normaltextrun"/>
          <w:rFonts w:ascii="Times New Roman" w:hAnsi="Times New Roman" w:cs="Times New Roman"/>
          <w:b/>
          <w:bCs/>
          <w:color w:val="000000"/>
          <w:sz w:val="72"/>
          <w:szCs w:val="72"/>
          <w:shd w:val="clear" w:color="auto" w:fill="FFFFFF"/>
          <w:lang w:val="en-GB"/>
        </w:rPr>
        <w:t>Law and Legal Practice</w:t>
      </w:r>
    </w:p>
    <w:p w14:paraId="2C078E63" w14:textId="3F6D69DD" w:rsidR="00EF40BE" w:rsidRPr="007A10D4" w:rsidRDefault="105C99F8" w:rsidP="002A7BB2">
      <w:pPr>
        <w:spacing w:line="360" w:lineRule="auto"/>
        <w:jc w:val="center"/>
        <w:rPr>
          <w:rFonts w:ascii="Times New Roman" w:eastAsia="Times New Roman" w:hAnsi="Times New Roman" w:cs="Times New Roman"/>
          <w:b/>
          <w:bCs/>
          <w:sz w:val="24"/>
          <w:szCs w:val="24"/>
        </w:rPr>
      </w:pPr>
      <w:r w:rsidRPr="007A10D4">
        <w:rPr>
          <w:rFonts w:ascii="Times New Roman" w:eastAsia="Times New Roman" w:hAnsi="Times New Roman" w:cs="Times New Roman"/>
          <w:b/>
          <w:bCs/>
          <w:sz w:val="24"/>
          <w:szCs w:val="24"/>
        </w:rPr>
        <w:t>Public law essay</w:t>
      </w:r>
    </w:p>
    <w:p w14:paraId="05D0BAEB" w14:textId="77777777" w:rsidR="007A10D4" w:rsidRDefault="007A10D4" w:rsidP="007A10D4">
      <w:pPr>
        <w:spacing w:line="360" w:lineRule="auto"/>
        <w:jc w:val="center"/>
        <w:rPr>
          <w:rFonts w:ascii="Arial" w:hAnsi="Arial" w:cs="Arial"/>
          <w:b/>
          <w:bCs/>
          <w:sz w:val="36"/>
          <w:szCs w:val="36"/>
          <w:shd w:val="clear" w:color="auto" w:fill="FFFFFF"/>
        </w:rPr>
      </w:pPr>
    </w:p>
    <w:p w14:paraId="339F719C" w14:textId="77777777" w:rsidR="007A10D4" w:rsidRDefault="007A10D4" w:rsidP="007A10D4">
      <w:pPr>
        <w:spacing w:line="360" w:lineRule="auto"/>
        <w:jc w:val="center"/>
        <w:rPr>
          <w:rFonts w:ascii="Arial" w:hAnsi="Arial" w:cs="Arial"/>
          <w:b/>
          <w:bCs/>
          <w:sz w:val="36"/>
          <w:szCs w:val="36"/>
          <w:shd w:val="clear" w:color="auto" w:fill="FFFFFF"/>
        </w:rPr>
      </w:pPr>
      <w:r w:rsidRPr="00971C1A">
        <w:rPr>
          <w:rFonts w:ascii="Arial" w:hAnsi="Arial" w:cs="Arial"/>
          <w:b/>
          <w:bCs/>
          <w:sz w:val="36"/>
          <w:szCs w:val="36"/>
          <w:shd w:val="clear" w:color="auto" w:fill="FFFFFF"/>
        </w:rPr>
        <w:t>Student ID:</w:t>
      </w:r>
      <w:r>
        <w:rPr>
          <w:rFonts w:ascii="Arial" w:hAnsi="Arial" w:cs="Arial"/>
          <w:b/>
          <w:bCs/>
          <w:sz w:val="36"/>
          <w:szCs w:val="36"/>
          <w:shd w:val="clear" w:color="auto" w:fill="FFFFFF"/>
        </w:rPr>
        <w:t>2224513</w:t>
      </w:r>
    </w:p>
    <w:p w14:paraId="06D635E8" w14:textId="77777777" w:rsidR="007A10D4" w:rsidRPr="00971C1A" w:rsidRDefault="007A10D4" w:rsidP="007A10D4">
      <w:pPr>
        <w:spacing w:line="360" w:lineRule="auto"/>
        <w:jc w:val="center"/>
        <w:rPr>
          <w:rFonts w:ascii="Arial" w:hAnsi="Arial" w:cs="Arial"/>
          <w:b/>
          <w:bCs/>
          <w:sz w:val="36"/>
          <w:szCs w:val="36"/>
          <w:shd w:val="clear" w:color="auto" w:fill="FFFFFF"/>
        </w:rPr>
      </w:pPr>
      <w:r>
        <w:rPr>
          <w:rFonts w:ascii="Arial" w:hAnsi="Arial" w:cs="Arial"/>
          <w:b/>
          <w:bCs/>
          <w:sz w:val="36"/>
          <w:szCs w:val="36"/>
          <w:shd w:val="clear" w:color="auto" w:fill="FFFFFF"/>
        </w:rPr>
        <w:t xml:space="preserve">Student </w:t>
      </w:r>
      <w:proofErr w:type="spellStart"/>
      <w:r>
        <w:rPr>
          <w:rFonts w:ascii="Arial" w:hAnsi="Arial" w:cs="Arial"/>
          <w:b/>
          <w:bCs/>
          <w:sz w:val="36"/>
          <w:szCs w:val="36"/>
          <w:shd w:val="clear" w:color="auto" w:fill="FFFFFF"/>
        </w:rPr>
        <w:t>Name:Constantin</w:t>
      </w:r>
      <w:proofErr w:type="spellEnd"/>
      <w:r>
        <w:rPr>
          <w:rFonts w:ascii="Arial" w:hAnsi="Arial" w:cs="Arial"/>
          <w:b/>
          <w:bCs/>
          <w:sz w:val="36"/>
          <w:szCs w:val="36"/>
          <w:shd w:val="clear" w:color="auto" w:fill="FFFFFF"/>
        </w:rPr>
        <w:t xml:space="preserve"> Ionescu</w:t>
      </w:r>
    </w:p>
    <w:p w14:paraId="62DEBCA7" w14:textId="77777777" w:rsidR="007A10D4" w:rsidRPr="00971C1A" w:rsidRDefault="007A10D4" w:rsidP="007A10D4">
      <w:pPr>
        <w:spacing w:line="360" w:lineRule="auto"/>
        <w:jc w:val="center"/>
        <w:rPr>
          <w:rFonts w:ascii="Arial" w:hAnsi="Arial" w:cs="Arial"/>
          <w:sz w:val="36"/>
          <w:szCs w:val="36"/>
        </w:rPr>
      </w:pPr>
      <w:r w:rsidRPr="00971C1A">
        <w:rPr>
          <w:rFonts w:ascii="Arial" w:hAnsi="Arial" w:cs="Arial"/>
          <w:b/>
          <w:bCs/>
          <w:sz w:val="36"/>
          <w:szCs w:val="36"/>
          <w:shd w:val="clear" w:color="auto" w:fill="FFFFFF"/>
        </w:rPr>
        <w:t>Date of submission</w:t>
      </w:r>
      <w:r>
        <w:rPr>
          <w:rFonts w:ascii="Arial" w:hAnsi="Arial" w:cs="Arial"/>
          <w:b/>
          <w:bCs/>
          <w:sz w:val="36"/>
          <w:szCs w:val="36"/>
          <w:shd w:val="clear" w:color="auto" w:fill="FFFFFF"/>
        </w:rPr>
        <w:t>:10.03.2023</w:t>
      </w:r>
    </w:p>
    <w:p w14:paraId="15F8356D" w14:textId="77777777" w:rsidR="007A10D4" w:rsidRPr="00971C1A" w:rsidRDefault="007A10D4" w:rsidP="007A10D4">
      <w:pPr>
        <w:spacing w:line="360" w:lineRule="auto"/>
        <w:jc w:val="both"/>
        <w:rPr>
          <w:rFonts w:ascii="Arial" w:hAnsi="Arial" w:cs="Arial"/>
          <w:sz w:val="24"/>
          <w:szCs w:val="24"/>
        </w:rPr>
      </w:pPr>
    </w:p>
    <w:p w14:paraId="66132D78" w14:textId="6A8C83A0" w:rsidR="00E90FEA" w:rsidRPr="007A10D4" w:rsidRDefault="007A10D4" w:rsidP="007A10D4">
      <w:pPr>
        <w:spacing w:line="360" w:lineRule="auto"/>
        <w:rPr>
          <w:rFonts w:ascii="Arial" w:hAnsi="Arial" w:cs="Arial"/>
          <w:sz w:val="24"/>
          <w:szCs w:val="24"/>
        </w:rPr>
      </w:pPr>
      <w:r w:rsidRPr="00971C1A">
        <w:rPr>
          <w:rFonts w:ascii="Arial" w:hAnsi="Arial" w:cs="Arial"/>
          <w:sz w:val="24"/>
          <w:szCs w:val="24"/>
        </w:rPr>
        <w:br w:type="page"/>
      </w:r>
    </w:p>
    <w:p w14:paraId="7034832C" w14:textId="503D9893" w:rsidR="18D0663F" w:rsidRPr="00E90FEA" w:rsidRDefault="6E3C172B" w:rsidP="00E90FEA">
      <w:pPr>
        <w:pStyle w:val="Heading1"/>
        <w:spacing w:line="240" w:lineRule="auto"/>
        <w:rPr>
          <w:rFonts w:ascii="Times New Roman" w:eastAsia="Times New Roman" w:hAnsi="Times New Roman" w:cs="Times New Roman"/>
          <w:b/>
          <w:bCs/>
          <w:color w:val="auto"/>
          <w:sz w:val="24"/>
          <w:szCs w:val="24"/>
        </w:rPr>
      </w:pPr>
      <w:r w:rsidRPr="6E3C172B">
        <w:rPr>
          <w:rFonts w:ascii="Times New Roman" w:eastAsia="Times New Roman" w:hAnsi="Times New Roman" w:cs="Times New Roman"/>
          <w:b/>
          <w:bCs/>
          <w:color w:val="auto"/>
          <w:sz w:val="24"/>
          <w:szCs w:val="24"/>
        </w:rPr>
        <w:lastRenderedPageBreak/>
        <w:t>Impacts of A Bill of Rights on the application of the law to individuals.</w:t>
      </w:r>
    </w:p>
    <w:p w14:paraId="7526445D" w14:textId="392CE60F" w:rsidR="6E3C172B" w:rsidRDefault="6E3C172B" w:rsidP="6E3C172B">
      <w:pPr>
        <w:spacing w:line="360" w:lineRule="auto"/>
        <w:ind w:firstLine="720"/>
        <w:jc w:val="both"/>
        <w:rPr>
          <w:rFonts w:ascii="Times New Roman" w:eastAsia="Times New Roman" w:hAnsi="Times New Roman" w:cs="Times New Roman"/>
          <w:color w:val="000000" w:themeColor="text1"/>
          <w:sz w:val="24"/>
          <w:szCs w:val="24"/>
          <w:lang w:val="en-GB"/>
        </w:rPr>
      </w:pPr>
      <w:r w:rsidRPr="6E3C172B">
        <w:rPr>
          <w:rFonts w:ascii="Times New Roman" w:eastAsia="Times New Roman" w:hAnsi="Times New Roman" w:cs="Times New Roman"/>
          <w:sz w:val="24"/>
          <w:szCs w:val="24"/>
        </w:rPr>
        <w:t>The Human Rights Act of 1998 would be replaced by the Rights (Bill of Rights) Bill, as proposed by the British government. Detractors of the bill say that it may damage the rule of law and limit individuals' ability to protect their human rights. The Human Rights Act of 1998 established a framework for the protection of human rights in the UK by incorporating the ECHR into UK legislation. Its foundation will be altered by the proposed Bill of Rights Bill, raising concerns about how successfully the Kingdom promotes human rights (Foster, 2022). The proposed legislation raises questions about public law's ability to uphold the rule of law and safeguard individual rights.</w:t>
      </w:r>
    </w:p>
    <w:p w14:paraId="033C0E11" w14:textId="3E81784F" w:rsidR="6E3C172B" w:rsidRDefault="6E3C172B" w:rsidP="6E3C172B">
      <w:pPr>
        <w:spacing w:line="360" w:lineRule="auto"/>
        <w:ind w:firstLine="720"/>
        <w:jc w:val="both"/>
        <w:rPr>
          <w:rFonts w:ascii="Times New Roman" w:eastAsia="Times New Roman" w:hAnsi="Times New Roman" w:cs="Times New Roman"/>
          <w:sz w:val="24"/>
          <w:szCs w:val="24"/>
        </w:rPr>
      </w:pPr>
      <w:r w:rsidRPr="6E3C172B">
        <w:rPr>
          <w:rFonts w:ascii="Times New Roman" w:eastAsia="Times New Roman" w:hAnsi="Times New Roman" w:cs="Times New Roman"/>
          <w:sz w:val="24"/>
          <w:szCs w:val="24"/>
        </w:rPr>
        <w:t xml:space="preserve">The HRA of 1998, the Bill of Rights Bill, and the ECHR of 1950 will all be covered in this essay. </w:t>
      </w:r>
      <w:r w:rsidRPr="6E3C172B">
        <w:rPr>
          <w:rFonts w:ascii="Times New Roman" w:eastAsia="Times New Roman" w:hAnsi="Times New Roman" w:cs="Times New Roman"/>
          <w:sz w:val="24"/>
          <w:szCs w:val="24"/>
          <w:lang w:val="en-GB"/>
        </w:rPr>
        <w:t>The HRA of 1998 would be repealed and the ECHR would take its place under the Bill of Rights Bill, a planned piece of legislation in the UK (Sweeny, 2010). The Human Rights Act of 1998 will be replaced by a new system for safeguarding human rights in the UK. The proposed UK Bill of Rights has these as its key aims and objectives. The government claims that the new legislation will increase transparency and clarity while giving UK judges more latitude in how to interpret and apply human rights law. The Legislation of Rights Bill is expected to address a number of contentious issues surrounding the HRA, including how UK courts should interact with the European Court of Human Rights, how human rights law ought to be applied in cases involving immigration and national security, and the extent of human rights protections provided by UK law. The proposed legislation has drawn criticism from many because they believe it might harm the UK's legal system and lessen protections for human rights (Fekete, 2005). They have expressed worry that the Bill of Rights Bill would detract from the reputation of global human rights groups and make it more challenging for those who are most helpless to pursue justice.</w:t>
      </w:r>
    </w:p>
    <w:p w14:paraId="41F4C9F3" w14:textId="4556FB4C" w:rsidR="6E3C172B" w:rsidRDefault="6E3C172B" w:rsidP="00AD2184">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The ECHR is incorporated into British law through the Human Rights Act of 1998, (Amos, 2012). It permits the legal application of the freedoms and rights protected by the ECHR in addition to obliging UK government bodies to preserve these rights. The Act, which has been applied in situations involving, among other things, equality, privacy, and freedom of expression, provides a framework for people to defend their human rights in UK courts.</w:t>
      </w:r>
    </w:p>
    <w:p w14:paraId="2BD44411" w14:textId="77286DDA" w:rsidR="6E3C172B" w:rsidRDefault="6E3C172B" w:rsidP="6E3C172B">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 xml:space="preserve">The UK government has proposed the Bill of Rights Bill to provide a new framework for the protection of human rights in the UK. The HRA of 1998, which incorporated the ECHR into </w:t>
      </w:r>
      <w:r w:rsidRPr="6E3C172B">
        <w:rPr>
          <w:rFonts w:ascii="Times New Roman" w:eastAsia="Times New Roman" w:hAnsi="Times New Roman" w:cs="Times New Roman"/>
          <w:sz w:val="24"/>
          <w:szCs w:val="24"/>
          <w:lang w:val="en-GB"/>
        </w:rPr>
        <w:lastRenderedPageBreak/>
        <w:t>UK legislation, prompted calls for change and criticism of the government. The new legislation seeks to make human rights law more understandable and accessible while also giving UK judges more latitude in how to apply and interpret it (The Guardian, 2021). However, there is a lot of debate surrounding the proposal, with some claiming that it may make the UK less committed to upholding the rule of law and safeguarding human rights.</w:t>
      </w:r>
    </w:p>
    <w:p w14:paraId="398CCB1F" w14:textId="3B8B7093" w:rsidR="6E3C172B" w:rsidRDefault="6E3C172B" w:rsidP="6E3C172B">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 xml:space="preserve">The HRA of 1998 would be abolished, replaced, and a new legal framework for the </w:t>
      </w:r>
      <w:proofErr w:type="spellStart"/>
      <w:r w:rsidRPr="6E3C172B">
        <w:rPr>
          <w:rFonts w:ascii="Times New Roman" w:eastAsia="Times New Roman" w:hAnsi="Times New Roman" w:cs="Times New Roman"/>
          <w:sz w:val="24"/>
          <w:szCs w:val="24"/>
          <w:lang w:val="en-GB"/>
        </w:rPr>
        <w:t>defense</w:t>
      </w:r>
      <w:proofErr w:type="spellEnd"/>
      <w:r w:rsidRPr="6E3C172B">
        <w:rPr>
          <w:rFonts w:ascii="Times New Roman" w:eastAsia="Times New Roman" w:hAnsi="Times New Roman" w:cs="Times New Roman"/>
          <w:sz w:val="24"/>
          <w:szCs w:val="24"/>
          <w:lang w:val="en-GB"/>
        </w:rPr>
        <w:t xml:space="preserve"> of human rights in the UK, according to the UK government. Some of the contentious issues that the Bill of Rights Bill, in the government's opinion, could address include the relationship between UK courts and the European Court of Human Rights, the application of human rights law in immigration and national security cases, and the extent of human rights protections under UK law. The UK government also stated that the new laws would strive to maintain the same level of human rights protections as the existing system, which ratifies the ECHR through the HRA of 1998.</w:t>
      </w:r>
    </w:p>
    <w:p w14:paraId="1AB66A78" w14:textId="7A354234" w:rsidR="6E3C172B" w:rsidRPr="00AD2184" w:rsidRDefault="7F979643" w:rsidP="00AD2184">
      <w:pPr>
        <w:spacing w:line="360" w:lineRule="auto"/>
        <w:ind w:firstLine="720"/>
        <w:jc w:val="both"/>
      </w:pPr>
      <w:r w:rsidRPr="7F979643">
        <w:rPr>
          <w:rFonts w:ascii="Times New Roman" w:eastAsia="Times New Roman" w:hAnsi="Times New Roman" w:cs="Times New Roman"/>
          <w:sz w:val="24"/>
          <w:szCs w:val="24"/>
          <w:lang w:val="en-GB"/>
        </w:rPr>
        <w:t>Administration has also claimed that the Bill of Rights Bill will aim to bring clarity and openness to human rights law rather than alter the existing structure (Douglas-Scott, 2011).</w:t>
      </w:r>
      <w:r w:rsidR="00AD2184">
        <w:t xml:space="preserve"> </w:t>
      </w:r>
      <w:r w:rsidR="6E3C172B" w:rsidRPr="6E3C172B">
        <w:rPr>
          <w:rFonts w:ascii="Times New Roman" w:eastAsia="Times New Roman" w:hAnsi="Times New Roman" w:cs="Times New Roman"/>
          <w:sz w:val="24"/>
          <w:szCs w:val="24"/>
          <w:lang w:val="en-GB"/>
        </w:rPr>
        <w:t>Benefits and drawbacks of the changes being considered as part of the Bill of Rights Bill are listed below. Supporters of the plan assert that it will improve the clarity and transparency of human rights law as well as the ability of UK courts to understand and apply it (Campbell, 2011). This might lead to the development of a stronger and more effective framework for the protection of human rights in the UK. Critics claim that the amendments could erode the UK's commitment to the rule of law, cast doubt on the applicability of international human rights law, and restrict the access of marginalized groups to the legal system. It is crucial to keep in mind that the proposed legislation's details are still up in the air.</w:t>
      </w:r>
    </w:p>
    <w:p w14:paraId="5D546A0E" w14:textId="0ED63E8E" w:rsidR="6E3C172B" w:rsidRDefault="6E3C172B" w:rsidP="6E3C172B">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 xml:space="preserve">Many recommendations have been made to increase the UK's protections for human rights in addition to the proposed Bill of Rights Bill. As an alternative to the HRA, a UK Bill of Rights might be written outlining the fundamental liberties and rights of UK residents. Another choice to change how UK human rights law is applied is to establish a separate court or tribunal to deal with matters affecting human rights. Some campaigners have also encouraged the UK to draft a written constitution to provide the </w:t>
      </w:r>
      <w:proofErr w:type="spellStart"/>
      <w:r w:rsidRPr="6E3C172B">
        <w:rPr>
          <w:rFonts w:ascii="Times New Roman" w:eastAsia="Times New Roman" w:hAnsi="Times New Roman" w:cs="Times New Roman"/>
          <w:sz w:val="24"/>
          <w:szCs w:val="24"/>
          <w:lang w:val="en-GB"/>
        </w:rPr>
        <w:t>defense</w:t>
      </w:r>
      <w:proofErr w:type="spellEnd"/>
      <w:r w:rsidRPr="6E3C172B">
        <w:rPr>
          <w:rFonts w:ascii="Times New Roman" w:eastAsia="Times New Roman" w:hAnsi="Times New Roman" w:cs="Times New Roman"/>
          <w:sz w:val="24"/>
          <w:szCs w:val="24"/>
          <w:lang w:val="en-GB"/>
        </w:rPr>
        <w:t xml:space="preserve"> of human rights with a better legal foundation.</w:t>
      </w:r>
    </w:p>
    <w:p w14:paraId="0104958D" w14:textId="1FCF17C7" w:rsidR="6E3C172B" w:rsidRDefault="6E3C172B" w:rsidP="6E3C172B">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The (ECHR) was founded as an international agreement in 1950 to protect basic liberties and human rights in Europe (</w:t>
      </w:r>
      <w:proofErr w:type="spellStart"/>
      <w:r w:rsidRPr="6E3C172B">
        <w:rPr>
          <w:rFonts w:ascii="Times New Roman" w:eastAsia="Times New Roman" w:hAnsi="Times New Roman" w:cs="Times New Roman"/>
          <w:sz w:val="24"/>
          <w:szCs w:val="24"/>
          <w:lang w:val="en-GB"/>
        </w:rPr>
        <w:t>Jacqué</w:t>
      </w:r>
      <w:proofErr w:type="spellEnd"/>
      <w:r w:rsidRPr="6E3C172B">
        <w:rPr>
          <w:rFonts w:ascii="Times New Roman" w:eastAsia="Times New Roman" w:hAnsi="Times New Roman" w:cs="Times New Roman"/>
          <w:sz w:val="24"/>
          <w:szCs w:val="24"/>
          <w:lang w:val="en-GB"/>
        </w:rPr>
        <w:t xml:space="preserve">, 2011). To ensure that such crimes would never again be </w:t>
      </w:r>
      <w:r w:rsidRPr="6E3C172B">
        <w:rPr>
          <w:rFonts w:ascii="Times New Roman" w:eastAsia="Times New Roman" w:hAnsi="Times New Roman" w:cs="Times New Roman"/>
          <w:sz w:val="24"/>
          <w:szCs w:val="24"/>
          <w:lang w:val="en-GB"/>
        </w:rPr>
        <w:lastRenderedPageBreak/>
        <w:t>committed, the Convention was established in response to the horrors committed during World War II and its aftermath. Several fundamental freedoms and rights are outlined in the ECHR, such as the right to life, an end to torture, and the right to a fair trial. In compliance with the Convention, the European Court of Human Rights was established to hear complaints from individuals or organizations who assert their legal rights had been violated.</w:t>
      </w:r>
    </w:p>
    <w:p w14:paraId="68FCCE4A" w14:textId="7D9E5EDB" w:rsidR="6E3C172B" w:rsidRDefault="6E3C172B" w:rsidP="6E3C172B">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The European Union (Withdrawal) Act 2018 was passed to speed up the UK's exit from the EU (European Union Withdrawal Act, 2018). The Act repeals the European Communities Act of 1972, which created the UK's membership in the EU and made EU laws British law. Since it was formerly governed by EU law in several areas, including employment law and environmental law, the UK legal system can continue to operate and remain stable after Brexit. The Act gives UK ministers the authority to amend or repeal EU-obtained legislation in order to preserve its legal status after Brexit. There are concerns that the UK government may undermine or remove crucial safeguards as a result, such as those for the environment, as a result.</w:t>
      </w:r>
    </w:p>
    <w:p w14:paraId="1D66D42A" w14:textId="4EC41A1E" w:rsidR="6E3C172B" w:rsidRDefault="6E3C172B" w:rsidP="00AD2184">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The ECA of 1972 had a significant impact on the UK's entry to the EEC, which eventually developed into the E</w:t>
      </w:r>
      <w:r w:rsidR="00AD2184">
        <w:rPr>
          <w:rFonts w:ascii="Times New Roman" w:eastAsia="Times New Roman" w:hAnsi="Times New Roman" w:cs="Times New Roman"/>
          <w:sz w:val="24"/>
          <w:szCs w:val="24"/>
          <w:lang w:val="en-GB"/>
        </w:rPr>
        <w:t>U</w:t>
      </w:r>
      <w:r w:rsidRPr="6E3C172B">
        <w:rPr>
          <w:rFonts w:ascii="Times New Roman" w:eastAsia="Times New Roman" w:hAnsi="Times New Roman" w:cs="Times New Roman"/>
          <w:sz w:val="24"/>
          <w:szCs w:val="24"/>
          <w:lang w:val="en-GB"/>
        </w:rPr>
        <w:t>.</w:t>
      </w:r>
      <w:r w:rsidR="00AD2184">
        <w:rPr>
          <w:rFonts w:ascii="Times New Roman" w:eastAsia="Times New Roman" w:hAnsi="Times New Roman" w:cs="Times New Roman"/>
          <w:sz w:val="24"/>
          <w:szCs w:val="24"/>
          <w:lang w:val="en-GB"/>
        </w:rPr>
        <w:t xml:space="preserve"> </w:t>
      </w:r>
      <w:r w:rsidRPr="6E3C172B">
        <w:rPr>
          <w:rFonts w:ascii="Times New Roman" w:eastAsia="Times New Roman" w:hAnsi="Times New Roman" w:cs="Times New Roman"/>
          <w:sz w:val="24"/>
          <w:szCs w:val="24"/>
          <w:lang w:val="en-GB"/>
        </w:rPr>
        <w:t xml:space="preserve">The Act required UK courts to uphold EU laws and made them enforceable in the country. Additionally, it enabled any conflicts between local law and EU law to be settled in </w:t>
      </w:r>
      <w:proofErr w:type="spellStart"/>
      <w:r w:rsidRPr="6E3C172B">
        <w:rPr>
          <w:rFonts w:ascii="Times New Roman" w:eastAsia="Times New Roman" w:hAnsi="Times New Roman" w:cs="Times New Roman"/>
          <w:sz w:val="24"/>
          <w:szCs w:val="24"/>
          <w:lang w:val="en-GB"/>
        </w:rPr>
        <w:t>favor</w:t>
      </w:r>
      <w:proofErr w:type="spellEnd"/>
      <w:r w:rsidRPr="6E3C172B">
        <w:rPr>
          <w:rFonts w:ascii="Times New Roman" w:eastAsia="Times New Roman" w:hAnsi="Times New Roman" w:cs="Times New Roman"/>
          <w:sz w:val="24"/>
          <w:szCs w:val="24"/>
          <w:lang w:val="en-GB"/>
        </w:rPr>
        <w:t xml:space="preserve"> of EU law. Several EU </w:t>
      </w:r>
      <w:proofErr w:type="spellStart"/>
      <w:r w:rsidRPr="6E3C172B">
        <w:rPr>
          <w:rFonts w:ascii="Times New Roman" w:eastAsia="Times New Roman" w:hAnsi="Times New Roman" w:cs="Times New Roman"/>
          <w:sz w:val="24"/>
          <w:szCs w:val="24"/>
          <w:lang w:val="en-GB"/>
        </w:rPr>
        <w:t>legislationsnotably</w:t>
      </w:r>
      <w:proofErr w:type="spellEnd"/>
      <w:r w:rsidRPr="6E3C172B">
        <w:rPr>
          <w:rFonts w:ascii="Times New Roman" w:eastAsia="Times New Roman" w:hAnsi="Times New Roman" w:cs="Times New Roman"/>
          <w:sz w:val="24"/>
          <w:szCs w:val="24"/>
          <w:lang w:val="en-GB"/>
        </w:rPr>
        <w:t xml:space="preserve"> those that protect consumers, workers, and the environment, were able to be ratified by the UK as a result (</w:t>
      </w:r>
      <w:proofErr w:type="spellStart"/>
      <w:r w:rsidRPr="6E3C172B">
        <w:rPr>
          <w:rFonts w:ascii="Times New Roman" w:eastAsia="Times New Roman" w:hAnsi="Times New Roman" w:cs="Times New Roman"/>
          <w:sz w:val="24"/>
          <w:szCs w:val="24"/>
          <w:lang w:val="en-GB"/>
        </w:rPr>
        <w:t>Mantouvalou</w:t>
      </w:r>
      <w:proofErr w:type="spellEnd"/>
      <w:r w:rsidRPr="6E3C172B">
        <w:rPr>
          <w:rFonts w:ascii="Times New Roman" w:eastAsia="Times New Roman" w:hAnsi="Times New Roman" w:cs="Times New Roman"/>
          <w:sz w:val="24"/>
          <w:szCs w:val="24"/>
          <w:lang w:val="en-GB"/>
        </w:rPr>
        <w:t>, 2013). The Act backed the notion of "ever closer union" and provided EU member states with a legal framework for cooperation, making it essential for the UK's relations with the EU. Despite this, the Act sparked debate since some felt it undermined the UK parliament's sovereignty and gave the EU too much power.</w:t>
      </w:r>
    </w:p>
    <w:p w14:paraId="1BE8710F" w14:textId="2BAEB742" w:rsidR="6E3C172B" w:rsidRDefault="6E3C172B" w:rsidP="6E3C172B">
      <w:pPr>
        <w:spacing w:line="360" w:lineRule="auto"/>
        <w:ind w:firstLine="720"/>
        <w:jc w:val="both"/>
        <w:rPr>
          <w:rFonts w:ascii="Times New Roman" w:eastAsia="Times New Roman" w:hAnsi="Times New Roman" w:cs="Times New Roman"/>
          <w:sz w:val="24"/>
          <w:szCs w:val="24"/>
          <w:lang w:val="en-GB"/>
        </w:rPr>
      </w:pPr>
      <w:r w:rsidRPr="6E3C172B">
        <w:rPr>
          <w:rFonts w:ascii="Times New Roman" w:eastAsia="Times New Roman" w:hAnsi="Times New Roman" w:cs="Times New Roman"/>
          <w:sz w:val="24"/>
          <w:szCs w:val="24"/>
          <w:lang w:val="en-GB"/>
        </w:rPr>
        <w:t xml:space="preserve">In conclusion, Significant pieces of legislation that have had a significant impact on the legal system and relationship of the UK with the EU include the ECA of 1872, the Human Rights Act of 1998, the ECHR of 1950, the EU(Withdrawal) Act of 2018, and the Bill of Rights Bill. The primary goals of the Bill of Rights Bill are to uphold judicial independence, safeguard individual liberties, and fix issues in the 1998 HRA. Constitution-based safeguards </w:t>
      </w:r>
      <w:proofErr w:type="spellStart"/>
      <w:r w:rsidRPr="6E3C172B">
        <w:rPr>
          <w:rFonts w:ascii="Times New Roman" w:eastAsia="Times New Roman" w:hAnsi="Times New Roman" w:cs="Times New Roman"/>
          <w:sz w:val="24"/>
          <w:szCs w:val="24"/>
          <w:lang w:val="en-GB"/>
        </w:rPr>
        <w:t>defense</w:t>
      </w:r>
      <w:proofErr w:type="spellEnd"/>
      <w:r w:rsidRPr="6E3C172B">
        <w:rPr>
          <w:rFonts w:ascii="Times New Roman" w:eastAsia="Times New Roman" w:hAnsi="Times New Roman" w:cs="Times New Roman"/>
          <w:sz w:val="24"/>
          <w:szCs w:val="24"/>
          <w:lang w:val="en-GB"/>
        </w:rPr>
        <w:t xml:space="preserve"> of judicial independence, protection of individual liberties, and redress of issues with the 1998 HRA are the key goals of the statute. In response to criticisms of the HRA, the Act was created to provide uniformity and clarity in the </w:t>
      </w:r>
      <w:proofErr w:type="spellStart"/>
      <w:r w:rsidRPr="6E3C172B">
        <w:rPr>
          <w:rFonts w:ascii="Times New Roman" w:eastAsia="Times New Roman" w:hAnsi="Times New Roman" w:cs="Times New Roman"/>
          <w:sz w:val="24"/>
          <w:szCs w:val="24"/>
          <w:lang w:val="en-GB"/>
        </w:rPr>
        <w:t>defense</w:t>
      </w:r>
      <w:proofErr w:type="spellEnd"/>
      <w:r w:rsidRPr="6E3C172B">
        <w:rPr>
          <w:rFonts w:ascii="Times New Roman" w:eastAsia="Times New Roman" w:hAnsi="Times New Roman" w:cs="Times New Roman"/>
          <w:sz w:val="24"/>
          <w:szCs w:val="24"/>
          <w:lang w:val="en-GB"/>
        </w:rPr>
        <w:t xml:space="preserve"> of human rights. The Bill will significantly modify the current </w:t>
      </w:r>
      <w:r w:rsidRPr="6E3C172B">
        <w:rPr>
          <w:rFonts w:ascii="Times New Roman" w:eastAsia="Times New Roman" w:hAnsi="Times New Roman" w:cs="Times New Roman"/>
          <w:sz w:val="24"/>
          <w:szCs w:val="24"/>
          <w:lang w:val="en-GB"/>
        </w:rPr>
        <w:lastRenderedPageBreak/>
        <w:t>system by limiting the European Court of Human Rights' authority and allowing UK courts to disagree with some of its rulings. The ECHR will continue to be incorporated into UK law, which is a hallmark of the HRA.</w:t>
      </w:r>
    </w:p>
    <w:p w14:paraId="44143404" w14:textId="1B72FE14" w:rsidR="0DA70C65" w:rsidRPr="00E90FEA" w:rsidRDefault="00F20474" w:rsidP="00E90FEA">
      <w:pPr>
        <w:pStyle w:val="Heading1"/>
        <w:spacing w:line="240" w:lineRule="auto"/>
        <w:rPr>
          <w:rFonts w:ascii="Times New Roman" w:eastAsia="Times New Roman" w:hAnsi="Times New Roman" w:cs="Times New Roman"/>
          <w:b/>
          <w:bCs/>
          <w:color w:val="auto"/>
          <w:sz w:val="20"/>
          <w:szCs w:val="20"/>
          <w:lang w:val="en-GB"/>
        </w:rPr>
      </w:pPr>
      <w:r w:rsidRPr="00E90FEA">
        <w:rPr>
          <w:rFonts w:ascii="Times New Roman" w:eastAsia="Times New Roman" w:hAnsi="Times New Roman" w:cs="Times New Roman"/>
          <w:b/>
          <w:bCs/>
          <w:color w:val="auto"/>
          <w:sz w:val="20"/>
          <w:szCs w:val="20"/>
          <w:lang w:val="en-GB"/>
        </w:rPr>
        <w:br w:type="page"/>
      </w:r>
      <w:r w:rsidR="105C99F8" w:rsidRPr="00E90FEA">
        <w:rPr>
          <w:rFonts w:ascii="Times New Roman" w:eastAsia="Times New Roman" w:hAnsi="Times New Roman" w:cs="Times New Roman"/>
          <w:b/>
          <w:bCs/>
          <w:color w:val="auto"/>
          <w:sz w:val="24"/>
          <w:szCs w:val="24"/>
          <w:lang w:val="en-GB"/>
        </w:rPr>
        <w:lastRenderedPageBreak/>
        <w:t>Reference</w:t>
      </w:r>
      <w:r w:rsidRPr="00E90FEA">
        <w:rPr>
          <w:rFonts w:ascii="Times New Roman" w:eastAsia="Times New Roman" w:hAnsi="Times New Roman" w:cs="Times New Roman"/>
          <w:b/>
          <w:bCs/>
          <w:color w:val="auto"/>
          <w:sz w:val="24"/>
          <w:szCs w:val="24"/>
          <w:lang w:val="en-GB"/>
        </w:rPr>
        <w:t>s</w:t>
      </w:r>
    </w:p>
    <w:p w14:paraId="57F22211"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 xml:space="preserve">Amos, M., 2012. The Dialogue between United Kingdom Courts and the European Court of Human Rights. </w:t>
      </w:r>
      <w:r w:rsidRPr="00E90FEA">
        <w:rPr>
          <w:rFonts w:ascii="Times New Roman" w:hAnsi="Times New Roman" w:cs="Times New Roman"/>
          <w:i/>
          <w:iCs/>
          <w:sz w:val="24"/>
          <w:szCs w:val="24"/>
          <w:lang w:val="en-GB"/>
        </w:rPr>
        <w:t>International &amp; Comparative Law Quarterly</w:t>
      </w:r>
      <w:r w:rsidRPr="00E90FEA">
        <w:rPr>
          <w:rFonts w:ascii="Times New Roman" w:hAnsi="Times New Roman" w:cs="Times New Roman"/>
          <w:sz w:val="24"/>
          <w:szCs w:val="24"/>
          <w:lang w:val="en-GB"/>
        </w:rPr>
        <w:t xml:space="preserve">, </w:t>
      </w:r>
      <w:r w:rsidRPr="00E90FEA">
        <w:rPr>
          <w:rFonts w:ascii="Times New Roman" w:hAnsi="Times New Roman" w:cs="Times New Roman"/>
          <w:i/>
          <w:iCs/>
          <w:sz w:val="24"/>
          <w:szCs w:val="24"/>
          <w:lang w:val="en-GB"/>
        </w:rPr>
        <w:t>61</w:t>
      </w:r>
      <w:r w:rsidRPr="00E90FEA">
        <w:rPr>
          <w:rFonts w:ascii="Times New Roman" w:hAnsi="Times New Roman" w:cs="Times New Roman"/>
          <w:sz w:val="24"/>
          <w:szCs w:val="24"/>
          <w:lang w:val="en-GB"/>
        </w:rPr>
        <w:t>(3), pp.557-584.</w:t>
      </w:r>
    </w:p>
    <w:p w14:paraId="7F11D391"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 xml:space="preserve">Campbell, T., Ewing, K.D. and Tomkins, A. eds., 2011. </w:t>
      </w:r>
      <w:r w:rsidRPr="00E90FEA">
        <w:rPr>
          <w:rFonts w:ascii="Times New Roman" w:hAnsi="Times New Roman" w:cs="Times New Roman"/>
          <w:i/>
          <w:iCs/>
          <w:sz w:val="24"/>
          <w:szCs w:val="24"/>
          <w:lang w:val="en-GB"/>
        </w:rPr>
        <w:t>The Legal Protection of Human Rights: Sceptical Essays</w:t>
      </w:r>
      <w:r w:rsidRPr="00E90FEA">
        <w:rPr>
          <w:rFonts w:ascii="Times New Roman" w:hAnsi="Times New Roman" w:cs="Times New Roman"/>
          <w:sz w:val="24"/>
          <w:szCs w:val="24"/>
          <w:lang w:val="en-GB"/>
        </w:rPr>
        <w:t>. Oxford University Press on Demand.</w:t>
      </w:r>
    </w:p>
    <w:p w14:paraId="69EE695E"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 xml:space="preserve">Douglas-Scott, S., 2011. The European Union and human rights after the Treaty of Lisbon. </w:t>
      </w:r>
      <w:r w:rsidRPr="00E90FEA">
        <w:rPr>
          <w:rFonts w:ascii="Times New Roman" w:hAnsi="Times New Roman" w:cs="Times New Roman"/>
          <w:i/>
          <w:iCs/>
          <w:sz w:val="24"/>
          <w:szCs w:val="24"/>
          <w:lang w:val="en-GB"/>
        </w:rPr>
        <w:t>Human rights law review</w:t>
      </w:r>
      <w:r w:rsidRPr="00E90FEA">
        <w:rPr>
          <w:rFonts w:ascii="Times New Roman" w:hAnsi="Times New Roman" w:cs="Times New Roman"/>
          <w:sz w:val="24"/>
          <w:szCs w:val="24"/>
          <w:lang w:val="en-GB"/>
        </w:rPr>
        <w:t xml:space="preserve">, </w:t>
      </w:r>
      <w:r w:rsidRPr="00E90FEA">
        <w:rPr>
          <w:rFonts w:ascii="Times New Roman" w:hAnsi="Times New Roman" w:cs="Times New Roman"/>
          <w:i/>
          <w:iCs/>
          <w:sz w:val="24"/>
          <w:szCs w:val="24"/>
          <w:lang w:val="en-GB"/>
        </w:rPr>
        <w:t>11</w:t>
      </w:r>
      <w:r w:rsidRPr="00E90FEA">
        <w:rPr>
          <w:rFonts w:ascii="Times New Roman" w:hAnsi="Times New Roman" w:cs="Times New Roman"/>
          <w:sz w:val="24"/>
          <w:szCs w:val="24"/>
          <w:lang w:val="en-GB"/>
        </w:rPr>
        <w:t>(4), pp.645-682.</w:t>
      </w:r>
    </w:p>
    <w:p w14:paraId="7A4D398D"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 xml:space="preserve">Fekete, L., 2005. The deportation machine: Europe, asylum and human rights. </w:t>
      </w:r>
      <w:r w:rsidRPr="00E90FEA">
        <w:rPr>
          <w:rFonts w:ascii="Times New Roman" w:hAnsi="Times New Roman" w:cs="Times New Roman"/>
          <w:i/>
          <w:iCs/>
          <w:sz w:val="24"/>
          <w:szCs w:val="24"/>
          <w:lang w:val="en-GB"/>
        </w:rPr>
        <w:t>Race &amp; Class</w:t>
      </w:r>
      <w:r w:rsidRPr="00E90FEA">
        <w:rPr>
          <w:rFonts w:ascii="Times New Roman" w:hAnsi="Times New Roman" w:cs="Times New Roman"/>
          <w:sz w:val="24"/>
          <w:szCs w:val="24"/>
          <w:lang w:val="en-GB"/>
        </w:rPr>
        <w:t xml:space="preserve">, </w:t>
      </w:r>
      <w:r w:rsidRPr="00E90FEA">
        <w:rPr>
          <w:rFonts w:ascii="Times New Roman" w:hAnsi="Times New Roman" w:cs="Times New Roman"/>
          <w:i/>
          <w:iCs/>
          <w:sz w:val="24"/>
          <w:szCs w:val="24"/>
          <w:lang w:val="en-GB"/>
        </w:rPr>
        <w:t>47</w:t>
      </w:r>
      <w:r w:rsidRPr="00E90FEA">
        <w:rPr>
          <w:rFonts w:ascii="Times New Roman" w:hAnsi="Times New Roman" w:cs="Times New Roman"/>
          <w:sz w:val="24"/>
          <w:szCs w:val="24"/>
          <w:lang w:val="en-GB"/>
        </w:rPr>
        <w:t>(1), pp.64-78.</w:t>
      </w:r>
    </w:p>
    <w:p w14:paraId="7FA5C078"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 xml:space="preserve">Foster, S., 2022. Reforming the Human Rights Act 1998 and the Bill of Rights Bill 2022. </w:t>
      </w:r>
      <w:r w:rsidRPr="00E90FEA">
        <w:rPr>
          <w:rFonts w:ascii="Times New Roman" w:hAnsi="Times New Roman" w:cs="Times New Roman"/>
          <w:i/>
          <w:iCs/>
          <w:sz w:val="24"/>
          <w:szCs w:val="24"/>
          <w:lang w:val="en-GB"/>
        </w:rPr>
        <w:t>Coventry Law Journal</w:t>
      </w:r>
      <w:r w:rsidRPr="00E90FEA">
        <w:rPr>
          <w:rFonts w:ascii="Times New Roman" w:hAnsi="Times New Roman" w:cs="Times New Roman"/>
          <w:sz w:val="24"/>
          <w:szCs w:val="24"/>
          <w:lang w:val="en-GB"/>
        </w:rPr>
        <w:t xml:space="preserve">, </w:t>
      </w:r>
      <w:r w:rsidRPr="00E90FEA">
        <w:rPr>
          <w:rFonts w:ascii="Times New Roman" w:hAnsi="Times New Roman" w:cs="Times New Roman"/>
          <w:i/>
          <w:iCs/>
          <w:sz w:val="24"/>
          <w:szCs w:val="24"/>
          <w:lang w:val="en-GB"/>
        </w:rPr>
        <w:t>27</w:t>
      </w:r>
      <w:r w:rsidRPr="00E90FEA">
        <w:rPr>
          <w:rFonts w:ascii="Times New Roman" w:hAnsi="Times New Roman" w:cs="Times New Roman"/>
          <w:sz w:val="24"/>
          <w:szCs w:val="24"/>
          <w:lang w:val="en-GB"/>
        </w:rPr>
        <w:t>(1), pp.1-21.</w:t>
      </w:r>
    </w:p>
    <w:p w14:paraId="14D5AB51"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proofErr w:type="spellStart"/>
      <w:r w:rsidRPr="00E90FEA">
        <w:rPr>
          <w:rFonts w:ascii="Times New Roman" w:hAnsi="Times New Roman" w:cs="Times New Roman"/>
          <w:sz w:val="24"/>
          <w:szCs w:val="24"/>
          <w:lang w:val="en-GB"/>
        </w:rPr>
        <w:t>Jacqué</w:t>
      </w:r>
      <w:proofErr w:type="spellEnd"/>
      <w:r w:rsidRPr="00E90FEA">
        <w:rPr>
          <w:rFonts w:ascii="Times New Roman" w:hAnsi="Times New Roman" w:cs="Times New Roman"/>
          <w:sz w:val="24"/>
          <w:szCs w:val="24"/>
          <w:lang w:val="en-GB"/>
        </w:rPr>
        <w:t xml:space="preserve">, J.P., 2011. The accession of the European Union to the European Convention on Human Rights and fundamental freedoms. </w:t>
      </w:r>
      <w:r w:rsidRPr="00E90FEA">
        <w:rPr>
          <w:rFonts w:ascii="Times New Roman" w:hAnsi="Times New Roman" w:cs="Times New Roman"/>
          <w:i/>
          <w:iCs/>
          <w:sz w:val="24"/>
          <w:szCs w:val="24"/>
          <w:lang w:val="en-GB"/>
        </w:rPr>
        <w:t>Common Market Law Review</w:t>
      </w:r>
      <w:r w:rsidRPr="00E90FEA">
        <w:rPr>
          <w:rFonts w:ascii="Times New Roman" w:hAnsi="Times New Roman" w:cs="Times New Roman"/>
          <w:sz w:val="24"/>
          <w:szCs w:val="24"/>
          <w:lang w:val="en-GB"/>
        </w:rPr>
        <w:t xml:space="preserve">, </w:t>
      </w:r>
      <w:r w:rsidRPr="00E90FEA">
        <w:rPr>
          <w:rFonts w:ascii="Times New Roman" w:hAnsi="Times New Roman" w:cs="Times New Roman"/>
          <w:i/>
          <w:iCs/>
          <w:sz w:val="24"/>
          <w:szCs w:val="24"/>
          <w:lang w:val="en-GB"/>
        </w:rPr>
        <w:t>48</w:t>
      </w:r>
      <w:r w:rsidRPr="00E90FEA">
        <w:rPr>
          <w:rFonts w:ascii="Times New Roman" w:hAnsi="Times New Roman" w:cs="Times New Roman"/>
          <w:sz w:val="24"/>
          <w:szCs w:val="24"/>
          <w:lang w:val="en-GB"/>
        </w:rPr>
        <w:t>(4), pp.995-1023.</w:t>
      </w:r>
    </w:p>
    <w:p w14:paraId="6419EF4E"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proofErr w:type="spellStart"/>
      <w:r w:rsidRPr="00E90FEA">
        <w:rPr>
          <w:rFonts w:ascii="Times New Roman" w:hAnsi="Times New Roman" w:cs="Times New Roman"/>
          <w:sz w:val="24"/>
          <w:szCs w:val="24"/>
          <w:lang w:val="en-GB"/>
        </w:rPr>
        <w:t>Mantouvalou</w:t>
      </w:r>
      <w:proofErr w:type="spellEnd"/>
      <w:r w:rsidRPr="00E90FEA">
        <w:rPr>
          <w:rFonts w:ascii="Times New Roman" w:hAnsi="Times New Roman" w:cs="Times New Roman"/>
          <w:sz w:val="24"/>
          <w:szCs w:val="24"/>
          <w:lang w:val="en-GB"/>
        </w:rPr>
        <w:t xml:space="preserve">, V., 2013. Labour rights in the European Convention on Human Rights: an intellectual justification for an integrated approach to interpretation. </w:t>
      </w:r>
      <w:r w:rsidRPr="00E90FEA">
        <w:rPr>
          <w:rFonts w:ascii="Times New Roman" w:hAnsi="Times New Roman" w:cs="Times New Roman"/>
          <w:i/>
          <w:iCs/>
          <w:sz w:val="24"/>
          <w:szCs w:val="24"/>
          <w:lang w:val="en-GB"/>
        </w:rPr>
        <w:t>Human Rights Law Review</w:t>
      </w:r>
      <w:r w:rsidRPr="00E90FEA">
        <w:rPr>
          <w:rFonts w:ascii="Times New Roman" w:hAnsi="Times New Roman" w:cs="Times New Roman"/>
          <w:sz w:val="24"/>
          <w:szCs w:val="24"/>
          <w:lang w:val="en-GB"/>
        </w:rPr>
        <w:t xml:space="preserve">, </w:t>
      </w:r>
      <w:r w:rsidRPr="00E90FEA">
        <w:rPr>
          <w:rFonts w:ascii="Times New Roman" w:hAnsi="Times New Roman" w:cs="Times New Roman"/>
          <w:i/>
          <w:iCs/>
          <w:sz w:val="24"/>
          <w:szCs w:val="24"/>
          <w:lang w:val="en-GB"/>
        </w:rPr>
        <w:t>13</w:t>
      </w:r>
      <w:r w:rsidRPr="00E90FEA">
        <w:rPr>
          <w:rFonts w:ascii="Times New Roman" w:hAnsi="Times New Roman" w:cs="Times New Roman"/>
          <w:sz w:val="24"/>
          <w:szCs w:val="24"/>
          <w:lang w:val="en-GB"/>
        </w:rPr>
        <w:t>(3), pp.529-555.</w:t>
      </w:r>
    </w:p>
    <w:p w14:paraId="51FE7BF8"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 xml:space="preserve">Sweeny, J., 2010. The United Kingdom's Human Rights Act: using its past to predict its future. </w:t>
      </w:r>
      <w:r w:rsidRPr="00E90FEA">
        <w:rPr>
          <w:rFonts w:ascii="Times New Roman" w:hAnsi="Times New Roman" w:cs="Times New Roman"/>
          <w:i/>
          <w:iCs/>
          <w:sz w:val="24"/>
          <w:szCs w:val="24"/>
          <w:lang w:val="en-GB"/>
        </w:rPr>
        <w:t>Loy. J. Pub. Int. L.</w:t>
      </w:r>
      <w:r w:rsidRPr="00E90FEA">
        <w:rPr>
          <w:rFonts w:ascii="Times New Roman" w:hAnsi="Times New Roman" w:cs="Times New Roman"/>
          <w:sz w:val="24"/>
          <w:szCs w:val="24"/>
          <w:lang w:val="en-GB"/>
        </w:rPr>
        <w:t xml:space="preserve">, </w:t>
      </w:r>
      <w:r w:rsidRPr="00E90FEA">
        <w:rPr>
          <w:rFonts w:ascii="Times New Roman" w:hAnsi="Times New Roman" w:cs="Times New Roman"/>
          <w:i/>
          <w:iCs/>
          <w:sz w:val="24"/>
          <w:szCs w:val="24"/>
          <w:lang w:val="en-GB"/>
        </w:rPr>
        <w:t>12</w:t>
      </w:r>
      <w:r w:rsidRPr="00E90FEA">
        <w:rPr>
          <w:rFonts w:ascii="Times New Roman" w:hAnsi="Times New Roman" w:cs="Times New Roman"/>
          <w:sz w:val="24"/>
          <w:szCs w:val="24"/>
          <w:lang w:val="en-GB"/>
        </w:rPr>
        <w:t>, p.39.</w:t>
      </w:r>
    </w:p>
    <w:p w14:paraId="2AE6C3DE"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The European Union (Withdrawal) Act 2018: An explainer</w:t>
      </w:r>
      <w:r>
        <w:rPr>
          <w:rFonts w:ascii="Times New Roman" w:hAnsi="Times New Roman" w:cs="Times New Roman"/>
          <w:sz w:val="24"/>
          <w:szCs w:val="24"/>
          <w:lang w:val="en-GB"/>
        </w:rPr>
        <w:t xml:space="preserve"> </w:t>
      </w:r>
      <w:r w:rsidRPr="00E90FEA">
        <w:rPr>
          <w:rFonts w:ascii="Times New Roman" w:hAnsi="Times New Roman" w:cs="Times New Roman"/>
          <w:sz w:val="24"/>
          <w:szCs w:val="24"/>
          <w:lang w:val="en-GB"/>
        </w:rPr>
        <w:t>by Joe Tomlinson, UK in a Changing Europe, 27 June 2018.</w:t>
      </w:r>
    </w:p>
    <w:p w14:paraId="71F4EF44"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The UK's proposed 'Bill of Rights': what you need to know by Jon Robins, The Guardian, 11 May 2016</w:t>
      </w:r>
    </w:p>
    <w:p w14:paraId="5C8BF8D1" w14:textId="77777777" w:rsidR="00E90FEA" w:rsidRPr="00E90FEA" w:rsidRDefault="00E90FEA" w:rsidP="00E90FEA">
      <w:pPr>
        <w:pStyle w:val="NoSpacing"/>
        <w:spacing w:line="360" w:lineRule="auto"/>
        <w:ind w:left="720" w:hanging="720"/>
        <w:rPr>
          <w:rFonts w:ascii="Times New Roman" w:hAnsi="Times New Roman" w:cs="Times New Roman"/>
          <w:sz w:val="24"/>
          <w:szCs w:val="24"/>
          <w:lang w:val="en-GB"/>
        </w:rPr>
      </w:pPr>
      <w:r w:rsidRPr="00E90FEA">
        <w:rPr>
          <w:rFonts w:ascii="Times New Roman" w:hAnsi="Times New Roman" w:cs="Times New Roman"/>
          <w:sz w:val="24"/>
          <w:szCs w:val="24"/>
          <w:lang w:val="en-GB"/>
        </w:rPr>
        <w:t>UK government proposal for the Bill of Rights Bill, 2021</w:t>
      </w:r>
    </w:p>
    <w:sectPr w:rsidR="00E90FEA" w:rsidRPr="00E90FE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604F5" w14:textId="77777777" w:rsidR="00750E0C" w:rsidRDefault="00750E0C" w:rsidP="00374D4F">
      <w:pPr>
        <w:spacing w:after="0" w:line="240" w:lineRule="auto"/>
      </w:pPr>
      <w:r>
        <w:separator/>
      </w:r>
    </w:p>
  </w:endnote>
  <w:endnote w:type="continuationSeparator" w:id="0">
    <w:p w14:paraId="3C603F9D" w14:textId="77777777" w:rsidR="00750E0C" w:rsidRDefault="00750E0C" w:rsidP="00374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871299"/>
      <w:docPartObj>
        <w:docPartGallery w:val="Page Numbers (Bottom of Page)"/>
        <w:docPartUnique/>
      </w:docPartObj>
    </w:sdtPr>
    <w:sdtEndPr>
      <w:rPr>
        <w:rFonts w:ascii="Times New Roman" w:hAnsi="Times New Roman" w:cs="Times New Roman"/>
        <w:noProof/>
        <w:sz w:val="24"/>
        <w:szCs w:val="24"/>
      </w:rPr>
    </w:sdtEndPr>
    <w:sdtContent>
      <w:p w14:paraId="71B84A23" w14:textId="09DB6EDD" w:rsidR="00374D4F" w:rsidRPr="00E90FEA" w:rsidRDefault="00374D4F">
        <w:pPr>
          <w:pStyle w:val="Footer"/>
          <w:jc w:val="center"/>
          <w:rPr>
            <w:rFonts w:ascii="Times New Roman" w:hAnsi="Times New Roman" w:cs="Times New Roman"/>
            <w:sz w:val="24"/>
            <w:szCs w:val="24"/>
          </w:rPr>
        </w:pPr>
        <w:r w:rsidRPr="00E90FEA">
          <w:rPr>
            <w:rFonts w:ascii="Times New Roman" w:hAnsi="Times New Roman" w:cs="Times New Roman"/>
            <w:sz w:val="24"/>
            <w:szCs w:val="24"/>
          </w:rPr>
          <w:fldChar w:fldCharType="begin"/>
        </w:r>
        <w:r w:rsidRPr="00E90FEA">
          <w:rPr>
            <w:rFonts w:ascii="Times New Roman" w:hAnsi="Times New Roman" w:cs="Times New Roman"/>
            <w:sz w:val="24"/>
            <w:szCs w:val="24"/>
          </w:rPr>
          <w:instrText xml:space="preserve"> PAGE   \* MERGEFORMAT </w:instrText>
        </w:r>
        <w:r w:rsidRPr="00E90FEA">
          <w:rPr>
            <w:rFonts w:ascii="Times New Roman" w:hAnsi="Times New Roman" w:cs="Times New Roman"/>
            <w:sz w:val="24"/>
            <w:szCs w:val="24"/>
          </w:rPr>
          <w:fldChar w:fldCharType="separate"/>
        </w:r>
        <w:r w:rsidRPr="00E90FEA">
          <w:rPr>
            <w:rFonts w:ascii="Times New Roman" w:hAnsi="Times New Roman" w:cs="Times New Roman"/>
            <w:noProof/>
            <w:sz w:val="24"/>
            <w:szCs w:val="24"/>
          </w:rPr>
          <w:t>2</w:t>
        </w:r>
        <w:r w:rsidRPr="00E90FEA">
          <w:rPr>
            <w:rFonts w:ascii="Times New Roman" w:hAnsi="Times New Roman" w:cs="Times New Roman"/>
            <w:noProof/>
            <w:sz w:val="24"/>
            <w:szCs w:val="24"/>
          </w:rPr>
          <w:fldChar w:fldCharType="end"/>
        </w:r>
      </w:p>
    </w:sdtContent>
  </w:sdt>
  <w:p w14:paraId="40F08F53" w14:textId="77777777" w:rsidR="00374D4F" w:rsidRDefault="00374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43186" w14:textId="77777777" w:rsidR="00750E0C" w:rsidRDefault="00750E0C" w:rsidP="00374D4F">
      <w:pPr>
        <w:spacing w:after="0" w:line="240" w:lineRule="auto"/>
      </w:pPr>
      <w:r>
        <w:separator/>
      </w:r>
    </w:p>
  </w:footnote>
  <w:footnote w:type="continuationSeparator" w:id="0">
    <w:p w14:paraId="61DA1BAD" w14:textId="77777777" w:rsidR="00750E0C" w:rsidRDefault="00750E0C" w:rsidP="00374D4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5kyitt6qm9iDs" int2:id="qvKGbv59">
      <int2:state int2:value="Rejected" int2:type="AugLoop_Text_Critique"/>
    </int2:textHash>
    <int2:textHash int2:hashCode="ffcmpcJbBplIDx" int2:id="mcF0kXeF">
      <int2:state int2:value="Rejected" int2:type="AugLoop_Text_Critique"/>
    </int2:textHash>
    <int2:textHash int2:hashCode="tTpyi8gpKV6/15" int2:id="RtZfQveb">
      <int2:state int2:value="Rejected" int2:type="AugLoop_Text_Critique"/>
    </int2:textHash>
    <int2:textHash int2:hashCode="ybW3nMGrNCQ0ur" int2:id="e6S1Nkl7">
      <int2:state int2:value="Rejected" int2:type="AugLoop_Text_Critique"/>
    </int2:textHash>
    <int2:textHash int2:hashCode="/F/yRL+Lz7tIkk" int2:id="AvkB6hUj">
      <int2:state int2:value="Rejected" int2:type="AugLoop_Text_Critique"/>
    </int2:textHash>
    <int2:textHash int2:hashCode="guOBI2ffyILfqU" int2:id="mVqxTC0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712FF"/>
    <w:multiLevelType w:val="hybridMultilevel"/>
    <w:tmpl w:val="7ED8ABB6"/>
    <w:lvl w:ilvl="0" w:tplc="03BED566">
      <w:start w:val="1"/>
      <w:numFmt w:val="bullet"/>
      <w:lvlText w:val=""/>
      <w:lvlJc w:val="left"/>
      <w:pPr>
        <w:ind w:left="720" w:hanging="360"/>
      </w:pPr>
      <w:rPr>
        <w:rFonts w:ascii="Symbol" w:hAnsi="Symbol" w:hint="default"/>
      </w:rPr>
    </w:lvl>
    <w:lvl w:ilvl="1" w:tplc="4DB211B0">
      <w:start w:val="1"/>
      <w:numFmt w:val="bullet"/>
      <w:lvlText w:val="o"/>
      <w:lvlJc w:val="left"/>
      <w:pPr>
        <w:ind w:left="1440" w:hanging="360"/>
      </w:pPr>
      <w:rPr>
        <w:rFonts w:ascii="Courier New" w:hAnsi="Courier New" w:hint="default"/>
      </w:rPr>
    </w:lvl>
    <w:lvl w:ilvl="2" w:tplc="DAC43B18">
      <w:start w:val="1"/>
      <w:numFmt w:val="bullet"/>
      <w:lvlText w:val=""/>
      <w:lvlJc w:val="left"/>
      <w:pPr>
        <w:ind w:left="2160" w:hanging="360"/>
      </w:pPr>
      <w:rPr>
        <w:rFonts w:ascii="Wingdings" w:hAnsi="Wingdings" w:hint="default"/>
      </w:rPr>
    </w:lvl>
    <w:lvl w:ilvl="3" w:tplc="8D3EFAD2">
      <w:start w:val="1"/>
      <w:numFmt w:val="bullet"/>
      <w:lvlText w:val=""/>
      <w:lvlJc w:val="left"/>
      <w:pPr>
        <w:ind w:left="2880" w:hanging="360"/>
      </w:pPr>
      <w:rPr>
        <w:rFonts w:ascii="Symbol" w:hAnsi="Symbol" w:hint="default"/>
      </w:rPr>
    </w:lvl>
    <w:lvl w:ilvl="4" w:tplc="DABE42E4">
      <w:start w:val="1"/>
      <w:numFmt w:val="bullet"/>
      <w:lvlText w:val="o"/>
      <w:lvlJc w:val="left"/>
      <w:pPr>
        <w:ind w:left="3600" w:hanging="360"/>
      </w:pPr>
      <w:rPr>
        <w:rFonts w:ascii="Courier New" w:hAnsi="Courier New" w:hint="default"/>
      </w:rPr>
    </w:lvl>
    <w:lvl w:ilvl="5" w:tplc="836EB05E">
      <w:start w:val="1"/>
      <w:numFmt w:val="bullet"/>
      <w:lvlText w:val=""/>
      <w:lvlJc w:val="left"/>
      <w:pPr>
        <w:ind w:left="4320" w:hanging="360"/>
      </w:pPr>
      <w:rPr>
        <w:rFonts w:ascii="Wingdings" w:hAnsi="Wingdings" w:hint="default"/>
      </w:rPr>
    </w:lvl>
    <w:lvl w:ilvl="6" w:tplc="875EA10A">
      <w:start w:val="1"/>
      <w:numFmt w:val="bullet"/>
      <w:lvlText w:val=""/>
      <w:lvlJc w:val="left"/>
      <w:pPr>
        <w:ind w:left="5040" w:hanging="360"/>
      </w:pPr>
      <w:rPr>
        <w:rFonts w:ascii="Symbol" w:hAnsi="Symbol" w:hint="default"/>
      </w:rPr>
    </w:lvl>
    <w:lvl w:ilvl="7" w:tplc="A6689562">
      <w:start w:val="1"/>
      <w:numFmt w:val="bullet"/>
      <w:lvlText w:val="o"/>
      <w:lvlJc w:val="left"/>
      <w:pPr>
        <w:ind w:left="5760" w:hanging="360"/>
      </w:pPr>
      <w:rPr>
        <w:rFonts w:ascii="Courier New" w:hAnsi="Courier New" w:hint="default"/>
      </w:rPr>
    </w:lvl>
    <w:lvl w:ilvl="8" w:tplc="799E1B26">
      <w:start w:val="1"/>
      <w:numFmt w:val="bullet"/>
      <w:lvlText w:val=""/>
      <w:lvlJc w:val="left"/>
      <w:pPr>
        <w:ind w:left="6480" w:hanging="360"/>
      </w:pPr>
      <w:rPr>
        <w:rFonts w:ascii="Wingdings" w:hAnsi="Wingdings" w:hint="default"/>
      </w:rPr>
    </w:lvl>
  </w:abstractNum>
  <w:abstractNum w:abstractNumId="1" w15:restartNumberingAfterBreak="0">
    <w:nsid w:val="282EB54D"/>
    <w:multiLevelType w:val="hybridMultilevel"/>
    <w:tmpl w:val="20E07AFE"/>
    <w:lvl w:ilvl="0" w:tplc="EA545D26">
      <w:start w:val="1"/>
      <w:numFmt w:val="bullet"/>
      <w:lvlText w:val=""/>
      <w:lvlJc w:val="left"/>
      <w:pPr>
        <w:ind w:left="720" w:hanging="360"/>
      </w:pPr>
      <w:rPr>
        <w:rFonts w:ascii="Symbol" w:hAnsi="Symbol" w:hint="default"/>
      </w:rPr>
    </w:lvl>
    <w:lvl w:ilvl="1" w:tplc="D4A08A96">
      <w:start w:val="1"/>
      <w:numFmt w:val="bullet"/>
      <w:lvlText w:val="o"/>
      <w:lvlJc w:val="left"/>
      <w:pPr>
        <w:ind w:left="1440" w:hanging="360"/>
      </w:pPr>
      <w:rPr>
        <w:rFonts w:ascii="Courier New" w:hAnsi="Courier New" w:hint="default"/>
      </w:rPr>
    </w:lvl>
    <w:lvl w:ilvl="2" w:tplc="1922B012">
      <w:start w:val="1"/>
      <w:numFmt w:val="bullet"/>
      <w:lvlText w:val=""/>
      <w:lvlJc w:val="left"/>
      <w:pPr>
        <w:ind w:left="2160" w:hanging="360"/>
      </w:pPr>
      <w:rPr>
        <w:rFonts w:ascii="Wingdings" w:hAnsi="Wingdings" w:hint="default"/>
      </w:rPr>
    </w:lvl>
    <w:lvl w:ilvl="3" w:tplc="2F24E454">
      <w:start w:val="1"/>
      <w:numFmt w:val="bullet"/>
      <w:lvlText w:val=""/>
      <w:lvlJc w:val="left"/>
      <w:pPr>
        <w:ind w:left="2880" w:hanging="360"/>
      </w:pPr>
      <w:rPr>
        <w:rFonts w:ascii="Symbol" w:hAnsi="Symbol" w:hint="default"/>
      </w:rPr>
    </w:lvl>
    <w:lvl w:ilvl="4" w:tplc="FAB8018C">
      <w:start w:val="1"/>
      <w:numFmt w:val="bullet"/>
      <w:lvlText w:val="o"/>
      <w:lvlJc w:val="left"/>
      <w:pPr>
        <w:ind w:left="3600" w:hanging="360"/>
      </w:pPr>
      <w:rPr>
        <w:rFonts w:ascii="Courier New" w:hAnsi="Courier New" w:hint="default"/>
      </w:rPr>
    </w:lvl>
    <w:lvl w:ilvl="5" w:tplc="998C1ACE">
      <w:start w:val="1"/>
      <w:numFmt w:val="bullet"/>
      <w:lvlText w:val=""/>
      <w:lvlJc w:val="left"/>
      <w:pPr>
        <w:ind w:left="4320" w:hanging="360"/>
      </w:pPr>
      <w:rPr>
        <w:rFonts w:ascii="Wingdings" w:hAnsi="Wingdings" w:hint="default"/>
      </w:rPr>
    </w:lvl>
    <w:lvl w:ilvl="6" w:tplc="C48CCB90">
      <w:start w:val="1"/>
      <w:numFmt w:val="bullet"/>
      <w:lvlText w:val=""/>
      <w:lvlJc w:val="left"/>
      <w:pPr>
        <w:ind w:left="5040" w:hanging="360"/>
      </w:pPr>
      <w:rPr>
        <w:rFonts w:ascii="Symbol" w:hAnsi="Symbol" w:hint="default"/>
      </w:rPr>
    </w:lvl>
    <w:lvl w:ilvl="7" w:tplc="FB00B680">
      <w:start w:val="1"/>
      <w:numFmt w:val="bullet"/>
      <w:lvlText w:val="o"/>
      <w:lvlJc w:val="left"/>
      <w:pPr>
        <w:ind w:left="5760" w:hanging="360"/>
      </w:pPr>
      <w:rPr>
        <w:rFonts w:ascii="Courier New" w:hAnsi="Courier New" w:hint="default"/>
      </w:rPr>
    </w:lvl>
    <w:lvl w:ilvl="8" w:tplc="02027E2C">
      <w:start w:val="1"/>
      <w:numFmt w:val="bullet"/>
      <w:lvlText w:val=""/>
      <w:lvlJc w:val="left"/>
      <w:pPr>
        <w:ind w:left="6480" w:hanging="360"/>
      </w:pPr>
      <w:rPr>
        <w:rFonts w:ascii="Wingdings" w:hAnsi="Wingdings" w:hint="default"/>
      </w:rPr>
    </w:lvl>
  </w:abstractNum>
  <w:num w:numId="1" w16cid:durableId="325397541">
    <w:abstractNumId w:val="1"/>
  </w:num>
  <w:num w:numId="2" w16cid:durableId="415788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3MTU1NLa0MDI2NzNT0lEKTi0uzszPAykwrAUAR+xlHiwAAAA="/>
  </w:docVars>
  <w:rsids>
    <w:rsidRoot w:val="3BDD3AB2"/>
    <w:rsid w:val="002A7BB2"/>
    <w:rsid w:val="00374D4F"/>
    <w:rsid w:val="00686D1F"/>
    <w:rsid w:val="00707894"/>
    <w:rsid w:val="00750E0C"/>
    <w:rsid w:val="00755B35"/>
    <w:rsid w:val="007A10D4"/>
    <w:rsid w:val="007B39DE"/>
    <w:rsid w:val="00AD2184"/>
    <w:rsid w:val="00E90FEA"/>
    <w:rsid w:val="00EF40BE"/>
    <w:rsid w:val="00F20474"/>
    <w:rsid w:val="0DA70C65"/>
    <w:rsid w:val="105C99F8"/>
    <w:rsid w:val="18D0663F"/>
    <w:rsid w:val="3BDD3AB2"/>
    <w:rsid w:val="6E3C172B"/>
    <w:rsid w:val="7F979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D3AB2"/>
  <w15:chartTrackingRefBased/>
  <w15:docId w15:val="{2D953087-9F37-4409-A931-8B85EDE09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F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A7BB2"/>
  </w:style>
  <w:style w:type="character" w:customStyle="1" w:styleId="eop">
    <w:name w:val="eop"/>
    <w:basedOn w:val="DefaultParagraphFont"/>
    <w:rsid w:val="002A7BB2"/>
  </w:style>
  <w:style w:type="paragraph" w:styleId="Header">
    <w:name w:val="header"/>
    <w:basedOn w:val="Normal"/>
    <w:link w:val="HeaderChar"/>
    <w:uiPriority w:val="99"/>
    <w:unhideWhenUsed/>
    <w:rsid w:val="00374D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D4F"/>
  </w:style>
  <w:style w:type="paragraph" w:styleId="Footer">
    <w:name w:val="footer"/>
    <w:basedOn w:val="Normal"/>
    <w:link w:val="FooterChar"/>
    <w:uiPriority w:val="99"/>
    <w:unhideWhenUsed/>
    <w:rsid w:val="00374D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D4F"/>
  </w:style>
  <w:style w:type="character" w:customStyle="1" w:styleId="Heading1Char">
    <w:name w:val="Heading 1 Char"/>
    <w:basedOn w:val="DefaultParagraphFont"/>
    <w:link w:val="Heading1"/>
    <w:uiPriority w:val="9"/>
    <w:rsid w:val="00E90FE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90F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1483</Words>
  <Characters>8458</Characters>
  <DocSecurity>0</DocSecurity>
  <Lines>70</Lines>
  <Paragraphs>19</Paragraphs>
  <ScaleCrop>false</ScaleCrop>
  <Company/>
  <LinksUpToDate>false</LinksUpToDate>
  <CharactersWithSpaces>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2023-03-10T20:44:00Z</dcterms:created>
  <dcterms:modified xsi:type="dcterms:W3CDTF">2023-03-10T20:44:00Z</dcterms:modified>
</cp:coreProperties>
</file>