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35309" w:rsidRPr="00F90750" w:rsidRDefault="002A66E5" w:rsidP="00F90750">
      <w:pPr>
        <w:jc w:val="center"/>
        <w:rPr>
          <w:sz w:val="32"/>
          <w:szCs w:val="32"/>
        </w:rPr>
      </w:pPr>
      <w:r w:rsidRPr="00F90750">
        <w:rPr>
          <w:sz w:val="32"/>
          <w:szCs w:val="32"/>
        </w:rPr>
        <w:t>BMIH5007 Financial Management for the Hotel Industry</w:t>
      </w:r>
    </w:p>
    <w:p w:rsidR="002A66E5" w:rsidRPr="00F90750" w:rsidRDefault="002A66E5" w:rsidP="00F90750">
      <w:pPr>
        <w:jc w:val="center"/>
        <w:rPr>
          <w:sz w:val="32"/>
          <w:szCs w:val="32"/>
        </w:rPr>
      </w:pPr>
      <w:r w:rsidRPr="00F90750">
        <w:rPr>
          <w:sz w:val="32"/>
          <w:szCs w:val="32"/>
        </w:rPr>
        <w:t>Assignment 2 – Marriott International</w:t>
      </w:r>
    </w:p>
    <w:p w:rsidR="005C569E" w:rsidRDefault="005C569E" w:rsidP="00C8725C"/>
    <w:p w:rsidR="00C8725C" w:rsidRDefault="00C8725C" w:rsidP="00C8725C">
      <w:pPr>
        <w:rPr>
          <w:szCs w:val="22"/>
        </w:rPr>
      </w:pPr>
      <w:r>
        <w:t>Students Name: Elena-</w:t>
      </w:r>
      <w:proofErr w:type="spellStart"/>
      <w:r>
        <w:t>Aurica</w:t>
      </w:r>
      <w:proofErr w:type="spellEnd"/>
      <w:r>
        <w:t xml:space="preserve"> </w:t>
      </w:r>
      <w:proofErr w:type="spellStart"/>
      <w:r>
        <w:t>Coanca</w:t>
      </w:r>
      <w:proofErr w:type="spellEnd"/>
    </w:p>
    <w:p w:rsidR="00C8725C" w:rsidRDefault="00C8725C" w:rsidP="00C8725C">
      <w:r>
        <w:t>Student ID: 2026753</w:t>
      </w:r>
    </w:p>
    <w:p w:rsidR="00F90750" w:rsidRDefault="00F90750">
      <w:pPr>
        <w:rPr>
          <w:sz w:val="32"/>
          <w:szCs w:val="32"/>
        </w:rPr>
      </w:pPr>
      <w:r>
        <w:rPr>
          <w:sz w:val="32"/>
          <w:szCs w:val="32"/>
        </w:rPr>
        <w:br w:type="page"/>
      </w:r>
    </w:p>
    <w:sdt>
      <w:sdtPr>
        <w:rPr>
          <w:rFonts w:ascii="Times New Roman" w:eastAsiaTheme="minorHAnsi" w:hAnsi="Times New Roman" w:cs="Times New Roman"/>
          <w:color w:val="auto"/>
          <w:sz w:val="24"/>
          <w:szCs w:val="24"/>
        </w:rPr>
        <w:id w:val="679470175"/>
        <w:docPartObj>
          <w:docPartGallery w:val="Table of Contents"/>
          <w:docPartUnique/>
        </w:docPartObj>
      </w:sdtPr>
      <w:sdtEndPr>
        <w:rPr>
          <w:b/>
          <w:bCs/>
          <w:noProof/>
        </w:rPr>
      </w:sdtEndPr>
      <w:sdtContent>
        <w:p w:rsidR="006332BD" w:rsidRDefault="006332BD">
          <w:pPr>
            <w:pStyle w:val="TOCHeading"/>
          </w:pPr>
          <w:r>
            <w:t>Contents</w:t>
          </w:r>
        </w:p>
        <w:p w:rsidR="006332BD" w:rsidRDefault="006332BD">
          <w:pPr>
            <w:pStyle w:val="TOC1"/>
            <w:tabs>
              <w:tab w:val="right" w:leader="dot" w:pos="9350"/>
            </w:tabs>
            <w:rPr>
              <w:noProof/>
            </w:rPr>
          </w:pPr>
          <w:r>
            <w:fldChar w:fldCharType="begin"/>
          </w:r>
          <w:r>
            <w:instrText xml:space="preserve"> TOC \o "1-3" \h \z \u </w:instrText>
          </w:r>
          <w:r>
            <w:fldChar w:fldCharType="separate"/>
          </w:r>
          <w:hyperlink w:anchor="_Toc119246075" w:history="1">
            <w:r w:rsidRPr="00CA5AA5">
              <w:rPr>
                <w:rStyle w:val="Hyperlink"/>
                <w:noProof/>
              </w:rPr>
              <w:t>Introduction</w:t>
            </w:r>
            <w:r>
              <w:rPr>
                <w:noProof/>
                <w:webHidden/>
              </w:rPr>
              <w:tab/>
            </w:r>
            <w:r>
              <w:rPr>
                <w:noProof/>
                <w:webHidden/>
              </w:rPr>
              <w:fldChar w:fldCharType="begin"/>
            </w:r>
            <w:r>
              <w:rPr>
                <w:noProof/>
                <w:webHidden/>
              </w:rPr>
              <w:instrText xml:space="preserve"> PAGEREF _Toc119246075 \h </w:instrText>
            </w:r>
            <w:r>
              <w:rPr>
                <w:noProof/>
                <w:webHidden/>
              </w:rPr>
            </w:r>
            <w:r>
              <w:rPr>
                <w:noProof/>
                <w:webHidden/>
              </w:rPr>
              <w:fldChar w:fldCharType="separate"/>
            </w:r>
            <w:r>
              <w:rPr>
                <w:noProof/>
                <w:webHidden/>
              </w:rPr>
              <w:t>3</w:t>
            </w:r>
            <w:r>
              <w:rPr>
                <w:noProof/>
                <w:webHidden/>
              </w:rPr>
              <w:fldChar w:fldCharType="end"/>
            </w:r>
          </w:hyperlink>
        </w:p>
        <w:p w:rsidR="006332BD" w:rsidRDefault="00000000">
          <w:pPr>
            <w:pStyle w:val="TOC2"/>
            <w:tabs>
              <w:tab w:val="right" w:leader="dot" w:pos="9350"/>
            </w:tabs>
            <w:rPr>
              <w:noProof/>
            </w:rPr>
          </w:pPr>
          <w:hyperlink w:anchor="_Toc119246076" w:history="1">
            <w:r w:rsidR="006332BD" w:rsidRPr="00CA5AA5">
              <w:rPr>
                <w:rStyle w:val="Hyperlink"/>
                <w:noProof/>
              </w:rPr>
              <w:t>Analysis of the underlying trends and performance of Marriott's main financial ratios in 2020 and 2021.</w:t>
            </w:r>
            <w:r w:rsidR="006332BD">
              <w:rPr>
                <w:noProof/>
                <w:webHidden/>
              </w:rPr>
              <w:tab/>
            </w:r>
            <w:r w:rsidR="006332BD">
              <w:rPr>
                <w:noProof/>
                <w:webHidden/>
              </w:rPr>
              <w:fldChar w:fldCharType="begin"/>
            </w:r>
            <w:r w:rsidR="006332BD">
              <w:rPr>
                <w:noProof/>
                <w:webHidden/>
              </w:rPr>
              <w:instrText xml:space="preserve"> PAGEREF _Toc119246076 \h </w:instrText>
            </w:r>
            <w:r w:rsidR="006332BD">
              <w:rPr>
                <w:noProof/>
                <w:webHidden/>
              </w:rPr>
            </w:r>
            <w:r w:rsidR="006332BD">
              <w:rPr>
                <w:noProof/>
                <w:webHidden/>
              </w:rPr>
              <w:fldChar w:fldCharType="separate"/>
            </w:r>
            <w:r w:rsidR="006332BD">
              <w:rPr>
                <w:noProof/>
                <w:webHidden/>
              </w:rPr>
              <w:t>3</w:t>
            </w:r>
            <w:r w:rsidR="006332BD">
              <w:rPr>
                <w:noProof/>
                <w:webHidden/>
              </w:rPr>
              <w:fldChar w:fldCharType="end"/>
            </w:r>
          </w:hyperlink>
        </w:p>
        <w:p w:rsidR="006332BD" w:rsidRDefault="00000000">
          <w:pPr>
            <w:pStyle w:val="TOC2"/>
            <w:tabs>
              <w:tab w:val="right" w:leader="dot" w:pos="9350"/>
            </w:tabs>
            <w:rPr>
              <w:noProof/>
            </w:rPr>
          </w:pPr>
          <w:hyperlink w:anchor="_Toc119246077" w:history="1">
            <w:r w:rsidR="006332BD" w:rsidRPr="00CA5AA5">
              <w:rPr>
                <w:rStyle w:val="Hyperlink"/>
                <w:noProof/>
              </w:rPr>
              <w:t>Importance of financial ratios for hotel management in analysing the financial statement’s information.</w:t>
            </w:r>
            <w:r w:rsidR="006332BD">
              <w:rPr>
                <w:noProof/>
                <w:webHidden/>
              </w:rPr>
              <w:tab/>
            </w:r>
            <w:r w:rsidR="006332BD">
              <w:rPr>
                <w:noProof/>
                <w:webHidden/>
              </w:rPr>
              <w:fldChar w:fldCharType="begin"/>
            </w:r>
            <w:r w:rsidR="006332BD">
              <w:rPr>
                <w:noProof/>
                <w:webHidden/>
              </w:rPr>
              <w:instrText xml:space="preserve"> PAGEREF _Toc119246077 \h </w:instrText>
            </w:r>
            <w:r w:rsidR="006332BD">
              <w:rPr>
                <w:noProof/>
                <w:webHidden/>
              </w:rPr>
            </w:r>
            <w:r w:rsidR="006332BD">
              <w:rPr>
                <w:noProof/>
                <w:webHidden/>
              </w:rPr>
              <w:fldChar w:fldCharType="separate"/>
            </w:r>
            <w:r w:rsidR="006332BD">
              <w:rPr>
                <w:noProof/>
                <w:webHidden/>
              </w:rPr>
              <w:t>11</w:t>
            </w:r>
            <w:r w:rsidR="006332BD">
              <w:rPr>
                <w:noProof/>
                <w:webHidden/>
              </w:rPr>
              <w:fldChar w:fldCharType="end"/>
            </w:r>
          </w:hyperlink>
        </w:p>
        <w:p w:rsidR="006332BD" w:rsidRDefault="00000000">
          <w:pPr>
            <w:pStyle w:val="TOC2"/>
            <w:tabs>
              <w:tab w:val="right" w:leader="dot" w:pos="9350"/>
            </w:tabs>
            <w:rPr>
              <w:noProof/>
            </w:rPr>
          </w:pPr>
          <w:hyperlink w:anchor="_Toc119246078" w:history="1">
            <w:r w:rsidR="006332BD" w:rsidRPr="00CA5AA5">
              <w:rPr>
                <w:rStyle w:val="Hyperlink"/>
                <w:noProof/>
              </w:rPr>
              <w:t xml:space="preserve">Importance of financial ratios in </w:t>
            </w:r>
            <w:r w:rsidR="002D4743">
              <w:rPr>
                <w:rStyle w:val="Hyperlink"/>
                <w:noProof/>
              </w:rPr>
              <w:t>decision-making</w:t>
            </w:r>
            <w:r w:rsidR="006332BD">
              <w:rPr>
                <w:noProof/>
                <w:webHidden/>
              </w:rPr>
              <w:tab/>
            </w:r>
            <w:r w:rsidR="006332BD">
              <w:rPr>
                <w:noProof/>
                <w:webHidden/>
              </w:rPr>
              <w:fldChar w:fldCharType="begin"/>
            </w:r>
            <w:r w:rsidR="006332BD">
              <w:rPr>
                <w:noProof/>
                <w:webHidden/>
              </w:rPr>
              <w:instrText xml:space="preserve"> PAGEREF _Toc119246078 \h </w:instrText>
            </w:r>
            <w:r w:rsidR="006332BD">
              <w:rPr>
                <w:noProof/>
                <w:webHidden/>
              </w:rPr>
            </w:r>
            <w:r w:rsidR="006332BD">
              <w:rPr>
                <w:noProof/>
                <w:webHidden/>
              </w:rPr>
              <w:fldChar w:fldCharType="separate"/>
            </w:r>
            <w:r w:rsidR="006332BD">
              <w:rPr>
                <w:noProof/>
                <w:webHidden/>
              </w:rPr>
              <w:t>12</w:t>
            </w:r>
            <w:r w:rsidR="006332BD">
              <w:rPr>
                <w:noProof/>
                <w:webHidden/>
              </w:rPr>
              <w:fldChar w:fldCharType="end"/>
            </w:r>
          </w:hyperlink>
        </w:p>
        <w:p w:rsidR="006332BD" w:rsidRDefault="00000000">
          <w:pPr>
            <w:pStyle w:val="TOC1"/>
            <w:tabs>
              <w:tab w:val="right" w:leader="dot" w:pos="9350"/>
            </w:tabs>
            <w:rPr>
              <w:noProof/>
            </w:rPr>
          </w:pPr>
          <w:hyperlink w:anchor="_Toc119246079" w:history="1">
            <w:r w:rsidR="006332BD" w:rsidRPr="00CA5AA5">
              <w:rPr>
                <w:rStyle w:val="Hyperlink"/>
                <w:noProof/>
              </w:rPr>
              <w:t>Conclusion</w:t>
            </w:r>
            <w:r w:rsidR="006332BD">
              <w:rPr>
                <w:noProof/>
                <w:webHidden/>
              </w:rPr>
              <w:tab/>
            </w:r>
            <w:r w:rsidR="006332BD">
              <w:rPr>
                <w:noProof/>
                <w:webHidden/>
              </w:rPr>
              <w:fldChar w:fldCharType="begin"/>
            </w:r>
            <w:r w:rsidR="006332BD">
              <w:rPr>
                <w:noProof/>
                <w:webHidden/>
              </w:rPr>
              <w:instrText xml:space="preserve"> PAGEREF _Toc119246079 \h </w:instrText>
            </w:r>
            <w:r w:rsidR="006332BD">
              <w:rPr>
                <w:noProof/>
                <w:webHidden/>
              </w:rPr>
            </w:r>
            <w:r w:rsidR="006332BD">
              <w:rPr>
                <w:noProof/>
                <w:webHidden/>
              </w:rPr>
              <w:fldChar w:fldCharType="separate"/>
            </w:r>
            <w:r w:rsidR="006332BD">
              <w:rPr>
                <w:noProof/>
                <w:webHidden/>
              </w:rPr>
              <w:t>13</w:t>
            </w:r>
            <w:r w:rsidR="006332BD">
              <w:rPr>
                <w:noProof/>
                <w:webHidden/>
              </w:rPr>
              <w:fldChar w:fldCharType="end"/>
            </w:r>
          </w:hyperlink>
        </w:p>
        <w:p w:rsidR="006332BD" w:rsidRDefault="00000000">
          <w:pPr>
            <w:pStyle w:val="TOC1"/>
            <w:tabs>
              <w:tab w:val="right" w:leader="dot" w:pos="9350"/>
            </w:tabs>
            <w:rPr>
              <w:noProof/>
            </w:rPr>
          </w:pPr>
          <w:hyperlink w:anchor="_Toc119246080" w:history="1">
            <w:r w:rsidR="006332BD" w:rsidRPr="00CA5AA5">
              <w:rPr>
                <w:rStyle w:val="Hyperlink"/>
                <w:noProof/>
              </w:rPr>
              <w:t>References list</w:t>
            </w:r>
            <w:r w:rsidR="006332BD">
              <w:rPr>
                <w:noProof/>
                <w:webHidden/>
              </w:rPr>
              <w:tab/>
            </w:r>
            <w:r w:rsidR="006332BD">
              <w:rPr>
                <w:noProof/>
                <w:webHidden/>
              </w:rPr>
              <w:fldChar w:fldCharType="begin"/>
            </w:r>
            <w:r w:rsidR="006332BD">
              <w:rPr>
                <w:noProof/>
                <w:webHidden/>
              </w:rPr>
              <w:instrText xml:space="preserve"> PAGEREF _Toc119246080 \h </w:instrText>
            </w:r>
            <w:r w:rsidR="006332BD">
              <w:rPr>
                <w:noProof/>
                <w:webHidden/>
              </w:rPr>
            </w:r>
            <w:r w:rsidR="006332BD">
              <w:rPr>
                <w:noProof/>
                <w:webHidden/>
              </w:rPr>
              <w:fldChar w:fldCharType="separate"/>
            </w:r>
            <w:r w:rsidR="006332BD">
              <w:rPr>
                <w:noProof/>
                <w:webHidden/>
              </w:rPr>
              <w:t>14</w:t>
            </w:r>
            <w:r w:rsidR="006332BD">
              <w:rPr>
                <w:noProof/>
                <w:webHidden/>
              </w:rPr>
              <w:fldChar w:fldCharType="end"/>
            </w:r>
          </w:hyperlink>
        </w:p>
        <w:p w:rsidR="006332BD" w:rsidRDefault="006332BD">
          <w:r>
            <w:rPr>
              <w:b/>
              <w:bCs/>
              <w:noProof/>
            </w:rPr>
            <w:fldChar w:fldCharType="end"/>
          </w:r>
        </w:p>
      </w:sdtContent>
    </w:sdt>
    <w:p w:rsidR="009C2661" w:rsidRPr="00F90750" w:rsidRDefault="009C2661" w:rsidP="00F90750">
      <w:pPr>
        <w:rPr>
          <w:sz w:val="32"/>
          <w:szCs w:val="32"/>
        </w:rPr>
      </w:pPr>
    </w:p>
    <w:p w:rsidR="009C2661" w:rsidRPr="00B13888" w:rsidRDefault="009C2661" w:rsidP="00B13888">
      <w:r w:rsidRPr="00B13888">
        <w:br w:type="page"/>
      </w:r>
    </w:p>
    <w:p w:rsidR="002A66E5" w:rsidRPr="00B13888" w:rsidRDefault="009C2661" w:rsidP="00B13888">
      <w:pPr>
        <w:pStyle w:val="Heading1"/>
        <w:rPr>
          <w:rFonts w:ascii="Times New Roman" w:hAnsi="Times New Roman" w:cs="Times New Roman"/>
          <w:sz w:val="24"/>
          <w:szCs w:val="24"/>
        </w:rPr>
      </w:pPr>
      <w:bookmarkStart w:id="0" w:name="_Toc119246075"/>
      <w:r w:rsidRPr="00B13888">
        <w:rPr>
          <w:rFonts w:ascii="Times New Roman" w:hAnsi="Times New Roman" w:cs="Times New Roman"/>
          <w:sz w:val="24"/>
          <w:szCs w:val="24"/>
        </w:rPr>
        <w:lastRenderedPageBreak/>
        <w:t>Introduction</w:t>
      </w:r>
      <w:bookmarkEnd w:id="0"/>
      <w:r w:rsidRPr="00B13888">
        <w:rPr>
          <w:rFonts w:ascii="Times New Roman" w:hAnsi="Times New Roman" w:cs="Times New Roman"/>
          <w:sz w:val="24"/>
          <w:szCs w:val="24"/>
        </w:rPr>
        <w:t xml:space="preserve"> </w:t>
      </w:r>
    </w:p>
    <w:p w:rsidR="009C2661" w:rsidRPr="00B13888" w:rsidRDefault="009C2661" w:rsidP="00B13888">
      <w:r w:rsidRPr="00B13888">
        <w:t>Marriot International, Inc. is a global company that operates largely in the hotel, housing, and accommodation sectors. A report on the company's financial ratios was assigned to me as a senior manager, and I was to submit it to the CEO</w:t>
      </w:r>
      <w:r w:rsidR="00B13888">
        <w:t xml:space="preserve"> (Neves, 2022)</w:t>
      </w:r>
      <w:r w:rsidRPr="00B13888">
        <w:t>. This study will include a detailed analysis of Marriott's financial performance in 2020 and 2021, as well as an analysis of the trends in the company's major financial statistics. Proportional analysis and the associated monetary constraints will next be discussed as they pertain to hotel-related projects. The report will be complete with a summary of my knowledge of financial ratios and the part they play in making decisions.</w:t>
      </w:r>
    </w:p>
    <w:p w:rsidR="009C2661" w:rsidRPr="00B13888" w:rsidRDefault="009C2661" w:rsidP="00B13888">
      <w:pPr>
        <w:pStyle w:val="Heading2"/>
        <w:rPr>
          <w:rFonts w:ascii="Times New Roman" w:hAnsi="Times New Roman" w:cs="Times New Roman"/>
          <w:sz w:val="24"/>
          <w:szCs w:val="24"/>
        </w:rPr>
      </w:pPr>
      <w:bookmarkStart w:id="1" w:name="_Toc119246076"/>
      <w:r w:rsidRPr="00B13888">
        <w:rPr>
          <w:rFonts w:ascii="Times New Roman" w:hAnsi="Times New Roman" w:cs="Times New Roman"/>
          <w:sz w:val="24"/>
          <w:szCs w:val="24"/>
        </w:rPr>
        <w:t>Analysis of the underlying trends and performance of Marriott's main financial ratios in 2020 and 2021.</w:t>
      </w:r>
      <w:bookmarkEnd w:id="1"/>
    </w:p>
    <w:p w:rsidR="009C2661" w:rsidRPr="00B13888" w:rsidRDefault="009C2661" w:rsidP="00B13888">
      <w:r w:rsidRPr="00B13888">
        <w:t xml:space="preserve">Financial ratios, which are numerical representations of a company's financial conditions, are calculated using data from the balance sheet, cash flow statement, income statement, and other similar documents </w:t>
      </w:r>
      <w:r w:rsidR="00314B57">
        <w:t>(</w:t>
      </w:r>
      <w:proofErr w:type="spellStart"/>
      <w:r w:rsidR="00314B57">
        <w:t>Temelkov</w:t>
      </w:r>
      <w:proofErr w:type="spellEnd"/>
      <w:r w:rsidR="00314B57">
        <w:t xml:space="preserve">, </w:t>
      </w:r>
      <w:r w:rsidRPr="00B13888">
        <w:t>2022). This data is used to inform stockholders and management about the company's financial health.</w:t>
      </w:r>
    </w:p>
    <w:p w:rsidR="009C2661" w:rsidRPr="00B13888" w:rsidRDefault="009C2661" w:rsidP="00B13888">
      <w:r w:rsidRPr="00B13888">
        <w:t xml:space="preserve">We'll take a look at nine key financial measures for Marriot International that are likely to be of interest to investors, and </w:t>
      </w:r>
      <w:proofErr w:type="spellStart"/>
      <w:r w:rsidRPr="00B13888">
        <w:t>analyse</w:t>
      </w:r>
      <w:proofErr w:type="spellEnd"/>
      <w:r w:rsidRPr="00B13888">
        <w:t xml:space="preserve"> their historical patterns, below:</w:t>
      </w:r>
    </w:p>
    <w:p w:rsidR="009C2661" w:rsidRPr="00B13888" w:rsidRDefault="009C2661" w:rsidP="00B13888">
      <w:pPr>
        <w:rPr>
          <w:b/>
          <w:bCs/>
        </w:rPr>
      </w:pPr>
      <w:r w:rsidRPr="00B13888">
        <w:rPr>
          <w:b/>
          <w:bCs/>
        </w:rPr>
        <w:t>1. Current ratio-</w:t>
      </w:r>
    </w:p>
    <w:p w:rsidR="00145931" w:rsidRPr="00B13888" w:rsidRDefault="00145931" w:rsidP="00B13888">
      <w:r w:rsidRPr="00B13888">
        <w:t>If a company's current ratio is high enough, it means that it has enough cash on hand to pay its short-term commitments and obligations. Current ratios between 1.5 and 2 are considered healthy. What we see now in terms of ratios at Marriott is as follows:</w:t>
      </w:r>
    </w:p>
    <w:p w:rsidR="00145931" w:rsidRPr="00B13888" w:rsidRDefault="00145931" w:rsidP="00B13888"/>
    <w:p w:rsidR="00145931" w:rsidRPr="00B13888" w:rsidRDefault="00023373" w:rsidP="00B13888">
      <w:r w:rsidRPr="00B13888">
        <w:rPr>
          <w:noProof/>
        </w:rPr>
        <w:lastRenderedPageBreak/>
        <mc:AlternateContent>
          <mc:Choice Requires="wps">
            <w:drawing>
              <wp:anchor distT="0" distB="0" distL="114300" distR="114300" simplePos="0" relativeHeight="251689984" behindDoc="0" locked="0" layoutInCell="1" allowOverlap="1" wp14:anchorId="1DDA83ED" wp14:editId="6303DAC9">
                <wp:simplePos x="0" y="0"/>
                <wp:positionH relativeFrom="column">
                  <wp:posOffset>-635</wp:posOffset>
                </wp:positionH>
                <wp:positionV relativeFrom="paragraph">
                  <wp:posOffset>3009900</wp:posOffset>
                </wp:positionV>
                <wp:extent cx="5819775" cy="635"/>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5819775" cy="635"/>
                        </a:xfrm>
                        <a:prstGeom prst="rect">
                          <a:avLst/>
                        </a:prstGeom>
                        <a:solidFill>
                          <a:prstClr val="white"/>
                        </a:solidFill>
                        <a:ln>
                          <a:noFill/>
                        </a:ln>
                      </wps:spPr>
                      <wps:txbx>
                        <w:txbxContent>
                          <w:p w:rsidR="00023373" w:rsidRPr="00314B57" w:rsidRDefault="00023373" w:rsidP="00023373">
                            <w:pPr>
                              <w:pStyle w:val="Caption"/>
                              <w:rPr>
                                <w:noProof/>
                                <w:sz w:val="24"/>
                                <w:szCs w:val="24"/>
                              </w:rPr>
                            </w:pPr>
                            <w:r w:rsidRPr="00314B57">
                              <w:rPr>
                                <w:sz w:val="24"/>
                                <w:szCs w:val="24"/>
                              </w:rPr>
                              <w:t xml:space="preserve">Figure </w:t>
                            </w:r>
                            <w:r w:rsidRPr="00314B57">
                              <w:rPr>
                                <w:sz w:val="24"/>
                                <w:szCs w:val="24"/>
                              </w:rPr>
                              <w:fldChar w:fldCharType="begin"/>
                            </w:r>
                            <w:r w:rsidRPr="00314B57">
                              <w:rPr>
                                <w:sz w:val="24"/>
                                <w:szCs w:val="24"/>
                              </w:rPr>
                              <w:instrText xml:space="preserve"> SEQ Figure \* ARABIC </w:instrText>
                            </w:r>
                            <w:r w:rsidRPr="00314B57">
                              <w:rPr>
                                <w:sz w:val="24"/>
                                <w:szCs w:val="24"/>
                              </w:rPr>
                              <w:fldChar w:fldCharType="separate"/>
                            </w:r>
                            <w:r w:rsidR="00B13888" w:rsidRPr="00314B57">
                              <w:rPr>
                                <w:noProof/>
                                <w:sz w:val="24"/>
                                <w:szCs w:val="24"/>
                              </w:rPr>
                              <w:t>1</w:t>
                            </w:r>
                            <w:r w:rsidRPr="00314B57">
                              <w:rPr>
                                <w:sz w:val="24"/>
                                <w:szCs w:val="24"/>
                              </w:rPr>
                              <w:fldChar w:fldCharType="end"/>
                            </w:r>
                            <w:r w:rsidRPr="00314B57">
                              <w:rPr>
                                <w:sz w:val="24"/>
                                <w:szCs w:val="24"/>
                              </w:rPr>
                              <w:t xml:space="preserve"> Current ratio of Marriot International (Macrotrends,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DDA83ED" id="_x0000_t202" coordsize="21600,21600" o:spt="202" path="m,l,21600r21600,l21600,xe">
                <v:stroke joinstyle="miter"/>
                <v:path gradientshapeok="t" o:connecttype="rect"/>
              </v:shapetype>
              <v:shape id="Text Box 10" o:spid="_x0000_s1026" type="#_x0000_t202" style="position:absolute;left:0;text-align:left;margin-left:-.05pt;margin-top:237pt;width:458.25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" stroked="f">
                <v:textbox style="mso-fit-shape-to-text:t" inset="0,0,0,0">
                  <w:txbxContent>
                    <w:p w:rsidR="00023373" w:rsidRPr="00314B57" w:rsidRDefault="00023373" w:rsidP="00023373">
                      <w:pPr>
                        <w:pStyle w:val="Caption"/>
                        <w:rPr>
                          <w:noProof/>
                          <w:sz w:val="24"/>
                          <w:szCs w:val="24"/>
                        </w:rPr>
                      </w:pPr>
                      <w:r w:rsidRPr="00314B57">
                        <w:rPr>
                          <w:sz w:val="24"/>
                          <w:szCs w:val="24"/>
                        </w:rPr>
                        <w:t xml:space="preserve">Figure </w:t>
                      </w:r>
                      <w:r w:rsidRPr="00314B57">
                        <w:rPr>
                          <w:sz w:val="24"/>
                          <w:szCs w:val="24"/>
                        </w:rPr>
                        <w:fldChar w:fldCharType="begin"/>
                      </w:r>
                      <w:r w:rsidRPr="00314B57">
                        <w:rPr>
                          <w:sz w:val="24"/>
                          <w:szCs w:val="24"/>
                        </w:rPr>
                        <w:instrText xml:space="preserve"> SEQ Figure \* ARABIC </w:instrText>
                      </w:r>
                      <w:r w:rsidRPr="00314B57">
                        <w:rPr>
                          <w:sz w:val="24"/>
                          <w:szCs w:val="24"/>
                        </w:rPr>
                        <w:fldChar w:fldCharType="separate"/>
                      </w:r>
                      <w:r w:rsidR="00B13888" w:rsidRPr="00314B57">
                        <w:rPr>
                          <w:noProof/>
                          <w:sz w:val="24"/>
                          <w:szCs w:val="24"/>
                        </w:rPr>
                        <w:t>1</w:t>
                      </w:r>
                      <w:r w:rsidRPr="00314B57">
                        <w:rPr>
                          <w:sz w:val="24"/>
                          <w:szCs w:val="24"/>
                        </w:rPr>
                        <w:fldChar w:fldCharType="end"/>
                      </w:r>
                      <w:r w:rsidRPr="00314B57">
                        <w:rPr>
                          <w:sz w:val="24"/>
                          <w:szCs w:val="24"/>
                        </w:rPr>
                        <w:t xml:space="preserve"> Current ratio of Marriot International (Macrotrends, 2022)</w:t>
                      </w:r>
                    </w:p>
                  </w:txbxContent>
                </v:textbox>
                <w10:wrap type="topAndBottom"/>
              </v:shape>
            </w:pict>
          </mc:Fallback>
        </mc:AlternateContent>
      </w:r>
      <w:r w:rsidR="00145931" w:rsidRPr="00B13888">
        <w:rPr>
          <w:noProof/>
        </w:rPr>
        <w:drawing>
          <wp:anchor distT="0" distB="0" distL="114300" distR="114300" simplePos="0" relativeHeight="251669504" behindDoc="0" locked="0" layoutInCell="1" allowOverlap="1" wp14:anchorId="1E9697E2" wp14:editId="124D8B73">
            <wp:simplePos x="0" y="0"/>
            <wp:positionH relativeFrom="margin">
              <wp:posOffset>-635</wp:posOffset>
            </wp:positionH>
            <wp:positionV relativeFrom="paragraph">
              <wp:posOffset>361950</wp:posOffset>
            </wp:positionV>
            <wp:extent cx="5819775" cy="2590800"/>
            <wp:effectExtent l="0" t="0" r="9525" b="0"/>
            <wp:wrapTopAndBottom/>
            <wp:docPr id="1" name="Chart 1">
              <a:extLst xmlns:a="http://schemas.openxmlformats.org/drawingml/2006/main">
                <a:ext uri="{FF2B5EF4-FFF2-40B4-BE49-F238E27FC236}">
                  <a16:creationId xmlns:a16="http://schemas.microsoft.com/office/drawing/2014/main" id="{DB4C53F3-373C-472D-A9DD-E957CF4B01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rsidR="00145931" w:rsidRPr="00B13888" w:rsidRDefault="00145931" w:rsidP="00B13888">
      <w:r w:rsidRPr="00B13888">
        <w:t xml:space="preserve">   </w:t>
      </w:r>
    </w:p>
    <w:p w:rsidR="00145931" w:rsidRPr="00B13888" w:rsidRDefault="00145931" w:rsidP="00B13888">
      <w:r w:rsidRPr="00B13888">
        <w:t>Because it looks that Marriot's capacity to pay off its immediate obligations has been sliding below the desired 1.5- to 2-point level for a considerable length of time.</w:t>
      </w:r>
    </w:p>
    <w:p w:rsidR="009C2661" w:rsidRPr="00B13888" w:rsidRDefault="00145931" w:rsidP="00B13888">
      <w:r w:rsidRPr="00B13888">
        <w:rPr>
          <w:b/>
          <w:bCs/>
        </w:rPr>
        <w:t>C</w:t>
      </w:r>
      <w:r w:rsidR="009C2661" w:rsidRPr="00B13888">
        <w:rPr>
          <w:b/>
          <w:bCs/>
        </w:rPr>
        <w:t>omparison</w:t>
      </w:r>
      <w:r w:rsidRPr="00B13888">
        <w:rPr>
          <w:b/>
          <w:bCs/>
        </w:rPr>
        <w:t xml:space="preserve"> (2020 vs 2021)</w:t>
      </w:r>
      <w:r w:rsidR="009C2661" w:rsidRPr="00B13888">
        <w:rPr>
          <w:b/>
          <w:bCs/>
        </w:rPr>
        <w:t>:</w:t>
      </w:r>
      <w:r w:rsidR="009C2661" w:rsidRPr="00B13888">
        <w:t xml:space="preserve"> </w:t>
      </w:r>
      <w:r w:rsidRPr="00B13888">
        <w:t>In both years, the ratio is too low, although Marriot seems to be getting closer to the sweet spot in 2021.</w:t>
      </w:r>
    </w:p>
    <w:p w:rsidR="009C2661" w:rsidRPr="00B13888" w:rsidRDefault="009C2661" w:rsidP="00B13888">
      <w:pPr>
        <w:rPr>
          <w:b/>
          <w:bCs/>
        </w:rPr>
      </w:pPr>
      <w:r w:rsidRPr="00B13888">
        <w:rPr>
          <w:b/>
          <w:bCs/>
        </w:rPr>
        <w:t>2. Long-term debt/capital-</w:t>
      </w:r>
    </w:p>
    <w:p w:rsidR="00145931" w:rsidRPr="00B13888" w:rsidRDefault="00145931" w:rsidP="00B13888">
      <w:r w:rsidRPr="00B13888">
        <w:t>Adding up capital takes time, which reveals how powerful a company is financial. Any ratio value below 1.0 is considered optimal</w:t>
      </w:r>
      <w:r w:rsidR="00314B57">
        <w:t xml:space="preserve"> (Panizza, 2022)</w:t>
      </w:r>
      <w:r w:rsidRPr="00B13888">
        <w:t>. According to its ideal value, Marriott has</w:t>
      </w:r>
      <w:r w:rsidR="0079374A" w:rsidRPr="00B13888">
        <w:t xml:space="preserve"> </w:t>
      </w:r>
      <w:r w:rsidRPr="00B13888">
        <w:t>been in fine shape as of late. Marriott's overall capital compared to its long-term debt looks like this:</w:t>
      </w:r>
    </w:p>
    <w:p w:rsidR="0079374A" w:rsidRPr="00B13888" w:rsidRDefault="0079374A" w:rsidP="00B13888"/>
    <w:p w:rsidR="0079374A" w:rsidRPr="00B13888" w:rsidRDefault="0079374A" w:rsidP="00B13888"/>
    <w:p w:rsidR="0079374A" w:rsidRPr="00B13888" w:rsidRDefault="0079374A" w:rsidP="00B13888"/>
    <w:p w:rsidR="0079374A" w:rsidRPr="00B13888" w:rsidRDefault="0079374A" w:rsidP="00B13888"/>
    <w:p w:rsidR="0079374A" w:rsidRPr="00B13888" w:rsidRDefault="0079374A" w:rsidP="00B13888"/>
    <w:p w:rsidR="0079374A" w:rsidRPr="00B13888" w:rsidRDefault="0079374A" w:rsidP="00B13888"/>
    <w:p w:rsidR="0079374A" w:rsidRPr="00B13888" w:rsidRDefault="00023373" w:rsidP="00B13888">
      <w:r w:rsidRPr="00B13888">
        <w:rPr>
          <w:noProof/>
        </w:rPr>
        <w:lastRenderedPageBreak/>
        <mc:AlternateContent>
          <mc:Choice Requires="wps">
            <w:drawing>
              <wp:anchor distT="0" distB="0" distL="114300" distR="114300" simplePos="0" relativeHeight="251692032" behindDoc="0" locked="0" layoutInCell="1" allowOverlap="1" wp14:anchorId="13CBFCB4" wp14:editId="13AA496E">
                <wp:simplePos x="0" y="0"/>
                <wp:positionH relativeFrom="column">
                  <wp:posOffset>0</wp:posOffset>
                </wp:positionH>
                <wp:positionV relativeFrom="paragraph">
                  <wp:posOffset>2694940</wp:posOffset>
                </wp:positionV>
                <wp:extent cx="5705475" cy="635"/>
                <wp:effectExtent l="0" t="0" r="0" b="0"/>
                <wp:wrapTopAndBottom/>
                <wp:docPr id="11" name="Text Box 11"/>
                <wp:cNvGraphicFramePr/>
                <a:graphic xmlns:a="http://schemas.openxmlformats.org/drawingml/2006/main">
                  <a:graphicData uri="http://schemas.microsoft.com/office/word/2010/wordprocessingShape">
                    <wps:wsp>
                      <wps:cNvSpPr txBox="1"/>
                      <wps:spPr>
                        <a:xfrm>
                          <a:off x="0" y="0"/>
                          <a:ext cx="5705475" cy="635"/>
                        </a:xfrm>
                        <a:prstGeom prst="rect">
                          <a:avLst/>
                        </a:prstGeom>
                        <a:solidFill>
                          <a:prstClr val="white"/>
                        </a:solidFill>
                        <a:ln>
                          <a:noFill/>
                        </a:ln>
                      </wps:spPr>
                      <wps:txbx>
                        <w:txbxContent>
                          <w:p w:rsidR="00023373" w:rsidRPr="00314B57" w:rsidRDefault="00023373" w:rsidP="00023373">
                            <w:pPr>
                              <w:pStyle w:val="Caption"/>
                              <w:rPr>
                                <w:noProof/>
                                <w:sz w:val="24"/>
                                <w:szCs w:val="24"/>
                              </w:rPr>
                            </w:pPr>
                            <w:r w:rsidRPr="00314B57">
                              <w:rPr>
                                <w:sz w:val="24"/>
                                <w:szCs w:val="24"/>
                              </w:rPr>
                              <w:t xml:space="preserve">Figure </w:t>
                            </w:r>
                            <w:r w:rsidRPr="00314B57">
                              <w:rPr>
                                <w:sz w:val="24"/>
                                <w:szCs w:val="24"/>
                              </w:rPr>
                              <w:fldChar w:fldCharType="begin"/>
                            </w:r>
                            <w:r w:rsidRPr="00314B57">
                              <w:rPr>
                                <w:sz w:val="24"/>
                                <w:szCs w:val="24"/>
                              </w:rPr>
                              <w:instrText xml:space="preserve"> SEQ Figure \* ARABIC </w:instrText>
                            </w:r>
                            <w:r w:rsidRPr="00314B57">
                              <w:rPr>
                                <w:sz w:val="24"/>
                                <w:szCs w:val="24"/>
                              </w:rPr>
                              <w:fldChar w:fldCharType="separate"/>
                            </w:r>
                            <w:r w:rsidR="00B13888" w:rsidRPr="00314B57">
                              <w:rPr>
                                <w:noProof/>
                                <w:sz w:val="24"/>
                                <w:szCs w:val="24"/>
                              </w:rPr>
                              <w:t>2</w:t>
                            </w:r>
                            <w:r w:rsidRPr="00314B57">
                              <w:rPr>
                                <w:sz w:val="24"/>
                                <w:szCs w:val="24"/>
                              </w:rPr>
                              <w:fldChar w:fldCharType="end"/>
                            </w:r>
                            <w:r w:rsidRPr="00314B57">
                              <w:rPr>
                                <w:sz w:val="24"/>
                                <w:szCs w:val="24"/>
                              </w:rPr>
                              <w:t xml:space="preserve"> Long-term debt/capital ratio of Marriot International (Macrotrends,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CBFCB4" id="Text Box 11" o:spid="_x0000_s1027" type="#_x0000_t202" style="position:absolute;left:0;text-align:left;margin-left:0;margin-top:212.2pt;width:449.2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" stroked="f">
                <v:textbox style="mso-fit-shape-to-text:t" inset="0,0,0,0">
                  <w:txbxContent>
                    <w:p w:rsidR="00023373" w:rsidRPr="00314B57" w:rsidRDefault="00023373" w:rsidP="00023373">
                      <w:pPr>
                        <w:pStyle w:val="Caption"/>
                        <w:rPr>
                          <w:noProof/>
                          <w:sz w:val="24"/>
                          <w:szCs w:val="24"/>
                        </w:rPr>
                      </w:pPr>
                      <w:r w:rsidRPr="00314B57">
                        <w:rPr>
                          <w:sz w:val="24"/>
                          <w:szCs w:val="24"/>
                        </w:rPr>
                        <w:t xml:space="preserve">Figure </w:t>
                      </w:r>
                      <w:r w:rsidRPr="00314B57">
                        <w:rPr>
                          <w:sz w:val="24"/>
                          <w:szCs w:val="24"/>
                        </w:rPr>
                        <w:fldChar w:fldCharType="begin"/>
                      </w:r>
                      <w:r w:rsidRPr="00314B57">
                        <w:rPr>
                          <w:sz w:val="24"/>
                          <w:szCs w:val="24"/>
                        </w:rPr>
                        <w:instrText xml:space="preserve"> SEQ Figure \* ARABIC </w:instrText>
                      </w:r>
                      <w:r w:rsidRPr="00314B57">
                        <w:rPr>
                          <w:sz w:val="24"/>
                          <w:szCs w:val="24"/>
                        </w:rPr>
                        <w:fldChar w:fldCharType="separate"/>
                      </w:r>
                      <w:r w:rsidR="00B13888" w:rsidRPr="00314B57">
                        <w:rPr>
                          <w:noProof/>
                          <w:sz w:val="24"/>
                          <w:szCs w:val="24"/>
                        </w:rPr>
                        <w:t>2</w:t>
                      </w:r>
                      <w:r w:rsidRPr="00314B57">
                        <w:rPr>
                          <w:sz w:val="24"/>
                          <w:szCs w:val="24"/>
                        </w:rPr>
                        <w:fldChar w:fldCharType="end"/>
                      </w:r>
                      <w:r w:rsidRPr="00314B57">
                        <w:rPr>
                          <w:sz w:val="24"/>
                          <w:szCs w:val="24"/>
                        </w:rPr>
                        <w:t xml:space="preserve"> Long-term debt/capital ratio of Marriot International (Macrotrends, 2022)</w:t>
                      </w:r>
                    </w:p>
                  </w:txbxContent>
                </v:textbox>
                <w10:wrap type="topAndBottom"/>
              </v:shape>
            </w:pict>
          </mc:Fallback>
        </mc:AlternateContent>
      </w:r>
      <w:r w:rsidR="0079374A" w:rsidRPr="00B13888">
        <w:rPr>
          <w:noProof/>
        </w:rPr>
        <w:drawing>
          <wp:anchor distT="0" distB="0" distL="114300" distR="114300" simplePos="0" relativeHeight="251687936" behindDoc="0" locked="0" layoutInCell="1" allowOverlap="1" wp14:anchorId="2B699027" wp14:editId="0BCBEE14">
            <wp:simplePos x="0" y="0"/>
            <wp:positionH relativeFrom="margin">
              <wp:posOffset>0</wp:posOffset>
            </wp:positionH>
            <wp:positionV relativeFrom="paragraph">
              <wp:posOffset>370840</wp:posOffset>
            </wp:positionV>
            <wp:extent cx="5705475" cy="2266950"/>
            <wp:effectExtent l="0" t="0" r="9525" b="0"/>
            <wp:wrapTopAndBottom/>
            <wp:docPr id="2" name="Chart 2">
              <a:extLst xmlns:a="http://schemas.openxmlformats.org/drawingml/2006/main">
                <a:ext uri="{FF2B5EF4-FFF2-40B4-BE49-F238E27FC236}">
                  <a16:creationId xmlns:a16="http://schemas.microsoft.com/office/drawing/2014/main" id="{DB4C53F3-373C-472D-A9DD-E957CF4B01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rsidR="00145931" w:rsidRPr="00B13888" w:rsidRDefault="0030549C" w:rsidP="00B13888">
      <w:r w:rsidRPr="00B13888">
        <w:rPr>
          <w:b/>
          <w:bCs/>
        </w:rPr>
        <w:t>C</w:t>
      </w:r>
      <w:r w:rsidR="009C2661" w:rsidRPr="00B13888">
        <w:rPr>
          <w:b/>
          <w:bCs/>
        </w:rPr>
        <w:t>omparison</w:t>
      </w:r>
      <w:r w:rsidRPr="00B13888">
        <w:rPr>
          <w:b/>
          <w:bCs/>
        </w:rPr>
        <w:t xml:space="preserve"> (2020 vs 2021)</w:t>
      </w:r>
      <w:r w:rsidR="009C2661" w:rsidRPr="00B13888">
        <w:rPr>
          <w:b/>
          <w:bCs/>
        </w:rPr>
        <w:t>:</w:t>
      </w:r>
      <w:r w:rsidR="009C2661" w:rsidRPr="00B13888">
        <w:t xml:space="preserve"> </w:t>
      </w:r>
      <w:r w:rsidR="00145931" w:rsidRPr="00B13888">
        <w:t>While it is true that the ratio has improved in 2021, it remains well below the desirable range.</w:t>
      </w:r>
    </w:p>
    <w:p w:rsidR="009C2661" w:rsidRPr="00B13888" w:rsidRDefault="009C2661" w:rsidP="00B13888"/>
    <w:p w:rsidR="009C2661" w:rsidRPr="00B13888" w:rsidRDefault="009C2661" w:rsidP="00B13888">
      <w:pPr>
        <w:rPr>
          <w:b/>
          <w:bCs/>
        </w:rPr>
      </w:pPr>
      <w:r w:rsidRPr="00B13888">
        <w:rPr>
          <w:b/>
          <w:bCs/>
        </w:rPr>
        <w:t>3. Debt/equity ratio-</w:t>
      </w:r>
    </w:p>
    <w:p w:rsidR="009C2661" w:rsidRPr="00B13888" w:rsidRDefault="00D57122" w:rsidP="00B13888">
      <w:r w:rsidRPr="00B13888">
        <w:t xml:space="preserve">This metric illustrates how much debt financing is superior to using the company's own cash flow to fund operations. </w:t>
      </w:r>
      <w:proofErr w:type="spellStart"/>
      <w:r w:rsidR="00314B57">
        <w:t>Kalsum</w:t>
      </w:r>
      <w:proofErr w:type="spellEnd"/>
      <w:r w:rsidR="00314B57">
        <w:t xml:space="preserve">, </w:t>
      </w:r>
      <w:r w:rsidRPr="00B13888">
        <w:t>(20</w:t>
      </w:r>
      <w:r w:rsidR="00314B57">
        <w:t>22</w:t>
      </w:r>
      <w:r w:rsidRPr="00B13888">
        <w:t>)</w:t>
      </w:r>
      <w:r w:rsidR="00314B57">
        <w:t>,</w:t>
      </w:r>
      <w:r w:rsidRPr="00B13888">
        <w:t xml:space="preserve"> suggests that a ratio of no more than 2 to 2.5 between debt and equity is optimal. Marriott's debt-to-equity ratio is at:</w:t>
      </w:r>
    </w:p>
    <w:p w:rsidR="00D57122" w:rsidRPr="00B13888" w:rsidRDefault="00023373" w:rsidP="00B13888">
      <w:r w:rsidRPr="00B13888">
        <w:rPr>
          <w:noProof/>
        </w:rPr>
        <mc:AlternateContent>
          <mc:Choice Requires="wps">
            <w:drawing>
              <wp:anchor distT="0" distB="0" distL="114300" distR="114300" simplePos="0" relativeHeight="251694080" behindDoc="0" locked="0" layoutInCell="1" allowOverlap="1" wp14:anchorId="1FB91816" wp14:editId="1ADDD6A4">
                <wp:simplePos x="0" y="0"/>
                <wp:positionH relativeFrom="column">
                  <wp:posOffset>-635</wp:posOffset>
                </wp:positionH>
                <wp:positionV relativeFrom="paragraph">
                  <wp:posOffset>2969895</wp:posOffset>
                </wp:positionV>
                <wp:extent cx="5876925" cy="635"/>
                <wp:effectExtent l="0" t="0" r="0" b="0"/>
                <wp:wrapTopAndBottom/>
                <wp:docPr id="12" name="Text Box 12"/>
                <wp:cNvGraphicFramePr/>
                <a:graphic xmlns:a="http://schemas.openxmlformats.org/drawingml/2006/main">
                  <a:graphicData uri="http://schemas.microsoft.com/office/word/2010/wordprocessingShape">
                    <wps:wsp>
                      <wps:cNvSpPr txBox="1"/>
                      <wps:spPr>
                        <a:xfrm>
                          <a:off x="0" y="0"/>
                          <a:ext cx="5876925" cy="635"/>
                        </a:xfrm>
                        <a:prstGeom prst="rect">
                          <a:avLst/>
                        </a:prstGeom>
                        <a:solidFill>
                          <a:prstClr val="white"/>
                        </a:solidFill>
                        <a:ln>
                          <a:noFill/>
                        </a:ln>
                      </wps:spPr>
                      <wps:txbx>
                        <w:txbxContent>
                          <w:p w:rsidR="00023373" w:rsidRPr="00314B57" w:rsidRDefault="00023373" w:rsidP="00023373">
                            <w:pPr>
                              <w:pStyle w:val="Caption"/>
                              <w:rPr>
                                <w:noProof/>
                                <w:sz w:val="24"/>
                                <w:szCs w:val="24"/>
                              </w:rPr>
                            </w:pPr>
                            <w:r w:rsidRPr="00314B57">
                              <w:rPr>
                                <w:sz w:val="24"/>
                                <w:szCs w:val="24"/>
                              </w:rPr>
                              <w:t xml:space="preserve">Figure </w:t>
                            </w:r>
                            <w:r w:rsidRPr="00314B57">
                              <w:rPr>
                                <w:sz w:val="24"/>
                                <w:szCs w:val="24"/>
                              </w:rPr>
                              <w:fldChar w:fldCharType="begin"/>
                            </w:r>
                            <w:r w:rsidRPr="00314B57">
                              <w:rPr>
                                <w:sz w:val="24"/>
                                <w:szCs w:val="24"/>
                              </w:rPr>
                              <w:instrText xml:space="preserve"> SEQ Figure \* ARABIC </w:instrText>
                            </w:r>
                            <w:r w:rsidRPr="00314B57">
                              <w:rPr>
                                <w:sz w:val="24"/>
                                <w:szCs w:val="24"/>
                              </w:rPr>
                              <w:fldChar w:fldCharType="separate"/>
                            </w:r>
                            <w:r w:rsidR="00B13888" w:rsidRPr="00314B57">
                              <w:rPr>
                                <w:noProof/>
                                <w:sz w:val="24"/>
                                <w:szCs w:val="24"/>
                              </w:rPr>
                              <w:t>3</w:t>
                            </w:r>
                            <w:r w:rsidRPr="00314B57">
                              <w:rPr>
                                <w:sz w:val="24"/>
                                <w:szCs w:val="24"/>
                              </w:rPr>
                              <w:fldChar w:fldCharType="end"/>
                            </w:r>
                            <w:r w:rsidRPr="00314B57">
                              <w:rPr>
                                <w:sz w:val="24"/>
                                <w:szCs w:val="24"/>
                              </w:rPr>
                              <w:t xml:space="preserve"> Debt/Equity ratio of Marriot International (Macrotrends,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B91816" id="Text Box 12" o:spid="_x0000_s1028" type="#_x0000_t202" style="position:absolute;left:0;text-align:left;margin-left:-.05pt;margin-top:233.85pt;width:462.75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" stroked="f">
                <v:textbox style="mso-fit-shape-to-text:t" inset="0,0,0,0">
                  <w:txbxContent>
                    <w:p w:rsidR="00023373" w:rsidRPr="00314B57" w:rsidRDefault="00023373" w:rsidP="00023373">
                      <w:pPr>
                        <w:pStyle w:val="Caption"/>
                        <w:rPr>
                          <w:noProof/>
                          <w:sz w:val="24"/>
                          <w:szCs w:val="24"/>
                        </w:rPr>
                      </w:pPr>
                      <w:r w:rsidRPr="00314B57">
                        <w:rPr>
                          <w:sz w:val="24"/>
                          <w:szCs w:val="24"/>
                        </w:rPr>
                        <w:t xml:space="preserve">Figure </w:t>
                      </w:r>
                      <w:r w:rsidRPr="00314B57">
                        <w:rPr>
                          <w:sz w:val="24"/>
                          <w:szCs w:val="24"/>
                        </w:rPr>
                        <w:fldChar w:fldCharType="begin"/>
                      </w:r>
                      <w:r w:rsidRPr="00314B57">
                        <w:rPr>
                          <w:sz w:val="24"/>
                          <w:szCs w:val="24"/>
                        </w:rPr>
                        <w:instrText xml:space="preserve"> SEQ Figure \* ARABIC </w:instrText>
                      </w:r>
                      <w:r w:rsidRPr="00314B57">
                        <w:rPr>
                          <w:sz w:val="24"/>
                          <w:szCs w:val="24"/>
                        </w:rPr>
                        <w:fldChar w:fldCharType="separate"/>
                      </w:r>
                      <w:r w:rsidR="00B13888" w:rsidRPr="00314B57">
                        <w:rPr>
                          <w:noProof/>
                          <w:sz w:val="24"/>
                          <w:szCs w:val="24"/>
                        </w:rPr>
                        <w:t>3</w:t>
                      </w:r>
                      <w:r w:rsidRPr="00314B57">
                        <w:rPr>
                          <w:sz w:val="24"/>
                          <w:szCs w:val="24"/>
                        </w:rPr>
                        <w:fldChar w:fldCharType="end"/>
                      </w:r>
                      <w:r w:rsidRPr="00314B57">
                        <w:rPr>
                          <w:sz w:val="24"/>
                          <w:szCs w:val="24"/>
                        </w:rPr>
                        <w:t xml:space="preserve"> Debt/Equity ratio of Marriot International (Macrotrends, 2022)</w:t>
                      </w:r>
                    </w:p>
                  </w:txbxContent>
                </v:textbox>
                <w10:wrap type="topAndBottom"/>
              </v:shape>
            </w:pict>
          </mc:Fallback>
        </mc:AlternateContent>
      </w:r>
      <w:r w:rsidR="00F942D8" w:rsidRPr="00B13888">
        <w:rPr>
          <w:noProof/>
        </w:rPr>
        <w:drawing>
          <wp:anchor distT="0" distB="0" distL="114300" distR="114300" simplePos="0" relativeHeight="251673600" behindDoc="0" locked="0" layoutInCell="1" allowOverlap="1" wp14:anchorId="09C666C6" wp14:editId="1B61652A">
            <wp:simplePos x="0" y="0"/>
            <wp:positionH relativeFrom="margin">
              <wp:posOffset>-635</wp:posOffset>
            </wp:positionH>
            <wp:positionV relativeFrom="paragraph">
              <wp:posOffset>360045</wp:posOffset>
            </wp:positionV>
            <wp:extent cx="5876925" cy="2552700"/>
            <wp:effectExtent l="0" t="0" r="9525" b="0"/>
            <wp:wrapTopAndBottom/>
            <wp:docPr id="3" name="Chart 3">
              <a:extLst xmlns:a="http://schemas.openxmlformats.org/drawingml/2006/main">
                <a:ext uri="{FF2B5EF4-FFF2-40B4-BE49-F238E27FC236}">
                  <a16:creationId xmlns:a16="http://schemas.microsoft.com/office/drawing/2014/main" id="{DB4C53F3-373C-472D-A9DD-E957CF4B01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rsidR="00D57122" w:rsidRPr="00B13888" w:rsidRDefault="00D57122" w:rsidP="00B13888"/>
    <w:p w:rsidR="00D57122" w:rsidRPr="00B13888" w:rsidRDefault="00D57122" w:rsidP="00B13888">
      <w:r w:rsidRPr="00B13888">
        <w:t>The debt-to-equity ratio for Marriott was very low between 2011 and 2015 but has since grown. This ratio is also at a high level right now.</w:t>
      </w:r>
    </w:p>
    <w:p w:rsidR="00D57122" w:rsidRPr="00B13888" w:rsidRDefault="00D57122" w:rsidP="00B13888">
      <w:r w:rsidRPr="00B13888">
        <w:rPr>
          <w:b/>
          <w:bCs/>
        </w:rPr>
        <w:t>Comparison (2020 vs 2021):</w:t>
      </w:r>
      <w:r w:rsidRPr="00B13888">
        <w:t xml:space="preserve"> </w:t>
      </w:r>
      <w:r w:rsidR="006B47EC" w:rsidRPr="00B13888">
        <w:t>As seen by its negative debt-to-equity ratio in 2020, Marriott was very asset-reliant. This ratio peaked in 2021, and although it has room for improvement, it is encouraging to see that it has entered positive territory.</w:t>
      </w:r>
    </w:p>
    <w:p w:rsidR="00F942D8" w:rsidRPr="00B13888" w:rsidRDefault="00F942D8" w:rsidP="00B13888">
      <w:pPr>
        <w:rPr>
          <w:b/>
          <w:bCs/>
        </w:rPr>
      </w:pPr>
      <w:r w:rsidRPr="00B13888">
        <w:rPr>
          <w:b/>
          <w:bCs/>
        </w:rPr>
        <w:t>4. EBITDA margin</w:t>
      </w:r>
    </w:p>
    <w:p w:rsidR="00F942D8" w:rsidRPr="00B13888" w:rsidRDefault="00F942D8" w:rsidP="00B13888">
      <w:r w:rsidRPr="00B13888">
        <w:t xml:space="preserve">It is common practice to express operational profit as a proportion of sales by using the EBITDA margin. When people talk about "EBITDA," they mean "income before interest, taxes, depreciation, and </w:t>
      </w:r>
      <w:r w:rsidR="008A7122" w:rsidRPr="00B13888">
        <w:t>amortization</w:t>
      </w:r>
      <w:r w:rsidRPr="00B13888">
        <w:t>." Positive EBITDA margins are defined as those greater than 10%</w:t>
      </w:r>
      <w:r w:rsidR="00F10530">
        <w:t xml:space="preserve"> (Bloomberg, and Cap, 2022)</w:t>
      </w:r>
      <w:r w:rsidRPr="00B13888">
        <w:t>. Ideally, Marriot's EBITDA margin would develop as follows:</w:t>
      </w:r>
    </w:p>
    <w:p w:rsidR="00F942D8" w:rsidRPr="00B13888" w:rsidRDefault="00B13888" w:rsidP="00B13888">
      <w:r w:rsidRPr="00B13888">
        <w:rPr>
          <w:noProof/>
        </w:rPr>
        <mc:AlternateContent>
          <mc:Choice Requires="wps">
            <w:drawing>
              <wp:anchor distT="0" distB="0" distL="114300" distR="114300" simplePos="0" relativeHeight="251696128" behindDoc="0" locked="0" layoutInCell="1" allowOverlap="1" wp14:anchorId="2B622BC2" wp14:editId="70358086">
                <wp:simplePos x="0" y="0"/>
                <wp:positionH relativeFrom="column">
                  <wp:posOffset>-635</wp:posOffset>
                </wp:positionH>
                <wp:positionV relativeFrom="paragraph">
                  <wp:posOffset>2914015</wp:posOffset>
                </wp:positionV>
                <wp:extent cx="5743575" cy="635"/>
                <wp:effectExtent l="0" t="0" r="0" b="0"/>
                <wp:wrapTopAndBottom/>
                <wp:docPr id="13" name="Text Box 13"/>
                <wp:cNvGraphicFramePr/>
                <a:graphic xmlns:a="http://schemas.openxmlformats.org/drawingml/2006/main">
                  <a:graphicData uri="http://schemas.microsoft.com/office/word/2010/wordprocessingShape">
                    <wps:wsp>
                      <wps:cNvSpPr txBox="1"/>
                      <wps:spPr>
                        <a:xfrm>
                          <a:off x="0" y="0"/>
                          <a:ext cx="5743575" cy="635"/>
                        </a:xfrm>
                        <a:prstGeom prst="rect">
                          <a:avLst/>
                        </a:prstGeom>
                        <a:solidFill>
                          <a:prstClr val="white"/>
                        </a:solidFill>
                        <a:ln>
                          <a:noFill/>
                        </a:ln>
                      </wps:spPr>
                      <wps:txbx>
                        <w:txbxContent>
                          <w:p w:rsidR="00B13888" w:rsidRPr="00F10530" w:rsidRDefault="00B13888" w:rsidP="00B13888">
                            <w:pPr>
                              <w:pStyle w:val="Caption"/>
                              <w:rPr>
                                <w:noProof/>
                                <w:sz w:val="24"/>
                                <w:szCs w:val="24"/>
                              </w:rPr>
                            </w:pPr>
                            <w:r w:rsidRPr="00F10530">
                              <w:rPr>
                                <w:sz w:val="24"/>
                                <w:szCs w:val="24"/>
                              </w:rPr>
                              <w:t xml:space="preserve">Figure </w:t>
                            </w:r>
                            <w:r w:rsidRPr="00F10530">
                              <w:rPr>
                                <w:sz w:val="24"/>
                                <w:szCs w:val="24"/>
                              </w:rPr>
                              <w:fldChar w:fldCharType="begin"/>
                            </w:r>
                            <w:r w:rsidRPr="00F10530">
                              <w:rPr>
                                <w:sz w:val="24"/>
                                <w:szCs w:val="24"/>
                              </w:rPr>
                              <w:instrText xml:space="preserve"> SEQ Figure \* ARABIC </w:instrText>
                            </w:r>
                            <w:r w:rsidRPr="00F10530">
                              <w:rPr>
                                <w:sz w:val="24"/>
                                <w:szCs w:val="24"/>
                              </w:rPr>
                              <w:fldChar w:fldCharType="separate"/>
                            </w:r>
                            <w:r w:rsidRPr="00F10530">
                              <w:rPr>
                                <w:noProof/>
                                <w:sz w:val="24"/>
                                <w:szCs w:val="24"/>
                              </w:rPr>
                              <w:t>4</w:t>
                            </w:r>
                            <w:r w:rsidRPr="00F10530">
                              <w:rPr>
                                <w:sz w:val="24"/>
                                <w:szCs w:val="24"/>
                              </w:rPr>
                              <w:fldChar w:fldCharType="end"/>
                            </w:r>
                            <w:r w:rsidRPr="00F10530">
                              <w:rPr>
                                <w:sz w:val="24"/>
                                <w:szCs w:val="24"/>
                              </w:rPr>
                              <w:t xml:space="preserve"> EBITDA margin of Marriot International (Macrotrends,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622BC2" id="Text Box 13" o:spid="_x0000_s1029" type="#_x0000_t202" style="position:absolute;left:0;text-align:left;margin-left:-.05pt;margin-top:229.45pt;width:452.2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" stroked="f">
                <v:textbox style="mso-fit-shape-to-text:t" inset="0,0,0,0">
                  <w:txbxContent>
                    <w:p w:rsidR="00B13888" w:rsidRPr="00F10530" w:rsidRDefault="00B13888" w:rsidP="00B13888">
                      <w:pPr>
                        <w:pStyle w:val="Caption"/>
                        <w:rPr>
                          <w:noProof/>
                          <w:sz w:val="24"/>
                          <w:szCs w:val="24"/>
                        </w:rPr>
                      </w:pPr>
                      <w:r w:rsidRPr="00F10530">
                        <w:rPr>
                          <w:sz w:val="24"/>
                          <w:szCs w:val="24"/>
                        </w:rPr>
                        <w:t xml:space="preserve">Figure </w:t>
                      </w:r>
                      <w:r w:rsidRPr="00F10530">
                        <w:rPr>
                          <w:sz w:val="24"/>
                          <w:szCs w:val="24"/>
                        </w:rPr>
                        <w:fldChar w:fldCharType="begin"/>
                      </w:r>
                      <w:r w:rsidRPr="00F10530">
                        <w:rPr>
                          <w:sz w:val="24"/>
                          <w:szCs w:val="24"/>
                        </w:rPr>
                        <w:instrText xml:space="preserve"> SEQ Figure \* ARABIC </w:instrText>
                      </w:r>
                      <w:r w:rsidRPr="00F10530">
                        <w:rPr>
                          <w:sz w:val="24"/>
                          <w:szCs w:val="24"/>
                        </w:rPr>
                        <w:fldChar w:fldCharType="separate"/>
                      </w:r>
                      <w:r w:rsidRPr="00F10530">
                        <w:rPr>
                          <w:noProof/>
                          <w:sz w:val="24"/>
                          <w:szCs w:val="24"/>
                        </w:rPr>
                        <w:t>4</w:t>
                      </w:r>
                      <w:r w:rsidRPr="00F10530">
                        <w:rPr>
                          <w:sz w:val="24"/>
                          <w:szCs w:val="24"/>
                        </w:rPr>
                        <w:fldChar w:fldCharType="end"/>
                      </w:r>
                      <w:r w:rsidRPr="00F10530">
                        <w:rPr>
                          <w:sz w:val="24"/>
                          <w:szCs w:val="24"/>
                        </w:rPr>
                        <w:t xml:space="preserve"> EBITDA margin of Marriot International (Macrotrends, 2022)</w:t>
                      </w:r>
                    </w:p>
                  </w:txbxContent>
                </v:textbox>
                <w10:wrap type="topAndBottom"/>
              </v:shape>
            </w:pict>
          </mc:Fallback>
        </mc:AlternateContent>
      </w:r>
      <w:r w:rsidR="00F942D8" w:rsidRPr="00B13888">
        <w:rPr>
          <w:noProof/>
        </w:rPr>
        <w:drawing>
          <wp:anchor distT="0" distB="0" distL="114300" distR="114300" simplePos="0" relativeHeight="251675648" behindDoc="0" locked="0" layoutInCell="1" allowOverlap="1" wp14:anchorId="148F3B8C" wp14:editId="55EC24FA">
            <wp:simplePos x="0" y="0"/>
            <wp:positionH relativeFrom="margin">
              <wp:posOffset>-635</wp:posOffset>
            </wp:positionH>
            <wp:positionV relativeFrom="paragraph">
              <wp:posOffset>361315</wp:posOffset>
            </wp:positionV>
            <wp:extent cx="5743575" cy="2495550"/>
            <wp:effectExtent l="0" t="0" r="9525" b="0"/>
            <wp:wrapTopAndBottom/>
            <wp:docPr id="4" name="Chart 4">
              <a:extLst xmlns:a="http://schemas.openxmlformats.org/drawingml/2006/main">
                <a:ext uri="{FF2B5EF4-FFF2-40B4-BE49-F238E27FC236}">
                  <a16:creationId xmlns:a16="http://schemas.microsoft.com/office/drawing/2014/main" id="{DB4C53F3-373C-472D-A9DD-E957CF4B01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rsidR="00F942D8" w:rsidRPr="00B13888" w:rsidRDefault="00F942D8" w:rsidP="00B13888">
      <w:r w:rsidRPr="00B13888">
        <w:t>The line of best fit suggests that Marriot's EBITDA has been consistently higher than 10%. From 2009–2014, this number was below 10%, suggesting decreased profit probability; however, it has progressively improved since then.</w:t>
      </w:r>
    </w:p>
    <w:p w:rsidR="00F942D8" w:rsidRPr="00B13888" w:rsidRDefault="00F942D8" w:rsidP="00B13888">
      <w:r w:rsidRPr="00B13888">
        <w:rPr>
          <w:b/>
          <w:bCs/>
        </w:rPr>
        <w:t>Comparison (2020 vs 2021):</w:t>
      </w:r>
      <w:r w:rsidRPr="00B13888">
        <w:t xml:space="preserve"> Concerningly, the EBITDA margin (which represents the possible profit after expenses) dropped by approximately 5% in 2020. This concern, however, has been put to rest by the unexpectedly high margin in 2021.</w:t>
      </w:r>
    </w:p>
    <w:p w:rsidR="00F942D8" w:rsidRPr="00B13888" w:rsidRDefault="00F942D8" w:rsidP="00B13888">
      <w:pPr>
        <w:rPr>
          <w:b/>
          <w:bCs/>
        </w:rPr>
      </w:pPr>
      <w:r w:rsidRPr="00B13888">
        <w:rPr>
          <w:b/>
          <w:bCs/>
        </w:rPr>
        <w:lastRenderedPageBreak/>
        <w:t>5. Net profit margin</w:t>
      </w:r>
    </w:p>
    <w:p w:rsidR="00F942D8" w:rsidRPr="00B13888" w:rsidRDefault="00F942D8" w:rsidP="00B13888">
      <w:r w:rsidRPr="00B13888">
        <w:t>This net income, also known as a net profit margin, quantifies the whole gain or advantage of a transaction. This is the ratio of a business’s net income to its total revenue. An acceptable net income is between 7 and 10 per cent</w:t>
      </w:r>
      <w:r w:rsidR="00F10530">
        <w:t xml:space="preserve"> (Sanjaya, 2022)</w:t>
      </w:r>
      <w:r w:rsidRPr="00B13888">
        <w:t>. For Marriot, the trajectory of their net profit margin looks like this:</w:t>
      </w:r>
    </w:p>
    <w:p w:rsidR="00F942D8" w:rsidRPr="00B13888" w:rsidRDefault="00B13888" w:rsidP="00B13888">
      <w:r w:rsidRPr="00B13888">
        <w:rPr>
          <w:noProof/>
        </w:rPr>
        <mc:AlternateContent>
          <mc:Choice Requires="wps">
            <w:drawing>
              <wp:anchor distT="0" distB="0" distL="114300" distR="114300" simplePos="0" relativeHeight="251698176" behindDoc="0" locked="0" layoutInCell="1" allowOverlap="1" wp14:anchorId="51D33D8E" wp14:editId="2FED5969">
                <wp:simplePos x="0" y="0"/>
                <wp:positionH relativeFrom="column">
                  <wp:posOffset>-635</wp:posOffset>
                </wp:positionH>
                <wp:positionV relativeFrom="paragraph">
                  <wp:posOffset>2914650</wp:posOffset>
                </wp:positionV>
                <wp:extent cx="5781675" cy="635"/>
                <wp:effectExtent l="0" t="0" r="0" b="0"/>
                <wp:wrapTopAndBottom/>
                <wp:docPr id="14" name="Text Box 14"/>
                <wp:cNvGraphicFramePr/>
                <a:graphic xmlns:a="http://schemas.openxmlformats.org/drawingml/2006/main">
                  <a:graphicData uri="http://schemas.microsoft.com/office/word/2010/wordprocessingShape">
                    <wps:wsp>
                      <wps:cNvSpPr txBox="1"/>
                      <wps:spPr>
                        <a:xfrm>
                          <a:off x="0" y="0"/>
                          <a:ext cx="5781675" cy="635"/>
                        </a:xfrm>
                        <a:prstGeom prst="rect">
                          <a:avLst/>
                        </a:prstGeom>
                        <a:solidFill>
                          <a:prstClr val="white"/>
                        </a:solidFill>
                        <a:ln>
                          <a:noFill/>
                        </a:ln>
                      </wps:spPr>
                      <wps:txbx>
                        <w:txbxContent>
                          <w:p w:rsidR="00B13888" w:rsidRPr="00F10530" w:rsidRDefault="00B13888" w:rsidP="00B13888">
                            <w:pPr>
                              <w:pStyle w:val="Caption"/>
                              <w:rPr>
                                <w:noProof/>
                                <w:sz w:val="24"/>
                                <w:szCs w:val="24"/>
                              </w:rPr>
                            </w:pPr>
                            <w:r w:rsidRPr="00F10530">
                              <w:rPr>
                                <w:sz w:val="24"/>
                                <w:szCs w:val="24"/>
                              </w:rPr>
                              <w:t xml:space="preserve">Figure </w:t>
                            </w:r>
                            <w:r w:rsidRPr="00F10530">
                              <w:rPr>
                                <w:sz w:val="24"/>
                                <w:szCs w:val="24"/>
                              </w:rPr>
                              <w:fldChar w:fldCharType="begin"/>
                            </w:r>
                            <w:r w:rsidRPr="00F10530">
                              <w:rPr>
                                <w:sz w:val="24"/>
                                <w:szCs w:val="24"/>
                              </w:rPr>
                              <w:instrText xml:space="preserve"> SEQ Figure \* ARABIC </w:instrText>
                            </w:r>
                            <w:r w:rsidRPr="00F10530">
                              <w:rPr>
                                <w:sz w:val="24"/>
                                <w:szCs w:val="24"/>
                              </w:rPr>
                              <w:fldChar w:fldCharType="separate"/>
                            </w:r>
                            <w:r w:rsidRPr="00F10530">
                              <w:rPr>
                                <w:noProof/>
                                <w:sz w:val="24"/>
                                <w:szCs w:val="24"/>
                              </w:rPr>
                              <w:t>5</w:t>
                            </w:r>
                            <w:r w:rsidRPr="00F10530">
                              <w:rPr>
                                <w:sz w:val="24"/>
                                <w:szCs w:val="24"/>
                              </w:rPr>
                              <w:fldChar w:fldCharType="end"/>
                            </w:r>
                            <w:r w:rsidRPr="00F10530">
                              <w:rPr>
                                <w:sz w:val="24"/>
                                <w:szCs w:val="24"/>
                              </w:rPr>
                              <w:t xml:space="preserve"> Net Profit margin of Marriot International (Macrotrends,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D33D8E" id="Text Box 14" o:spid="_x0000_s1030" type="#_x0000_t202" style="position:absolute;left:0;text-align:left;margin-left:-.05pt;margin-top:229.5pt;width:455.25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x1RGwIAAD8EAAAOAAAAZHJzL2Uyb0RvYy54bWysU8Fu2zAMvQ/YPwi6L066JS2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" stroked="f">
                <v:textbox style="mso-fit-shape-to-text:t" inset="0,0,0,0">
                  <w:txbxContent>
                    <w:p w:rsidR="00B13888" w:rsidRPr="00F10530" w:rsidRDefault="00B13888" w:rsidP="00B13888">
                      <w:pPr>
                        <w:pStyle w:val="Caption"/>
                        <w:rPr>
                          <w:noProof/>
                          <w:sz w:val="24"/>
                          <w:szCs w:val="24"/>
                        </w:rPr>
                      </w:pPr>
                      <w:r w:rsidRPr="00F10530">
                        <w:rPr>
                          <w:sz w:val="24"/>
                          <w:szCs w:val="24"/>
                        </w:rPr>
                        <w:t xml:space="preserve">Figure </w:t>
                      </w:r>
                      <w:r w:rsidRPr="00F10530">
                        <w:rPr>
                          <w:sz w:val="24"/>
                          <w:szCs w:val="24"/>
                        </w:rPr>
                        <w:fldChar w:fldCharType="begin"/>
                      </w:r>
                      <w:r w:rsidRPr="00F10530">
                        <w:rPr>
                          <w:sz w:val="24"/>
                          <w:szCs w:val="24"/>
                        </w:rPr>
                        <w:instrText xml:space="preserve"> SEQ Figure \* ARABIC </w:instrText>
                      </w:r>
                      <w:r w:rsidRPr="00F10530">
                        <w:rPr>
                          <w:sz w:val="24"/>
                          <w:szCs w:val="24"/>
                        </w:rPr>
                        <w:fldChar w:fldCharType="separate"/>
                      </w:r>
                      <w:r w:rsidRPr="00F10530">
                        <w:rPr>
                          <w:noProof/>
                          <w:sz w:val="24"/>
                          <w:szCs w:val="24"/>
                        </w:rPr>
                        <w:t>5</w:t>
                      </w:r>
                      <w:r w:rsidRPr="00F10530">
                        <w:rPr>
                          <w:sz w:val="24"/>
                          <w:szCs w:val="24"/>
                        </w:rPr>
                        <w:fldChar w:fldCharType="end"/>
                      </w:r>
                      <w:r w:rsidRPr="00F10530">
                        <w:rPr>
                          <w:sz w:val="24"/>
                          <w:szCs w:val="24"/>
                        </w:rPr>
                        <w:t xml:space="preserve"> Net Profit margin of Marriot International (Macrotrends, 2022)</w:t>
                      </w:r>
                    </w:p>
                  </w:txbxContent>
                </v:textbox>
                <w10:wrap type="topAndBottom"/>
              </v:shape>
            </w:pict>
          </mc:Fallback>
        </mc:AlternateContent>
      </w:r>
      <w:r w:rsidR="00F942D8" w:rsidRPr="00B13888">
        <w:rPr>
          <w:noProof/>
        </w:rPr>
        <w:drawing>
          <wp:anchor distT="0" distB="0" distL="114300" distR="114300" simplePos="0" relativeHeight="251677696" behindDoc="0" locked="0" layoutInCell="1" allowOverlap="1" wp14:anchorId="63E32CEE" wp14:editId="1D3F8194">
            <wp:simplePos x="0" y="0"/>
            <wp:positionH relativeFrom="margin">
              <wp:posOffset>-635</wp:posOffset>
            </wp:positionH>
            <wp:positionV relativeFrom="paragraph">
              <wp:posOffset>361950</wp:posOffset>
            </wp:positionV>
            <wp:extent cx="5781675" cy="2495550"/>
            <wp:effectExtent l="0" t="0" r="9525" b="0"/>
            <wp:wrapTopAndBottom/>
            <wp:docPr id="5" name="Chart 5">
              <a:extLst xmlns:a="http://schemas.openxmlformats.org/drawingml/2006/main">
                <a:ext uri="{FF2B5EF4-FFF2-40B4-BE49-F238E27FC236}">
                  <a16:creationId xmlns:a16="http://schemas.microsoft.com/office/drawing/2014/main" id="{DB4C53F3-373C-472D-A9DD-E957CF4B01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F942D8" w:rsidRPr="00B13888" w:rsidRDefault="00F942D8" w:rsidP="00B13888">
      <w:r w:rsidRPr="00B13888">
        <w:t>It is plain to observe that Marriot's profit margin has been consistently low. Yet, the year 2017 is the only year to have hit the sweet spot; 2020 and 2021 both made it. When it comes to this particular market, Marriot has to step up its game.</w:t>
      </w:r>
    </w:p>
    <w:p w:rsidR="00F942D8" w:rsidRPr="00B13888" w:rsidRDefault="00F942D8" w:rsidP="00B13888">
      <w:r w:rsidRPr="00B13888">
        <w:rPr>
          <w:b/>
          <w:bCs/>
        </w:rPr>
        <w:t>Comparison (2020 vs 2021):</w:t>
      </w:r>
      <w:r w:rsidRPr="00B13888">
        <w:t xml:space="preserve"> In 2020, Marriott's profit margin hit rock bottom. caused mostly because to the widespread COVID-19 virus. Thankfully, it will be back to normal in 2021 at 7%, but it may be much higher.</w:t>
      </w:r>
    </w:p>
    <w:p w:rsidR="006B47EC" w:rsidRPr="00B13888" w:rsidRDefault="006B47EC" w:rsidP="00B13888">
      <w:pPr>
        <w:rPr>
          <w:b/>
          <w:bCs/>
        </w:rPr>
      </w:pPr>
      <w:r w:rsidRPr="00B13888">
        <w:rPr>
          <w:b/>
          <w:bCs/>
        </w:rPr>
        <w:t>6. Asset Turnover</w:t>
      </w:r>
    </w:p>
    <w:p w:rsidR="0040513C" w:rsidRPr="00B13888" w:rsidRDefault="006B47EC" w:rsidP="00B13888">
      <w:r w:rsidRPr="00B13888">
        <w:t>Asset turnover measures the productiveness of an asset in generating income or sales. This chart compares the yearly proportion of total assets to the total revenue in dollars. Therefore, the asset turnover formula takes the net revenue and divides it by the entire asset. The asset turnover ratio may be at least 2.5, which would be considered good (</w:t>
      </w:r>
      <w:proofErr w:type="spellStart"/>
      <w:r w:rsidR="00F10530">
        <w:t>Juwita</w:t>
      </w:r>
      <w:proofErr w:type="spellEnd"/>
      <w:r w:rsidR="00F10530">
        <w:t xml:space="preserve">, and </w:t>
      </w:r>
      <w:proofErr w:type="spellStart"/>
      <w:r w:rsidR="00F10530">
        <w:t>Mutawali</w:t>
      </w:r>
      <w:proofErr w:type="spellEnd"/>
      <w:r w:rsidR="00F10530">
        <w:t xml:space="preserve">, </w:t>
      </w:r>
      <w:r w:rsidRPr="00B13888">
        <w:t>2022). Marriot's asset turnover ratio would likely follow the following pattern:</w:t>
      </w:r>
    </w:p>
    <w:p w:rsidR="006B47EC" w:rsidRPr="00B13888" w:rsidRDefault="00B13888" w:rsidP="00B13888">
      <w:r w:rsidRPr="00B13888">
        <w:rPr>
          <w:noProof/>
        </w:rPr>
        <w:lastRenderedPageBreak/>
        <mc:AlternateContent>
          <mc:Choice Requires="wps">
            <w:drawing>
              <wp:anchor distT="0" distB="0" distL="114300" distR="114300" simplePos="0" relativeHeight="251700224" behindDoc="0" locked="0" layoutInCell="1" allowOverlap="1" wp14:anchorId="7B5BDF47" wp14:editId="0E91AE31">
                <wp:simplePos x="0" y="0"/>
                <wp:positionH relativeFrom="column">
                  <wp:posOffset>-635</wp:posOffset>
                </wp:positionH>
                <wp:positionV relativeFrom="paragraph">
                  <wp:posOffset>3238500</wp:posOffset>
                </wp:positionV>
                <wp:extent cx="5819775" cy="635"/>
                <wp:effectExtent l="0" t="0" r="0" b="0"/>
                <wp:wrapTopAndBottom/>
                <wp:docPr id="15" name="Text Box 15"/>
                <wp:cNvGraphicFramePr/>
                <a:graphic xmlns:a="http://schemas.openxmlformats.org/drawingml/2006/main">
                  <a:graphicData uri="http://schemas.microsoft.com/office/word/2010/wordprocessingShape">
                    <wps:wsp>
                      <wps:cNvSpPr txBox="1"/>
                      <wps:spPr>
                        <a:xfrm>
                          <a:off x="0" y="0"/>
                          <a:ext cx="5819775" cy="635"/>
                        </a:xfrm>
                        <a:prstGeom prst="rect">
                          <a:avLst/>
                        </a:prstGeom>
                        <a:solidFill>
                          <a:prstClr val="white"/>
                        </a:solidFill>
                        <a:ln>
                          <a:noFill/>
                        </a:ln>
                      </wps:spPr>
                      <wps:txbx>
                        <w:txbxContent>
                          <w:p w:rsidR="00B13888" w:rsidRPr="00F10530" w:rsidRDefault="00B13888" w:rsidP="00B13888">
                            <w:pPr>
                              <w:pStyle w:val="Caption"/>
                              <w:rPr>
                                <w:noProof/>
                                <w:sz w:val="24"/>
                                <w:szCs w:val="24"/>
                              </w:rPr>
                            </w:pPr>
                            <w:r w:rsidRPr="00F10530">
                              <w:rPr>
                                <w:sz w:val="24"/>
                                <w:szCs w:val="24"/>
                              </w:rPr>
                              <w:t xml:space="preserve">Figure </w:t>
                            </w:r>
                            <w:r w:rsidRPr="00F10530">
                              <w:rPr>
                                <w:sz w:val="24"/>
                                <w:szCs w:val="24"/>
                              </w:rPr>
                              <w:fldChar w:fldCharType="begin"/>
                            </w:r>
                            <w:r w:rsidRPr="00F10530">
                              <w:rPr>
                                <w:sz w:val="24"/>
                                <w:szCs w:val="24"/>
                              </w:rPr>
                              <w:instrText xml:space="preserve"> SEQ Figure \* ARABIC </w:instrText>
                            </w:r>
                            <w:r w:rsidRPr="00F10530">
                              <w:rPr>
                                <w:sz w:val="24"/>
                                <w:szCs w:val="24"/>
                              </w:rPr>
                              <w:fldChar w:fldCharType="separate"/>
                            </w:r>
                            <w:r w:rsidRPr="00F10530">
                              <w:rPr>
                                <w:noProof/>
                                <w:sz w:val="24"/>
                                <w:szCs w:val="24"/>
                              </w:rPr>
                              <w:t>6</w:t>
                            </w:r>
                            <w:r w:rsidRPr="00F10530">
                              <w:rPr>
                                <w:sz w:val="24"/>
                                <w:szCs w:val="24"/>
                              </w:rPr>
                              <w:fldChar w:fldCharType="end"/>
                            </w:r>
                            <w:r w:rsidRPr="00F10530">
                              <w:rPr>
                                <w:sz w:val="24"/>
                                <w:szCs w:val="24"/>
                              </w:rPr>
                              <w:t xml:space="preserve"> Asset Turnover Ratio of Marriot International (Macrotrends,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5BDF47" id="Text Box 15" o:spid="_x0000_s1031" type="#_x0000_t202" style="position:absolute;left:0;text-align:left;margin-left:-.05pt;margin-top:255pt;width:458.25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" stroked="f">
                <v:textbox style="mso-fit-shape-to-text:t" inset="0,0,0,0">
                  <w:txbxContent>
                    <w:p w:rsidR="00B13888" w:rsidRPr="00F10530" w:rsidRDefault="00B13888" w:rsidP="00B13888">
                      <w:pPr>
                        <w:pStyle w:val="Caption"/>
                        <w:rPr>
                          <w:noProof/>
                          <w:sz w:val="24"/>
                          <w:szCs w:val="24"/>
                        </w:rPr>
                      </w:pPr>
                      <w:r w:rsidRPr="00F10530">
                        <w:rPr>
                          <w:sz w:val="24"/>
                          <w:szCs w:val="24"/>
                        </w:rPr>
                        <w:t xml:space="preserve">Figure </w:t>
                      </w:r>
                      <w:r w:rsidRPr="00F10530">
                        <w:rPr>
                          <w:sz w:val="24"/>
                          <w:szCs w:val="24"/>
                        </w:rPr>
                        <w:fldChar w:fldCharType="begin"/>
                      </w:r>
                      <w:r w:rsidRPr="00F10530">
                        <w:rPr>
                          <w:sz w:val="24"/>
                          <w:szCs w:val="24"/>
                        </w:rPr>
                        <w:instrText xml:space="preserve"> SEQ Figure \* ARABIC </w:instrText>
                      </w:r>
                      <w:r w:rsidRPr="00F10530">
                        <w:rPr>
                          <w:sz w:val="24"/>
                          <w:szCs w:val="24"/>
                        </w:rPr>
                        <w:fldChar w:fldCharType="separate"/>
                      </w:r>
                      <w:r w:rsidRPr="00F10530">
                        <w:rPr>
                          <w:noProof/>
                          <w:sz w:val="24"/>
                          <w:szCs w:val="24"/>
                        </w:rPr>
                        <w:t>6</w:t>
                      </w:r>
                      <w:r w:rsidRPr="00F10530">
                        <w:rPr>
                          <w:sz w:val="24"/>
                          <w:szCs w:val="24"/>
                        </w:rPr>
                        <w:fldChar w:fldCharType="end"/>
                      </w:r>
                      <w:r w:rsidRPr="00F10530">
                        <w:rPr>
                          <w:sz w:val="24"/>
                          <w:szCs w:val="24"/>
                        </w:rPr>
                        <w:t xml:space="preserve"> Asset Turnover Ratio of Marriot International (Macrotrends, 2022)</w:t>
                      </w:r>
                    </w:p>
                  </w:txbxContent>
                </v:textbox>
                <w10:wrap type="topAndBottom"/>
              </v:shape>
            </w:pict>
          </mc:Fallback>
        </mc:AlternateContent>
      </w:r>
      <w:r w:rsidR="006B47EC" w:rsidRPr="00B13888">
        <w:rPr>
          <w:noProof/>
        </w:rPr>
        <w:drawing>
          <wp:anchor distT="0" distB="0" distL="114300" distR="114300" simplePos="0" relativeHeight="251679744" behindDoc="0" locked="0" layoutInCell="1" allowOverlap="1" wp14:anchorId="662B02FA" wp14:editId="1B1E1E5E">
            <wp:simplePos x="0" y="0"/>
            <wp:positionH relativeFrom="margin">
              <wp:posOffset>-635</wp:posOffset>
            </wp:positionH>
            <wp:positionV relativeFrom="paragraph">
              <wp:posOffset>361950</wp:posOffset>
            </wp:positionV>
            <wp:extent cx="5819775" cy="2819400"/>
            <wp:effectExtent l="0" t="0" r="9525" b="0"/>
            <wp:wrapTopAndBottom/>
            <wp:docPr id="6" name="Chart 6">
              <a:extLst xmlns:a="http://schemas.openxmlformats.org/drawingml/2006/main">
                <a:ext uri="{FF2B5EF4-FFF2-40B4-BE49-F238E27FC236}">
                  <a16:creationId xmlns:a16="http://schemas.microsoft.com/office/drawing/2014/main" id="{DB4C53F3-373C-472D-A9DD-E957CF4B01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rsidR="006B47EC" w:rsidRPr="00B13888" w:rsidRDefault="006B47EC" w:rsidP="00B13888">
      <w:r w:rsidRPr="00B13888">
        <w:t>As the graph illustrates, Marriot has not had much success in recent years in turning its assets into revenue. But from 2009 and 2014, everything was excellent.</w:t>
      </w:r>
    </w:p>
    <w:p w:rsidR="006B47EC" w:rsidRPr="00B13888" w:rsidRDefault="006B47EC" w:rsidP="00B13888">
      <w:r w:rsidRPr="00B13888">
        <w:rPr>
          <w:b/>
          <w:bCs/>
        </w:rPr>
        <w:t>Comparison (2020 vs 2021):</w:t>
      </w:r>
      <w:r w:rsidRPr="00B13888">
        <w:t xml:space="preserve"> In 2020, the asset turnover rate dropped to 0.428, which is unprofitable in relation to the value of the invested asset. Compared to 2020, 2021's contributions have been more encouraging, but the year is still a long way from its full potential.</w:t>
      </w:r>
    </w:p>
    <w:p w:rsidR="006B47EC" w:rsidRPr="00B13888" w:rsidRDefault="00FA64CA" w:rsidP="00B13888">
      <w:pPr>
        <w:rPr>
          <w:b/>
          <w:bCs/>
        </w:rPr>
      </w:pPr>
      <w:r w:rsidRPr="00B13888">
        <w:rPr>
          <w:b/>
          <w:bCs/>
        </w:rPr>
        <w:t>7. Receivable turnover</w:t>
      </w:r>
    </w:p>
    <w:p w:rsidR="00FA64CA" w:rsidRPr="00B13888" w:rsidRDefault="00FA64CA" w:rsidP="00B13888">
      <w:r w:rsidRPr="00B13888">
        <w:t>A company's ability to collect its accounts receivable on a regular basis may be gauged by looking at its receivable’s turnover ratio. A company's ability to manage its credit line and recover past-due client invoices is reflected in this metric. A greater percentage of receivables turned over each period indicates more efficiency in a corporation. A four- to six-month AR turnover is considered the norm in the industry</w:t>
      </w:r>
      <w:r w:rsidR="00F10530">
        <w:t xml:space="preserve"> (</w:t>
      </w:r>
      <w:proofErr w:type="spellStart"/>
      <w:r w:rsidR="00F10530">
        <w:t>Siregar</w:t>
      </w:r>
      <w:proofErr w:type="spellEnd"/>
      <w:r w:rsidR="00F10530">
        <w:t xml:space="preserve">, and </w:t>
      </w:r>
      <w:proofErr w:type="spellStart"/>
      <w:r w:rsidR="00F10530">
        <w:t>Mardiana</w:t>
      </w:r>
      <w:proofErr w:type="spellEnd"/>
      <w:r w:rsidR="00F10530">
        <w:t>, 2022)</w:t>
      </w:r>
      <w:r w:rsidRPr="00B13888">
        <w:t>. Marriot's asset turnover ratio would likely follow the following pattern:</w:t>
      </w:r>
    </w:p>
    <w:p w:rsidR="007847FB" w:rsidRPr="00B13888" w:rsidRDefault="00B13888" w:rsidP="00B13888">
      <w:r w:rsidRPr="00B13888">
        <w:rPr>
          <w:noProof/>
        </w:rPr>
        <w:lastRenderedPageBreak/>
        <mc:AlternateContent>
          <mc:Choice Requires="wps">
            <w:drawing>
              <wp:anchor distT="0" distB="0" distL="114300" distR="114300" simplePos="0" relativeHeight="251702272" behindDoc="0" locked="0" layoutInCell="1" allowOverlap="1" wp14:anchorId="35E3C76B" wp14:editId="7E663188">
                <wp:simplePos x="0" y="0"/>
                <wp:positionH relativeFrom="column">
                  <wp:posOffset>-635</wp:posOffset>
                </wp:positionH>
                <wp:positionV relativeFrom="paragraph">
                  <wp:posOffset>2819400</wp:posOffset>
                </wp:positionV>
                <wp:extent cx="5838825" cy="635"/>
                <wp:effectExtent l="0" t="0" r="0" b="0"/>
                <wp:wrapTopAndBottom/>
                <wp:docPr id="16" name="Text Box 16"/>
                <wp:cNvGraphicFramePr/>
                <a:graphic xmlns:a="http://schemas.openxmlformats.org/drawingml/2006/main">
                  <a:graphicData uri="http://schemas.microsoft.com/office/word/2010/wordprocessingShape">
                    <wps:wsp>
                      <wps:cNvSpPr txBox="1"/>
                      <wps:spPr>
                        <a:xfrm>
                          <a:off x="0" y="0"/>
                          <a:ext cx="5838825" cy="635"/>
                        </a:xfrm>
                        <a:prstGeom prst="rect">
                          <a:avLst/>
                        </a:prstGeom>
                        <a:solidFill>
                          <a:prstClr val="white"/>
                        </a:solidFill>
                        <a:ln>
                          <a:noFill/>
                        </a:ln>
                      </wps:spPr>
                      <wps:txbx>
                        <w:txbxContent>
                          <w:p w:rsidR="00B13888" w:rsidRPr="00F10530" w:rsidRDefault="00B13888" w:rsidP="00B13888">
                            <w:pPr>
                              <w:pStyle w:val="Caption"/>
                              <w:rPr>
                                <w:noProof/>
                                <w:sz w:val="24"/>
                                <w:szCs w:val="24"/>
                              </w:rPr>
                            </w:pPr>
                            <w:r w:rsidRPr="00F10530">
                              <w:rPr>
                                <w:sz w:val="24"/>
                                <w:szCs w:val="24"/>
                              </w:rPr>
                              <w:t xml:space="preserve">Figure </w:t>
                            </w:r>
                            <w:r w:rsidRPr="00F10530">
                              <w:rPr>
                                <w:sz w:val="24"/>
                                <w:szCs w:val="24"/>
                              </w:rPr>
                              <w:fldChar w:fldCharType="begin"/>
                            </w:r>
                            <w:r w:rsidRPr="00F10530">
                              <w:rPr>
                                <w:sz w:val="24"/>
                                <w:szCs w:val="24"/>
                              </w:rPr>
                              <w:instrText xml:space="preserve"> SEQ Figure \* ARABIC </w:instrText>
                            </w:r>
                            <w:r w:rsidRPr="00F10530">
                              <w:rPr>
                                <w:sz w:val="24"/>
                                <w:szCs w:val="24"/>
                              </w:rPr>
                              <w:fldChar w:fldCharType="separate"/>
                            </w:r>
                            <w:r w:rsidRPr="00F10530">
                              <w:rPr>
                                <w:noProof/>
                                <w:sz w:val="24"/>
                                <w:szCs w:val="24"/>
                              </w:rPr>
                              <w:t>7</w:t>
                            </w:r>
                            <w:r w:rsidRPr="00F10530">
                              <w:rPr>
                                <w:sz w:val="24"/>
                                <w:szCs w:val="24"/>
                              </w:rPr>
                              <w:fldChar w:fldCharType="end"/>
                            </w:r>
                            <w:r w:rsidRPr="00F10530">
                              <w:rPr>
                                <w:sz w:val="24"/>
                                <w:szCs w:val="24"/>
                              </w:rPr>
                              <w:t xml:space="preserve"> Receivable Turnover Ratio of Marriot International (Macrotrends,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E3C76B" id="Text Box 16" o:spid="_x0000_s1032" type="#_x0000_t202" style="position:absolute;left:0;text-align:left;margin-left:-.05pt;margin-top:222pt;width:459.7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" stroked="f">
                <v:textbox style="mso-fit-shape-to-text:t" inset="0,0,0,0">
                  <w:txbxContent>
                    <w:p w:rsidR="00B13888" w:rsidRPr="00F10530" w:rsidRDefault="00B13888" w:rsidP="00B13888">
                      <w:pPr>
                        <w:pStyle w:val="Caption"/>
                        <w:rPr>
                          <w:noProof/>
                          <w:sz w:val="24"/>
                          <w:szCs w:val="24"/>
                        </w:rPr>
                      </w:pPr>
                      <w:r w:rsidRPr="00F10530">
                        <w:rPr>
                          <w:sz w:val="24"/>
                          <w:szCs w:val="24"/>
                        </w:rPr>
                        <w:t xml:space="preserve">Figure </w:t>
                      </w:r>
                      <w:r w:rsidRPr="00F10530">
                        <w:rPr>
                          <w:sz w:val="24"/>
                          <w:szCs w:val="24"/>
                        </w:rPr>
                        <w:fldChar w:fldCharType="begin"/>
                      </w:r>
                      <w:r w:rsidRPr="00F10530">
                        <w:rPr>
                          <w:sz w:val="24"/>
                          <w:szCs w:val="24"/>
                        </w:rPr>
                        <w:instrText xml:space="preserve"> SEQ Figure \* ARABIC </w:instrText>
                      </w:r>
                      <w:r w:rsidRPr="00F10530">
                        <w:rPr>
                          <w:sz w:val="24"/>
                          <w:szCs w:val="24"/>
                        </w:rPr>
                        <w:fldChar w:fldCharType="separate"/>
                      </w:r>
                      <w:r w:rsidRPr="00F10530">
                        <w:rPr>
                          <w:noProof/>
                          <w:sz w:val="24"/>
                          <w:szCs w:val="24"/>
                        </w:rPr>
                        <w:t>7</w:t>
                      </w:r>
                      <w:r w:rsidRPr="00F10530">
                        <w:rPr>
                          <w:sz w:val="24"/>
                          <w:szCs w:val="24"/>
                        </w:rPr>
                        <w:fldChar w:fldCharType="end"/>
                      </w:r>
                      <w:r w:rsidRPr="00F10530">
                        <w:rPr>
                          <w:sz w:val="24"/>
                          <w:szCs w:val="24"/>
                        </w:rPr>
                        <w:t xml:space="preserve"> Receivable Turnover Ratio of Marriot International (Macrotrends, 2022)</w:t>
                      </w:r>
                    </w:p>
                  </w:txbxContent>
                </v:textbox>
                <w10:wrap type="topAndBottom"/>
              </v:shape>
            </w:pict>
          </mc:Fallback>
        </mc:AlternateContent>
      </w:r>
      <w:r w:rsidR="007847FB" w:rsidRPr="00B13888">
        <w:rPr>
          <w:noProof/>
        </w:rPr>
        <w:drawing>
          <wp:anchor distT="0" distB="0" distL="114300" distR="114300" simplePos="0" relativeHeight="251681792" behindDoc="0" locked="0" layoutInCell="1" allowOverlap="1" wp14:anchorId="7ACE6C7D" wp14:editId="5C24EFBE">
            <wp:simplePos x="0" y="0"/>
            <wp:positionH relativeFrom="margin">
              <wp:posOffset>-635</wp:posOffset>
            </wp:positionH>
            <wp:positionV relativeFrom="paragraph">
              <wp:posOffset>361950</wp:posOffset>
            </wp:positionV>
            <wp:extent cx="5838825" cy="2400300"/>
            <wp:effectExtent l="0" t="0" r="9525" b="0"/>
            <wp:wrapTopAndBottom/>
            <wp:docPr id="7" name="Chart 7">
              <a:extLst xmlns:a="http://schemas.openxmlformats.org/drawingml/2006/main">
                <a:ext uri="{FF2B5EF4-FFF2-40B4-BE49-F238E27FC236}">
                  <a16:creationId xmlns:a16="http://schemas.microsoft.com/office/drawing/2014/main" id="{DB4C53F3-373C-472D-A9DD-E957CF4B01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rsidR="00FA64CA" w:rsidRPr="00B13888" w:rsidRDefault="00FA64CA" w:rsidP="00B13888">
      <w:r w:rsidRPr="00B13888">
        <w:t>Marriot seems to have had a steady rate of receivable turnover during the time period. The trendline, however, shows a steady decline. A larger turnover rate is associated with higher performance, as was indicated before.</w:t>
      </w:r>
    </w:p>
    <w:p w:rsidR="00F942D8" w:rsidRPr="00B13888" w:rsidRDefault="00FA64CA" w:rsidP="00B13888">
      <w:r w:rsidRPr="00B13888">
        <w:rPr>
          <w:b/>
          <w:bCs/>
        </w:rPr>
        <w:t>Comparison (2020 vs 2021):</w:t>
      </w:r>
      <w:r w:rsidRPr="00B13888">
        <w:t xml:space="preserve"> When comparing 2020 and 2021, we see that turnover was much lower in the former year. There was apparently another spike in turnover in 2021.</w:t>
      </w:r>
    </w:p>
    <w:p w:rsidR="00D57122" w:rsidRPr="00B13888" w:rsidRDefault="0040513C" w:rsidP="00B13888">
      <w:pPr>
        <w:rPr>
          <w:b/>
          <w:bCs/>
        </w:rPr>
      </w:pPr>
      <w:r w:rsidRPr="00B13888">
        <w:rPr>
          <w:b/>
          <w:bCs/>
        </w:rPr>
        <w:t>8. Return on investment (ROI)</w:t>
      </w:r>
    </w:p>
    <w:p w:rsidR="0040513C" w:rsidRPr="00B13888" w:rsidRDefault="0040513C" w:rsidP="00B13888">
      <w:r w:rsidRPr="00B13888">
        <w:t>The ROI is the single most crucial indicator of a business's success. Profit or loss on a project may be measured against its total cost using this ratio. At least a 10% yearly rate of return is considered acceptable. The ROI for Marriot might look like this:</w:t>
      </w:r>
    </w:p>
    <w:p w:rsidR="0040513C" w:rsidRPr="00B13888" w:rsidRDefault="0040513C" w:rsidP="00B13888"/>
    <w:p w:rsidR="0040513C" w:rsidRPr="00B13888" w:rsidRDefault="0040513C" w:rsidP="00B13888"/>
    <w:p w:rsidR="0040513C" w:rsidRPr="00B13888" w:rsidRDefault="00B13888" w:rsidP="00B13888">
      <w:r w:rsidRPr="00B13888">
        <w:rPr>
          <w:noProof/>
        </w:rPr>
        <w:lastRenderedPageBreak/>
        <mc:AlternateContent>
          <mc:Choice Requires="wps">
            <w:drawing>
              <wp:anchor distT="0" distB="0" distL="114300" distR="114300" simplePos="0" relativeHeight="251704320" behindDoc="0" locked="0" layoutInCell="1" allowOverlap="1" wp14:anchorId="62EBEE77" wp14:editId="102845F7">
                <wp:simplePos x="0" y="0"/>
                <wp:positionH relativeFrom="column">
                  <wp:posOffset>0</wp:posOffset>
                </wp:positionH>
                <wp:positionV relativeFrom="paragraph">
                  <wp:posOffset>3185795</wp:posOffset>
                </wp:positionV>
                <wp:extent cx="5934075" cy="635"/>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5934075" cy="635"/>
                        </a:xfrm>
                        <a:prstGeom prst="rect">
                          <a:avLst/>
                        </a:prstGeom>
                        <a:solidFill>
                          <a:prstClr val="white"/>
                        </a:solidFill>
                        <a:ln>
                          <a:noFill/>
                        </a:ln>
                      </wps:spPr>
                      <wps:txbx>
                        <w:txbxContent>
                          <w:p w:rsidR="00B13888" w:rsidRPr="00F10530" w:rsidRDefault="00B13888" w:rsidP="00B13888">
                            <w:pPr>
                              <w:pStyle w:val="Caption"/>
                              <w:rPr>
                                <w:noProof/>
                                <w:sz w:val="24"/>
                                <w:szCs w:val="24"/>
                              </w:rPr>
                            </w:pPr>
                            <w:r w:rsidRPr="00F10530">
                              <w:rPr>
                                <w:sz w:val="24"/>
                                <w:szCs w:val="24"/>
                              </w:rPr>
                              <w:t xml:space="preserve">Figure </w:t>
                            </w:r>
                            <w:r w:rsidRPr="00F10530">
                              <w:rPr>
                                <w:sz w:val="24"/>
                                <w:szCs w:val="24"/>
                              </w:rPr>
                              <w:fldChar w:fldCharType="begin"/>
                            </w:r>
                            <w:r w:rsidRPr="00F10530">
                              <w:rPr>
                                <w:sz w:val="24"/>
                                <w:szCs w:val="24"/>
                              </w:rPr>
                              <w:instrText xml:space="preserve"> SEQ Figure \* ARABIC </w:instrText>
                            </w:r>
                            <w:r w:rsidRPr="00F10530">
                              <w:rPr>
                                <w:sz w:val="24"/>
                                <w:szCs w:val="24"/>
                              </w:rPr>
                              <w:fldChar w:fldCharType="separate"/>
                            </w:r>
                            <w:r w:rsidRPr="00F10530">
                              <w:rPr>
                                <w:noProof/>
                                <w:sz w:val="24"/>
                                <w:szCs w:val="24"/>
                              </w:rPr>
                              <w:t>8</w:t>
                            </w:r>
                            <w:r w:rsidRPr="00F10530">
                              <w:rPr>
                                <w:sz w:val="24"/>
                                <w:szCs w:val="24"/>
                              </w:rPr>
                              <w:fldChar w:fldCharType="end"/>
                            </w:r>
                            <w:r w:rsidRPr="00F10530">
                              <w:rPr>
                                <w:sz w:val="24"/>
                                <w:szCs w:val="24"/>
                              </w:rPr>
                              <w:t xml:space="preserve"> Return on Investment of Marriot International (Macrotrends,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EBEE77" id="Text Box 17" o:spid="_x0000_s1033" type="#_x0000_t202" style="position:absolute;left:0;text-align:left;margin-left:0;margin-top:250.85pt;width:467.25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" stroked="f">
                <v:textbox style="mso-fit-shape-to-text:t" inset="0,0,0,0">
                  <w:txbxContent>
                    <w:p w:rsidR="00B13888" w:rsidRPr="00F10530" w:rsidRDefault="00B13888" w:rsidP="00B13888">
                      <w:pPr>
                        <w:pStyle w:val="Caption"/>
                        <w:rPr>
                          <w:noProof/>
                          <w:sz w:val="24"/>
                          <w:szCs w:val="24"/>
                        </w:rPr>
                      </w:pPr>
                      <w:r w:rsidRPr="00F10530">
                        <w:rPr>
                          <w:sz w:val="24"/>
                          <w:szCs w:val="24"/>
                        </w:rPr>
                        <w:t xml:space="preserve">Figure </w:t>
                      </w:r>
                      <w:r w:rsidRPr="00F10530">
                        <w:rPr>
                          <w:sz w:val="24"/>
                          <w:szCs w:val="24"/>
                        </w:rPr>
                        <w:fldChar w:fldCharType="begin"/>
                      </w:r>
                      <w:r w:rsidRPr="00F10530">
                        <w:rPr>
                          <w:sz w:val="24"/>
                          <w:szCs w:val="24"/>
                        </w:rPr>
                        <w:instrText xml:space="preserve"> SEQ Figure \* ARABIC </w:instrText>
                      </w:r>
                      <w:r w:rsidRPr="00F10530">
                        <w:rPr>
                          <w:sz w:val="24"/>
                          <w:szCs w:val="24"/>
                        </w:rPr>
                        <w:fldChar w:fldCharType="separate"/>
                      </w:r>
                      <w:r w:rsidRPr="00F10530">
                        <w:rPr>
                          <w:noProof/>
                          <w:sz w:val="24"/>
                          <w:szCs w:val="24"/>
                        </w:rPr>
                        <w:t>8</w:t>
                      </w:r>
                      <w:r w:rsidRPr="00F10530">
                        <w:rPr>
                          <w:sz w:val="24"/>
                          <w:szCs w:val="24"/>
                        </w:rPr>
                        <w:fldChar w:fldCharType="end"/>
                      </w:r>
                      <w:r w:rsidRPr="00F10530">
                        <w:rPr>
                          <w:sz w:val="24"/>
                          <w:szCs w:val="24"/>
                        </w:rPr>
                        <w:t xml:space="preserve"> Return on Investment of Marriot International (Macrotrends, 2022)</w:t>
                      </w:r>
                    </w:p>
                  </w:txbxContent>
                </v:textbox>
                <w10:wrap type="topAndBottom"/>
              </v:shape>
            </w:pict>
          </mc:Fallback>
        </mc:AlternateContent>
      </w:r>
      <w:r w:rsidR="0040513C" w:rsidRPr="00B13888">
        <w:rPr>
          <w:noProof/>
        </w:rPr>
        <w:drawing>
          <wp:anchor distT="0" distB="0" distL="114300" distR="114300" simplePos="0" relativeHeight="251683840" behindDoc="0" locked="0" layoutInCell="1" allowOverlap="1" wp14:anchorId="4250DEF3" wp14:editId="3385F894">
            <wp:simplePos x="0" y="0"/>
            <wp:positionH relativeFrom="margin">
              <wp:align>right</wp:align>
            </wp:positionH>
            <wp:positionV relativeFrom="paragraph">
              <wp:posOffset>347345</wp:posOffset>
            </wp:positionV>
            <wp:extent cx="5934075" cy="2781300"/>
            <wp:effectExtent l="0" t="0" r="9525" b="0"/>
            <wp:wrapTopAndBottom/>
            <wp:docPr id="8" name="Chart 8">
              <a:extLst xmlns:a="http://schemas.openxmlformats.org/drawingml/2006/main">
                <a:ext uri="{FF2B5EF4-FFF2-40B4-BE49-F238E27FC236}">
                  <a16:creationId xmlns:a16="http://schemas.microsoft.com/office/drawing/2014/main" id="{DB4C53F3-373C-472D-A9DD-E957CF4B01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rsidR="0040513C" w:rsidRPr="00B13888" w:rsidRDefault="0040513C" w:rsidP="00B13888">
      <w:r w:rsidRPr="00B13888">
        <w:t>In this regard, Marriott has consistently done very well.</w:t>
      </w:r>
    </w:p>
    <w:p w:rsidR="0040513C" w:rsidRPr="00B13888" w:rsidRDefault="0040513C" w:rsidP="00B13888">
      <w:r w:rsidRPr="00B13888">
        <w:rPr>
          <w:b/>
          <w:bCs/>
        </w:rPr>
        <w:t>Comparison (2020 vs 2021):</w:t>
      </w:r>
      <w:r w:rsidRPr="00B13888">
        <w:t xml:space="preserve"> Marriot's poor return on investment in 2020 was mostly due to the epidemic, but by 2021, everything had been back to normal.</w:t>
      </w:r>
    </w:p>
    <w:p w:rsidR="0040513C" w:rsidRPr="00B13888" w:rsidRDefault="0040513C" w:rsidP="00B13888">
      <w:pPr>
        <w:rPr>
          <w:b/>
          <w:bCs/>
        </w:rPr>
      </w:pPr>
      <w:r w:rsidRPr="00B13888">
        <w:rPr>
          <w:b/>
          <w:bCs/>
        </w:rPr>
        <w:t>9. Free cash Flow per share</w:t>
      </w:r>
    </w:p>
    <w:p w:rsidR="0040513C" w:rsidRPr="00B13888" w:rsidRDefault="0040513C" w:rsidP="00B13888">
      <w:r w:rsidRPr="00B13888">
        <w:t xml:space="preserve">Divide the free cash flow of a company by the total number of shares that are currently outstanding to get an idea of how financially flexible that company is. A ratio that is greater than one is seen </w:t>
      </w:r>
      <w:proofErr w:type="spellStart"/>
      <w:r w:rsidRPr="00B13888">
        <w:t>favourably</w:t>
      </w:r>
      <w:proofErr w:type="spellEnd"/>
      <w:r w:rsidRPr="00B13888">
        <w:t xml:space="preserve"> by creditors and shareholders as a sign of a company's ability to fulfil its short-term obligations (</w:t>
      </w:r>
      <w:proofErr w:type="spellStart"/>
      <w:r w:rsidR="00F10530" w:rsidRPr="00F10530">
        <w:t>Setyorini</w:t>
      </w:r>
      <w:proofErr w:type="spellEnd"/>
      <w:r w:rsidR="00F10530" w:rsidRPr="00F10530">
        <w:t>,</w:t>
      </w:r>
      <w:r w:rsidR="00F10530">
        <w:t xml:space="preserve"> </w:t>
      </w:r>
      <w:r w:rsidR="00F10530" w:rsidRPr="00F10530">
        <w:t xml:space="preserve">and </w:t>
      </w:r>
      <w:proofErr w:type="spellStart"/>
      <w:r w:rsidR="00F10530" w:rsidRPr="00F10530">
        <w:t>Triyono</w:t>
      </w:r>
      <w:proofErr w:type="spellEnd"/>
      <w:r w:rsidR="00F10530" w:rsidRPr="00F10530">
        <w:t>,</w:t>
      </w:r>
      <w:r w:rsidR="00F10530">
        <w:t xml:space="preserve"> </w:t>
      </w:r>
      <w:r w:rsidR="00F10530" w:rsidRPr="00F10530">
        <w:t>2022</w:t>
      </w:r>
      <w:r w:rsidR="00F10530">
        <w:t>)</w:t>
      </w:r>
      <w:r w:rsidRPr="00B13888">
        <w:t>. The following is the free cash flow to share ratio for Marriott:</w:t>
      </w:r>
    </w:p>
    <w:p w:rsidR="0040513C" w:rsidRPr="00B13888" w:rsidRDefault="0040513C" w:rsidP="00B13888"/>
    <w:p w:rsidR="0040513C" w:rsidRPr="00B13888" w:rsidRDefault="0040513C" w:rsidP="00B13888"/>
    <w:p w:rsidR="0040513C" w:rsidRPr="00B13888" w:rsidRDefault="0040513C" w:rsidP="00B13888"/>
    <w:p w:rsidR="0040513C" w:rsidRPr="00B13888" w:rsidRDefault="0040513C" w:rsidP="00B13888"/>
    <w:p w:rsidR="0040513C" w:rsidRPr="00B13888" w:rsidRDefault="0040513C" w:rsidP="00B13888"/>
    <w:p w:rsidR="0040513C" w:rsidRPr="00B13888" w:rsidRDefault="0040513C" w:rsidP="00B13888"/>
    <w:p w:rsidR="0040513C" w:rsidRPr="00B13888" w:rsidRDefault="00B13888" w:rsidP="00B13888">
      <w:r w:rsidRPr="00B13888">
        <w:rPr>
          <w:noProof/>
        </w:rPr>
        <mc:AlternateContent>
          <mc:Choice Requires="wps">
            <w:drawing>
              <wp:anchor distT="0" distB="0" distL="114300" distR="114300" simplePos="0" relativeHeight="251706368" behindDoc="0" locked="0" layoutInCell="1" allowOverlap="1" wp14:anchorId="081177A5" wp14:editId="2127B921">
                <wp:simplePos x="0" y="0"/>
                <wp:positionH relativeFrom="column">
                  <wp:posOffset>0</wp:posOffset>
                </wp:positionH>
                <wp:positionV relativeFrom="paragraph">
                  <wp:posOffset>3128645</wp:posOffset>
                </wp:positionV>
                <wp:extent cx="5934075"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5934075" cy="635"/>
                        </a:xfrm>
                        <a:prstGeom prst="rect">
                          <a:avLst/>
                        </a:prstGeom>
                        <a:solidFill>
                          <a:prstClr val="white"/>
                        </a:solidFill>
                        <a:ln>
                          <a:noFill/>
                        </a:ln>
                      </wps:spPr>
                      <wps:txbx>
                        <w:txbxContent>
                          <w:p w:rsidR="00B13888" w:rsidRPr="00F10530" w:rsidRDefault="00B13888" w:rsidP="00B13888">
                            <w:pPr>
                              <w:pStyle w:val="Caption"/>
                              <w:rPr>
                                <w:noProof/>
                                <w:sz w:val="24"/>
                                <w:szCs w:val="24"/>
                              </w:rPr>
                            </w:pPr>
                            <w:r w:rsidRPr="00F10530">
                              <w:rPr>
                                <w:sz w:val="24"/>
                                <w:szCs w:val="24"/>
                              </w:rPr>
                              <w:t xml:space="preserve">Figure </w:t>
                            </w:r>
                            <w:r w:rsidRPr="00F10530">
                              <w:rPr>
                                <w:sz w:val="24"/>
                                <w:szCs w:val="24"/>
                              </w:rPr>
                              <w:fldChar w:fldCharType="begin"/>
                            </w:r>
                            <w:r w:rsidRPr="00F10530">
                              <w:rPr>
                                <w:sz w:val="24"/>
                                <w:szCs w:val="24"/>
                              </w:rPr>
                              <w:instrText xml:space="preserve"> SEQ Figure \* ARABIC </w:instrText>
                            </w:r>
                            <w:r w:rsidRPr="00F10530">
                              <w:rPr>
                                <w:sz w:val="24"/>
                                <w:szCs w:val="24"/>
                              </w:rPr>
                              <w:fldChar w:fldCharType="separate"/>
                            </w:r>
                            <w:r w:rsidRPr="00F10530">
                              <w:rPr>
                                <w:noProof/>
                                <w:sz w:val="24"/>
                                <w:szCs w:val="24"/>
                              </w:rPr>
                              <w:t>9</w:t>
                            </w:r>
                            <w:r w:rsidRPr="00F10530">
                              <w:rPr>
                                <w:sz w:val="24"/>
                                <w:szCs w:val="24"/>
                              </w:rPr>
                              <w:fldChar w:fldCharType="end"/>
                            </w:r>
                            <w:r w:rsidRPr="00F10530">
                              <w:rPr>
                                <w:sz w:val="24"/>
                                <w:szCs w:val="24"/>
                              </w:rPr>
                              <w:t xml:space="preserve"> Free Cash Flow per share of Marriot International (Macrotrends,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1177A5" id="Text Box 18" o:spid="_x0000_s1034" type="#_x0000_t202" style="position:absolute;left:0;text-align:left;margin-left:0;margin-top:246.35pt;width:467.25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" stroked="f">
                <v:textbox style="mso-fit-shape-to-text:t" inset="0,0,0,0">
                  <w:txbxContent>
                    <w:p w:rsidR="00B13888" w:rsidRPr="00F10530" w:rsidRDefault="00B13888" w:rsidP="00B13888">
                      <w:pPr>
                        <w:pStyle w:val="Caption"/>
                        <w:rPr>
                          <w:noProof/>
                          <w:sz w:val="24"/>
                          <w:szCs w:val="24"/>
                        </w:rPr>
                      </w:pPr>
                      <w:r w:rsidRPr="00F10530">
                        <w:rPr>
                          <w:sz w:val="24"/>
                          <w:szCs w:val="24"/>
                        </w:rPr>
                        <w:t xml:space="preserve">Figure </w:t>
                      </w:r>
                      <w:r w:rsidRPr="00F10530">
                        <w:rPr>
                          <w:sz w:val="24"/>
                          <w:szCs w:val="24"/>
                        </w:rPr>
                        <w:fldChar w:fldCharType="begin"/>
                      </w:r>
                      <w:r w:rsidRPr="00F10530">
                        <w:rPr>
                          <w:sz w:val="24"/>
                          <w:szCs w:val="24"/>
                        </w:rPr>
                        <w:instrText xml:space="preserve"> SEQ Figure \* ARABIC </w:instrText>
                      </w:r>
                      <w:r w:rsidRPr="00F10530">
                        <w:rPr>
                          <w:sz w:val="24"/>
                          <w:szCs w:val="24"/>
                        </w:rPr>
                        <w:fldChar w:fldCharType="separate"/>
                      </w:r>
                      <w:r w:rsidRPr="00F10530">
                        <w:rPr>
                          <w:noProof/>
                          <w:sz w:val="24"/>
                          <w:szCs w:val="24"/>
                        </w:rPr>
                        <w:t>9</w:t>
                      </w:r>
                      <w:r w:rsidRPr="00F10530">
                        <w:rPr>
                          <w:sz w:val="24"/>
                          <w:szCs w:val="24"/>
                        </w:rPr>
                        <w:fldChar w:fldCharType="end"/>
                      </w:r>
                      <w:r w:rsidRPr="00F10530">
                        <w:rPr>
                          <w:sz w:val="24"/>
                          <w:szCs w:val="24"/>
                        </w:rPr>
                        <w:t xml:space="preserve"> Free Cash Flow per share of Marriot International (Macrotrends, 2022)</w:t>
                      </w:r>
                    </w:p>
                  </w:txbxContent>
                </v:textbox>
                <w10:wrap type="topAndBottom"/>
              </v:shape>
            </w:pict>
          </mc:Fallback>
        </mc:AlternateContent>
      </w:r>
      <w:r w:rsidR="0040513C" w:rsidRPr="00B13888">
        <w:rPr>
          <w:noProof/>
        </w:rPr>
        <w:drawing>
          <wp:anchor distT="0" distB="0" distL="114300" distR="114300" simplePos="0" relativeHeight="251685888" behindDoc="0" locked="0" layoutInCell="1" allowOverlap="1" wp14:anchorId="4DA34D5C" wp14:editId="0CDB9C0B">
            <wp:simplePos x="0" y="0"/>
            <wp:positionH relativeFrom="margin">
              <wp:align>right</wp:align>
            </wp:positionH>
            <wp:positionV relativeFrom="paragraph">
              <wp:posOffset>347345</wp:posOffset>
            </wp:positionV>
            <wp:extent cx="5934075" cy="2724150"/>
            <wp:effectExtent l="0" t="0" r="9525" b="0"/>
            <wp:wrapTopAndBottom/>
            <wp:docPr id="9" name="Chart 9">
              <a:extLst xmlns:a="http://schemas.openxmlformats.org/drawingml/2006/main">
                <a:ext uri="{FF2B5EF4-FFF2-40B4-BE49-F238E27FC236}">
                  <a16:creationId xmlns:a16="http://schemas.microsoft.com/office/drawing/2014/main" id="{DB4C53F3-373C-472D-A9DD-E957CF4B01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rsidR="0040513C" w:rsidRPr="00B13888" w:rsidRDefault="0040513C" w:rsidP="00B13888">
      <w:r w:rsidRPr="00B13888">
        <w:t>The stock of Marriott seems to be cheap due to the fact that there seemed to have been a great number of different outcomes in this case.</w:t>
      </w:r>
    </w:p>
    <w:p w:rsidR="0040513C" w:rsidRPr="00B13888" w:rsidRDefault="0040513C" w:rsidP="00B13888">
      <w:r w:rsidRPr="00B13888">
        <w:rPr>
          <w:b/>
          <w:bCs/>
        </w:rPr>
        <w:t>Comparison (2020 vs 2021):</w:t>
      </w:r>
      <w:r w:rsidRPr="00B13888">
        <w:t xml:space="preserve"> In 2020, Marriott was able to increase its ratio, but the following year, it saw a decline once again.</w:t>
      </w:r>
    </w:p>
    <w:p w:rsidR="008A7122" w:rsidRPr="00F10530" w:rsidRDefault="008A7122" w:rsidP="00B13888">
      <w:pPr>
        <w:pStyle w:val="Heading2"/>
        <w:rPr>
          <w:rFonts w:ascii="Times New Roman" w:hAnsi="Times New Roman" w:cs="Times New Roman"/>
          <w:sz w:val="28"/>
          <w:szCs w:val="28"/>
        </w:rPr>
      </w:pPr>
      <w:bookmarkStart w:id="2" w:name="_Toc119198482"/>
      <w:bookmarkStart w:id="3" w:name="_Toc119246077"/>
      <w:r w:rsidRPr="00F10530">
        <w:rPr>
          <w:rFonts w:ascii="Times New Roman" w:hAnsi="Times New Roman" w:cs="Times New Roman"/>
          <w:sz w:val="28"/>
          <w:szCs w:val="28"/>
        </w:rPr>
        <w:t xml:space="preserve">Importance of financial ratios for hotel management in </w:t>
      </w:r>
      <w:proofErr w:type="spellStart"/>
      <w:r w:rsidRPr="00F10530">
        <w:rPr>
          <w:rFonts w:ascii="Times New Roman" w:hAnsi="Times New Roman" w:cs="Times New Roman"/>
          <w:sz w:val="28"/>
          <w:szCs w:val="28"/>
        </w:rPr>
        <w:t>analysing</w:t>
      </w:r>
      <w:proofErr w:type="spellEnd"/>
      <w:r w:rsidRPr="00F10530">
        <w:rPr>
          <w:rFonts w:ascii="Times New Roman" w:hAnsi="Times New Roman" w:cs="Times New Roman"/>
          <w:sz w:val="28"/>
          <w:szCs w:val="28"/>
        </w:rPr>
        <w:t xml:space="preserve"> the financial statement’s information.</w:t>
      </w:r>
      <w:bookmarkEnd w:id="2"/>
      <w:bookmarkEnd w:id="3"/>
    </w:p>
    <w:p w:rsidR="008A7122" w:rsidRPr="00B13888" w:rsidRDefault="008A7122" w:rsidP="00B13888">
      <w:r w:rsidRPr="00B13888">
        <w:t>Ratios in the financial sector are a useful tool for simplifying otherwise difficult-to-interpret information. Most of the ratios are based on information found in the financial statements. Ratios like this are routinely used by hotels to communicate with their patrons and other interested parties. It's possible that most stakeholders won't take the time to go through the financials in great detail. This means that these percentages are often crucial in delivering the hotel's message to important parties</w:t>
      </w:r>
      <w:r w:rsidR="00F10530">
        <w:t xml:space="preserve"> (</w:t>
      </w:r>
      <w:proofErr w:type="spellStart"/>
      <w:r w:rsidR="00F10530">
        <w:t>Welc</w:t>
      </w:r>
      <w:proofErr w:type="spellEnd"/>
      <w:r w:rsidR="00F10530">
        <w:t>, 2022)</w:t>
      </w:r>
      <w:r w:rsidRPr="00B13888">
        <w:t>. For example, the following are some more contexts in which these financial measures are useful:</w:t>
      </w:r>
    </w:p>
    <w:p w:rsidR="008A7122" w:rsidRPr="00B13888" w:rsidRDefault="008A7122" w:rsidP="00B13888">
      <w:pPr>
        <w:pStyle w:val="ListParagraph"/>
        <w:numPr>
          <w:ilvl w:val="0"/>
          <w:numId w:val="1"/>
        </w:numPr>
      </w:pPr>
      <w:r w:rsidRPr="00B13888">
        <w:t>Ratios help pinpoint problem areas and highlight places for growth in an organization's financial management.</w:t>
      </w:r>
    </w:p>
    <w:p w:rsidR="008A7122" w:rsidRPr="00B13888" w:rsidRDefault="008A7122" w:rsidP="00B13888">
      <w:pPr>
        <w:pStyle w:val="ListParagraph"/>
        <w:numPr>
          <w:ilvl w:val="0"/>
          <w:numId w:val="1"/>
        </w:numPr>
      </w:pPr>
      <w:r w:rsidRPr="00B13888">
        <w:lastRenderedPageBreak/>
        <w:t>Stocks in a volatile market benefit from ratio analysis since the data presented in ratios may be quickly adapted from the lengthy and complex financial statements that are often used.</w:t>
      </w:r>
    </w:p>
    <w:p w:rsidR="008A7122" w:rsidRPr="00B13888" w:rsidRDefault="008A7122" w:rsidP="00B13888">
      <w:pPr>
        <w:pStyle w:val="ListParagraph"/>
      </w:pPr>
    </w:p>
    <w:p w:rsidR="008A7122" w:rsidRPr="00B13888" w:rsidRDefault="008A7122" w:rsidP="00B13888">
      <w:pPr>
        <w:rPr>
          <w:b/>
          <w:bCs/>
        </w:rPr>
      </w:pPr>
      <w:r w:rsidRPr="00B13888">
        <w:rPr>
          <w:b/>
          <w:bCs/>
        </w:rPr>
        <w:t>Limitations of financial ratio analysis</w:t>
      </w:r>
    </w:p>
    <w:p w:rsidR="008A7122" w:rsidRPr="00B13888" w:rsidRDefault="008A7122" w:rsidP="00B13888">
      <w:r w:rsidRPr="00B13888">
        <w:t>There are various caveats to using financial measures that make them helpful despite their usefulness. Several of them are:</w:t>
      </w:r>
    </w:p>
    <w:p w:rsidR="008A7122" w:rsidRPr="00B13888" w:rsidRDefault="008A7122" w:rsidP="00B13888">
      <w:pPr>
        <w:pStyle w:val="ListParagraph"/>
        <w:numPr>
          <w:ilvl w:val="0"/>
          <w:numId w:val="2"/>
        </w:numPr>
      </w:pPr>
      <w:r w:rsidRPr="00B13888">
        <w:t xml:space="preserve">The analysis's numbers come from the company's real historical performance. Therefore, the results of ratio analysis may not always be reliable indicators of future success for a certain </w:t>
      </w:r>
      <w:proofErr w:type="spellStart"/>
      <w:r w:rsidRPr="00B13888">
        <w:t>organisation</w:t>
      </w:r>
      <w:proofErr w:type="spellEnd"/>
      <w:r w:rsidRPr="00B13888">
        <w:t>.</w:t>
      </w:r>
    </w:p>
    <w:p w:rsidR="008A7122" w:rsidRPr="00B13888" w:rsidRDefault="008A7122" w:rsidP="00B13888">
      <w:pPr>
        <w:pStyle w:val="ListParagraph"/>
        <w:numPr>
          <w:ilvl w:val="0"/>
          <w:numId w:val="2"/>
        </w:numPr>
      </w:pPr>
      <w:r w:rsidRPr="00B13888">
        <w:t>As financial statements are supplied on a periodic basis, there are delays between each release. Inflation that happened between periods would not be reflected in actual cost figures shown in financial statements.</w:t>
      </w:r>
    </w:p>
    <w:p w:rsidR="008A7122" w:rsidRPr="00B13888" w:rsidRDefault="008A7122" w:rsidP="00B13888">
      <w:pPr>
        <w:pStyle w:val="ListParagraph"/>
        <w:numPr>
          <w:ilvl w:val="0"/>
          <w:numId w:val="2"/>
        </w:numPr>
      </w:pPr>
      <w:r w:rsidRPr="00B13888">
        <w:t>If the firm has made major changes to its accounting rules and practices, this may have a profound effect on its financial reporting</w:t>
      </w:r>
      <w:r w:rsidR="00F10530">
        <w:t xml:space="preserve"> (</w:t>
      </w:r>
      <w:proofErr w:type="spellStart"/>
      <w:r w:rsidR="00F10530">
        <w:t>Carduff</w:t>
      </w:r>
      <w:proofErr w:type="spellEnd"/>
      <w:r w:rsidR="00F10530">
        <w:t>, 2022)</w:t>
      </w:r>
      <w:r w:rsidRPr="00B13888">
        <w:t>.</w:t>
      </w:r>
    </w:p>
    <w:p w:rsidR="008A7122" w:rsidRPr="00B13888" w:rsidRDefault="008A7122" w:rsidP="00B13888">
      <w:pPr>
        <w:pStyle w:val="ListParagraph"/>
        <w:numPr>
          <w:ilvl w:val="0"/>
          <w:numId w:val="2"/>
        </w:numPr>
      </w:pPr>
      <w:r w:rsidRPr="00B13888">
        <w:t xml:space="preserve">Changes to operations may affect every facet of a business, from its products to its supply chain. In addition, a corporation may </w:t>
      </w:r>
      <w:proofErr w:type="spellStart"/>
      <w:r w:rsidRPr="00B13888">
        <w:t>reorganise</w:t>
      </w:r>
      <w:proofErr w:type="spellEnd"/>
      <w:r w:rsidRPr="00B13888">
        <w:t xml:space="preserve"> its operations in fundamental ways.</w:t>
      </w:r>
    </w:p>
    <w:p w:rsidR="008A7122" w:rsidRPr="00B13888" w:rsidRDefault="008A7122" w:rsidP="00B13888">
      <w:pPr>
        <w:pStyle w:val="ListParagraph"/>
        <w:numPr>
          <w:ilvl w:val="0"/>
          <w:numId w:val="2"/>
        </w:numPr>
      </w:pPr>
      <w:r w:rsidRPr="00B13888">
        <w:t>Comparisons of financial indicators at times of major operational change might lead to erroneous conclusions regarding the company's future development.</w:t>
      </w:r>
    </w:p>
    <w:p w:rsidR="008A7122" w:rsidRPr="00B13888" w:rsidRDefault="008A7122" w:rsidP="00B13888">
      <w:pPr>
        <w:pStyle w:val="ListParagraph"/>
        <w:numPr>
          <w:ilvl w:val="0"/>
          <w:numId w:val="2"/>
        </w:numPr>
      </w:pPr>
      <w:r w:rsidRPr="00B13888">
        <w:t>Ratio analysis relies heavily on data obtained in a company's financial statements, which are vulnerable to manipulation.</w:t>
      </w:r>
    </w:p>
    <w:p w:rsidR="008A7122" w:rsidRPr="00B13888" w:rsidRDefault="008A7122" w:rsidP="00B13888">
      <w:pPr>
        <w:pStyle w:val="ListParagraph"/>
        <w:numPr>
          <w:ilvl w:val="0"/>
          <w:numId w:val="2"/>
        </w:numPr>
      </w:pPr>
      <w:r w:rsidRPr="00B13888">
        <w:t>The management of the firm may decide to fudge these numbers in order to make the company seem more successful than it really is.</w:t>
      </w:r>
    </w:p>
    <w:p w:rsidR="008A7122" w:rsidRPr="00F10530" w:rsidRDefault="008A7122" w:rsidP="00B13888">
      <w:pPr>
        <w:pStyle w:val="Heading2"/>
        <w:rPr>
          <w:rFonts w:ascii="Times New Roman" w:hAnsi="Times New Roman" w:cs="Times New Roman"/>
          <w:sz w:val="28"/>
          <w:szCs w:val="28"/>
        </w:rPr>
      </w:pPr>
      <w:bookmarkStart w:id="4" w:name="_Toc119246078"/>
      <w:r w:rsidRPr="00F10530">
        <w:rPr>
          <w:rFonts w:ascii="Times New Roman" w:hAnsi="Times New Roman" w:cs="Times New Roman"/>
          <w:sz w:val="28"/>
          <w:szCs w:val="28"/>
        </w:rPr>
        <w:t>Importance of financial ratios in decision making</w:t>
      </w:r>
      <w:bookmarkEnd w:id="4"/>
    </w:p>
    <w:p w:rsidR="008A7122" w:rsidRPr="00B13888" w:rsidRDefault="008A7122" w:rsidP="00B13888">
      <w:r w:rsidRPr="00B13888">
        <w:t>The management of a corporation relies heavily on financial ratios because of the following benefits they provide:</w:t>
      </w:r>
    </w:p>
    <w:p w:rsidR="008A7122" w:rsidRPr="00B13888" w:rsidRDefault="008A7122" w:rsidP="00B13888">
      <w:pPr>
        <w:pStyle w:val="ListParagraph"/>
        <w:numPr>
          <w:ilvl w:val="0"/>
          <w:numId w:val="3"/>
        </w:numPr>
      </w:pPr>
      <w:r w:rsidRPr="00B13888">
        <w:t xml:space="preserve">Insight into a company's financial health and guidance for running the </w:t>
      </w:r>
      <w:proofErr w:type="spellStart"/>
      <w:r w:rsidRPr="00B13888">
        <w:t>organisation</w:t>
      </w:r>
      <w:proofErr w:type="spellEnd"/>
      <w:r w:rsidRPr="00B13888">
        <w:t xml:space="preserve"> are two benefits that may be gleaned by </w:t>
      </w:r>
      <w:proofErr w:type="spellStart"/>
      <w:r w:rsidRPr="00B13888">
        <w:t>analysing</w:t>
      </w:r>
      <w:proofErr w:type="spellEnd"/>
      <w:r w:rsidRPr="00B13888">
        <w:t xml:space="preserve"> various ratios.</w:t>
      </w:r>
    </w:p>
    <w:p w:rsidR="008A7122" w:rsidRPr="00B13888" w:rsidRDefault="008A7122" w:rsidP="00B13888">
      <w:pPr>
        <w:pStyle w:val="ListParagraph"/>
        <w:numPr>
          <w:ilvl w:val="0"/>
          <w:numId w:val="3"/>
        </w:numPr>
      </w:pPr>
      <w:r w:rsidRPr="00B13888">
        <w:t>Ratios are used extensively in financial planning and forecasting, the backbone of budgeting and decision-making.</w:t>
      </w:r>
    </w:p>
    <w:p w:rsidR="008A7122" w:rsidRPr="00B13888" w:rsidRDefault="008A7122" w:rsidP="00B13888">
      <w:pPr>
        <w:pStyle w:val="ListParagraph"/>
        <w:numPr>
          <w:ilvl w:val="0"/>
          <w:numId w:val="3"/>
        </w:numPr>
      </w:pPr>
      <w:r w:rsidRPr="00B13888">
        <w:lastRenderedPageBreak/>
        <w:t xml:space="preserve">Managers may </w:t>
      </w:r>
      <w:proofErr w:type="spellStart"/>
      <w:r w:rsidRPr="00B13888">
        <w:t>utilise</w:t>
      </w:r>
      <w:proofErr w:type="spellEnd"/>
      <w:r w:rsidRPr="00B13888">
        <w:t xml:space="preserve"> ratio analysis patterns to determine what needs fixing and take remedial action</w:t>
      </w:r>
      <w:r w:rsidR="00F10530">
        <w:t xml:space="preserve"> (</w:t>
      </w:r>
      <w:proofErr w:type="spellStart"/>
      <w:r w:rsidR="00F10530">
        <w:t>Liaq</w:t>
      </w:r>
      <w:proofErr w:type="spellEnd"/>
      <w:r w:rsidR="00F10530">
        <w:t>, and Liu, 2022)</w:t>
      </w:r>
      <w:r w:rsidRPr="00B13888">
        <w:t>.</w:t>
      </w:r>
    </w:p>
    <w:p w:rsidR="008A7122" w:rsidRPr="00B13888" w:rsidRDefault="008A7122" w:rsidP="00B13888">
      <w:pPr>
        <w:pStyle w:val="ListParagraph"/>
        <w:numPr>
          <w:ilvl w:val="0"/>
          <w:numId w:val="3"/>
        </w:numPr>
      </w:pPr>
      <w:r w:rsidRPr="00B13888">
        <w:t>Ratios may be used for both cost control and performance assessment.</w:t>
      </w:r>
    </w:p>
    <w:p w:rsidR="008A7122" w:rsidRPr="00B13888" w:rsidRDefault="008A7122" w:rsidP="00B13888">
      <w:pPr>
        <w:pStyle w:val="ListParagraph"/>
        <w:numPr>
          <w:ilvl w:val="0"/>
          <w:numId w:val="3"/>
        </w:numPr>
      </w:pPr>
      <w:r w:rsidRPr="00B13888">
        <w:t>Ratio analysis is a useful tool for determining the liquidity, solvency, productivity, and capital gearing of a corporation.</w:t>
      </w:r>
    </w:p>
    <w:p w:rsidR="008A7122" w:rsidRPr="00B13888" w:rsidRDefault="008A7122" w:rsidP="00B13888">
      <w:pPr>
        <w:pStyle w:val="ListParagraph"/>
        <w:numPr>
          <w:ilvl w:val="0"/>
          <w:numId w:val="3"/>
        </w:numPr>
      </w:pPr>
      <w:r w:rsidRPr="00B13888">
        <w:t xml:space="preserve">Management has to know these details in order to run the </w:t>
      </w:r>
      <w:proofErr w:type="spellStart"/>
      <w:r w:rsidRPr="00B13888">
        <w:t>organisation</w:t>
      </w:r>
      <w:proofErr w:type="spellEnd"/>
      <w:r w:rsidRPr="00B13888">
        <w:t xml:space="preserve"> efficiently.</w:t>
      </w:r>
    </w:p>
    <w:p w:rsidR="008A7122" w:rsidRPr="00B13888" w:rsidRDefault="008A7122" w:rsidP="00B13888">
      <w:pPr>
        <w:pStyle w:val="Heading1"/>
        <w:rPr>
          <w:rFonts w:ascii="Times New Roman" w:hAnsi="Times New Roman" w:cs="Times New Roman"/>
          <w:sz w:val="24"/>
          <w:szCs w:val="24"/>
        </w:rPr>
      </w:pPr>
      <w:bookmarkStart w:id="5" w:name="_Toc119246079"/>
      <w:r w:rsidRPr="00B13888">
        <w:rPr>
          <w:rFonts w:ascii="Times New Roman" w:hAnsi="Times New Roman" w:cs="Times New Roman"/>
          <w:sz w:val="24"/>
          <w:szCs w:val="24"/>
        </w:rPr>
        <w:t>Conclusion</w:t>
      </w:r>
      <w:bookmarkEnd w:id="5"/>
      <w:r w:rsidRPr="00B13888">
        <w:rPr>
          <w:rFonts w:ascii="Times New Roman" w:hAnsi="Times New Roman" w:cs="Times New Roman"/>
          <w:sz w:val="24"/>
          <w:szCs w:val="24"/>
        </w:rPr>
        <w:t xml:space="preserve"> </w:t>
      </w:r>
    </w:p>
    <w:p w:rsidR="00314B57" w:rsidRDefault="008A7122" w:rsidP="00B13888">
      <w:r w:rsidRPr="00B13888">
        <w:t>Marriot International, Inc. has done an excellent job ever since it was founded. This may be due to the company's prudent management, which keeps a close watch on things and makes good judgments thanks to a steady stream of financial statistics used to assess current performance and predict future potential. It is impossible to draw any conclusions about Marriot's future growth from this report, which just gives a sample of the company's present performance.</w:t>
      </w:r>
    </w:p>
    <w:p w:rsidR="00314B57" w:rsidRDefault="00314B57">
      <w:r>
        <w:br w:type="page"/>
      </w:r>
    </w:p>
    <w:p w:rsidR="008A7122" w:rsidRPr="00314B57" w:rsidRDefault="00314B57" w:rsidP="00314B57">
      <w:pPr>
        <w:pStyle w:val="Heading1"/>
        <w:rPr>
          <w:rFonts w:ascii="Times New Roman" w:hAnsi="Times New Roman" w:cs="Times New Roman"/>
        </w:rPr>
      </w:pPr>
      <w:bookmarkStart w:id="6" w:name="_Toc119246080"/>
      <w:r w:rsidRPr="00314B57">
        <w:rPr>
          <w:rFonts w:ascii="Times New Roman" w:hAnsi="Times New Roman" w:cs="Times New Roman"/>
        </w:rPr>
        <w:lastRenderedPageBreak/>
        <w:t>References list</w:t>
      </w:r>
      <w:bookmarkEnd w:id="6"/>
    </w:p>
    <w:p w:rsidR="00F90750" w:rsidRPr="00B13888" w:rsidRDefault="00F90750" w:rsidP="00F90750">
      <w:pPr>
        <w:ind w:left="720" w:hanging="720"/>
      </w:pPr>
    </w:p>
    <w:p w:rsidR="00F90750" w:rsidRDefault="00F90750" w:rsidP="00F90750">
      <w:pPr>
        <w:ind w:left="720" w:hanging="720"/>
      </w:pPr>
      <w:r w:rsidRPr="00F10530">
        <w:t>Bloomberg, A.T.L.P. and Cap, M., 2022. Rising raw material prices hit margin. PAT, 6(5.9), pp.8-3.</w:t>
      </w:r>
    </w:p>
    <w:p w:rsidR="00F90750" w:rsidRDefault="00F90750" w:rsidP="00F90750">
      <w:pPr>
        <w:ind w:left="720" w:hanging="720"/>
      </w:pPr>
      <w:proofErr w:type="spellStart"/>
      <w:r w:rsidRPr="00F10530">
        <w:t>Carduff</w:t>
      </w:r>
      <w:proofErr w:type="spellEnd"/>
      <w:r w:rsidRPr="00F10530">
        <w:t>, K.C., 2022. Findings, Limitations, and Future Research. In Corporate Reporting: From Stewardship to Contract, the Annual Reports of the United States Steel Corporation 1902–2006 (Vol. 26, pp. 81-92). Emerald Publishing Limited.</w:t>
      </w:r>
    </w:p>
    <w:p w:rsidR="00F90750" w:rsidRDefault="00F90750" w:rsidP="00F90750">
      <w:pPr>
        <w:ind w:left="720" w:hanging="720"/>
      </w:pPr>
      <w:proofErr w:type="spellStart"/>
      <w:r w:rsidRPr="00F10530">
        <w:t>Juwita</w:t>
      </w:r>
      <w:proofErr w:type="spellEnd"/>
      <w:r w:rsidRPr="00F10530">
        <w:t xml:space="preserve">, R.I. and </w:t>
      </w:r>
      <w:proofErr w:type="spellStart"/>
      <w:r w:rsidRPr="00F10530">
        <w:t>Mutawali</w:t>
      </w:r>
      <w:proofErr w:type="spellEnd"/>
      <w:r w:rsidRPr="00F10530">
        <w:t xml:space="preserve">, M., 2022. </w:t>
      </w:r>
      <w:proofErr w:type="spellStart"/>
      <w:r w:rsidRPr="00F10530">
        <w:t>Pengaruh</w:t>
      </w:r>
      <w:proofErr w:type="spellEnd"/>
      <w:r w:rsidRPr="00F10530">
        <w:t xml:space="preserve"> Current Ratio, Debt to Equity Ratio, Net Profit Margin, Total Asset Turnover Ratio dan Earning Per Share </w:t>
      </w:r>
      <w:proofErr w:type="spellStart"/>
      <w:r w:rsidRPr="00F10530">
        <w:t>terhadap</w:t>
      </w:r>
      <w:proofErr w:type="spellEnd"/>
      <w:r w:rsidRPr="00F10530">
        <w:t xml:space="preserve"> Kinerja </w:t>
      </w:r>
      <w:proofErr w:type="spellStart"/>
      <w:r w:rsidRPr="00F10530">
        <w:t>Keuangan</w:t>
      </w:r>
      <w:proofErr w:type="spellEnd"/>
      <w:r w:rsidRPr="00F10530">
        <w:t xml:space="preserve"> PT </w:t>
      </w:r>
      <w:proofErr w:type="spellStart"/>
      <w:r w:rsidRPr="00F10530">
        <w:t>Asahimas</w:t>
      </w:r>
      <w:proofErr w:type="spellEnd"/>
      <w:r w:rsidRPr="00F10530">
        <w:t xml:space="preserve"> Flat Glass </w:t>
      </w:r>
      <w:proofErr w:type="spellStart"/>
      <w:r w:rsidRPr="00F10530">
        <w:t>Tbk</w:t>
      </w:r>
      <w:proofErr w:type="spellEnd"/>
      <w:r w:rsidRPr="00F10530">
        <w:t xml:space="preserve"> </w:t>
      </w:r>
      <w:proofErr w:type="spellStart"/>
      <w:r w:rsidRPr="00F10530">
        <w:t>Periode</w:t>
      </w:r>
      <w:proofErr w:type="spellEnd"/>
      <w:r w:rsidRPr="00F10530">
        <w:t xml:space="preserve"> 2012-2021. </w:t>
      </w:r>
      <w:proofErr w:type="spellStart"/>
      <w:r w:rsidRPr="00F10530">
        <w:t>Lensa</w:t>
      </w:r>
      <w:proofErr w:type="spellEnd"/>
      <w:r w:rsidRPr="00F10530">
        <w:t xml:space="preserve"> </w:t>
      </w:r>
      <w:proofErr w:type="spellStart"/>
      <w:r w:rsidRPr="00F10530">
        <w:t>Ilmiah</w:t>
      </w:r>
      <w:proofErr w:type="spellEnd"/>
      <w:r w:rsidRPr="00F10530">
        <w:t xml:space="preserve">: </w:t>
      </w:r>
      <w:proofErr w:type="spellStart"/>
      <w:r w:rsidRPr="00F10530">
        <w:t>Jurnal</w:t>
      </w:r>
      <w:proofErr w:type="spellEnd"/>
      <w:r w:rsidRPr="00F10530">
        <w:t xml:space="preserve"> </w:t>
      </w:r>
      <w:proofErr w:type="spellStart"/>
      <w:r w:rsidRPr="00F10530">
        <w:t>Manajemen</w:t>
      </w:r>
      <w:proofErr w:type="spellEnd"/>
      <w:r w:rsidRPr="00F10530">
        <w:t xml:space="preserve"> dan </w:t>
      </w:r>
      <w:proofErr w:type="spellStart"/>
      <w:r w:rsidRPr="00F10530">
        <w:t>Sumberdaya</w:t>
      </w:r>
      <w:proofErr w:type="spellEnd"/>
      <w:r w:rsidRPr="00F10530">
        <w:t>, 1(2), pp.114-123.</w:t>
      </w:r>
    </w:p>
    <w:p w:rsidR="00F90750" w:rsidRDefault="00F90750" w:rsidP="00F90750">
      <w:pPr>
        <w:ind w:left="720" w:hanging="720"/>
      </w:pPr>
      <w:proofErr w:type="spellStart"/>
      <w:r w:rsidRPr="00314B57">
        <w:t>Kalsum</w:t>
      </w:r>
      <w:proofErr w:type="spellEnd"/>
      <w:r w:rsidRPr="00314B57">
        <w:t xml:space="preserve">, U., 2022. The Effect of Production Costs and Long-Term Debt on Profitability in The Consumer Goods Industry Sector Listed on the Indonesia Stock Exchange. J-Reb: Journal Research of Economic and </w:t>
      </w:r>
      <w:proofErr w:type="spellStart"/>
      <w:r w:rsidRPr="00314B57">
        <w:t>Bussiness</w:t>
      </w:r>
      <w:proofErr w:type="spellEnd"/>
      <w:r w:rsidRPr="00314B57">
        <w:t>, 1(01), pp.25-39.</w:t>
      </w:r>
    </w:p>
    <w:p w:rsidR="00F90750" w:rsidRDefault="00F90750" w:rsidP="00F90750">
      <w:pPr>
        <w:ind w:left="720" w:hanging="720"/>
      </w:pPr>
      <w:r w:rsidRPr="00F10530">
        <w:t>Liao, S. and Liu, Z., 2022. Enterprise financial influencing factors and early warning based on decision tree model. Scientific Programming, 2022.</w:t>
      </w:r>
    </w:p>
    <w:p w:rsidR="00F90750" w:rsidRDefault="00F90750" w:rsidP="00F90750">
      <w:pPr>
        <w:ind w:left="720" w:hanging="720"/>
      </w:pPr>
      <w:r w:rsidRPr="00314B57">
        <w:t>Neves, D.D., 2022. Marriott international inc. equity research-the hotel Giant´ s recovery (Doctoral dissertation).</w:t>
      </w:r>
    </w:p>
    <w:p w:rsidR="00F90750" w:rsidRDefault="00F90750" w:rsidP="00F90750">
      <w:pPr>
        <w:ind w:left="720" w:hanging="720"/>
      </w:pPr>
      <w:r w:rsidRPr="00314B57">
        <w:t>Panizza, U., 2022. Long-Term Debt Sustainability in Emerging Market Economies: A Counterfactual Analysis. Work. Pap., Grad. Inst. Geneva, Geneva, Switz.</w:t>
      </w:r>
    </w:p>
    <w:p w:rsidR="00F90750" w:rsidRDefault="00F90750" w:rsidP="00F90750">
      <w:pPr>
        <w:ind w:left="720" w:hanging="720"/>
      </w:pPr>
      <w:r w:rsidRPr="00F10530">
        <w:t xml:space="preserve">Sanjaya, R., 2022. Analysis of Net Profit Margin, Current Ratio, and Total Assets Turnover to Assess Financial Performance at PT Kalbe </w:t>
      </w:r>
      <w:proofErr w:type="spellStart"/>
      <w:r w:rsidRPr="00F10530">
        <w:t>Farma</w:t>
      </w:r>
      <w:proofErr w:type="spellEnd"/>
      <w:r w:rsidRPr="00F10530">
        <w:t xml:space="preserve"> </w:t>
      </w:r>
      <w:proofErr w:type="spellStart"/>
      <w:r w:rsidRPr="00F10530">
        <w:t>Tbk</w:t>
      </w:r>
      <w:proofErr w:type="spellEnd"/>
      <w:r w:rsidRPr="00F10530">
        <w:t xml:space="preserve"> Period 2017-2021. </w:t>
      </w:r>
      <w:proofErr w:type="spellStart"/>
      <w:r w:rsidRPr="00F10530">
        <w:t>Adpebi</w:t>
      </w:r>
      <w:proofErr w:type="spellEnd"/>
      <w:r w:rsidRPr="00F10530">
        <w:t xml:space="preserve"> Science Series, 1(1).</w:t>
      </w:r>
    </w:p>
    <w:p w:rsidR="00F90750" w:rsidRDefault="00F90750" w:rsidP="00F90750">
      <w:pPr>
        <w:ind w:left="720" w:hanging="720"/>
      </w:pPr>
      <w:proofErr w:type="spellStart"/>
      <w:r w:rsidRPr="00F10530">
        <w:t>Setyorini</w:t>
      </w:r>
      <w:proofErr w:type="spellEnd"/>
      <w:r w:rsidRPr="00F10530">
        <w:t xml:space="preserve">, A.E. and </w:t>
      </w:r>
      <w:proofErr w:type="spellStart"/>
      <w:r w:rsidRPr="00F10530">
        <w:t>Triyono</w:t>
      </w:r>
      <w:proofErr w:type="spellEnd"/>
      <w:r w:rsidRPr="00F10530">
        <w:t>, T., 2022. The Effect of Asset Management, Leverage, and Free Cash Flow on Firm Value with Dividend Policy as Moderating Variable (Study on Consumer Goods Industry Sector Companies Listed on the Indonesia Stock Exchange (IDX) 2018-2020).</w:t>
      </w:r>
    </w:p>
    <w:p w:rsidR="00F90750" w:rsidRDefault="00F90750" w:rsidP="00F90750">
      <w:pPr>
        <w:ind w:left="720" w:hanging="720"/>
      </w:pPr>
      <w:proofErr w:type="spellStart"/>
      <w:r w:rsidRPr="00F10530">
        <w:lastRenderedPageBreak/>
        <w:t>Siregar</w:t>
      </w:r>
      <w:proofErr w:type="spellEnd"/>
      <w:r w:rsidRPr="00F10530">
        <w:t xml:space="preserve">, M.Y. and </w:t>
      </w:r>
      <w:proofErr w:type="spellStart"/>
      <w:r w:rsidRPr="00F10530">
        <w:t>Mardiana</w:t>
      </w:r>
      <w:proofErr w:type="spellEnd"/>
      <w:r w:rsidRPr="00F10530">
        <w:t>, M., 2022. Effect of Quick Ratio, Total Asset Turnover, and Receivable Turnover on Return on Assets in Food and Beverages Companies Listed on the Indonesia Stock Exchange (IDX). Budapest International Research and Critics Institute (BIRCI-Journal): Humanities and Social Sciences, 5(1).</w:t>
      </w:r>
    </w:p>
    <w:p w:rsidR="00F90750" w:rsidRDefault="00F90750" w:rsidP="00F90750">
      <w:pPr>
        <w:ind w:left="720" w:hanging="720"/>
      </w:pPr>
      <w:proofErr w:type="spellStart"/>
      <w:r w:rsidRPr="00314B57">
        <w:t>Temelkov</w:t>
      </w:r>
      <w:proofErr w:type="spellEnd"/>
      <w:r w:rsidRPr="00314B57">
        <w:t xml:space="preserve">, Z., 2022. Financial performance of selected hotel groups and resorts during COVID-19 pandemic: 2019/2020 comparison. </w:t>
      </w:r>
      <w:proofErr w:type="spellStart"/>
      <w:r w:rsidRPr="00314B57">
        <w:t>Менаџмент</w:t>
      </w:r>
      <w:proofErr w:type="spellEnd"/>
      <w:r w:rsidRPr="00314B57">
        <w:t xml:space="preserve"> у </w:t>
      </w:r>
      <w:proofErr w:type="spellStart"/>
      <w:r w:rsidRPr="00314B57">
        <w:t>хотелијерству</w:t>
      </w:r>
      <w:proofErr w:type="spellEnd"/>
      <w:r w:rsidRPr="00314B57">
        <w:t xml:space="preserve"> и </w:t>
      </w:r>
      <w:proofErr w:type="spellStart"/>
      <w:r w:rsidRPr="00314B57">
        <w:t>туризму</w:t>
      </w:r>
      <w:proofErr w:type="spellEnd"/>
      <w:r w:rsidRPr="00314B57">
        <w:t>, 10(1), pp.41-51.</w:t>
      </w:r>
    </w:p>
    <w:p w:rsidR="00F90750" w:rsidRDefault="00F90750" w:rsidP="00F90750">
      <w:pPr>
        <w:ind w:left="720" w:hanging="720"/>
      </w:pPr>
      <w:proofErr w:type="spellStart"/>
      <w:r w:rsidRPr="00F10530">
        <w:t>Welc</w:t>
      </w:r>
      <w:proofErr w:type="spellEnd"/>
      <w:r w:rsidRPr="00F10530">
        <w:t>, J., 2022. Financial statement analysis. In Evaluating Corporate Financial Performance (pp. 131-212). Palgrave Macmillan, Cham.</w:t>
      </w:r>
    </w:p>
    <w:sectPr w:rsidR="00F90750">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74B6" w:rsidRDefault="00F674B6" w:rsidP="00B13888">
      <w:pPr>
        <w:spacing w:after="0" w:line="240" w:lineRule="auto"/>
      </w:pPr>
      <w:r>
        <w:separator/>
      </w:r>
    </w:p>
  </w:endnote>
  <w:endnote w:type="continuationSeparator" w:id="0">
    <w:p w:rsidR="00F674B6" w:rsidRDefault="00F674B6" w:rsidP="00B13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0953753"/>
      <w:docPartObj>
        <w:docPartGallery w:val="Page Numbers (Bottom of Page)"/>
        <w:docPartUnique/>
      </w:docPartObj>
    </w:sdtPr>
    <w:sdtEndPr>
      <w:rPr>
        <w:color w:val="7F7F7F" w:themeColor="background1" w:themeShade="7F"/>
        <w:spacing w:val="60"/>
      </w:rPr>
    </w:sdtEndPr>
    <w:sdtContent>
      <w:p w:rsidR="00B13888" w:rsidRDefault="00B1388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B13888" w:rsidRDefault="00B138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74B6" w:rsidRDefault="00F674B6" w:rsidP="00B13888">
      <w:pPr>
        <w:spacing w:after="0" w:line="240" w:lineRule="auto"/>
      </w:pPr>
      <w:r>
        <w:separator/>
      </w:r>
    </w:p>
  </w:footnote>
  <w:footnote w:type="continuationSeparator" w:id="0">
    <w:p w:rsidR="00F674B6" w:rsidRDefault="00F674B6" w:rsidP="00B138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C2A8B"/>
    <w:multiLevelType w:val="hybridMultilevel"/>
    <w:tmpl w:val="9884A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6F711F3"/>
    <w:multiLevelType w:val="hybridMultilevel"/>
    <w:tmpl w:val="73A88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1337E8"/>
    <w:multiLevelType w:val="hybridMultilevel"/>
    <w:tmpl w:val="1DE41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7789012">
    <w:abstractNumId w:val="1"/>
  </w:num>
  <w:num w:numId="2" w16cid:durableId="613098130">
    <w:abstractNumId w:val="2"/>
  </w:num>
  <w:num w:numId="3" w16cid:durableId="534269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6E5"/>
    <w:rsid w:val="00023373"/>
    <w:rsid w:val="00145931"/>
    <w:rsid w:val="002A66E5"/>
    <w:rsid w:val="002D4743"/>
    <w:rsid w:val="0030549C"/>
    <w:rsid w:val="00314B57"/>
    <w:rsid w:val="00335309"/>
    <w:rsid w:val="0040513C"/>
    <w:rsid w:val="005C569E"/>
    <w:rsid w:val="006332BD"/>
    <w:rsid w:val="006B47EC"/>
    <w:rsid w:val="007847FB"/>
    <w:rsid w:val="0079374A"/>
    <w:rsid w:val="008A7122"/>
    <w:rsid w:val="009C2661"/>
    <w:rsid w:val="009E08FB"/>
    <w:rsid w:val="00B13888"/>
    <w:rsid w:val="00C8725C"/>
    <w:rsid w:val="00D57122"/>
    <w:rsid w:val="00F10530"/>
    <w:rsid w:val="00F674B6"/>
    <w:rsid w:val="00F90750"/>
    <w:rsid w:val="00F942D8"/>
    <w:rsid w:val="00FA6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86CE8"/>
  <w15:chartTrackingRefBased/>
  <w15:docId w15:val="{819DDF32-F5E4-4DA6-B172-ECF928D97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13C"/>
    <w:rPr>
      <w:rFonts w:ascii="Times New Roman" w:hAnsi="Times New Roman" w:cs="Times New Roman"/>
      <w:sz w:val="24"/>
      <w:szCs w:val="24"/>
    </w:rPr>
  </w:style>
  <w:style w:type="paragraph" w:styleId="Heading1">
    <w:name w:val="heading 1"/>
    <w:basedOn w:val="Normal"/>
    <w:next w:val="Normal"/>
    <w:link w:val="Heading1Char"/>
    <w:uiPriority w:val="9"/>
    <w:qFormat/>
    <w:rsid w:val="009C26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26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6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266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A7122"/>
    <w:pPr>
      <w:ind w:left="720"/>
      <w:contextualSpacing/>
    </w:pPr>
  </w:style>
  <w:style w:type="paragraph" w:styleId="Caption">
    <w:name w:val="caption"/>
    <w:basedOn w:val="Normal"/>
    <w:next w:val="Normal"/>
    <w:uiPriority w:val="35"/>
    <w:unhideWhenUsed/>
    <w:qFormat/>
    <w:rsid w:val="0002337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138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3888"/>
    <w:rPr>
      <w:rFonts w:ascii="Times New Roman" w:hAnsi="Times New Roman" w:cs="Times New Roman"/>
      <w:sz w:val="24"/>
      <w:szCs w:val="24"/>
    </w:rPr>
  </w:style>
  <w:style w:type="paragraph" w:styleId="Footer">
    <w:name w:val="footer"/>
    <w:basedOn w:val="Normal"/>
    <w:link w:val="FooterChar"/>
    <w:uiPriority w:val="99"/>
    <w:unhideWhenUsed/>
    <w:rsid w:val="00B138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3888"/>
    <w:rPr>
      <w:rFonts w:ascii="Times New Roman" w:hAnsi="Times New Roman" w:cs="Times New Roman"/>
      <w:sz w:val="24"/>
      <w:szCs w:val="24"/>
    </w:rPr>
  </w:style>
  <w:style w:type="paragraph" w:styleId="TOCHeading">
    <w:name w:val="TOC Heading"/>
    <w:basedOn w:val="Heading1"/>
    <w:next w:val="Normal"/>
    <w:uiPriority w:val="39"/>
    <w:unhideWhenUsed/>
    <w:qFormat/>
    <w:rsid w:val="006332BD"/>
    <w:pPr>
      <w:spacing w:line="259" w:lineRule="auto"/>
      <w:jc w:val="left"/>
      <w:outlineLvl w:val="9"/>
    </w:pPr>
  </w:style>
  <w:style w:type="paragraph" w:styleId="TOC1">
    <w:name w:val="toc 1"/>
    <w:basedOn w:val="Normal"/>
    <w:next w:val="Normal"/>
    <w:autoRedefine/>
    <w:uiPriority w:val="39"/>
    <w:unhideWhenUsed/>
    <w:rsid w:val="006332BD"/>
    <w:pPr>
      <w:spacing w:after="100"/>
    </w:pPr>
  </w:style>
  <w:style w:type="paragraph" w:styleId="TOC2">
    <w:name w:val="toc 2"/>
    <w:basedOn w:val="Normal"/>
    <w:next w:val="Normal"/>
    <w:autoRedefine/>
    <w:uiPriority w:val="39"/>
    <w:unhideWhenUsed/>
    <w:rsid w:val="006332BD"/>
    <w:pPr>
      <w:spacing w:after="100"/>
      <w:ind w:left="240"/>
    </w:pPr>
  </w:style>
  <w:style w:type="character" w:styleId="Hyperlink">
    <w:name w:val="Hyperlink"/>
    <w:basedOn w:val="DefaultParagraphFont"/>
    <w:uiPriority w:val="99"/>
    <w:unhideWhenUsed/>
    <w:rsid w:val="006332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531123">
      <w:bodyDiv w:val="1"/>
      <w:marLeft w:val="0"/>
      <w:marRight w:val="0"/>
      <w:marTop w:val="0"/>
      <w:marBottom w:val="0"/>
      <w:divBdr>
        <w:top w:val="none" w:sz="0" w:space="0" w:color="auto"/>
        <w:left w:val="none" w:sz="0" w:space="0" w:color="auto"/>
        <w:bottom w:val="none" w:sz="0" w:space="0" w:color="auto"/>
        <w:right w:val="none" w:sz="0" w:space="0" w:color="auto"/>
      </w:divBdr>
    </w:div>
    <w:div w:id="1044017803">
      <w:bodyDiv w:val="1"/>
      <w:marLeft w:val="0"/>
      <w:marRight w:val="0"/>
      <w:marTop w:val="0"/>
      <w:marBottom w:val="0"/>
      <w:divBdr>
        <w:top w:val="none" w:sz="0" w:space="0" w:color="auto"/>
        <w:left w:val="none" w:sz="0" w:space="0" w:color="auto"/>
        <w:bottom w:val="none" w:sz="0" w:space="0" w:color="auto"/>
        <w:right w:val="none" w:sz="0" w:space="0" w:color="auto"/>
      </w:divBdr>
    </w:div>
    <w:div w:id="176903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file:///F:\Omar\Work%20%5bRana%5d\4.%208-11-22%20(2;33%20pm)%20-%2012-11-22%20(12%20pm)%20(1,800%20tk)\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Omar\Work%20%5bRana%5d\4.%208-11-22%20(2;33%20pm)%20-%2012-11-22%20(12%20pm)%20(1,800%20tk)\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Omar\Work%20%5bRana%5d\4.%208-11-22%20(2;33%20pm)%20-%2012-11-22%20(12%20pm)%20(1,800%20tk)\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Omar\Work%20%5bRana%5d\4.%208-11-22%20(2;33%20pm)%20-%2012-11-22%20(12%20pm)%20(1,800%20tk)\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Omar\Work%20%5bRana%5d\4.%208-11-22%20(2;33%20pm)%20-%2012-11-22%20(12%20pm)%20(1,800%20tk)\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F:\Omar\Work%20%5bRana%5d\4.%208-11-22%20(2;33%20pm)%20-%2012-11-22%20(12%20pm)%20(1,800%20tk)\Dat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F:\Omar\Work%20%5bRana%5d\4.%208-11-22%20(2;33%20pm)%20-%2012-11-22%20(12%20pm)%20(1,800%20tk)\Dat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F:\Omar\Work%20%5bRana%5d\4.%208-11-22%20(2;33%20pm)%20-%2012-11-22%20(12%20pm)%20(1,800%20tk)\Data.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F:\Omar\Work%20%5bRana%5d\4.%208-11-22%20(2;33%20pm)%20-%2012-11-22%20(12%20pm)%20(1,800%20tk)\Data.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Marriot's Current Ratio</a:t>
            </a:r>
          </a:p>
        </c:rich>
      </c:tx>
      <c:layout>
        <c:manualLayout>
          <c:xMode val="edge"/>
          <c:yMode val="edge"/>
          <c:x val="0.35338188976377954"/>
          <c:y val="2.2986274343123631E-2"/>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10060017497812773"/>
          <c:y val="0.12966169211273898"/>
          <c:w val="0.86884426946631677"/>
          <c:h val="0.74577967902656883"/>
        </c:manualLayout>
      </c:layout>
      <c:lineChart>
        <c:grouping val="standard"/>
        <c:varyColors val="0"/>
        <c:ser>
          <c:idx val="0"/>
          <c:order val="0"/>
          <c:spPr>
            <a:ln w="22225" cap="rnd">
              <a:solidFill>
                <a:schemeClr val="accent1"/>
              </a:solidFill>
            </a:ln>
            <a:effectLst>
              <a:glow rad="139700">
                <a:schemeClr val="accent1">
                  <a:satMod val="175000"/>
                  <a:alpha val="14000"/>
                </a:schemeClr>
              </a:glow>
            </a:effectLst>
          </c:spPr>
          <c:marker>
            <c:symbol val="none"/>
          </c:marker>
          <c:dLbls>
            <c:dLbl>
              <c:idx val="1"/>
              <c:layout>
                <c:manualLayout>
                  <c:x val="-5.8430664916885491E-2"/>
                  <c:y val="6.253463108778060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12F-45A5-B175-F31667265BE8}"/>
                </c:ext>
              </c:extLst>
            </c:dLbl>
            <c:dLbl>
              <c:idx val="3"/>
              <c:layout>
                <c:manualLayout>
                  <c:x val="-5.2875109361329935E-2"/>
                  <c:y val="6.25346310877806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12F-45A5-B175-F31667265BE8}"/>
                </c:ext>
              </c:extLst>
            </c:dLbl>
            <c:dLbl>
              <c:idx val="7"/>
              <c:layout>
                <c:manualLayout>
                  <c:x val="-6.9541776027996549E-2"/>
                  <c:y val="6.25346310877806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12F-45A5-B175-F31667265BE8}"/>
                </c:ext>
              </c:extLst>
            </c:dLbl>
            <c:dLbl>
              <c:idx val="9"/>
              <c:layout>
                <c:manualLayout>
                  <c:x val="-5.8430664916885443E-2"/>
                  <c:y val="5.79050014581510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12F-45A5-B175-F31667265BE8}"/>
                </c:ext>
              </c:extLst>
            </c:dLbl>
            <c:dLbl>
              <c:idx val="10"/>
              <c:layout>
                <c:manualLayout>
                  <c:x val="3.7567804024495918E-3"/>
                  <c:y val="-2.4516794803110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12F-45A5-B175-F31667265BE8}"/>
                </c:ext>
              </c:extLst>
            </c:dLbl>
            <c:dLbl>
              <c:idx val="11"/>
              <c:layout>
                <c:manualLayout>
                  <c:x val="-8.0652887139107607E-2"/>
                  <c:y val="-4.857652898835802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12F-45A5-B175-F31667265BE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'Table 1'!$B$1:$N$1</c:f>
              <c:numCache>
                <c:formatCode>General</c:formatCode>
                <c:ptCount val="13"/>
                <c:pt idx="0">
                  <c:v>2021</c:v>
                </c:pt>
                <c:pt idx="1">
                  <c:v>2020</c:v>
                </c:pt>
                <c:pt idx="2">
                  <c:v>2019</c:v>
                </c:pt>
                <c:pt idx="3">
                  <c:v>2018</c:v>
                </c:pt>
                <c:pt idx="4">
                  <c:v>2017</c:v>
                </c:pt>
                <c:pt idx="5">
                  <c:v>2016</c:v>
                </c:pt>
                <c:pt idx="6">
                  <c:v>2015</c:v>
                </c:pt>
                <c:pt idx="7">
                  <c:v>2014</c:v>
                </c:pt>
                <c:pt idx="8">
                  <c:v>2013</c:v>
                </c:pt>
                <c:pt idx="9">
                  <c:v>2012</c:v>
                </c:pt>
                <c:pt idx="10">
                  <c:v>2011</c:v>
                </c:pt>
                <c:pt idx="11">
                  <c:v>2010</c:v>
                </c:pt>
                <c:pt idx="12">
                  <c:v>2009</c:v>
                </c:pt>
              </c:numCache>
            </c:numRef>
          </c:cat>
          <c:val>
            <c:numRef>
              <c:f>'Table 1'!$B$2:$N$2</c:f>
              <c:numCache>
                <c:formatCode>General</c:formatCode>
                <c:ptCount val="13"/>
                <c:pt idx="0">
                  <c:v>0.56589999999999996</c:v>
                </c:pt>
                <c:pt idx="1">
                  <c:v>0.49109999999999998</c:v>
                </c:pt>
                <c:pt idx="2">
                  <c:v>0.46829999999999999</c:v>
                </c:pt>
                <c:pt idx="3">
                  <c:v>0.4204</c:v>
                </c:pt>
                <c:pt idx="4">
                  <c:v>0.4718</c:v>
                </c:pt>
                <c:pt idx="5">
                  <c:v>0.65490000000000004</c:v>
                </c:pt>
                <c:pt idx="6">
                  <c:v>0.42809999999999998</c:v>
                </c:pt>
                <c:pt idx="7">
                  <c:v>0.53</c:v>
                </c:pt>
                <c:pt idx="8">
                  <c:v>0.71140000000000003</c:v>
                </c:pt>
                <c:pt idx="9">
                  <c:v>0.53190000000000004</c:v>
                </c:pt>
                <c:pt idx="10">
                  <c:v>0.51759999999999995</c:v>
                </c:pt>
                <c:pt idx="11">
                  <c:v>1.3523000000000001</c:v>
                </c:pt>
                <c:pt idx="12">
                  <c:v>1.2465999999999999</c:v>
                </c:pt>
              </c:numCache>
            </c:numRef>
          </c:val>
          <c:smooth val="0"/>
          <c:extLst>
            <c:ext xmlns:c16="http://schemas.microsoft.com/office/drawing/2014/chart" uri="{C3380CC4-5D6E-409C-BE32-E72D297353CC}">
              <c16:uniqueId val="{00000006-412F-45A5-B175-F31667265BE8}"/>
            </c:ext>
          </c:extLst>
        </c:ser>
        <c:dLbls>
          <c:dLblPos val="t"/>
          <c:showLegendKey val="0"/>
          <c:showVal val="1"/>
          <c:showCatName val="0"/>
          <c:showSerName val="0"/>
          <c:showPercent val="0"/>
          <c:showBubbleSize val="0"/>
        </c:dLbls>
        <c:smooth val="0"/>
        <c:axId val="296606687"/>
        <c:axId val="296609599"/>
      </c:lineChart>
      <c:catAx>
        <c:axId val="296606687"/>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9599"/>
        <c:crosses val="autoZero"/>
        <c:auto val="1"/>
        <c:lblAlgn val="ctr"/>
        <c:lblOffset val="100"/>
        <c:noMultiLvlLbl val="0"/>
      </c:catAx>
      <c:valAx>
        <c:axId val="296609599"/>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66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Marriot's Long-term Debt/Capital Ratio</a:t>
            </a:r>
          </a:p>
        </c:rich>
      </c:tx>
      <c:layout>
        <c:manualLayout>
          <c:xMode val="edge"/>
          <c:yMode val="edge"/>
          <c:x val="0.2840693350831146"/>
          <c:y val="1.3888888888888888E-2"/>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11186417322834645"/>
          <c:y val="0.12887369053836981"/>
          <c:w val="0.85758027121609803"/>
          <c:h val="0.7604532634188691"/>
        </c:manualLayout>
      </c:layout>
      <c:lineChart>
        <c:grouping val="standard"/>
        <c:varyColors val="0"/>
        <c:ser>
          <c:idx val="0"/>
          <c:order val="0"/>
          <c:spPr>
            <a:ln w="22225" cap="rnd">
              <a:solidFill>
                <a:schemeClr val="accent1"/>
              </a:solidFill>
            </a:ln>
            <a:effectLst>
              <a:glow rad="139700">
                <a:schemeClr val="accent1">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'Table 1'!$B$1:$N$1</c:f>
              <c:numCache>
                <c:formatCode>General</c:formatCode>
                <c:ptCount val="13"/>
                <c:pt idx="0">
                  <c:v>2021</c:v>
                </c:pt>
                <c:pt idx="1">
                  <c:v>2020</c:v>
                </c:pt>
                <c:pt idx="2">
                  <c:v>2019</c:v>
                </c:pt>
                <c:pt idx="3">
                  <c:v>2018</c:v>
                </c:pt>
                <c:pt idx="4">
                  <c:v>2017</c:v>
                </c:pt>
                <c:pt idx="5">
                  <c:v>2016</c:v>
                </c:pt>
                <c:pt idx="6">
                  <c:v>2015</c:v>
                </c:pt>
                <c:pt idx="7">
                  <c:v>2014</c:v>
                </c:pt>
                <c:pt idx="8">
                  <c:v>2013</c:v>
                </c:pt>
                <c:pt idx="9">
                  <c:v>2012</c:v>
                </c:pt>
                <c:pt idx="10">
                  <c:v>2011</c:v>
                </c:pt>
                <c:pt idx="11">
                  <c:v>2010</c:v>
                </c:pt>
                <c:pt idx="12">
                  <c:v>2009</c:v>
                </c:pt>
              </c:numCache>
            </c:numRef>
          </c:cat>
          <c:val>
            <c:numRef>
              <c:f>'Table 1'!$B$3:$N$3</c:f>
              <c:numCache>
                <c:formatCode>General</c:formatCode>
                <c:ptCount val="13"/>
                <c:pt idx="0">
                  <c:v>0.86839999999999995</c:v>
                </c:pt>
                <c:pt idx="1">
                  <c:v>0.95540000000000003</c:v>
                </c:pt>
                <c:pt idx="2">
                  <c:v>0.93410000000000004</c:v>
                </c:pt>
                <c:pt idx="3">
                  <c:v>0.79279999999999995</c:v>
                </c:pt>
                <c:pt idx="4">
                  <c:v>0.68640000000000001</c:v>
                </c:pt>
                <c:pt idx="5">
                  <c:v>0.6048</c:v>
                </c:pt>
                <c:pt idx="6">
                  <c:v>17.543800000000001</c:v>
                </c:pt>
                <c:pt idx="7">
                  <c:v>2.7642000000000002</c:v>
                </c:pt>
                <c:pt idx="8">
                  <c:v>1.8169999999999999</c:v>
                </c:pt>
                <c:pt idx="9">
                  <c:v>2.0337999999999998</c:v>
                </c:pt>
                <c:pt idx="10">
                  <c:v>1.7545999999999999</c:v>
                </c:pt>
                <c:pt idx="11">
                  <c:v>0.62929999999999997</c:v>
                </c:pt>
                <c:pt idx="12">
                  <c:v>0.66169999999999995</c:v>
                </c:pt>
              </c:numCache>
            </c:numRef>
          </c:val>
          <c:smooth val="0"/>
          <c:extLst>
            <c:ext xmlns:c16="http://schemas.microsoft.com/office/drawing/2014/chart" uri="{C3380CC4-5D6E-409C-BE32-E72D297353CC}">
              <c16:uniqueId val="{00000000-1A66-440D-85AE-F69950DA92E2}"/>
            </c:ext>
          </c:extLst>
        </c:ser>
        <c:dLbls>
          <c:dLblPos val="ctr"/>
          <c:showLegendKey val="0"/>
          <c:showVal val="1"/>
          <c:showCatName val="0"/>
          <c:showSerName val="0"/>
          <c:showPercent val="0"/>
          <c:showBubbleSize val="0"/>
        </c:dLbls>
        <c:smooth val="0"/>
        <c:axId val="296606687"/>
        <c:axId val="296609599"/>
      </c:lineChart>
      <c:catAx>
        <c:axId val="296606687"/>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9599"/>
        <c:crosses val="autoZero"/>
        <c:auto val="1"/>
        <c:lblAlgn val="ctr"/>
        <c:lblOffset val="100"/>
        <c:noMultiLvlLbl val="0"/>
      </c:catAx>
      <c:valAx>
        <c:axId val="296609599"/>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66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Marriot's Debt/Equity Ratio</a:t>
            </a:r>
          </a:p>
        </c:rich>
      </c:tx>
      <c:layout>
        <c:manualLayout>
          <c:xMode val="edge"/>
          <c:yMode val="edge"/>
          <c:x val="0.32851377952755906"/>
          <c:y val="3.1056289637615034E-2"/>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11186417322834645"/>
          <c:y val="0.1610669910896331"/>
          <c:w val="0.85758027121609803"/>
          <c:h val="0.74280513219109423"/>
        </c:manualLayout>
      </c:layout>
      <c:lineChart>
        <c:grouping val="standard"/>
        <c:varyColors val="0"/>
        <c:ser>
          <c:idx val="0"/>
          <c:order val="0"/>
          <c:spPr>
            <a:ln w="22225" cap="rnd">
              <a:solidFill>
                <a:schemeClr val="accent1"/>
              </a:solidFill>
            </a:ln>
            <a:effectLst>
              <a:glow rad="139700">
                <a:schemeClr val="accent1">
                  <a:satMod val="175000"/>
                  <a:alpha val="14000"/>
                </a:schemeClr>
              </a:glow>
            </a:effectLst>
          </c:spPr>
          <c:marker>
            <c:symbol val="none"/>
          </c:marker>
          <c:dLbls>
            <c:dLbl>
              <c:idx val="0"/>
              <c:layout>
                <c:manualLayout>
                  <c:x val="-5.4576552930883641E-2"/>
                  <c:y val="5.789688306129115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71-4990-8480-74940364956B}"/>
                </c:ext>
              </c:extLst>
            </c:dLbl>
            <c:dLbl>
              <c:idx val="1"/>
              <c:layout>
                <c:manualLayout>
                  <c:x val="-3.8986220472440922E-2"/>
                  <c:y val="-4.857648002333041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71-4990-8480-74940364956B}"/>
                </c:ext>
              </c:extLst>
            </c:dLbl>
            <c:dLbl>
              <c:idx val="2"/>
              <c:layout>
                <c:manualLayout>
                  <c:x val="-1.5763998250218722E-2"/>
                  <c:y val="-6.79972514165343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871-4990-8480-74940364956B}"/>
                </c:ext>
              </c:extLst>
            </c:dLbl>
            <c:dLbl>
              <c:idx val="3"/>
              <c:layout>
                <c:manualLayout>
                  <c:x val="-5.8430664916885443E-2"/>
                  <c:y val="5.79050014581510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871-4990-8480-74940364956B}"/>
                </c:ext>
              </c:extLst>
            </c:dLbl>
            <c:dLbl>
              <c:idx val="5"/>
              <c:layout>
                <c:manualLayout>
                  <c:x val="-6.9541776027996549E-2"/>
                  <c:y val="6.25346310877806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871-4990-8480-74940364956B}"/>
                </c:ext>
              </c:extLst>
            </c:dLbl>
            <c:dLbl>
              <c:idx val="7"/>
              <c:layout>
                <c:manualLayout>
                  <c:x val="-7.4020997375328079E-2"/>
                  <c:y val="-0.1465711421265475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871-4990-8480-74940364956B}"/>
                </c:ext>
              </c:extLst>
            </c:dLbl>
            <c:dLbl>
              <c:idx val="8"/>
              <c:layout>
                <c:manualLayout>
                  <c:x val="-6.5611111111111217E-2"/>
                  <c:y val="-8.934653554571772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871-4990-8480-74940364956B}"/>
                </c:ext>
              </c:extLst>
            </c:dLbl>
            <c:dLbl>
              <c:idx val="9"/>
              <c:layout>
                <c:manualLayout>
                  <c:x val="-5.5652887139107717E-2"/>
                  <c:y val="-3.931722076407124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871-4990-8480-74940364956B}"/>
                </c:ext>
              </c:extLst>
            </c:dLbl>
            <c:dLbl>
              <c:idx val="10"/>
              <c:layout>
                <c:manualLayout>
                  <c:x val="-5.7354330708661416E-2"/>
                  <c:y val="-0.12368129949421558"/>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871-4990-8480-74940364956B}"/>
                </c:ext>
              </c:extLst>
            </c:dLbl>
            <c:dLbl>
              <c:idx val="11"/>
              <c:layout>
                <c:manualLayout>
                  <c:x val="-5.8430664916885491E-2"/>
                  <c:y val="-0.1270219548736666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871-4990-8480-74940364956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'Table 1'!$B$1:$N$1</c:f>
              <c:numCache>
                <c:formatCode>General</c:formatCode>
                <c:ptCount val="13"/>
                <c:pt idx="0">
                  <c:v>2021</c:v>
                </c:pt>
                <c:pt idx="1">
                  <c:v>2020</c:v>
                </c:pt>
                <c:pt idx="2">
                  <c:v>2019</c:v>
                </c:pt>
                <c:pt idx="3">
                  <c:v>2018</c:v>
                </c:pt>
                <c:pt idx="4">
                  <c:v>2017</c:v>
                </c:pt>
                <c:pt idx="5">
                  <c:v>2016</c:v>
                </c:pt>
                <c:pt idx="6">
                  <c:v>2015</c:v>
                </c:pt>
                <c:pt idx="7">
                  <c:v>2014</c:v>
                </c:pt>
                <c:pt idx="8">
                  <c:v>2013</c:v>
                </c:pt>
                <c:pt idx="9">
                  <c:v>2012</c:v>
                </c:pt>
                <c:pt idx="10">
                  <c:v>2011</c:v>
                </c:pt>
                <c:pt idx="11">
                  <c:v>2010</c:v>
                </c:pt>
                <c:pt idx="12">
                  <c:v>2009</c:v>
                </c:pt>
              </c:numCache>
            </c:numRef>
          </c:cat>
          <c:val>
            <c:numRef>
              <c:f>'Table 1'!$B$4:$N$4</c:f>
              <c:numCache>
                <c:formatCode>General</c:formatCode>
                <c:ptCount val="13"/>
                <c:pt idx="0">
                  <c:v>7.1696999999999997</c:v>
                </c:pt>
                <c:pt idx="1">
                  <c:v>24.130199999999999</c:v>
                </c:pt>
                <c:pt idx="2">
                  <c:v>15.5619</c:v>
                </c:pt>
                <c:pt idx="3">
                  <c:v>4.2008999999999999</c:v>
                </c:pt>
                <c:pt idx="4">
                  <c:v>2.2997999999999998</c:v>
                </c:pt>
                <c:pt idx="5">
                  <c:v>1.5878000000000001</c:v>
                </c:pt>
                <c:pt idx="6">
                  <c:v>-1.1439999999999999</c:v>
                </c:pt>
                <c:pt idx="7">
                  <c:v>-1.7141</c:v>
                </c:pt>
                <c:pt idx="8">
                  <c:v>-2.2282999999999999</c:v>
                </c:pt>
                <c:pt idx="9">
                  <c:v>-2.2839999999999998</c:v>
                </c:pt>
                <c:pt idx="10">
                  <c:v>-2.7797999999999998</c:v>
                </c:pt>
                <c:pt idx="11">
                  <c:v>1.7848999999999999</c:v>
                </c:pt>
                <c:pt idx="12">
                  <c:v>2.0123000000000002</c:v>
                </c:pt>
              </c:numCache>
            </c:numRef>
          </c:val>
          <c:smooth val="0"/>
          <c:extLst>
            <c:ext xmlns:c16="http://schemas.microsoft.com/office/drawing/2014/chart" uri="{C3380CC4-5D6E-409C-BE32-E72D297353CC}">
              <c16:uniqueId val="{0000000A-E871-4990-8480-74940364956B}"/>
            </c:ext>
          </c:extLst>
        </c:ser>
        <c:dLbls>
          <c:dLblPos val="t"/>
          <c:showLegendKey val="0"/>
          <c:showVal val="1"/>
          <c:showCatName val="0"/>
          <c:showSerName val="0"/>
          <c:showPercent val="0"/>
          <c:showBubbleSize val="0"/>
        </c:dLbls>
        <c:smooth val="0"/>
        <c:axId val="296606687"/>
        <c:axId val="296609599"/>
      </c:lineChart>
      <c:catAx>
        <c:axId val="296606687"/>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low"/>
        <c:spPr>
          <a:noFill/>
          <a:ln>
            <a:noFill/>
          </a:ln>
          <a:effectLst/>
        </c:spPr>
        <c:txPr>
          <a:bodyPr rot="0" spcFirstLastPara="1" vertOverflow="ellipsis"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9599"/>
        <c:crosses val="autoZero"/>
        <c:auto val="1"/>
        <c:lblAlgn val="ctr"/>
        <c:lblOffset val="50"/>
        <c:noMultiLvlLbl val="0"/>
      </c:catAx>
      <c:valAx>
        <c:axId val="296609599"/>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66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Marriot's EBITDA Margin</a:t>
            </a:r>
          </a:p>
        </c:rich>
      </c:tx>
      <c:layout>
        <c:manualLayout>
          <c:xMode val="edge"/>
          <c:yMode val="edge"/>
          <c:x val="0.35073600174978126"/>
          <c:y val="3.1056289637615034E-2"/>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11186417322834645"/>
          <c:y val="0.1610669910896331"/>
          <c:w val="0.85758027121609803"/>
          <c:h val="0.74280513219109423"/>
        </c:manualLayout>
      </c:layout>
      <c:lineChart>
        <c:grouping val="standard"/>
        <c:varyColors val="0"/>
        <c:ser>
          <c:idx val="0"/>
          <c:order val="0"/>
          <c:spPr>
            <a:ln w="22225" cap="rnd">
              <a:solidFill>
                <a:schemeClr val="accent1"/>
              </a:solidFill>
            </a:ln>
            <a:effectLst>
              <a:glow rad="139700">
                <a:schemeClr val="accent1">
                  <a:satMod val="175000"/>
                  <a:alpha val="14000"/>
                </a:schemeClr>
              </a:glow>
            </a:effectLst>
          </c:spPr>
          <c:marker>
            <c:symbol val="none"/>
          </c:marker>
          <c:dLbls>
            <c:dLbl>
              <c:idx val="1"/>
              <c:layout>
                <c:manualLayout>
                  <c:x val="-4.4541776027996499E-2"/>
                  <c:y val="6.015027091570635E-2"/>
                </c:manualLayout>
              </c:layout>
              <c:tx>
                <c:rich>
                  <a:bodyPr/>
                  <a:lstStyle/>
                  <a:p>
                    <a:fld id="{BD0F1F33-7BA7-45AC-BCDC-4C76F2AC23B0}"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401E-43DA-8DCE-470084B39E3F}"/>
                </c:ext>
              </c:extLst>
            </c:dLbl>
            <c:dLbl>
              <c:idx val="2"/>
              <c:layout>
                <c:manualLayout>
                  <c:x val="-8.243066491688536E-2"/>
                  <c:y val="-9.08870940488662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01E-43DA-8DCE-470084B39E3F}"/>
                </c:ext>
              </c:extLst>
            </c:dLbl>
            <c:dLbl>
              <c:idx val="3"/>
              <c:layout>
                <c:manualLayout>
                  <c:x val="-3.8986220472440998E-2"/>
                  <c:y val="8.07948362677841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01E-43DA-8DCE-470084B39E3F}"/>
                </c:ext>
              </c:extLst>
            </c:dLbl>
            <c:dLbl>
              <c:idx val="5"/>
              <c:layout>
                <c:manualLayout>
                  <c:x val="-6.9541776027996549E-2"/>
                  <c:y val="6.25346310877806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01E-43DA-8DCE-470084B39E3F}"/>
                </c:ext>
              </c:extLst>
            </c:dLbl>
            <c:dLbl>
              <c:idx val="6"/>
              <c:tx>
                <c:rich>
                  <a:bodyPr/>
                  <a:lstStyle/>
                  <a:p>
                    <a:fld id="{FB385968-A203-4821-AE98-00C0B66855B1}" type="VALUE">
                      <a:rPr lang="en-US"/>
                      <a:pPr/>
                      <a:t>[VALUE]</a:t>
                    </a:fld>
                    <a:endParaRPr lang="en-US"/>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401E-43DA-8DCE-470084B39E3F}"/>
                </c:ext>
              </c:extLst>
            </c:dLbl>
            <c:dLbl>
              <c:idx val="7"/>
              <c:layout>
                <c:manualLayout>
                  <c:x val="-3.6520778652668416E-2"/>
                  <c:y val="-0.12368107420048889"/>
                </c:manualLayout>
              </c:layout>
              <c:tx>
                <c:rich>
                  <a:bodyPr/>
                  <a:lstStyle/>
                  <a:p>
                    <a:fld id="{E4A4CB70-D37B-42F8-AE3C-759F425A80E4}"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401E-43DA-8DCE-470084B39E3F}"/>
                </c:ext>
              </c:extLst>
            </c:dLbl>
            <c:dLbl>
              <c:idx val="8"/>
              <c:layout>
                <c:manualLayout>
                  <c:x val="-5.7277777777777879E-2"/>
                  <c:y val="-5.501166520851568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01E-43DA-8DCE-470084B39E3F}"/>
                </c:ext>
              </c:extLst>
            </c:dLbl>
            <c:dLbl>
              <c:idx val="9"/>
              <c:layout>
                <c:manualLayout>
                  <c:x val="-4.7319553805774281E-2"/>
                  <c:y val="-0.1137093485631892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01E-43DA-8DCE-470084B39E3F}"/>
                </c:ext>
              </c:extLst>
            </c:dLbl>
            <c:dLbl>
              <c:idx val="10"/>
              <c:layout>
                <c:manualLayout>
                  <c:x val="-7.6798775153105958E-2"/>
                  <c:y val="7.66048235386884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01E-43DA-8DCE-470084B39E3F}"/>
                </c:ext>
              </c:extLst>
            </c:dLbl>
            <c:dLbl>
              <c:idx val="11"/>
              <c:layout>
                <c:manualLayout>
                  <c:x val="-7.5097331583552057E-2"/>
                  <c:y val="-0.10413211224133474"/>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401E-43DA-8DCE-470084B39E3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'Table 1'!$B$1:$N$1</c:f>
              <c:numCache>
                <c:formatCode>General</c:formatCode>
                <c:ptCount val="13"/>
                <c:pt idx="0">
                  <c:v>2021</c:v>
                </c:pt>
                <c:pt idx="1">
                  <c:v>2020</c:v>
                </c:pt>
                <c:pt idx="2">
                  <c:v>2019</c:v>
                </c:pt>
                <c:pt idx="3">
                  <c:v>2018</c:v>
                </c:pt>
                <c:pt idx="4">
                  <c:v>2017</c:v>
                </c:pt>
                <c:pt idx="5">
                  <c:v>2016</c:v>
                </c:pt>
                <c:pt idx="6">
                  <c:v>2015</c:v>
                </c:pt>
                <c:pt idx="7">
                  <c:v>2014</c:v>
                </c:pt>
                <c:pt idx="8">
                  <c:v>2013</c:v>
                </c:pt>
                <c:pt idx="9">
                  <c:v>2012</c:v>
                </c:pt>
                <c:pt idx="10">
                  <c:v>2011</c:v>
                </c:pt>
                <c:pt idx="11">
                  <c:v>2010</c:v>
                </c:pt>
                <c:pt idx="12">
                  <c:v>2009</c:v>
                </c:pt>
              </c:numCache>
            </c:numRef>
          </c:cat>
          <c:val>
            <c:numRef>
              <c:f>'Table 1'!$B$8:$N$8</c:f>
              <c:numCache>
                <c:formatCode>General</c:formatCode>
                <c:ptCount val="13"/>
                <c:pt idx="0">
                  <c:v>14.757899999999999</c:v>
                </c:pt>
                <c:pt idx="1">
                  <c:v>5.3163999999999998</c:v>
                </c:pt>
                <c:pt idx="2">
                  <c:v>10.5045</c:v>
                </c:pt>
                <c:pt idx="3">
                  <c:v>12.7662</c:v>
                </c:pt>
                <c:pt idx="4">
                  <c:v>13.6075</c:v>
                </c:pt>
                <c:pt idx="5">
                  <c:v>10.2746</c:v>
                </c:pt>
                <c:pt idx="6">
                  <c:v>10.2789</c:v>
                </c:pt>
                <c:pt idx="7">
                  <c:v>9.4738000000000007</c:v>
                </c:pt>
                <c:pt idx="8">
                  <c:v>8.7218</c:v>
                </c:pt>
                <c:pt idx="9">
                  <c:v>8.82</c:v>
                </c:pt>
                <c:pt idx="10">
                  <c:v>5.4396000000000004</c:v>
                </c:pt>
                <c:pt idx="11">
                  <c:v>7.4672999999999998</c:v>
                </c:pt>
                <c:pt idx="12">
                  <c:v>0.30249999999999999</c:v>
                </c:pt>
              </c:numCache>
            </c:numRef>
          </c:val>
          <c:smooth val="0"/>
          <c:extLst>
            <c:ext xmlns:c16="http://schemas.microsoft.com/office/drawing/2014/chart" uri="{C3380CC4-5D6E-409C-BE32-E72D297353CC}">
              <c16:uniqueId val="{0000000A-401E-43DA-8DCE-470084B39E3F}"/>
            </c:ext>
          </c:extLst>
        </c:ser>
        <c:dLbls>
          <c:dLblPos val="t"/>
          <c:showLegendKey val="0"/>
          <c:showVal val="1"/>
          <c:showCatName val="0"/>
          <c:showSerName val="0"/>
          <c:showPercent val="0"/>
          <c:showBubbleSize val="0"/>
        </c:dLbls>
        <c:smooth val="0"/>
        <c:axId val="296606687"/>
        <c:axId val="296609599"/>
      </c:lineChart>
      <c:catAx>
        <c:axId val="296606687"/>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low"/>
        <c:spPr>
          <a:noFill/>
          <a:ln>
            <a:noFill/>
          </a:ln>
          <a:effectLst/>
        </c:spPr>
        <c:txPr>
          <a:bodyPr rot="0" spcFirstLastPara="1" vertOverflow="ellipsis"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9599"/>
        <c:crosses val="autoZero"/>
        <c:auto val="1"/>
        <c:lblAlgn val="ctr"/>
        <c:lblOffset val="50"/>
        <c:noMultiLvlLbl val="0"/>
      </c:catAx>
      <c:valAx>
        <c:axId val="296609599"/>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66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Marriot's Net Profit Margin</a:t>
            </a:r>
          </a:p>
        </c:rich>
      </c:tx>
      <c:layout>
        <c:manualLayout>
          <c:xMode val="edge"/>
          <c:yMode val="edge"/>
          <c:x val="0.35073600174978126"/>
          <c:y val="3.1056289637615034E-2"/>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11186417322834645"/>
          <c:y val="0.1610669910896331"/>
          <c:w val="0.85758027121609803"/>
          <c:h val="0.74280513219109423"/>
        </c:manualLayout>
      </c:layout>
      <c:lineChart>
        <c:grouping val="standard"/>
        <c:varyColors val="0"/>
        <c:ser>
          <c:idx val="0"/>
          <c:order val="0"/>
          <c:spPr>
            <a:ln w="22225" cap="rnd">
              <a:solidFill>
                <a:schemeClr val="accent1"/>
              </a:solidFill>
            </a:ln>
            <a:effectLst>
              <a:glow rad="139700">
                <a:schemeClr val="accent1">
                  <a:satMod val="175000"/>
                  <a:alpha val="14000"/>
                </a:schemeClr>
              </a:glow>
            </a:effectLst>
          </c:spPr>
          <c:marker>
            <c:symbol val="none"/>
          </c:marker>
          <c:dLbls>
            <c:dLbl>
              <c:idx val="1"/>
              <c:layout>
                <c:manualLayout>
                  <c:x val="-4.4541776027996499E-2"/>
                  <c:y val="6.015027091570635E-2"/>
                </c:manualLayout>
              </c:layout>
              <c:tx>
                <c:rich>
                  <a:bodyPr/>
                  <a:lstStyle/>
                  <a:p>
                    <a:fld id="{BD0F1F33-7BA7-45AC-BCDC-4C76F2AC23B0}"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4AFB-44C1-9A08-629FFE194606}"/>
                </c:ext>
              </c:extLst>
            </c:dLbl>
            <c:dLbl>
              <c:idx val="2"/>
              <c:layout>
                <c:manualLayout>
                  <c:x val="-8.243066491688536E-2"/>
                  <c:y val="-9.08870940488662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AFB-44C1-9A08-629FFE194606}"/>
                </c:ext>
              </c:extLst>
            </c:dLbl>
            <c:dLbl>
              <c:idx val="3"/>
              <c:layout>
                <c:manualLayout>
                  <c:x val="-4.4541776027996499E-2"/>
                  <c:y val="0.14022038925556887"/>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AFB-44C1-9A08-629FFE194606}"/>
                </c:ext>
              </c:extLst>
            </c:dLbl>
            <c:dLbl>
              <c:idx val="4"/>
              <c:layout>
                <c:manualLayout>
                  <c:x val="-2.6798775153105914E-2"/>
                  <c:y val="-6.79972514165343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AFB-44C1-9A08-629FFE194606}"/>
                </c:ext>
              </c:extLst>
            </c:dLbl>
            <c:dLbl>
              <c:idx val="5"/>
              <c:layout>
                <c:manualLayout>
                  <c:x val="-6.9541776027996549E-2"/>
                  <c:y val="6.25346310877806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AFB-44C1-9A08-629FFE194606}"/>
                </c:ext>
              </c:extLst>
            </c:dLbl>
            <c:dLbl>
              <c:idx val="6"/>
              <c:tx>
                <c:rich>
                  <a:bodyPr/>
                  <a:lstStyle/>
                  <a:p>
                    <a:fld id="{FB385968-A203-4821-AE98-00C0B66855B1}" type="VALUE">
                      <a:rPr lang="en-US"/>
                      <a:pPr/>
                      <a:t>[VALUE]</a:t>
                    </a:fld>
                    <a:endParaRPr lang="en-US"/>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4AFB-44C1-9A08-629FFE194606}"/>
                </c:ext>
              </c:extLst>
            </c:dLbl>
            <c:dLbl>
              <c:idx val="7"/>
              <c:layout>
                <c:manualLayout>
                  <c:x val="-3.6520778652668416E-2"/>
                  <c:y val="-0.12368107420048889"/>
                </c:manualLayout>
              </c:layout>
              <c:tx>
                <c:rich>
                  <a:bodyPr/>
                  <a:lstStyle/>
                  <a:p>
                    <a:fld id="{E4A4CB70-D37B-42F8-AE3C-759F425A80E4}"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4AFB-44C1-9A08-629FFE194606}"/>
                </c:ext>
              </c:extLst>
            </c:dLbl>
            <c:dLbl>
              <c:idx val="8"/>
              <c:layout>
                <c:manualLayout>
                  <c:x val="-5.7277777777777879E-2"/>
                  <c:y val="-5.501166520851568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AFB-44C1-9A08-629FFE194606}"/>
                </c:ext>
              </c:extLst>
            </c:dLbl>
            <c:dLbl>
              <c:idx val="9"/>
              <c:layout>
                <c:manualLayout>
                  <c:x val="-4.7319553805774281E-2"/>
                  <c:y val="-0.1137093485631892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AFB-44C1-9A08-629FFE194606}"/>
                </c:ext>
              </c:extLst>
            </c:dLbl>
            <c:dLbl>
              <c:idx val="10"/>
              <c:layout>
                <c:manualLayout>
                  <c:x val="-7.6798775153105958E-2"/>
                  <c:y val="7.66048235386884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4AFB-44C1-9A08-629FFE194606}"/>
                </c:ext>
              </c:extLst>
            </c:dLbl>
            <c:dLbl>
              <c:idx val="11"/>
              <c:layout>
                <c:manualLayout>
                  <c:x val="-7.5097331583552057E-2"/>
                  <c:y val="-0.10413211224133474"/>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4AFB-44C1-9A08-629FFE19460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'Table 1'!$B$1:$N$1</c:f>
              <c:numCache>
                <c:formatCode>General</c:formatCode>
                <c:ptCount val="13"/>
                <c:pt idx="0">
                  <c:v>2021</c:v>
                </c:pt>
                <c:pt idx="1">
                  <c:v>2020</c:v>
                </c:pt>
                <c:pt idx="2">
                  <c:v>2019</c:v>
                </c:pt>
                <c:pt idx="3">
                  <c:v>2018</c:v>
                </c:pt>
                <c:pt idx="4">
                  <c:v>2017</c:v>
                </c:pt>
                <c:pt idx="5">
                  <c:v>2016</c:v>
                </c:pt>
                <c:pt idx="6">
                  <c:v>2015</c:v>
                </c:pt>
                <c:pt idx="7">
                  <c:v>2014</c:v>
                </c:pt>
                <c:pt idx="8">
                  <c:v>2013</c:v>
                </c:pt>
                <c:pt idx="9">
                  <c:v>2012</c:v>
                </c:pt>
                <c:pt idx="10">
                  <c:v>2011</c:v>
                </c:pt>
                <c:pt idx="11">
                  <c:v>2010</c:v>
                </c:pt>
                <c:pt idx="12">
                  <c:v>2009</c:v>
                </c:pt>
              </c:numCache>
            </c:numRef>
          </c:cat>
          <c:val>
            <c:numRef>
              <c:f>'Table 1'!$B$10:$N$10</c:f>
              <c:numCache>
                <c:formatCode>General</c:formatCode>
                <c:ptCount val="13"/>
                <c:pt idx="0">
                  <c:v>7.931</c:v>
                </c:pt>
                <c:pt idx="1">
                  <c:v>-2.5257999999999998</c:v>
                </c:pt>
                <c:pt idx="2">
                  <c:v>6.07</c:v>
                </c:pt>
                <c:pt idx="3">
                  <c:v>9.1867999999999999</c:v>
                </c:pt>
                <c:pt idx="4">
                  <c:v>7.1337999999999999</c:v>
                </c:pt>
                <c:pt idx="5">
                  <c:v>5.2443999999999997</c:v>
                </c:pt>
                <c:pt idx="6">
                  <c:v>5.9298999999999999</c:v>
                </c:pt>
                <c:pt idx="7">
                  <c:v>5.4581</c:v>
                </c:pt>
                <c:pt idx="8">
                  <c:v>4.8967000000000001</c:v>
                </c:pt>
                <c:pt idx="9">
                  <c:v>4.8331999999999997</c:v>
                </c:pt>
                <c:pt idx="10">
                  <c:v>1.6074999999999999</c:v>
                </c:pt>
                <c:pt idx="11">
                  <c:v>3.9175</c:v>
                </c:pt>
                <c:pt idx="12">
                  <c:v>-3.1720000000000002</c:v>
                </c:pt>
              </c:numCache>
            </c:numRef>
          </c:val>
          <c:smooth val="0"/>
          <c:extLst>
            <c:ext xmlns:c16="http://schemas.microsoft.com/office/drawing/2014/chart" uri="{C3380CC4-5D6E-409C-BE32-E72D297353CC}">
              <c16:uniqueId val="{0000000B-4AFB-44C1-9A08-629FFE194606}"/>
            </c:ext>
          </c:extLst>
        </c:ser>
        <c:dLbls>
          <c:dLblPos val="t"/>
          <c:showLegendKey val="0"/>
          <c:showVal val="1"/>
          <c:showCatName val="0"/>
          <c:showSerName val="0"/>
          <c:showPercent val="0"/>
          <c:showBubbleSize val="0"/>
        </c:dLbls>
        <c:smooth val="0"/>
        <c:axId val="296606687"/>
        <c:axId val="296609599"/>
      </c:lineChart>
      <c:catAx>
        <c:axId val="296606687"/>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low"/>
        <c:spPr>
          <a:noFill/>
          <a:ln>
            <a:noFill/>
          </a:ln>
          <a:effectLst/>
        </c:spPr>
        <c:txPr>
          <a:bodyPr rot="0" spcFirstLastPara="1" vertOverflow="ellipsis"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9599"/>
        <c:crosses val="autoZero"/>
        <c:auto val="1"/>
        <c:lblAlgn val="ctr"/>
        <c:lblOffset val="50"/>
        <c:noMultiLvlLbl val="0"/>
      </c:catAx>
      <c:valAx>
        <c:axId val="296609599"/>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66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Marriot's Asset Turnover Ratio</a:t>
            </a:r>
          </a:p>
        </c:rich>
      </c:tx>
      <c:layout>
        <c:manualLayout>
          <c:xMode val="edge"/>
          <c:yMode val="edge"/>
          <c:x val="0.35073600174978126"/>
          <c:y val="3.1056289637615034E-2"/>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11186417322834645"/>
          <c:y val="0.1610669910896331"/>
          <c:w val="0.85758027121609803"/>
          <c:h val="0.71078485506314593"/>
        </c:manualLayout>
      </c:layout>
      <c:lineChart>
        <c:grouping val="standard"/>
        <c:varyColors val="0"/>
        <c:ser>
          <c:idx val="0"/>
          <c:order val="0"/>
          <c:spPr>
            <a:ln w="22225" cap="rnd">
              <a:solidFill>
                <a:schemeClr val="accent1"/>
              </a:solidFill>
            </a:ln>
            <a:effectLst>
              <a:glow rad="139700">
                <a:schemeClr val="accent1">
                  <a:satMod val="175000"/>
                  <a:alpha val="14000"/>
                </a:schemeClr>
              </a:glow>
            </a:effectLst>
          </c:spPr>
          <c:marker>
            <c:symbol val="none"/>
          </c:marker>
          <c:dLbls>
            <c:dLbl>
              <c:idx val="1"/>
              <c:layout>
                <c:manualLayout>
                  <c:x val="-4.4541776027996499E-2"/>
                  <c:y val="6.015027091570635E-2"/>
                </c:manualLayout>
              </c:layout>
              <c:tx>
                <c:rich>
                  <a:bodyPr/>
                  <a:lstStyle/>
                  <a:p>
                    <a:fld id="{BD0F1F33-7BA7-45AC-BCDC-4C76F2AC23B0}"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8AA2-46B6-8F54-0882CDCDFE3E}"/>
                </c:ext>
              </c:extLst>
            </c:dLbl>
            <c:dLbl>
              <c:idx val="2"/>
              <c:layout>
                <c:manualLayout>
                  <c:x val="-8.243066491688536E-2"/>
                  <c:y val="-9.08870940488662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AA2-46B6-8F54-0882CDCDFE3E}"/>
                </c:ext>
              </c:extLst>
            </c:dLbl>
            <c:dLbl>
              <c:idx val="3"/>
              <c:layout>
                <c:manualLayout>
                  <c:x val="-3.8986220472440998E-2"/>
                  <c:y val="8.07948362677841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AA2-46B6-8F54-0882CDCDFE3E}"/>
                </c:ext>
              </c:extLst>
            </c:dLbl>
            <c:dLbl>
              <c:idx val="5"/>
              <c:layout>
                <c:manualLayout>
                  <c:x val="-2.7875109361329937E-2"/>
                  <c:y val="6.253477971905872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AA2-46B6-8F54-0882CDCDFE3E}"/>
                </c:ext>
              </c:extLst>
            </c:dLbl>
            <c:dLbl>
              <c:idx val="6"/>
              <c:tx>
                <c:rich>
                  <a:bodyPr/>
                  <a:lstStyle/>
                  <a:p>
                    <a:fld id="{FB385968-A203-4821-AE98-00C0B66855B1}" type="VALUE">
                      <a:rPr lang="en-US"/>
                      <a:pPr/>
                      <a:t>[VALUE]</a:t>
                    </a:fld>
                    <a:endParaRPr lang="en-US"/>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8AA2-46B6-8F54-0882CDCDFE3E}"/>
                </c:ext>
              </c:extLst>
            </c:dLbl>
            <c:dLbl>
              <c:idx val="7"/>
              <c:layout>
                <c:manualLayout>
                  <c:x val="-3.6520778652668416E-2"/>
                  <c:y val="-0.12368107420048889"/>
                </c:manualLayout>
              </c:layout>
              <c:tx>
                <c:rich>
                  <a:bodyPr/>
                  <a:lstStyle/>
                  <a:p>
                    <a:fld id="{E4A4CB70-D37B-42F8-AE3C-759F425A80E4}"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8AA2-46B6-8F54-0882CDCDFE3E}"/>
                </c:ext>
              </c:extLst>
            </c:dLbl>
            <c:dLbl>
              <c:idx val="8"/>
              <c:layout>
                <c:manualLayout>
                  <c:x val="-6.5611111111111217E-2"/>
                  <c:y val="8.232728419677154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AA2-46B6-8F54-0882CDCDFE3E}"/>
                </c:ext>
              </c:extLst>
            </c:dLbl>
            <c:dLbl>
              <c:idx val="9"/>
              <c:layout>
                <c:manualLayout>
                  <c:x val="-4.7319553805774281E-2"/>
                  <c:y val="-0.1137093485631892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AA2-46B6-8F54-0882CDCDFE3E}"/>
                </c:ext>
              </c:extLst>
            </c:dLbl>
            <c:dLbl>
              <c:idx val="10"/>
              <c:layout>
                <c:manualLayout>
                  <c:x val="-2.6798775153105962E-2"/>
                  <c:y val="-7.7734896871796605E-2"/>
                </c:manualLayout>
              </c:layout>
              <c:tx>
                <c:rich>
                  <a:bodyPr/>
                  <a:lstStyle/>
                  <a:p>
                    <a:fld id="{A6385854-A422-419E-A3E8-1CC18893FDEE}" type="CELLREF">
                      <a:rPr lang="en-US"/>
                      <a:pPr/>
                      <a:t>[CELLREF]</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dlblFTEntry>
                      <c15:txfldGUID>{A6385854-A422-419E-A3E8-1CC18893FDEE}</c15:txfldGUID>
                      <c15:f>'Table 1'!$L$11</c15:f>
                      <c15:dlblFieldTableCache>
                        <c:ptCount val="1"/>
                        <c:pt idx="0">
                          <c:v>2.0841</c:v>
                        </c:pt>
                      </c15:dlblFieldTableCache>
                    </c15:dlblFTEntry>
                  </c15:dlblFieldTable>
                  <c15:showDataLabelsRange val="0"/>
                </c:ext>
                <c:ext xmlns:c16="http://schemas.microsoft.com/office/drawing/2014/chart" uri="{C3380CC4-5D6E-409C-BE32-E72D297353CC}">
                  <c16:uniqueId val="{00000008-8AA2-46B6-8F54-0882CDCDFE3E}"/>
                </c:ext>
              </c:extLst>
            </c:dLbl>
            <c:dLbl>
              <c:idx val="11"/>
              <c:layout>
                <c:manualLayout>
                  <c:x val="-6.9541776027996605E-2"/>
                  <c:y val="6.75417075011546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AA2-46B6-8F54-0882CDCDFE3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'Table 1'!$B$1:$N$1</c:f>
              <c:numCache>
                <c:formatCode>General</c:formatCode>
                <c:ptCount val="13"/>
                <c:pt idx="0">
                  <c:v>2021</c:v>
                </c:pt>
                <c:pt idx="1">
                  <c:v>2020</c:v>
                </c:pt>
                <c:pt idx="2">
                  <c:v>2019</c:v>
                </c:pt>
                <c:pt idx="3">
                  <c:v>2018</c:v>
                </c:pt>
                <c:pt idx="4">
                  <c:v>2017</c:v>
                </c:pt>
                <c:pt idx="5">
                  <c:v>2016</c:v>
                </c:pt>
                <c:pt idx="6">
                  <c:v>2015</c:v>
                </c:pt>
                <c:pt idx="7">
                  <c:v>2014</c:v>
                </c:pt>
                <c:pt idx="8">
                  <c:v>2013</c:v>
                </c:pt>
                <c:pt idx="9">
                  <c:v>2012</c:v>
                </c:pt>
                <c:pt idx="10">
                  <c:v>2011</c:v>
                </c:pt>
                <c:pt idx="11">
                  <c:v>2010</c:v>
                </c:pt>
                <c:pt idx="12">
                  <c:v>2009</c:v>
                </c:pt>
              </c:numCache>
            </c:numRef>
          </c:cat>
          <c:val>
            <c:numRef>
              <c:f>'Table 1'!$B$11:$N$11</c:f>
              <c:numCache>
                <c:formatCode>General</c:formatCode>
                <c:ptCount val="13"/>
                <c:pt idx="0">
                  <c:v>0.5423</c:v>
                </c:pt>
                <c:pt idx="1">
                  <c:v>0.42799999999999999</c:v>
                </c:pt>
                <c:pt idx="2">
                  <c:v>0.83720000000000006</c:v>
                </c:pt>
                <c:pt idx="3">
                  <c:v>0.876</c:v>
                </c:pt>
                <c:pt idx="4">
                  <c:v>0.85770000000000002</c:v>
                </c:pt>
                <c:pt idx="5">
                  <c:v>0.63819999999999999</c:v>
                </c:pt>
                <c:pt idx="6">
                  <c:v>2.3818000000000001</c:v>
                </c:pt>
                <c:pt idx="7">
                  <c:v>2.0190000000000001</c:v>
                </c:pt>
                <c:pt idx="8">
                  <c:v>1.8816999999999999</c:v>
                </c:pt>
                <c:pt idx="9">
                  <c:v>1.8628</c:v>
                </c:pt>
                <c:pt idx="10">
                  <c:v>2.0840999999999998</c:v>
                </c:pt>
                <c:pt idx="11">
                  <c:v>1.3015000000000001</c:v>
                </c:pt>
                <c:pt idx="12">
                  <c:v>1.375</c:v>
                </c:pt>
              </c:numCache>
            </c:numRef>
          </c:val>
          <c:smooth val="0"/>
          <c:extLst>
            <c:ext xmlns:c16="http://schemas.microsoft.com/office/drawing/2014/chart" uri="{C3380CC4-5D6E-409C-BE32-E72D297353CC}">
              <c16:uniqueId val="{0000000A-8AA2-46B6-8F54-0882CDCDFE3E}"/>
            </c:ext>
          </c:extLst>
        </c:ser>
        <c:dLbls>
          <c:dLblPos val="t"/>
          <c:showLegendKey val="0"/>
          <c:showVal val="1"/>
          <c:showCatName val="0"/>
          <c:showSerName val="0"/>
          <c:showPercent val="0"/>
          <c:showBubbleSize val="0"/>
        </c:dLbls>
        <c:smooth val="0"/>
        <c:axId val="296606687"/>
        <c:axId val="296609599"/>
      </c:lineChart>
      <c:catAx>
        <c:axId val="296606687"/>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low"/>
        <c:spPr>
          <a:noFill/>
          <a:ln>
            <a:noFill/>
          </a:ln>
          <a:effectLst/>
        </c:spPr>
        <c:txPr>
          <a:bodyPr rot="0" spcFirstLastPara="1" vertOverflow="ellipsis"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9599"/>
        <c:crosses val="autoZero"/>
        <c:auto val="1"/>
        <c:lblAlgn val="ctr"/>
        <c:lblOffset val="50"/>
        <c:noMultiLvlLbl val="0"/>
      </c:catAx>
      <c:valAx>
        <c:axId val="296609599"/>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66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Marriot's Receivable Turnover Ratio</a:t>
            </a:r>
          </a:p>
        </c:rich>
      </c:tx>
      <c:layout>
        <c:manualLayout>
          <c:xMode val="edge"/>
          <c:yMode val="edge"/>
          <c:x val="0.2757360017497813"/>
          <c:y val="3.1056289637615034E-2"/>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11186417322834645"/>
          <c:y val="0.1610669910896331"/>
          <c:w val="0.85758027121609803"/>
          <c:h val="0.74280513219109423"/>
        </c:manualLayout>
      </c:layout>
      <c:lineChart>
        <c:grouping val="standard"/>
        <c:varyColors val="0"/>
        <c:ser>
          <c:idx val="0"/>
          <c:order val="0"/>
          <c:spPr>
            <a:ln w="22225" cap="rnd">
              <a:solidFill>
                <a:schemeClr val="accent1"/>
              </a:solidFill>
            </a:ln>
            <a:effectLst>
              <a:glow rad="139700">
                <a:schemeClr val="accent1">
                  <a:satMod val="175000"/>
                  <a:alpha val="14000"/>
                </a:schemeClr>
              </a:glow>
            </a:effectLst>
          </c:spPr>
          <c:marker>
            <c:symbol val="none"/>
          </c:marker>
          <c:dLbls>
            <c:dLbl>
              <c:idx val="1"/>
              <c:layout>
                <c:manualLayout>
                  <c:x val="-4.4541776027996499E-2"/>
                  <c:y val="6.015027091570635E-2"/>
                </c:manualLayout>
              </c:layout>
              <c:tx>
                <c:rich>
                  <a:bodyPr/>
                  <a:lstStyle/>
                  <a:p>
                    <a:fld id="{BD0F1F33-7BA7-45AC-BCDC-4C76F2AC23B0}"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DE21-44EC-92FE-9D5A6B988119}"/>
                </c:ext>
              </c:extLst>
            </c:dLbl>
            <c:dLbl>
              <c:idx val="2"/>
              <c:layout>
                <c:manualLayout>
                  <c:x val="-8.243066491688536E-2"/>
                  <c:y val="-9.08870940488662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E21-44EC-92FE-9D5A6B988119}"/>
                </c:ext>
              </c:extLst>
            </c:dLbl>
            <c:dLbl>
              <c:idx val="3"/>
              <c:layout>
                <c:manualLayout>
                  <c:x val="-3.8986220472440998E-2"/>
                  <c:y val="8.07948362677841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E21-44EC-92FE-9D5A6B988119}"/>
                </c:ext>
              </c:extLst>
            </c:dLbl>
            <c:dLbl>
              <c:idx val="5"/>
              <c:layout>
                <c:manualLayout>
                  <c:x val="-2.7875109361329937E-2"/>
                  <c:y val="6.253477971905872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E21-44EC-92FE-9D5A6B988119}"/>
                </c:ext>
              </c:extLst>
            </c:dLbl>
            <c:dLbl>
              <c:idx val="6"/>
              <c:tx>
                <c:rich>
                  <a:bodyPr/>
                  <a:lstStyle/>
                  <a:p>
                    <a:fld id="{FB385968-A203-4821-AE98-00C0B66855B1}" type="VALUE">
                      <a:rPr lang="en-US"/>
                      <a:pPr/>
                      <a:t>[VALUE]</a:t>
                    </a:fld>
                    <a:endParaRPr lang="en-US"/>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DE21-44EC-92FE-9D5A6B988119}"/>
                </c:ext>
              </c:extLst>
            </c:dLbl>
            <c:dLbl>
              <c:idx val="7"/>
              <c:layout>
                <c:manualLayout>
                  <c:x val="-3.6520778652668416E-2"/>
                  <c:y val="-0.12368107420048889"/>
                </c:manualLayout>
              </c:layout>
              <c:tx>
                <c:rich>
                  <a:bodyPr/>
                  <a:lstStyle/>
                  <a:p>
                    <a:fld id="{E4A4CB70-D37B-42F8-AE3C-759F425A80E4}"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DE21-44EC-92FE-9D5A6B988119}"/>
                </c:ext>
              </c:extLst>
            </c:dLbl>
            <c:dLbl>
              <c:idx val="8"/>
              <c:layout>
                <c:manualLayout>
                  <c:x val="-6.5611111111111217E-2"/>
                  <c:y val="8.232728419677154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E21-44EC-92FE-9D5A6B988119}"/>
                </c:ext>
              </c:extLst>
            </c:dLbl>
            <c:dLbl>
              <c:idx val="9"/>
              <c:layout>
                <c:manualLayout>
                  <c:x val="-6.9541776027996494E-2"/>
                  <c:y val="-9.654196658894033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E21-44EC-92FE-9D5A6B988119}"/>
                </c:ext>
              </c:extLst>
            </c:dLbl>
            <c:dLbl>
              <c:idx val="10"/>
              <c:layout>
                <c:manualLayout>
                  <c:x val="-2.6798775153105962E-2"/>
                  <c:y val="-7.7734896871796605E-2"/>
                </c:manualLayout>
              </c:layout>
              <c:tx>
                <c:rich>
                  <a:bodyPr/>
                  <a:lstStyle/>
                  <a:p>
                    <a:fld id="{A6385854-A422-419E-A3E8-1CC18893FDEE}" type="CELLREF">
                      <a:rPr lang="en-US"/>
                      <a:pPr/>
                      <a:t>[CELLREF]</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dlblFTEntry>
                      <c15:txfldGUID>{A6385854-A422-419E-A3E8-1CC18893FDEE}</c15:txfldGUID>
                      <c15:f>'Table 1'!$L$11</c15:f>
                      <c15:dlblFieldTableCache>
                        <c:ptCount val="1"/>
                        <c:pt idx="0">
                          <c:v>2.0841</c:v>
                        </c:pt>
                      </c15:dlblFieldTableCache>
                    </c15:dlblFTEntry>
                  </c15:dlblFieldTable>
                  <c15:showDataLabelsRange val="0"/>
                </c:ext>
                <c:ext xmlns:c16="http://schemas.microsoft.com/office/drawing/2014/chart" uri="{C3380CC4-5D6E-409C-BE32-E72D297353CC}">
                  <c16:uniqueId val="{00000008-DE21-44EC-92FE-9D5A6B988119}"/>
                </c:ext>
              </c:extLst>
            </c:dLbl>
            <c:dLbl>
              <c:idx val="11"/>
              <c:layout>
                <c:manualLayout>
                  <c:x val="-6.9541776027996605E-2"/>
                  <c:y val="6.75417075011546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E21-44EC-92FE-9D5A6B98811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'Table 1'!$B$1:$N$1</c:f>
              <c:numCache>
                <c:formatCode>General</c:formatCode>
                <c:ptCount val="13"/>
                <c:pt idx="0">
                  <c:v>2021</c:v>
                </c:pt>
                <c:pt idx="1">
                  <c:v>2020</c:v>
                </c:pt>
                <c:pt idx="2">
                  <c:v>2019</c:v>
                </c:pt>
                <c:pt idx="3">
                  <c:v>2018</c:v>
                </c:pt>
                <c:pt idx="4">
                  <c:v>2017</c:v>
                </c:pt>
                <c:pt idx="5">
                  <c:v>2016</c:v>
                </c:pt>
                <c:pt idx="6">
                  <c:v>2015</c:v>
                </c:pt>
                <c:pt idx="7">
                  <c:v>2014</c:v>
                </c:pt>
                <c:pt idx="8">
                  <c:v>2013</c:v>
                </c:pt>
                <c:pt idx="9">
                  <c:v>2012</c:v>
                </c:pt>
                <c:pt idx="10">
                  <c:v>2011</c:v>
                </c:pt>
                <c:pt idx="11">
                  <c:v>2010</c:v>
                </c:pt>
                <c:pt idx="12">
                  <c:v>2009</c:v>
                </c:pt>
              </c:numCache>
            </c:numRef>
          </c:cat>
          <c:val>
            <c:numRef>
              <c:f>'Table 1'!$B$13:$N$13</c:f>
              <c:numCache>
                <c:formatCode>General</c:formatCode>
                <c:ptCount val="13"/>
                <c:pt idx="0">
                  <c:v>6.9913999999999996</c:v>
                </c:pt>
                <c:pt idx="1">
                  <c:v>5.9790999999999999</c:v>
                </c:pt>
                <c:pt idx="2">
                  <c:v>8.7566000000000006</c:v>
                </c:pt>
                <c:pt idx="3">
                  <c:v>9.7317999999999998</c:v>
                </c:pt>
                <c:pt idx="4">
                  <c:v>10.3659</c:v>
                </c:pt>
                <c:pt idx="5">
                  <c:v>9.0897000000000006</c:v>
                </c:pt>
                <c:pt idx="6">
                  <c:v>13.1333</c:v>
                </c:pt>
                <c:pt idx="7">
                  <c:v>12.5418</c:v>
                </c:pt>
                <c:pt idx="8">
                  <c:v>11.8261</c:v>
                </c:pt>
                <c:pt idx="9">
                  <c:v>11.4922</c:v>
                </c:pt>
                <c:pt idx="10">
                  <c:v>14.076599999999999</c:v>
                </c:pt>
                <c:pt idx="11">
                  <c:v>12.463800000000001</c:v>
                </c:pt>
                <c:pt idx="12">
                  <c:v>13.0167</c:v>
                </c:pt>
              </c:numCache>
            </c:numRef>
          </c:val>
          <c:smooth val="0"/>
          <c:extLst>
            <c:ext xmlns:c16="http://schemas.microsoft.com/office/drawing/2014/chart" uri="{C3380CC4-5D6E-409C-BE32-E72D297353CC}">
              <c16:uniqueId val="{0000000A-DE21-44EC-92FE-9D5A6B988119}"/>
            </c:ext>
          </c:extLst>
        </c:ser>
        <c:dLbls>
          <c:dLblPos val="t"/>
          <c:showLegendKey val="0"/>
          <c:showVal val="1"/>
          <c:showCatName val="0"/>
          <c:showSerName val="0"/>
          <c:showPercent val="0"/>
          <c:showBubbleSize val="0"/>
        </c:dLbls>
        <c:smooth val="0"/>
        <c:axId val="296606687"/>
        <c:axId val="296609599"/>
      </c:lineChart>
      <c:catAx>
        <c:axId val="296606687"/>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low"/>
        <c:spPr>
          <a:noFill/>
          <a:ln>
            <a:noFill/>
          </a:ln>
          <a:effectLst/>
        </c:spPr>
        <c:txPr>
          <a:bodyPr rot="0" spcFirstLastPara="1" vertOverflow="ellipsis"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9599"/>
        <c:crosses val="autoZero"/>
        <c:auto val="1"/>
        <c:lblAlgn val="ctr"/>
        <c:lblOffset val="50"/>
        <c:noMultiLvlLbl val="0"/>
      </c:catAx>
      <c:valAx>
        <c:axId val="296609599"/>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66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Marriot's ROI Ratio</a:t>
            </a:r>
          </a:p>
        </c:rich>
      </c:tx>
      <c:layout>
        <c:manualLayout>
          <c:xMode val="edge"/>
          <c:yMode val="edge"/>
          <c:x val="0.38684711286089241"/>
          <c:y val="3.1056289637615034E-2"/>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11186417322834645"/>
          <c:y val="0.1610669910896331"/>
          <c:w val="0.85758027121609803"/>
          <c:h val="0.74280513219109423"/>
        </c:manualLayout>
      </c:layout>
      <c:lineChart>
        <c:grouping val="standard"/>
        <c:varyColors val="0"/>
        <c:ser>
          <c:idx val="0"/>
          <c:order val="0"/>
          <c:spPr>
            <a:ln w="22225" cap="rnd">
              <a:solidFill>
                <a:schemeClr val="accent1"/>
              </a:solidFill>
            </a:ln>
            <a:effectLst>
              <a:glow rad="139700">
                <a:schemeClr val="accent1">
                  <a:satMod val="175000"/>
                  <a:alpha val="14000"/>
                </a:schemeClr>
              </a:glow>
            </a:effectLst>
          </c:spPr>
          <c:marker>
            <c:symbol val="none"/>
          </c:marker>
          <c:dLbls>
            <c:dLbl>
              <c:idx val="1"/>
              <c:layout>
                <c:manualLayout>
                  <c:x val="-4.4541776027996499E-2"/>
                  <c:y val="6.015027091570635E-2"/>
                </c:manualLayout>
              </c:layout>
              <c:tx>
                <c:rich>
                  <a:bodyPr/>
                  <a:lstStyle/>
                  <a:p>
                    <a:fld id="{BD0F1F33-7BA7-45AC-BCDC-4C76F2AC23B0}"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B969-411A-BB1A-181A36F854DA}"/>
                </c:ext>
              </c:extLst>
            </c:dLbl>
            <c:dLbl>
              <c:idx val="2"/>
              <c:layout>
                <c:manualLayout>
                  <c:x val="-8.243066491688536E-2"/>
                  <c:y val="-9.08870940488662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969-411A-BB1A-181A36F854DA}"/>
                </c:ext>
              </c:extLst>
            </c:dLbl>
            <c:dLbl>
              <c:idx val="3"/>
              <c:layout>
                <c:manualLayout>
                  <c:x val="-3.8986220472440998E-2"/>
                  <c:y val="8.07948362677841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969-411A-BB1A-181A36F854DA}"/>
                </c:ext>
              </c:extLst>
            </c:dLbl>
            <c:dLbl>
              <c:idx val="5"/>
              <c:layout>
                <c:manualLayout>
                  <c:x val="-2.7875109361329937E-2"/>
                  <c:y val="6.253477971905872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969-411A-BB1A-181A36F854DA}"/>
                </c:ext>
              </c:extLst>
            </c:dLbl>
            <c:dLbl>
              <c:idx val="6"/>
              <c:layout>
                <c:manualLayout>
                  <c:x val="-0.13806255468066497"/>
                  <c:y val="6.3947371385444035E-3"/>
                </c:manualLayout>
              </c:layout>
              <c:tx>
                <c:rich>
                  <a:bodyPr/>
                  <a:lstStyle/>
                  <a:p>
                    <a:fld id="{FB385968-A203-4821-AE98-00C0B66855B1}"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B969-411A-BB1A-181A36F854DA}"/>
                </c:ext>
              </c:extLst>
            </c:dLbl>
            <c:dLbl>
              <c:idx val="7"/>
              <c:layout>
                <c:manualLayout>
                  <c:x val="-3.6520778652668416E-2"/>
                  <c:y val="-0.12368107420048889"/>
                </c:manualLayout>
              </c:layout>
              <c:tx>
                <c:rich>
                  <a:bodyPr/>
                  <a:lstStyle/>
                  <a:p>
                    <a:fld id="{E4A4CB70-D37B-42F8-AE3C-759F425A80E4}"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B969-411A-BB1A-181A36F854DA}"/>
                </c:ext>
              </c:extLst>
            </c:dLbl>
            <c:dLbl>
              <c:idx val="8"/>
              <c:layout>
                <c:manualLayout>
                  <c:x val="-6.5611111111111217E-2"/>
                  <c:y val="8.2327284196771544E-2"/>
                </c:manualLayout>
              </c:layout>
              <c:tx>
                <c:rich>
                  <a:bodyPr/>
                  <a:lstStyle/>
                  <a:p>
                    <a:fld id="{ABB0B644-5777-496E-9FD7-2FC92CDDA213}" type="CELLREF">
                      <a:rPr lang="en-US"/>
                      <a:pPr/>
                      <a:t>[CELLREF]</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dlblFTEntry>
                      <c15:txfldGUID>{ABB0B644-5777-496E-9FD7-2FC92CDDA213}</c15:txfldGUID>
                      <c15:f>'Table 1'!$J$18</c15:f>
                      <c15:dlblFieldTableCache>
                        <c:ptCount val="1"/>
                        <c:pt idx="0">
                          <c:v>36.1432</c:v>
                        </c:pt>
                      </c15:dlblFieldTableCache>
                    </c15:dlblFTEntry>
                  </c15:dlblFieldTable>
                  <c15:showDataLabelsRange val="0"/>
                </c:ext>
                <c:ext xmlns:c16="http://schemas.microsoft.com/office/drawing/2014/chart" uri="{C3380CC4-5D6E-409C-BE32-E72D297353CC}">
                  <c16:uniqueId val="{00000006-B969-411A-BB1A-181A36F854DA}"/>
                </c:ext>
              </c:extLst>
            </c:dLbl>
            <c:dLbl>
              <c:idx val="9"/>
              <c:layout>
                <c:manualLayout>
                  <c:x val="-6.9541776027996494E-2"/>
                  <c:y val="-9.654196658894033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969-411A-BB1A-181A36F854DA}"/>
                </c:ext>
              </c:extLst>
            </c:dLbl>
            <c:dLbl>
              <c:idx val="10"/>
              <c:layout>
                <c:manualLayout>
                  <c:x val="-2.6798775153105962E-2"/>
                  <c:y val="-7.7734896871796605E-2"/>
                </c:manualLayout>
              </c:layout>
              <c:tx>
                <c:rich>
                  <a:bodyPr/>
                  <a:lstStyle/>
                  <a:p>
                    <a:fld id="{A6385854-A422-419E-A3E8-1CC18893FDEE}" type="CELLREF">
                      <a:rPr lang="en-US"/>
                      <a:pPr/>
                      <a:t>[CELLREF]</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dlblFTEntry>
                      <c15:txfldGUID>{A6385854-A422-419E-A3E8-1CC18893FDEE}</c15:txfldGUID>
                      <c15:f>'Table 1'!$L$11</c15:f>
                      <c15:dlblFieldTableCache>
                        <c:ptCount val="1"/>
                        <c:pt idx="0">
                          <c:v>2.0841</c:v>
                        </c:pt>
                      </c15:dlblFieldTableCache>
                    </c15:dlblFTEntry>
                  </c15:dlblFieldTable>
                  <c15:showDataLabelsRange val="0"/>
                </c:ext>
                <c:ext xmlns:c16="http://schemas.microsoft.com/office/drawing/2014/chart" uri="{C3380CC4-5D6E-409C-BE32-E72D297353CC}">
                  <c16:uniqueId val="{00000008-B969-411A-BB1A-181A36F854DA}"/>
                </c:ext>
              </c:extLst>
            </c:dLbl>
            <c:dLbl>
              <c:idx val="11"/>
              <c:layout>
                <c:manualLayout>
                  <c:x val="-6.9541776027996605E-2"/>
                  <c:y val="6.75417075011546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969-411A-BB1A-181A36F854D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'Table 1'!$B$1:$N$1</c:f>
              <c:numCache>
                <c:formatCode>General</c:formatCode>
                <c:ptCount val="13"/>
                <c:pt idx="0">
                  <c:v>2021</c:v>
                </c:pt>
                <c:pt idx="1">
                  <c:v>2020</c:v>
                </c:pt>
                <c:pt idx="2">
                  <c:v>2019</c:v>
                </c:pt>
                <c:pt idx="3">
                  <c:v>2018</c:v>
                </c:pt>
                <c:pt idx="4">
                  <c:v>2017</c:v>
                </c:pt>
                <c:pt idx="5">
                  <c:v>2016</c:v>
                </c:pt>
                <c:pt idx="6">
                  <c:v>2015</c:v>
                </c:pt>
                <c:pt idx="7">
                  <c:v>2014</c:v>
                </c:pt>
                <c:pt idx="8">
                  <c:v>2013</c:v>
                </c:pt>
                <c:pt idx="9">
                  <c:v>2012</c:v>
                </c:pt>
                <c:pt idx="10">
                  <c:v>2011</c:v>
                </c:pt>
                <c:pt idx="11">
                  <c:v>2010</c:v>
                </c:pt>
                <c:pt idx="12">
                  <c:v>2009</c:v>
                </c:pt>
              </c:numCache>
            </c:numRef>
          </c:cat>
          <c:val>
            <c:numRef>
              <c:f>'Table 1'!$B$18:$N$18</c:f>
              <c:numCache>
                <c:formatCode>General</c:formatCode>
                <c:ptCount val="13"/>
                <c:pt idx="0">
                  <c:v>10.226100000000001</c:v>
                </c:pt>
                <c:pt idx="1">
                  <c:v>-2.7717000000000001</c:v>
                </c:pt>
                <c:pt idx="2">
                  <c:v>11.9351</c:v>
                </c:pt>
                <c:pt idx="3">
                  <c:v>17.7577</c:v>
                </c:pt>
                <c:pt idx="4">
                  <c:v>12.7736</c:v>
                </c:pt>
                <c:pt idx="5">
                  <c:v>5.9612999999999996</c:v>
                </c:pt>
                <c:pt idx="6">
                  <c:v>395.85250000000002</c:v>
                </c:pt>
                <c:pt idx="7">
                  <c:v>60.384900000000002</c:v>
                </c:pt>
                <c:pt idx="8">
                  <c:v>36.1432</c:v>
                </c:pt>
                <c:pt idx="9">
                  <c:v>45.9373</c:v>
                </c:pt>
                <c:pt idx="10">
                  <c:v>19.130400000000002</c:v>
                </c:pt>
                <c:pt idx="11">
                  <c:v>10.711</c:v>
                </c:pt>
                <c:pt idx="12">
                  <c:v>-10.456200000000001</c:v>
                </c:pt>
              </c:numCache>
            </c:numRef>
          </c:val>
          <c:smooth val="0"/>
          <c:extLst>
            <c:ext xmlns:c16="http://schemas.microsoft.com/office/drawing/2014/chart" uri="{C3380CC4-5D6E-409C-BE32-E72D297353CC}">
              <c16:uniqueId val="{0000000A-B969-411A-BB1A-181A36F854DA}"/>
            </c:ext>
          </c:extLst>
        </c:ser>
        <c:dLbls>
          <c:dLblPos val="t"/>
          <c:showLegendKey val="0"/>
          <c:showVal val="1"/>
          <c:showCatName val="0"/>
          <c:showSerName val="0"/>
          <c:showPercent val="0"/>
          <c:showBubbleSize val="0"/>
        </c:dLbls>
        <c:smooth val="0"/>
        <c:axId val="296606687"/>
        <c:axId val="296609599"/>
      </c:lineChart>
      <c:catAx>
        <c:axId val="296606687"/>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low"/>
        <c:spPr>
          <a:noFill/>
          <a:ln>
            <a:noFill/>
          </a:ln>
          <a:effectLst/>
        </c:spPr>
        <c:txPr>
          <a:bodyPr rot="0" spcFirstLastPara="1" vertOverflow="ellipsis"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9599"/>
        <c:crosses val="autoZero"/>
        <c:auto val="1"/>
        <c:lblAlgn val="ctr"/>
        <c:lblOffset val="50"/>
        <c:noMultiLvlLbl val="0"/>
      </c:catAx>
      <c:valAx>
        <c:axId val="296609599"/>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66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Marriot's Free Cash Flow Per Share</a:t>
            </a:r>
          </a:p>
        </c:rich>
      </c:tx>
      <c:layout>
        <c:manualLayout>
          <c:xMode val="edge"/>
          <c:yMode val="edge"/>
          <c:x val="0.28129155730533689"/>
          <c:y val="3.1056289637615034E-2"/>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11186417322834645"/>
          <c:y val="0.1610669910896331"/>
          <c:w val="0.85758027121609803"/>
          <c:h val="0.71419282890067937"/>
        </c:manualLayout>
      </c:layout>
      <c:lineChart>
        <c:grouping val="standard"/>
        <c:varyColors val="0"/>
        <c:ser>
          <c:idx val="0"/>
          <c:order val="0"/>
          <c:spPr>
            <a:ln w="22225" cap="rnd">
              <a:solidFill>
                <a:schemeClr val="accent1"/>
              </a:solidFill>
            </a:ln>
            <a:effectLst>
              <a:glow rad="139700">
                <a:schemeClr val="accent1">
                  <a:satMod val="175000"/>
                  <a:alpha val="14000"/>
                </a:schemeClr>
              </a:glow>
            </a:effectLst>
          </c:spPr>
          <c:marker>
            <c:symbol val="none"/>
          </c:marker>
          <c:dLbls>
            <c:dLbl>
              <c:idx val="1"/>
              <c:layout>
                <c:manualLayout>
                  <c:x val="-4.4541776027996499E-2"/>
                  <c:y val="-6.5743863562119115E-2"/>
                </c:manualLayout>
              </c:layout>
              <c:tx>
                <c:rich>
                  <a:bodyPr/>
                  <a:lstStyle/>
                  <a:p>
                    <a:fld id="{BD0F1F33-7BA7-45AC-BCDC-4C76F2AC23B0}"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617D-4819-8A67-6568F73F7BD0}"/>
                </c:ext>
              </c:extLst>
            </c:dLbl>
            <c:dLbl>
              <c:idx val="2"/>
              <c:layout>
                <c:manualLayout>
                  <c:x val="-4.0763998250218723E-2"/>
                  <c:y val="-9.08870940488662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17D-4819-8A67-6568F73F7BD0}"/>
                </c:ext>
              </c:extLst>
            </c:dLbl>
            <c:dLbl>
              <c:idx val="3"/>
              <c:layout>
                <c:manualLayout>
                  <c:x val="-3.0652887139107663E-2"/>
                  <c:y val="3.501515100312021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17D-4819-8A67-6568F73F7BD0}"/>
                </c:ext>
              </c:extLst>
            </c:dLbl>
            <c:dLbl>
              <c:idx val="4"/>
              <c:layout>
                <c:manualLayout>
                  <c:x val="-0.11013210848643924"/>
                  <c:y val="-1.64951054937875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17D-4819-8A67-6568F73F7BD0}"/>
                </c:ext>
              </c:extLst>
            </c:dLbl>
            <c:dLbl>
              <c:idx val="5"/>
              <c:layout>
                <c:manualLayout>
                  <c:x val="-2.7875109361329937E-2"/>
                  <c:y val="6.253477971905872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17D-4819-8A67-6568F73F7BD0}"/>
                </c:ext>
              </c:extLst>
            </c:dLbl>
            <c:dLbl>
              <c:idx val="6"/>
              <c:layout>
                <c:manualLayout>
                  <c:x val="-5.1951443569553807E-2"/>
                  <c:y val="-6.7997251416534329E-2"/>
                </c:manualLayout>
              </c:layout>
              <c:tx>
                <c:rich>
                  <a:bodyPr/>
                  <a:lstStyle/>
                  <a:p>
                    <a:fld id="{FB385968-A203-4821-AE98-00C0B66855B1}"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617D-4819-8A67-6568F73F7BD0}"/>
                </c:ext>
              </c:extLst>
            </c:dLbl>
            <c:dLbl>
              <c:idx val="7"/>
              <c:layout>
                <c:manualLayout>
                  <c:x val="-3.6520778652668416E-2"/>
                  <c:y val="-0.12368107420048889"/>
                </c:manualLayout>
              </c:layout>
              <c:tx>
                <c:rich>
                  <a:bodyPr/>
                  <a:lstStyle/>
                  <a:p>
                    <a:fld id="{E4A4CB70-D37B-42F8-AE3C-759F425A80E4}"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617D-4819-8A67-6568F73F7BD0}"/>
                </c:ext>
              </c:extLst>
            </c:dLbl>
            <c:dLbl>
              <c:idx val="8"/>
              <c:layout>
                <c:manualLayout>
                  <c:x val="-9.0611111111111212E-2"/>
                  <c:y val="8.2327284196771544E-2"/>
                </c:manualLayout>
              </c:layout>
              <c:tx>
                <c:rich>
                  <a:bodyPr/>
                  <a:lstStyle/>
                  <a:p>
                    <a:fld id="{00646B89-48E1-4847-BAED-24A942CA0C49}"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617D-4819-8A67-6568F73F7BD0}"/>
                </c:ext>
              </c:extLst>
            </c:dLbl>
            <c:dLbl>
              <c:idx val="9"/>
              <c:layout>
                <c:manualLayout>
                  <c:x val="-5.2875109361329831E-2"/>
                  <c:y val="-9.654196658894043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17D-4819-8A67-6568F73F7BD0}"/>
                </c:ext>
              </c:extLst>
            </c:dLbl>
            <c:dLbl>
              <c:idx val="10"/>
              <c:layout>
                <c:manualLayout>
                  <c:x val="-3.5132108486439197E-2"/>
                  <c:y val="-7.773489687179666E-2"/>
                </c:manualLayout>
              </c:layout>
              <c:tx>
                <c:rich>
                  <a:bodyPr/>
                  <a:lstStyle/>
                  <a:p>
                    <a:fld id="{A6385854-A422-419E-A3E8-1CC18893FDEE}" type="CELLREF">
                      <a:rPr lang="en-US"/>
                      <a:pPr/>
                      <a:t>[CELLREF]</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dlblFTEntry>
                      <c15:txfldGUID>{A6385854-A422-419E-A3E8-1CC18893FDEE}</c15:txfldGUID>
                      <c15:f>'Table 1'!$L$11</c15:f>
                      <c15:dlblFieldTableCache>
                        <c:ptCount val="1"/>
                        <c:pt idx="0">
                          <c:v>2.0841</c:v>
                        </c:pt>
                      </c15:dlblFieldTableCache>
                    </c15:dlblFTEntry>
                  </c15:dlblFieldTable>
                  <c15:showDataLabelsRange val="0"/>
                </c:ext>
                <c:ext xmlns:c16="http://schemas.microsoft.com/office/drawing/2014/chart" uri="{C3380CC4-5D6E-409C-BE32-E72D297353CC}">
                  <c16:uniqueId val="{00000009-617D-4819-8A67-6568F73F7BD0}"/>
                </c:ext>
              </c:extLst>
            </c:dLbl>
            <c:dLbl>
              <c:idx val="11"/>
              <c:layout>
                <c:manualLayout>
                  <c:x val="-3.0652887139107611E-2"/>
                  <c:y val="6.18192468430716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17D-4819-8A67-6568F73F7BD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'Table 1'!$B$1:$N$1</c:f>
              <c:numCache>
                <c:formatCode>General</c:formatCode>
                <c:ptCount val="13"/>
                <c:pt idx="0">
                  <c:v>2021</c:v>
                </c:pt>
                <c:pt idx="1">
                  <c:v>2020</c:v>
                </c:pt>
                <c:pt idx="2">
                  <c:v>2019</c:v>
                </c:pt>
                <c:pt idx="3">
                  <c:v>2018</c:v>
                </c:pt>
                <c:pt idx="4">
                  <c:v>2017</c:v>
                </c:pt>
                <c:pt idx="5">
                  <c:v>2016</c:v>
                </c:pt>
                <c:pt idx="6">
                  <c:v>2015</c:v>
                </c:pt>
                <c:pt idx="7">
                  <c:v>2014</c:v>
                </c:pt>
                <c:pt idx="8">
                  <c:v>2013</c:v>
                </c:pt>
                <c:pt idx="9">
                  <c:v>2012</c:v>
                </c:pt>
                <c:pt idx="10">
                  <c:v>2011</c:v>
                </c:pt>
                <c:pt idx="11">
                  <c:v>2010</c:v>
                </c:pt>
                <c:pt idx="12">
                  <c:v>2009</c:v>
                </c:pt>
              </c:numCache>
            </c:numRef>
          </c:cat>
          <c:val>
            <c:numRef>
              <c:f>'Table 1'!$B$21:$N$21</c:f>
              <c:numCache>
                <c:formatCode>General</c:formatCode>
                <c:ptCount val="13"/>
                <c:pt idx="0">
                  <c:v>-2.3593999999999999</c:v>
                </c:pt>
                <c:pt idx="1">
                  <c:v>1.161</c:v>
                </c:pt>
                <c:pt idx="2">
                  <c:v>-2.1836000000000002</c:v>
                </c:pt>
                <c:pt idx="3">
                  <c:v>-2.5259</c:v>
                </c:pt>
                <c:pt idx="4">
                  <c:v>3.4472</c:v>
                </c:pt>
                <c:pt idx="5">
                  <c:v>-1.3868</c:v>
                </c:pt>
                <c:pt idx="6">
                  <c:v>2.6976</c:v>
                </c:pt>
                <c:pt idx="7">
                  <c:v>1.5084</c:v>
                </c:pt>
                <c:pt idx="8">
                  <c:v>0.84309999999999996</c:v>
                </c:pt>
                <c:pt idx="9">
                  <c:v>-0.70250000000000001</c:v>
                </c:pt>
                <c:pt idx="10">
                  <c:v>2.35E-2</c:v>
                </c:pt>
                <c:pt idx="11">
                  <c:v>0.50380000000000003</c:v>
                </c:pt>
                <c:pt idx="12">
                  <c:v>2.0286</c:v>
                </c:pt>
              </c:numCache>
            </c:numRef>
          </c:val>
          <c:smooth val="0"/>
          <c:extLst>
            <c:ext xmlns:c16="http://schemas.microsoft.com/office/drawing/2014/chart" uri="{C3380CC4-5D6E-409C-BE32-E72D297353CC}">
              <c16:uniqueId val="{0000000B-617D-4819-8A67-6568F73F7BD0}"/>
            </c:ext>
          </c:extLst>
        </c:ser>
        <c:dLbls>
          <c:dLblPos val="t"/>
          <c:showLegendKey val="0"/>
          <c:showVal val="1"/>
          <c:showCatName val="0"/>
          <c:showSerName val="0"/>
          <c:showPercent val="0"/>
          <c:showBubbleSize val="0"/>
        </c:dLbls>
        <c:smooth val="0"/>
        <c:axId val="296606687"/>
        <c:axId val="296609599"/>
      </c:lineChart>
      <c:catAx>
        <c:axId val="296606687"/>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low"/>
        <c:spPr>
          <a:noFill/>
          <a:ln>
            <a:noFill/>
          </a:ln>
          <a:effectLst/>
        </c:spPr>
        <c:txPr>
          <a:bodyPr rot="0" spcFirstLastPara="1" vertOverflow="ellipsis"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9599"/>
        <c:crosses val="autoZero"/>
        <c:auto val="1"/>
        <c:lblAlgn val="ctr"/>
        <c:lblOffset val="50"/>
        <c:noMultiLvlLbl val="0"/>
      </c:catAx>
      <c:valAx>
        <c:axId val="296609599"/>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66066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BA7F9-C194-4B29-95F6-B8DDB49A8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2180</Words>
  <Characters>12428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dc:creator>
  <cp:keywords/>
  <dc:description/>
  <cp:lastModifiedBy>Dell</cp:lastModifiedBy>
  <cp:revision>12</cp:revision>
  <dcterms:created xsi:type="dcterms:W3CDTF">2022-11-13T04:38:00Z</dcterms:created>
  <dcterms:modified xsi:type="dcterms:W3CDTF">2022-11-29T02:01:00Z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5325a2ee-7578-4d66-8b4d-412543cc5155</vt:lpwstr>
  </property>
</Properties>
</file>