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7475A1" w14:textId="77777777" w:rsidR="00C8652F" w:rsidRDefault="00C8652F" w:rsidP="00C8652F">
      <w:pPr>
        <w:pStyle w:val="NormalWeb"/>
        <w:spacing w:before="0" w:beforeAutospacing="0" w:after="0" w:afterAutospacing="0"/>
        <w:ind w:left="-180" w:right="-334"/>
      </w:pPr>
      <w:r>
        <w:rPr>
          <w:noProof/>
        </w:rPr>
        <w:drawing>
          <wp:inline distT="0" distB="0" distL="0" distR="0" wp14:anchorId="0A236D38" wp14:editId="0C21B59E">
            <wp:extent cx="1905000" cy="632460"/>
            <wp:effectExtent l="19050" t="19050" r="19050" b="15240"/>
            <wp:docPr id="503743490"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743490"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42D16A18" w14:textId="77777777" w:rsidR="00C8652F" w:rsidRDefault="00C8652F" w:rsidP="00C8652F">
      <w:pPr>
        <w:pStyle w:val="NormalWeb"/>
        <w:spacing w:before="0" w:beforeAutospacing="0" w:after="0" w:afterAutospacing="0"/>
        <w:ind w:left="-180" w:right="-334"/>
      </w:pPr>
    </w:p>
    <w:p w14:paraId="76DFF4EE" w14:textId="77777777" w:rsidR="00C8652F" w:rsidRDefault="00C8652F" w:rsidP="00C8652F">
      <w:pPr>
        <w:pStyle w:val="NormalWeb"/>
        <w:spacing w:before="0" w:beforeAutospacing="0" w:after="0" w:afterAutospacing="0"/>
        <w:ind w:left="-180" w:right="-334"/>
      </w:pPr>
    </w:p>
    <w:p w14:paraId="08C442FA" w14:textId="77777777" w:rsidR="00C8652F" w:rsidRDefault="00C8652F" w:rsidP="00C8652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C4A35AD" w14:textId="77777777" w:rsidR="00C8652F" w:rsidRPr="00230F35" w:rsidRDefault="00C8652F" w:rsidP="00C8652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5FA2B46" w14:textId="77777777" w:rsidR="00C8652F" w:rsidRPr="00230F35" w:rsidRDefault="00C8652F" w:rsidP="00C8652F">
      <w:pPr>
        <w:rPr>
          <w:rFonts w:ascii="Arial" w:hAnsi="Arial" w:cs="Arial"/>
          <w:sz w:val="28"/>
          <w:szCs w:val="28"/>
          <w:lang w:val="cy-GB"/>
        </w:rPr>
      </w:pPr>
    </w:p>
    <w:p w14:paraId="195B1F55" w14:textId="77777777" w:rsidR="00C8652F" w:rsidRDefault="00C8652F" w:rsidP="00C8652F">
      <w:pPr>
        <w:pStyle w:val="Heading3"/>
        <w:jc w:val="center"/>
        <w:rPr>
          <w:lang w:val="cy-GB"/>
        </w:rPr>
      </w:pPr>
      <w:r>
        <w:rPr>
          <w:lang w:val="cy-GB"/>
        </w:rPr>
        <w:t>THIS SHEET MUST BE THE FIRST PAGE OF THE ASSIGNMENT YOU ARE SUBMITTING  (DO NOT SEND AS A SEPARATE FILE)</w:t>
      </w:r>
    </w:p>
    <w:p w14:paraId="57CDBFF1" w14:textId="77777777" w:rsidR="00C8652F" w:rsidRDefault="00C8652F" w:rsidP="00C8652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8652F" w:rsidRPr="00230F35" w14:paraId="19DB0BF5" w14:textId="77777777" w:rsidTr="005D27B6">
        <w:trPr>
          <w:trHeight w:val="614"/>
        </w:trPr>
        <w:tc>
          <w:tcPr>
            <w:tcW w:w="8856" w:type="dxa"/>
            <w:gridSpan w:val="5"/>
          </w:tcPr>
          <w:p w14:paraId="0B496602" w14:textId="77777777" w:rsidR="00C8652F" w:rsidRPr="00230F35"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8652F" w:rsidRPr="00230F35" w14:paraId="58889614" w14:textId="77777777" w:rsidTr="005D27B6">
        <w:trPr>
          <w:trHeight w:val="718"/>
        </w:trPr>
        <w:tc>
          <w:tcPr>
            <w:tcW w:w="8856" w:type="dxa"/>
            <w:gridSpan w:val="5"/>
          </w:tcPr>
          <w:p w14:paraId="03667672" w14:textId="77777777" w:rsidR="00C8652F"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Beth Scannell</w:t>
            </w:r>
          </w:p>
          <w:p w14:paraId="0CDAAEFC" w14:textId="77777777" w:rsidR="00C8652F" w:rsidRPr="00230F35" w:rsidRDefault="00C8652F" w:rsidP="005D27B6">
            <w:pPr>
              <w:pStyle w:val="NormalWeb"/>
              <w:spacing w:before="0" w:beforeAutospacing="0" w:after="0" w:afterAutospacing="0"/>
              <w:ind w:right="34"/>
              <w:rPr>
                <w:rFonts w:ascii="Arial" w:hAnsi="Arial" w:cs="Arial"/>
                <w:sz w:val="22"/>
                <w:szCs w:val="22"/>
              </w:rPr>
            </w:pPr>
          </w:p>
          <w:p w14:paraId="3C77BC89" w14:textId="77777777" w:rsidR="00C8652F" w:rsidRPr="00230F35"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C50D1E">
              <w:rPr>
                <w:rFonts w:ascii="Arial" w:hAnsi="Arial" w:cs="Arial"/>
                <w:sz w:val="22"/>
                <w:szCs w:val="22"/>
              </w:rPr>
              <w:t>2409308</w:t>
            </w:r>
            <w:r>
              <w:rPr>
                <w:rFonts w:ascii="Arial" w:hAnsi="Arial" w:cs="Arial"/>
                <w:sz w:val="22"/>
                <w:szCs w:val="22"/>
              </w:rPr>
              <w:t>@student.uwtsd.ac.uk</w:t>
            </w:r>
          </w:p>
        </w:tc>
      </w:tr>
      <w:tr w:rsidR="00C8652F" w:rsidRPr="00230F35" w14:paraId="507CAFAC" w14:textId="77777777" w:rsidTr="005D27B6">
        <w:trPr>
          <w:trHeight w:val="849"/>
        </w:trPr>
        <w:tc>
          <w:tcPr>
            <w:tcW w:w="4788" w:type="dxa"/>
          </w:tcPr>
          <w:p w14:paraId="0AF273F5" w14:textId="77777777" w:rsidR="00C8652F" w:rsidRPr="00230F35"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Pr="00074921">
              <w:t xml:space="preserve"> </w:t>
            </w:r>
            <w:r>
              <w:t xml:space="preserve"> </w:t>
            </w:r>
            <w:r w:rsidRPr="00074921">
              <w:t>HPC</w:t>
            </w:r>
            <w:r>
              <w:t>A7015</w:t>
            </w:r>
          </w:p>
          <w:p w14:paraId="125726B1" w14:textId="77777777" w:rsidR="00C8652F" w:rsidRPr="00230F35" w:rsidRDefault="00C8652F" w:rsidP="005D27B6">
            <w:pPr>
              <w:pStyle w:val="NormalWeb"/>
              <w:spacing w:before="0" w:beforeAutospacing="0" w:after="0" w:afterAutospacing="0"/>
              <w:ind w:right="34"/>
              <w:rPr>
                <w:rFonts w:ascii="Arial" w:hAnsi="Arial" w:cs="Arial"/>
                <w:sz w:val="22"/>
                <w:szCs w:val="22"/>
              </w:rPr>
            </w:pPr>
          </w:p>
          <w:p w14:paraId="34741FFB" w14:textId="77777777" w:rsidR="00C8652F"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of Cultural Astronomy and Astrology</w:t>
            </w:r>
          </w:p>
          <w:p w14:paraId="65FBA531" w14:textId="77777777" w:rsidR="00C8652F" w:rsidRDefault="00C8652F" w:rsidP="005D27B6">
            <w:pPr>
              <w:pStyle w:val="NormalWeb"/>
              <w:spacing w:before="0" w:beforeAutospacing="0" w:after="0" w:afterAutospacing="0"/>
              <w:ind w:right="34"/>
              <w:rPr>
                <w:rFonts w:ascii="Arial" w:hAnsi="Arial" w:cs="Arial"/>
                <w:sz w:val="22"/>
                <w:szCs w:val="22"/>
              </w:rPr>
            </w:pPr>
          </w:p>
          <w:p w14:paraId="01FD2DCF" w14:textId="77777777" w:rsidR="00C8652F" w:rsidRPr="00230F35" w:rsidRDefault="00C8652F" w:rsidP="005D27B6">
            <w:pPr>
              <w:pStyle w:val="NormalWeb"/>
              <w:spacing w:before="0" w:beforeAutospacing="0" w:after="0" w:afterAutospacing="0"/>
              <w:ind w:right="34"/>
              <w:rPr>
                <w:rFonts w:ascii="Arial" w:hAnsi="Arial" w:cs="Arial"/>
                <w:sz w:val="22"/>
                <w:szCs w:val="22"/>
              </w:rPr>
            </w:pPr>
          </w:p>
        </w:tc>
        <w:tc>
          <w:tcPr>
            <w:tcW w:w="2266" w:type="dxa"/>
            <w:gridSpan w:val="3"/>
          </w:tcPr>
          <w:p w14:paraId="68D30BFA" w14:textId="77777777" w:rsidR="00C8652F"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37F755B" w14:textId="77777777" w:rsidR="00C8652F" w:rsidRDefault="00C8652F" w:rsidP="005D27B6">
            <w:pPr>
              <w:pStyle w:val="NormalWeb"/>
              <w:spacing w:before="0" w:beforeAutospacing="0" w:after="0" w:afterAutospacing="0"/>
              <w:ind w:right="34"/>
              <w:rPr>
                <w:rFonts w:ascii="Arial" w:hAnsi="Arial" w:cs="Arial"/>
                <w:sz w:val="22"/>
                <w:szCs w:val="22"/>
              </w:rPr>
            </w:pPr>
          </w:p>
          <w:p w14:paraId="4BC5CE05" w14:textId="77777777" w:rsidR="00C8652F" w:rsidRPr="00230F35" w:rsidRDefault="00C8652F" w:rsidP="005D27B6">
            <w:pPr>
              <w:pStyle w:val="NormalWeb"/>
              <w:spacing w:before="0" w:beforeAutospacing="0" w:after="0" w:afterAutospacing="0"/>
              <w:ind w:right="34"/>
              <w:rPr>
                <w:rFonts w:ascii="Arial" w:hAnsi="Arial" w:cs="Arial"/>
                <w:sz w:val="22"/>
                <w:szCs w:val="22"/>
              </w:rPr>
            </w:pPr>
            <w:r w:rsidRPr="00C50D1E">
              <w:rPr>
                <w:rFonts w:ascii="Arial" w:hAnsi="Arial" w:cs="Arial"/>
                <w:sz w:val="22"/>
                <w:szCs w:val="22"/>
              </w:rPr>
              <w:t>2409308</w:t>
            </w:r>
          </w:p>
        </w:tc>
        <w:tc>
          <w:tcPr>
            <w:tcW w:w="1802" w:type="dxa"/>
          </w:tcPr>
          <w:p w14:paraId="7E7D64DD" w14:textId="77777777" w:rsidR="00C8652F" w:rsidRPr="00230F35"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B936454" w14:textId="77777777" w:rsidR="00C8652F" w:rsidRPr="000F3255" w:rsidRDefault="00C8652F" w:rsidP="005D27B6">
            <w:pPr>
              <w:pStyle w:val="NormalWeb"/>
              <w:spacing w:before="0" w:beforeAutospacing="0" w:after="0" w:afterAutospacing="0"/>
              <w:ind w:right="34"/>
              <w:rPr>
                <w:rFonts w:ascii="Arial" w:hAnsi="Arial" w:cs="Arial"/>
                <w:b/>
                <w:bCs/>
                <w:sz w:val="22"/>
                <w:szCs w:val="22"/>
                <w:u w:val="single"/>
              </w:rPr>
            </w:pPr>
            <w:r w:rsidRPr="000F3255">
              <w:rPr>
                <w:rFonts w:ascii="Arial" w:hAnsi="Arial" w:cs="Arial"/>
                <w:sz w:val="22"/>
                <w:szCs w:val="22"/>
              </w:rPr>
              <w:t>Yes/</w:t>
            </w:r>
            <w:r w:rsidRPr="000F3255">
              <w:rPr>
                <w:rFonts w:ascii="Arial" w:hAnsi="Arial" w:cs="Arial"/>
                <w:b/>
                <w:bCs/>
                <w:sz w:val="22"/>
                <w:szCs w:val="22"/>
                <w:u w:val="single"/>
              </w:rPr>
              <w:t>No</w:t>
            </w:r>
          </w:p>
        </w:tc>
      </w:tr>
      <w:tr w:rsidR="00C8652F" w:rsidRPr="00230F35" w14:paraId="24A90826" w14:textId="77777777" w:rsidTr="005D27B6">
        <w:trPr>
          <w:trHeight w:val="1139"/>
        </w:trPr>
        <w:tc>
          <w:tcPr>
            <w:tcW w:w="8856" w:type="dxa"/>
            <w:gridSpan w:val="5"/>
          </w:tcPr>
          <w:p w14:paraId="5A6C4C6C" w14:textId="77777777" w:rsidR="00C8652F" w:rsidRDefault="00C8652F" w:rsidP="005D27B6">
            <w:r w:rsidRPr="00230F35">
              <w:rPr>
                <w:rFonts w:ascii="Arial" w:hAnsi="Arial" w:cs="Arial"/>
              </w:rPr>
              <w:t>Assignment title:</w:t>
            </w:r>
            <w:r>
              <w:rPr>
                <w:rFonts w:ascii="Arial" w:hAnsi="Arial" w:cs="Arial"/>
              </w:rPr>
              <w:t xml:space="preserve">  </w:t>
            </w:r>
            <w:r w:rsidRPr="009316DA">
              <w:t>A Critical Comparison of Two Secondary Sources</w:t>
            </w:r>
          </w:p>
          <w:p w14:paraId="07BCBD81" w14:textId="77777777" w:rsidR="00C8652F" w:rsidRDefault="00C8652F" w:rsidP="005D27B6">
            <w:pPr>
              <w:pStyle w:val="NormalWeb"/>
              <w:spacing w:before="0" w:beforeAutospacing="0" w:after="0" w:afterAutospacing="0"/>
              <w:ind w:right="34"/>
              <w:rPr>
                <w:rFonts w:ascii="Arial" w:hAnsi="Arial" w:cs="Arial"/>
                <w:sz w:val="22"/>
                <w:szCs w:val="22"/>
              </w:rPr>
            </w:pPr>
          </w:p>
          <w:p w14:paraId="6EBEB169" w14:textId="77777777" w:rsidR="00C8652F" w:rsidRPr="00230F35"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November 4, 2024</w:t>
            </w:r>
          </w:p>
        </w:tc>
      </w:tr>
      <w:tr w:rsidR="00C8652F" w:rsidRPr="00230F35" w14:paraId="3C76DA60" w14:textId="77777777" w:rsidTr="005D27B6">
        <w:trPr>
          <w:trHeight w:val="978"/>
        </w:trPr>
        <w:tc>
          <w:tcPr>
            <w:tcW w:w="8856" w:type="dxa"/>
            <w:gridSpan w:val="5"/>
            <w:tcBorders>
              <w:bottom w:val="single" w:sz="4" w:space="0" w:color="000000"/>
            </w:tcBorders>
          </w:tcPr>
          <w:p w14:paraId="03AA6F27" w14:textId="77777777" w:rsidR="00C8652F" w:rsidRPr="00230F35" w:rsidRDefault="00C8652F" w:rsidP="005D27B6">
            <w:pPr>
              <w:rPr>
                <w:rFonts w:ascii="Arial" w:hAnsi="Arial" w:cs="Arial"/>
              </w:rPr>
            </w:pPr>
            <w:r w:rsidRPr="00230F35">
              <w:rPr>
                <w:rFonts w:ascii="Arial" w:hAnsi="Arial" w:cs="Arial"/>
              </w:rPr>
              <w:t>This assignment is for the       1</w:t>
            </w:r>
            <w:r w:rsidRPr="00230F35">
              <w:rPr>
                <w:rFonts w:ascii="Arial" w:hAnsi="Arial" w:cs="Arial"/>
                <w:vertAlign w:val="superscript"/>
              </w:rPr>
              <w:t>st</w:t>
            </w:r>
            <w:r>
              <w:rPr>
                <w:rFonts w:ascii="Arial" w:hAnsi="Arial" w:cs="Arial"/>
                <w:vertAlign w:val="superscript"/>
              </w:rPr>
              <w:t xml:space="preserve">  </w:t>
            </w:r>
            <w:r w:rsidRPr="001D34E7">
              <w:rPr>
                <w:rFonts w:ascii="Arial" w:hAnsi="Arial" w:cs="Arial"/>
                <w:b/>
                <w:bCs/>
              </w:rPr>
              <w:t>X</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4"/>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C8652F" w:rsidRPr="00230F35" w14:paraId="3D4A5A18" w14:textId="77777777" w:rsidTr="005D27B6">
        <w:trPr>
          <w:trHeight w:val="978"/>
        </w:trPr>
        <w:tc>
          <w:tcPr>
            <w:tcW w:w="8856" w:type="dxa"/>
            <w:gridSpan w:val="5"/>
            <w:shd w:val="clear" w:color="auto" w:fill="D9D9D9"/>
          </w:tcPr>
          <w:p w14:paraId="36A458FC" w14:textId="77777777" w:rsidR="00C8652F" w:rsidRPr="00230F35"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9F699A8" w14:textId="77777777" w:rsidR="00C8652F" w:rsidRDefault="00C8652F" w:rsidP="005D27B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Beth Scannell</w:t>
            </w:r>
            <w:r w:rsidRPr="00230F35">
              <w:rPr>
                <w:rFonts w:ascii="Arial" w:hAnsi="Arial" w:cs="Arial"/>
                <w:sz w:val="22"/>
                <w:szCs w:val="22"/>
              </w:rPr>
              <w:t>………………………………………………………</w:t>
            </w:r>
          </w:p>
          <w:p w14:paraId="6471A143" w14:textId="77777777" w:rsidR="00C8652F" w:rsidRDefault="00C8652F" w:rsidP="005D27B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14:paraId="7644825E" w14:textId="77777777" w:rsidR="00C8652F" w:rsidRPr="00230F35" w:rsidRDefault="00C8652F" w:rsidP="005D27B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8652F" w:rsidRPr="00230F35" w14:paraId="449874D4" w14:textId="77777777" w:rsidTr="005D27B6">
        <w:trPr>
          <w:trHeight w:val="3972"/>
        </w:trPr>
        <w:tc>
          <w:tcPr>
            <w:tcW w:w="8856" w:type="dxa"/>
            <w:gridSpan w:val="5"/>
          </w:tcPr>
          <w:p w14:paraId="686F0DA1" w14:textId="77777777" w:rsidR="00C8652F" w:rsidRDefault="00C8652F" w:rsidP="005D27B6">
            <w:pPr>
              <w:rPr>
                <w:rFonts w:ascii="Arial" w:hAnsi="Arial"/>
                <w:b/>
              </w:rPr>
            </w:pPr>
          </w:p>
          <w:p w14:paraId="076ABB33" w14:textId="77777777" w:rsidR="00C8652F" w:rsidRPr="00116CE6" w:rsidRDefault="00C8652F" w:rsidP="005D27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8652F" w:rsidRPr="00116CE6" w14:paraId="490FD805" w14:textId="77777777" w:rsidTr="005D27B6">
              <w:tc>
                <w:tcPr>
                  <w:tcW w:w="6970" w:type="dxa"/>
                </w:tcPr>
                <w:p w14:paraId="249C419C" w14:textId="77777777" w:rsidR="00C8652F" w:rsidRPr="00116CE6" w:rsidRDefault="00C8652F" w:rsidP="005D27B6">
                  <w:pPr>
                    <w:rPr>
                      <w:rFonts w:ascii="Arial" w:hAnsi="Arial"/>
                      <w:sz w:val="20"/>
                      <w:szCs w:val="20"/>
                    </w:rPr>
                  </w:pPr>
                </w:p>
                <w:p w14:paraId="198DCC59" w14:textId="77777777" w:rsidR="00C8652F" w:rsidRPr="00116CE6" w:rsidRDefault="00C8652F" w:rsidP="005D27B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FE54187" w14:textId="77777777" w:rsidR="00C8652F" w:rsidRPr="00116CE6" w:rsidRDefault="00C8652F" w:rsidP="005D27B6">
                  <w:pPr>
                    <w:rPr>
                      <w:rFonts w:ascii="Arial" w:hAnsi="Arial"/>
                      <w:sz w:val="20"/>
                      <w:szCs w:val="20"/>
                    </w:rPr>
                  </w:pPr>
                </w:p>
              </w:tc>
            </w:tr>
            <w:tr w:rsidR="00C8652F" w:rsidRPr="00116CE6" w14:paraId="21C86CC5" w14:textId="77777777" w:rsidTr="005D27B6">
              <w:tc>
                <w:tcPr>
                  <w:tcW w:w="6970" w:type="dxa"/>
                </w:tcPr>
                <w:p w14:paraId="7FDF1AF1" w14:textId="77777777" w:rsidR="00C8652F" w:rsidRPr="00116CE6" w:rsidRDefault="00C8652F" w:rsidP="005D27B6">
                  <w:pPr>
                    <w:rPr>
                      <w:rFonts w:ascii="Arial" w:hAnsi="Arial"/>
                      <w:sz w:val="20"/>
                      <w:szCs w:val="20"/>
                    </w:rPr>
                  </w:pPr>
                </w:p>
                <w:p w14:paraId="2D199BAB" w14:textId="77777777" w:rsidR="00C8652F" w:rsidRPr="00116CE6" w:rsidRDefault="00C8652F" w:rsidP="005D27B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A75BC5F" w14:textId="77777777" w:rsidR="00C8652F" w:rsidRPr="00116CE6" w:rsidRDefault="00C8652F" w:rsidP="005D27B6">
                  <w:pPr>
                    <w:rPr>
                      <w:rFonts w:ascii="Arial" w:hAnsi="Arial"/>
                      <w:sz w:val="20"/>
                      <w:szCs w:val="20"/>
                    </w:rPr>
                  </w:pPr>
                </w:p>
              </w:tc>
            </w:tr>
            <w:tr w:rsidR="00C8652F" w:rsidRPr="00116CE6" w14:paraId="5613C077" w14:textId="77777777" w:rsidTr="005D27B6">
              <w:tc>
                <w:tcPr>
                  <w:tcW w:w="6970" w:type="dxa"/>
                </w:tcPr>
                <w:p w14:paraId="21017665" w14:textId="77777777" w:rsidR="00C8652F" w:rsidRPr="00116CE6" w:rsidRDefault="00C8652F" w:rsidP="005D27B6">
                  <w:pPr>
                    <w:rPr>
                      <w:rFonts w:ascii="Arial" w:hAnsi="Arial"/>
                      <w:sz w:val="20"/>
                      <w:szCs w:val="20"/>
                    </w:rPr>
                  </w:pPr>
                </w:p>
                <w:p w14:paraId="5027B657" w14:textId="77777777" w:rsidR="00C8652F" w:rsidRPr="00116CE6" w:rsidRDefault="00C8652F" w:rsidP="005D27B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E8B038B" w14:textId="77777777" w:rsidR="00C8652F" w:rsidRPr="00116CE6" w:rsidRDefault="00C8652F" w:rsidP="005D27B6">
                  <w:pPr>
                    <w:rPr>
                      <w:rFonts w:ascii="Arial" w:hAnsi="Arial"/>
                      <w:sz w:val="20"/>
                      <w:szCs w:val="20"/>
                    </w:rPr>
                  </w:pPr>
                </w:p>
              </w:tc>
            </w:tr>
            <w:tr w:rsidR="00C8652F" w:rsidRPr="00116CE6" w14:paraId="2714B093" w14:textId="77777777" w:rsidTr="005D27B6">
              <w:tc>
                <w:tcPr>
                  <w:tcW w:w="6970" w:type="dxa"/>
                </w:tcPr>
                <w:p w14:paraId="4ECB6E52" w14:textId="77777777" w:rsidR="00C8652F" w:rsidRDefault="00C8652F" w:rsidP="005D27B6">
                  <w:pPr>
                    <w:rPr>
                      <w:rFonts w:ascii="Arial" w:hAnsi="Arial"/>
                      <w:sz w:val="20"/>
                      <w:szCs w:val="20"/>
                    </w:rPr>
                  </w:pPr>
                </w:p>
                <w:p w14:paraId="6D541880" w14:textId="77777777" w:rsidR="00C8652F" w:rsidRPr="00022345" w:rsidRDefault="00C8652F" w:rsidP="005D27B6">
                  <w:pPr>
                    <w:rPr>
                      <w:rFonts w:ascii="Arial" w:hAnsi="Arial"/>
                      <w:b/>
                      <w:sz w:val="20"/>
                      <w:szCs w:val="20"/>
                    </w:rPr>
                  </w:pPr>
                  <w:r w:rsidRPr="00022345">
                    <w:rPr>
                      <w:rFonts w:ascii="Arial" w:hAnsi="Arial"/>
                      <w:b/>
                      <w:sz w:val="20"/>
                      <w:szCs w:val="20"/>
                    </w:rPr>
                    <w:t>Final Mark</w:t>
                  </w:r>
                </w:p>
                <w:p w14:paraId="4E3CE919" w14:textId="77777777" w:rsidR="00C8652F" w:rsidRPr="00116CE6" w:rsidRDefault="00C8652F" w:rsidP="005D27B6">
                  <w:pPr>
                    <w:rPr>
                      <w:rFonts w:ascii="Arial" w:hAnsi="Arial"/>
                      <w:sz w:val="20"/>
                      <w:szCs w:val="20"/>
                    </w:rPr>
                  </w:pPr>
                </w:p>
              </w:tc>
              <w:tc>
                <w:tcPr>
                  <w:tcW w:w="1660" w:type="dxa"/>
                </w:tcPr>
                <w:p w14:paraId="11C75501" w14:textId="77777777" w:rsidR="00C8652F" w:rsidRPr="00116CE6" w:rsidRDefault="00C8652F" w:rsidP="005D27B6">
                  <w:pPr>
                    <w:rPr>
                      <w:rFonts w:ascii="Arial" w:hAnsi="Arial"/>
                      <w:sz w:val="20"/>
                      <w:szCs w:val="20"/>
                    </w:rPr>
                  </w:pPr>
                </w:p>
              </w:tc>
            </w:tr>
          </w:tbl>
          <w:p w14:paraId="5FC6CD7E" w14:textId="77777777" w:rsidR="00C8652F" w:rsidRDefault="00C8652F" w:rsidP="005D27B6">
            <w:pPr>
              <w:pStyle w:val="NormalWeb"/>
              <w:spacing w:before="0" w:beforeAutospacing="0" w:after="0" w:afterAutospacing="0"/>
              <w:ind w:left="142" w:right="34"/>
              <w:rPr>
                <w:rFonts w:ascii="Arial" w:hAnsi="Arial" w:cs="Arial"/>
                <w:b/>
                <w:sz w:val="22"/>
                <w:szCs w:val="22"/>
              </w:rPr>
            </w:pPr>
          </w:p>
          <w:p w14:paraId="68C64FA9" w14:textId="77777777" w:rsidR="00C8652F" w:rsidRPr="00230F35" w:rsidRDefault="00C8652F" w:rsidP="005D27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AEAEE06" w14:textId="77777777" w:rsidR="00C8652F" w:rsidRDefault="00C8652F" w:rsidP="005D27B6">
            <w:pPr>
              <w:pStyle w:val="NormalWeb"/>
              <w:spacing w:before="0" w:beforeAutospacing="0" w:after="0" w:afterAutospacing="0"/>
              <w:rPr>
                <w:rFonts w:ascii="Arial" w:hAnsi="Arial" w:cs="Arial"/>
                <w:b/>
                <w:sz w:val="22"/>
                <w:szCs w:val="22"/>
              </w:rPr>
            </w:pPr>
          </w:p>
          <w:p w14:paraId="41BA17AC" w14:textId="77777777" w:rsidR="00C8652F" w:rsidRDefault="00C8652F" w:rsidP="005D27B6">
            <w:pPr>
              <w:pStyle w:val="NormalWeb"/>
              <w:spacing w:before="0" w:beforeAutospacing="0" w:after="0" w:afterAutospacing="0"/>
              <w:rPr>
                <w:rFonts w:ascii="Arial" w:hAnsi="Arial" w:cs="Arial"/>
                <w:b/>
                <w:sz w:val="22"/>
                <w:szCs w:val="22"/>
              </w:rPr>
            </w:pPr>
          </w:p>
          <w:p w14:paraId="1B2B03DE" w14:textId="77777777" w:rsidR="00C8652F" w:rsidRDefault="00C8652F" w:rsidP="005D27B6">
            <w:pPr>
              <w:pStyle w:val="NormalWeb"/>
              <w:spacing w:before="0" w:beforeAutospacing="0" w:after="0" w:afterAutospacing="0"/>
              <w:rPr>
                <w:rFonts w:ascii="Arial" w:hAnsi="Arial" w:cs="Arial"/>
                <w:b/>
                <w:sz w:val="22"/>
                <w:szCs w:val="22"/>
              </w:rPr>
            </w:pPr>
          </w:p>
          <w:p w14:paraId="5C402214" w14:textId="77777777" w:rsidR="00C8652F" w:rsidRDefault="00C8652F" w:rsidP="005D27B6">
            <w:pPr>
              <w:pStyle w:val="NormalWeb"/>
              <w:spacing w:before="0" w:beforeAutospacing="0" w:after="0" w:afterAutospacing="0"/>
              <w:rPr>
                <w:rFonts w:ascii="Arial" w:hAnsi="Arial" w:cs="Arial"/>
                <w:b/>
                <w:sz w:val="22"/>
                <w:szCs w:val="22"/>
              </w:rPr>
            </w:pPr>
          </w:p>
          <w:p w14:paraId="23684F94" w14:textId="77777777" w:rsidR="00C8652F" w:rsidRDefault="00C8652F" w:rsidP="005D27B6">
            <w:pPr>
              <w:pStyle w:val="NormalWeb"/>
              <w:spacing w:before="0" w:beforeAutospacing="0" w:after="0" w:afterAutospacing="0"/>
              <w:rPr>
                <w:rFonts w:ascii="Arial" w:hAnsi="Arial" w:cs="Arial"/>
                <w:b/>
                <w:sz w:val="22"/>
                <w:szCs w:val="22"/>
              </w:rPr>
            </w:pPr>
          </w:p>
          <w:p w14:paraId="73C1B355" w14:textId="77777777" w:rsidR="00C8652F" w:rsidRPr="00230F35" w:rsidRDefault="00C8652F" w:rsidP="005D27B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909CA86" w14:textId="77777777" w:rsidR="00C8652F" w:rsidRDefault="00C8652F" w:rsidP="005D27B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7AB6041" w14:textId="77777777" w:rsidR="00C8652F" w:rsidRPr="00001C3B" w:rsidRDefault="00C8652F" w:rsidP="005D27B6">
            <w:pPr>
              <w:pStyle w:val="NormalWeb"/>
              <w:rPr>
                <w:rFonts w:ascii="Arial" w:hAnsi="Arial" w:cs="Arial"/>
                <w:sz w:val="22"/>
                <w:szCs w:val="22"/>
              </w:rPr>
            </w:pPr>
          </w:p>
        </w:tc>
      </w:tr>
      <w:tr w:rsidR="00C8652F" w:rsidRPr="00230F35" w14:paraId="3BA739C5" w14:textId="77777777" w:rsidTr="005D27B6">
        <w:trPr>
          <w:trHeight w:val="492"/>
        </w:trPr>
        <w:tc>
          <w:tcPr>
            <w:tcW w:w="6768" w:type="dxa"/>
            <w:gridSpan w:val="3"/>
          </w:tcPr>
          <w:p w14:paraId="27C6D357" w14:textId="77777777" w:rsidR="00C8652F" w:rsidRPr="00230F35" w:rsidRDefault="00C8652F" w:rsidP="005D27B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1A680C8" w14:textId="77777777" w:rsidR="00C8652F" w:rsidRPr="00230F35" w:rsidRDefault="00C8652F" w:rsidP="005D27B6">
            <w:pPr>
              <w:pStyle w:val="NormalWeb"/>
              <w:spacing w:after="0"/>
              <w:ind w:left="142" w:right="34"/>
              <w:rPr>
                <w:rFonts w:ascii="Arial" w:hAnsi="Arial" w:cs="Arial"/>
                <w:sz w:val="22"/>
                <w:szCs w:val="22"/>
              </w:rPr>
            </w:pPr>
            <w:r w:rsidRPr="00230F35">
              <w:rPr>
                <w:rFonts w:ascii="Arial" w:hAnsi="Arial" w:cs="Arial"/>
                <w:sz w:val="22"/>
                <w:szCs w:val="22"/>
              </w:rPr>
              <w:t>Date:</w:t>
            </w:r>
          </w:p>
        </w:tc>
      </w:tr>
      <w:tr w:rsidR="00C8652F" w:rsidRPr="002F467C" w14:paraId="319D00F2" w14:textId="77777777" w:rsidTr="005D27B6">
        <w:tc>
          <w:tcPr>
            <w:tcW w:w="8856" w:type="dxa"/>
            <w:gridSpan w:val="5"/>
          </w:tcPr>
          <w:p w14:paraId="19600E7D" w14:textId="77777777" w:rsidR="00C8652F" w:rsidRPr="00230F35" w:rsidRDefault="00C8652F" w:rsidP="005D27B6">
            <w:pPr>
              <w:pStyle w:val="NormalWeb"/>
              <w:spacing w:before="0" w:beforeAutospacing="0" w:after="0" w:afterAutospacing="0"/>
              <w:ind w:right="-334"/>
              <w:rPr>
                <w:rFonts w:ascii="Arial" w:hAnsi="Arial" w:cs="Arial"/>
                <w:bCs/>
                <w:i/>
                <w:sz w:val="22"/>
                <w:szCs w:val="22"/>
              </w:rPr>
            </w:pPr>
          </w:p>
          <w:p w14:paraId="151895AC" w14:textId="77777777" w:rsidR="00C8652F" w:rsidRPr="00230F35" w:rsidRDefault="00C8652F" w:rsidP="005D27B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B32AD2A" w14:textId="77777777" w:rsidR="00C8652F" w:rsidRPr="00230F35" w:rsidRDefault="00C8652F" w:rsidP="005D27B6">
            <w:pPr>
              <w:pStyle w:val="NormalWeb"/>
              <w:spacing w:before="0" w:beforeAutospacing="0" w:after="0" w:afterAutospacing="0"/>
              <w:ind w:right="-334"/>
              <w:rPr>
                <w:rFonts w:ascii="Arial" w:hAnsi="Arial" w:cs="Arial"/>
                <w:b/>
                <w:bCs/>
                <w:sz w:val="22"/>
                <w:szCs w:val="22"/>
              </w:rPr>
            </w:pPr>
          </w:p>
          <w:p w14:paraId="122A219E"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5585987"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596F738C"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23B0A418"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4A93E537"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26CD472C"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2C3034CF"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5066AA29"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0D9AD33F"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07A6BE07" w14:textId="77777777" w:rsidR="00C8652F" w:rsidRDefault="00C8652F" w:rsidP="005D27B6">
            <w:pPr>
              <w:pStyle w:val="NormalWeb"/>
              <w:spacing w:before="0" w:beforeAutospacing="0" w:after="0" w:afterAutospacing="0"/>
              <w:ind w:right="-334"/>
              <w:rPr>
                <w:rFonts w:ascii="Arial" w:hAnsi="Arial" w:cs="Arial"/>
                <w:bCs/>
                <w:sz w:val="22"/>
                <w:szCs w:val="22"/>
              </w:rPr>
            </w:pPr>
          </w:p>
          <w:p w14:paraId="22D4D77B"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5A5B415B"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79E71852"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tc>
      </w:tr>
      <w:tr w:rsidR="00C8652F" w:rsidRPr="002F467C" w14:paraId="4440BC9D" w14:textId="77777777" w:rsidTr="005D27B6">
        <w:trPr>
          <w:trHeight w:val="720"/>
        </w:trPr>
        <w:tc>
          <w:tcPr>
            <w:tcW w:w="5211" w:type="dxa"/>
            <w:gridSpan w:val="2"/>
          </w:tcPr>
          <w:p w14:paraId="6F3A00D4"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1F3EB8B5"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8652F" w:rsidRPr="002F467C" w14:paraId="43FC60D6" w14:textId="77777777" w:rsidTr="005D27B6">
        <w:trPr>
          <w:trHeight w:val="720"/>
        </w:trPr>
        <w:tc>
          <w:tcPr>
            <w:tcW w:w="8856" w:type="dxa"/>
            <w:gridSpan w:val="5"/>
          </w:tcPr>
          <w:p w14:paraId="0290AA1B" w14:textId="77777777" w:rsidR="00C8652F" w:rsidRPr="00B34964" w:rsidRDefault="00C8652F" w:rsidP="005D27B6">
            <w:pPr>
              <w:rPr>
                <w:rFonts w:ascii="Arial" w:hAnsi="Arial" w:cs="Arial"/>
                <w:b/>
              </w:rPr>
            </w:pPr>
            <w:r w:rsidRPr="00B34964">
              <w:rPr>
                <w:rFonts w:ascii="Arial" w:hAnsi="Arial" w:cs="Arial"/>
                <w:b/>
              </w:rPr>
              <w:t>External Examiner’s comments (if relevant)</w:t>
            </w:r>
          </w:p>
          <w:p w14:paraId="02DA83D6"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14005ACD"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6CA81B78"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0832BB3C"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1D4598C8"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1202FC0A"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178BB4C5"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65A2B8B0"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2E9430F3" w14:textId="77777777" w:rsidR="00C8652F" w:rsidRDefault="00C8652F" w:rsidP="005D27B6">
            <w:pPr>
              <w:pStyle w:val="NormalWeb"/>
              <w:spacing w:before="0" w:beforeAutospacing="0" w:after="0" w:afterAutospacing="0"/>
              <w:ind w:right="-334"/>
              <w:rPr>
                <w:rFonts w:ascii="Arial" w:hAnsi="Arial" w:cs="Arial"/>
                <w:bCs/>
                <w:sz w:val="22"/>
                <w:szCs w:val="22"/>
              </w:rPr>
            </w:pPr>
          </w:p>
          <w:p w14:paraId="06269B2B"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p w14:paraId="121B7FA4" w14:textId="77777777" w:rsidR="00C8652F" w:rsidRPr="00230F35" w:rsidRDefault="00C8652F" w:rsidP="005D27B6">
            <w:pPr>
              <w:pStyle w:val="NormalWeb"/>
              <w:spacing w:before="0" w:beforeAutospacing="0" w:after="0" w:afterAutospacing="0"/>
              <w:ind w:right="-334"/>
              <w:rPr>
                <w:rFonts w:ascii="Arial" w:hAnsi="Arial" w:cs="Arial"/>
                <w:bCs/>
                <w:sz w:val="22"/>
                <w:szCs w:val="22"/>
              </w:rPr>
            </w:pPr>
          </w:p>
        </w:tc>
      </w:tr>
      <w:tr w:rsidR="00C8652F" w:rsidRPr="002F467C" w14:paraId="58D5B4EF" w14:textId="77777777" w:rsidTr="005D27B6">
        <w:trPr>
          <w:trHeight w:val="720"/>
        </w:trPr>
        <w:tc>
          <w:tcPr>
            <w:tcW w:w="5211" w:type="dxa"/>
            <w:gridSpan w:val="2"/>
          </w:tcPr>
          <w:p w14:paraId="441BDCAA" w14:textId="77777777" w:rsidR="00C8652F" w:rsidRPr="00230F35" w:rsidRDefault="00C8652F" w:rsidP="005D27B6">
            <w:pPr>
              <w:rPr>
                <w:rFonts w:ascii="Arial" w:hAnsi="Arial" w:cs="Arial"/>
              </w:rPr>
            </w:pPr>
            <w:r w:rsidRPr="00230F35">
              <w:rPr>
                <w:rFonts w:ascii="Arial" w:hAnsi="Arial" w:cs="Arial"/>
              </w:rPr>
              <w:t>External Examiner’s Signature:</w:t>
            </w:r>
          </w:p>
        </w:tc>
        <w:tc>
          <w:tcPr>
            <w:tcW w:w="3645" w:type="dxa"/>
            <w:gridSpan w:val="3"/>
          </w:tcPr>
          <w:p w14:paraId="7BED4750" w14:textId="77777777" w:rsidR="00C8652F" w:rsidRPr="00230F35" w:rsidRDefault="00C8652F" w:rsidP="005D27B6">
            <w:pPr>
              <w:rPr>
                <w:rFonts w:ascii="Arial" w:hAnsi="Arial" w:cs="Arial"/>
              </w:rPr>
            </w:pPr>
            <w:r w:rsidRPr="00230F35">
              <w:rPr>
                <w:rFonts w:ascii="Arial" w:hAnsi="Arial" w:cs="Arial"/>
              </w:rPr>
              <w:t>Date:</w:t>
            </w:r>
          </w:p>
        </w:tc>
      </w:tr>
    </w:tbl>
    <w:p w14:paraId="198B0BD2" w14:textId="77777777" w:rsidR="00C8652F" w:rsidRDefault="00C8652F" w:rsidP="00C8652F"/>
    <w:p w14:paraId="06512659" w14:textId="77777777" w:rsidR="00C8652F" w:rsidRDefault="00C8652F" w:rsidP="00C8652F"/>
    <w:p w14:paraId="7238DA81" w14:textId="77777777" w:rsidR="00C8652F" w:rsidRDefault="00C8652F" w:rsidP="00C8652F"/>
    <w:p w14:paraId="355BC38B" w14:textId="77777777" w:rsidR="00ED7A48" w:rsidRDefault="00ED7A48">
      <w:pPr>
        <w:spacing w:line="278" w:lineRule="auto"/>
        <w:rPr>
          <w:sz w:val="24"/>
          <w:szCs w:val="24"/>
        </w:rPr>
      </w:pPr>
      <w:r>
        <w:rPr>
          <w:sz w:val="24"/>
          <w:szCs w:val="24"/>
        </w:rPr>
        <w:br w:type="page"/>
      </w:r>
    </w:p>
    <w:p w14:paraId="2F304DDE" w14:textId="701D7699" w:rsidR="00681397" w:rsidRPr="00FD55A3" w:rsidRDefault="000A2F59" w:rsidP="00681397">
      <w:pPr>
        <w:rPr>
          <w:sz w:val="24"/>
          <w:szCs w:val="24"/>
        </w:rPr>
      </w:pPr>
      <w:r w:rsidRPr="00FD55A3">
        <w:rPr>
          <w:sz w:val="24"/>
          <w:szCs w:val="24"/>
        </w:rPr>
        <w:lastRenderedPageBreak/>
        <w:t>A Critical Comparison of Two Secondary Sources</w:t>
      </w:r>
      <w:r w:rsidR="006D4890" w:rsidRPr="00FD55A3">
        <w:rPr>
          <w:sz w:val="24"/>
          <w:szCs w:val="24"/>
        </w:rPr>
        <w:t>.</w:t>
      </w:r>
    </w:p>
    <w:p w14:paraId="600BA04A" w14:textId="19041D2F" w:rsidR="00131D0E" w:rsidRPr="00FD55A3" w:rsidRDefault="00131D0E" w:rsidP="00131D0E">
      <w:pPr>
        <w:ind w:firstLine="720"/>
        <w:rPr>
          <w:sz w:val="24"/>
          <w:szCs w:val="24"/>
        </w:rPr>
      </w:pPr>
      <w:r w:rsidRPr="00FD55A3">
        <w:rPr>
          <w:sz w:val="24"/>
          <w:szCs w:val="24"/>
        </w:rPr>
        <w:t xml:space="preserve">This essay critically </w:t>
      </w:r>
      <w:proofErr w:type="gramStart"/>
      <w:r w:rsidRPr="00FD55A3">
        <w:rPr>
          <w:sz w:val="24"/>
          <w:szCs w:val="24"/>
        </w:rPr>
        <w:t>compares and contrasts</w:t>
      </w:r>
      <w:proofErr w:type="gramEnd"/>
      <w:r w:rsidRPr="00FD55A3">
        <w:rPr>
          <w:sz w:val="24"/>
          <w:szCs w:val="24"/>
        </w:rPr>
        <w:t xml:space="preserve"> two JSTOR papers. The two papers are Michelle Pfeffer's 'Reassessing </w:t>
      </w:r>
      <w:r>
        <w:rPr>
          <w:sz w:val="24"/>
          <w:szCs w:val="24"/>
        </w:rPr>
        <w:t>t</w:t>
      </w:r>
      <w:r w:rsidRPr="00FD55A3">
        <w:rPr>
          <w:sz w:val="24"/>
          <w:szCs w:val="24"/>
        </w:rPr>
        <w:t xml:space="preserve">he Marginalization </w:t>
      </w:r>
      <w:r>
        <w:rPr>
          <w:sz w:val="24"/>
          <w:szCs w:val="24"/>
        </w:rPr>
        <w:t>o</w:t>
      </w:r>
      <w:r w:rsidRPr="00FD55A3">
        <w:rPr>
          <w:sz w:val="24"/>
          <w:szCs w:val="24"/>
        </w:rPr>
        <w:t xml:space="preserve">f Astrology </w:t>
      </w:r>
      <w:r>
        <w:rPr>
          <w:sz w:val="24"/>
          <w:szCs w:val="24"/>
        </w:rPr>
        <w:t>i</w:t>
      </w:r>
      <w:r w:rsidRPr="00FD55A3">
        <w:rPr>
          <w:sz w:val="24"/>
          <w:szCs w:val="24"/>
        </w:rPr>
        <w:t xml:space="preserve">n </w:t>
      </w:r>
      <w:r>
        <w:rPr>
          <w:sz w:val="24"/>
          <w:szCs w:val="24"/>
        </w:rPr>
        <w:t>t</w:t>
      </w:r>
      <w:r w:rsidRPr="00FD55A3">
        <w:rPr>
          <w:sz w:val="24"/>
          <w:szCs w:val="24"/>
        </w:rPr>
        <w:t xml:space="preserve">he Early Modern World.' </w:t>
      </w:r>
      <w:r w:rsidRPr="00FD55A3">
        <w:rPr>
          <w:i/>
          <w:iCs/>
          <w:sz w:val="24"/>
          <w:szCs w:val="24"/>
        </w:rPr>
        <w:t>The Historical Journal</w:t>
      </w:r>
      <w:r w:rsidRPr="00FD55A3">
        <w:rPr>
          <w:sz w:val="24"/>
          <w:szCs w:val="24"/>
        </w:rPr>
        <w:t xml:space="preserve"> 66, no. 5 (2023): pp. 1152-1176, and Roger French's 'Foretelling </w:t>
      </w:r>
      <w:r>
        <w:rPr>
          <w:sz w:val="24"/>
          <w:szCs w:val="24"/>
        </w:rPr>
        <w:t>t</w:t>
      </w:r>
      <w:r w:rsidRPr="00FD55A3">
        <w:rPr>
          <w:sz w:val="24"/>
          <w:szCs w:val="24"/>
        </w:rPr>
        <w:t xml:space="preserve">he Future: Arabic Astrology </w:t>
      </w:r>
      <w:r w:rsidR="00C608F4">
        <w:rPr>
          <w:sz w:val="24"/>
          <w:szCs w:val="24"/>
        </w:rPr>
        <w:t>and</w:t>
      </w:r>
      <w:r w:rsidRPr="00FD55A3">
        <w:rPr>
          <w:sz w:val="24"/>
          <w:szCs w:val="24"/>
        </w:rPr>
        <w:t xml:space="preserve"> English Medicine </w:t>
      </w:r>
      <w:r w:rsidR="00C608F4">
        <w:rPr>
          <w:sz w:val="24"/>
          <w:szCs w:val="24"/>
        </w:rPr>
        <w:t>in</w:t>
      </w:r>
      <w:r w:rsidRPr="00FD55A3">
        <w:rPr>
          <w:sz w:val="24"/>
          <w:szCs w:val="24"/>
        </w:rPr>
        <w:t xml:space="preserve"> </w:t>
      </w:r>
      <w:r w:rsidR="00C608F4">
        <w:rPr>
          <w:sz w:val="24"/>
          <w:szCs w:val="24"/>
        </w:rPr>
        <w:t>t</w:t>
      </w:r>
      <w:r w:rsidRPr="00FD55A3">
        <w:rPr>
          <w:sz w:val="24"/>
          <w:szCs w:val="24"/>
        </w:rPr>
        <w:t xml:space="preserve">he Late Twelfth Century.' </w:t>
      </w:r>
      <w:r w:rsidRPr="00FD55A3">
        <w:rPr>
          <w:i/>
          <w:iCs/>
          <w:sz w:val="24"/>
          <w:szCs w:val="24"/>
        </w:rPr>
        <w:t>Isis</w:t>
      </w:r>
      <w:r w:rsidRPr="00FD55A3">
        <w:rPr>
          <w:sz w:val="24"/>
          <w:szCs w:val="24"/>
        </w:rPr>
        <w:t xml:space="preserve"> 87, no. 3 (1996): pp. 453-480.</w:t>
      </w:r>
    </w:p>
    <w:p w14:paraId="391128D9" w14:textId="6BF6490D" w:rsidR="00131D0E" w:rsidRPr="00FD55A3" w:rsidRDefault="00131D0E" w:rsidP="00131D0E">
      <w:pPr>
        <w:ind w:firstLine="720"/>
        <w:rPr>
          <w:sz w:val="24"/>
          <w:szCs w:val="24"/>
        </w:rPr>
      </w:pPr>
      <w:r w:rsidRPr="00FD55A3">
        <w:rPr>
          <w:sz w:val="24"/>
          <w:szCs w:val="24"/>
        </w:rPr>
        <w:t xml:space="preserve">Both papers explored similar themes: the relationship </w:t>
      </w:r>
      <w:r>
        <w:rPr>
          <w:sz w:val="24"/>
          <w:szCs w:val="24"/>
        </w:rPr>
        <w:t>between</w:t>
      </w:r>
      <w:r w:rsidRPr="00FD55A3">
        <w:rPr>
          <w:sz w:val="24"/>
          <w:szCs w:val="24"/>
        </w:rPr>
        <w:t xml:space="preserve"> astrology and medicine, the treatment of astrology in academia and popular culture, and the changing attitudes toward astrology at critical points in history. However, the approaches to these themes by the authors were </w:t>
      </w:r>
      <w:r>
        <w:rPr>
          <w:sz w:val="24"/>
          <w:szCs w:val="24"/>
        </w:rPr>
        <w:t>distinct</w:t>
      </w:r>
      <w:r w:rsidRPr="00FD55A3">
        <w:rPr>
          <w:sz w:val="24"/>
          <w:szCs w:val="24"/>
        </w:rPr>
        <w:t xml:space="preserve">. While Pfeffer </w:t>
      </w:r>
      <w:r>
        <w:rPr>
          <w:sz w:val="24"/>
          <w:szCs w:val="24"/>
        </w:rPr>
        <w:t>analyzed</w:t>
      </w:r>
      <w:r w:rsidRPr="00FD55A3">
        <w:rPr>
          <w:sz w:val="24"/>
          <w:szCs w:val="24"/>
        </w:rPr>
        <w:t xml:space="preserve"> the historiography of the marginalization of astrology </w:t>
      </w:r>
      <w:r>
        <w:rPr>
          <w:sz w:val="24"/>
          <w:szCs w:val="24"/>
        </w:rPr>
        <w:t xml:space="preserve">and </w:t>
      </w:r>
      <w:r w:rsidRPr="00FD55A3">
        <w:rPr>
          <w:sz w:val="24"/>
          <w:szCs w:val="24"/>
        </w:rPr>
        <w:t xml:space="preserve">the evolving ways that this was perceived and presented, French’s approach was </w:t>
      </w:r>
      <w:r w:rsidR="006A6A2C">
        <w:rPr>
          <w:sz w:val="24"/>
          <w:szCs w:val="24"/>
        </w:rPr>
        <w:t>to discuss</w:t>
      </w:r>
      <w:r w:rsidRPr="00FD55A3">
        <w:rPr>
          <w:sz w:val="24"/>
          <w:szCs w:val="24"/>
        </w:rPr>
        <w:t xml:space="preserve"> the biographies and methodologies of key historical figures and examin</w:t>
      </w:r>
      <w:r w:rsidR="006A6A2C">
        <w:rPr>
          <w:sz w:val="24"/>
          <w:szCs w:val="24"/>
        </w:rPr>
        <w:t>e</w:t>
      </w:r>
      <w:r w:rsidRPr="00FD55A3">
        <w:rPr>
          <w:sz w:val="24"/>
          <w:szCs w:val="24"/>
        </w:rPr>
        <w:t xml:space="preserve"> their impact on medicine. This essay will explore these two papers</w:t>
      </w:r>
      <w:r>
        <w:rPr>
          <w:sz w:val="24"/>
          <w:szCs w:val="24"/>
        </w:rPr>
        <w:t xml:space="preserve">, </w:t>
      </w:r>
      <w:r w:rsidRPr="00FD55A3">
        <w:rPr>
          <w:sz w:val="24"/>
          <w:szCs w:val="24"/>
        </w:rPr>
        <w:t>their similarities and differences.</w:t>
      </w:r>
    </w:p>
    <w:p w14:paraId="139278F4" w14:textId="59B3CF42" w:rsidR="009B1786" w:rsidRDefault="009B1786" w:rsidP="009B1786">
      <w:pPr>
        <w:ind w:firstLine="720"/>
        <w:rPr>
          <w:sz w:val="24"/>
          <w:szCs w:val="24"/>
        </w:rPr>
      </w:pPr>
      <w:r w:rsidRPr="00FD55A3">
        <w:rPr>
          <w:sz w:val="24"/>
          <w:szCs w:val="24"/>
        </w:rPr>
        <w:t>Pfeffer</w:t>
      </w:r>
      <w:r>
        <w:rPr>
          <w:sz w:val="24"/>
          <w:szCs w:val="24"/>
        </w:rPr>
        <w:t xml:space="preserve"> </w:t>
      </w:r>
      <w:r w:rsidRPr="00FD55A3">
        <w:rPr>
          <w:sz w:val="24"/>
          <w:szCs w:val="24"/>
        </w:rPr>
        <w:t xml:space="preserve">discussed the changing historiography </w:t>
      </w:r>
      <w:r>
        <w:rPr>
          <w:sz w:val="24"/>
          <w:szCs w:val="24"/>
        </w:rPr>
        <w:t>of</w:t>
      </w:r>
      <w:r w:rsidRPr="00FD55A3">
        <w:rPr>
          <w:sz w:val="24"/>
          <w:szCs w:val="24"/>
        </w:rPr>
        <w:t xml:space="preserve"> </w:t>
      </w:r>
      <w:r w:rsidR="0080376A">
        <w:rPr>
          <w:sz w:val="24"/>
          <w:szCs w:val="24"/>
        </w:rPr>
        <w:t xml:space="preserve">the </w:t>
      </w:r>
      <w:r w:rsidRPr="00FD55A3">
        <w:rPr>
          <w:sz w:val="24"/>
          <w:szCs w:val="24"/>
        </w:rPr>
        <w:t xml:space="preserve">marginalization of astrology in the </w:t>
      </w:r>
      <w:r>
        <w:rPr>
          <w:sz w:val="24"/>
          <w:szCs w:val="24"/>
        </w:rPr>
        <w:t>Early Modern period</w:t>
      </w:r>
      <w:r>
        <w:rPr>
          <w:rStyle w:val="FootnoteReference"/>
          <w:sz w:val="24"/>
          <w:szCs w:val="24"/>
        </w:rPr>
        <w:t xml:space="preserve"> </w:t>
      </w:r>
      <w:r>
        <w:rPr>
          <w:rStyle w:val="FootnoteReference"/>
          <w:sz w:val="24"/>
          <w:szCs w:val="24"/>
        </w:rPr>
        <w:footnoteReference w:id="1"/>
      </w:r>
      <w:r w:rsidRPr="00FD55A3">
        <w:rPr>
          <w:sz w:val="24"/>
          <w:szCs w:val="24"/>
        </w:rPr>
        <w:t xml:space="preserve">. </w:t>
      </w:r>
      <w:r>
        <w:rPr>
          <w:sz w:val="24"/>
          <w:szCs w:val="24"/>
        </w:rPr>
        <w:t>She</w:t>
      </w:r>
      <w:r w:rsidRPr="00FD55A3">
        <w:rPr>
          <w:sz w:val="24"/>
          <w:szCs w:val="24"/>
        </w:rPr>
        <w:t xml:space="preserve"> </w:t>
      </w:r>
      <w:r>
        <w:rPr>
          <w:sz w:val="24"/>
          <w:szCs w:val="24"/>
        </w:rPr>
        <w:t>targeted</w:t>
      </w:r>
      <w:r w:rsidRPr="00FD55A3">
        <w:rPr>
          <w:sz w:val="24"/>
          <w:szCs w:val="24"/>
        </w:rPr>
        <w:t xml:space="preserve"> academic</w:t>
      </w:r>
      <w:r>
        <w:rPr>
          <w:sz w:val="24"/>
          <w:szCs w:val="24"/>
        </w:rPr>
        <w:t xml:space="preserve">s; </w:t>
      </w:r>
      <w:r w:rsidRPr="00FD55A3">
        <w:rPr>
          <w:sz w:val="24"/>
          <w:szCs w:val="24"/>
        </w:rPr>
        <w:t xml:space="preserve">her paper </w:t>
      </w:r>
      <w:r>
        <w:rPr>
          <w:sz w:val="24"/>
          <w:szCs w:val="24"/>
        </w:rPr>
        <w:t xml:space="preserve">was published </w:t>
      </w:r>
      <w:r w:rsidRPr="00FD55A3">
        <w:rPr>
          <w:sz w:val="24"/>
          <w:szCs w:val="24"/>
        </w:rPr>
        <w:t>in a peer-reviewed journal</w:t>
      </w:r>
      <w:r>
        <w:rPr>
          <w:rStyle w:val="FootnoteReference"/>
          <w:sz w:val="24"/>
          <w:szCs w:val="24"/>
        </w:rPr>
        <w:footnoteReference w:id="2"/>
      </w:r>
      <w:r w:rsidRPr="00FD55A3">
        <w:rPr>
          <w:sz w:val="24"/>
          <w:szCs w:val="24"/>
        </w:rPr>
        <w:t xml:space="preserve"> </w:t>
      </w:r>
      <w:r>
        <w:rPr>
          <w:sz w:val="24"/>
          <w:szCs w:val="24"/>
        </w:rPr>
        <w:t>and</w:t>
      </w:r>
      <w:r w:rsidRPr="00FD55A3">
        <w:rPr>
          <w:sz w:val="24"/>
          <w:szCs w:val="24"/>
        </w:rPr>
        <w:t xml:space="preserve"> </w:t>
      </w:r>
      <w:r>
        <w:rPr>
          <w:sz w:val="24"/>
          <w:szCs w:val="24"/>
        </w:rPr>
        <w:t xml:space="preserve">she </w:t>
      </w:r>
      <w:r w:rsidRPr="00FD55A3">
        <w:rPr>
          <w:sz w:val="24"/>
          <w:szCs w:val="24"/>
        </w:rPr>
        <w:t xml:space="preserve">acknowledged that a colleague commissioned </w:t>
      </w:r>
      <w:r>
        <w:rPr>
          <w:sz w:val="24"/>
          <w:szCs w:val="24"/>
        </w:rPr>
        <w:t>it</w:t>
      </w:r>
      <w:r w:rsidRPr="00FD55A3">
        <w:rPr>
          <w:sz w:val="24"/>
          <w:szCs w:val="24"/>
        </w:rPr>
        <w:t>.</w:t>
      </w:r>
      <w:r>
        <w:rPr>
          <w:rStyle w:val="FootnoteReference"/>
          <w:sz w:val="24"/>
          <w:szCs w:val="24"/>
        </w:rPr>
        <w:footnoteReference w:id="3"/>
      </w:r>
      <w:r w:rsidRPr="00FD55A3">
        <w:rPr>
          <w:sz w:val="24"/>
          <w:szCs w:val="24"/>
        </w:rPr>
        <w:t xml:space="preserve"> Pfeffer is a historian </w:t>
      </w:r>
      <w:r>
        <w:rPr>
          <w:sz w:val="24"/>
          <w:szCs w:val="24"/>
        </w:rPr>
        <w:t>specializing</w:t>
      </w:r>
      <w:r w:rsidRPr="00FD55A3">
        <w:rPr>
          <w:sz w:val="24"/>
          <w:szCs w:val="24"/>
        </w:rPr>
        <w:t xml:space="preserve"> in the Early Modern era and interested in the history of scholarship, religion, and science. </w:t>
      </w:r>
      <w:r>
        <w:rPr>
          <w:sz w:val="24"/>
          <w:szCs w:val="24"/>
        </w:rPr>
        <w:t>S</w:t>
      </w:r>
      <w:r w:rsidRPr="00FD55A3">
        <w:rPr>
          <w:sz w:val="24"/>
          <w:szCs w:val="24"/>
        </w:rPr>
        <w:t>he is a Fellow by Examination at Magdalene College, Oxford.</w:t>
      </w:r>
      <w:r>
        <w:rPr>
          <w:rStyle w:val="FootnoteReference"/>
          <w:sz w:val="24"/>
          <w:szCs w:val="24"/>
        </w:rPr>
        <w:footnoteReference w:id="4"/>
      </w:r>
      <w:r>
        <w:rPr>
          <w:sz w:val="24"/>
          <w:szCs w:val="24"/>
        </w:rPr>
        <w:t xml:space="preserve"> </w:t>
      </w:r>
      <w:r w:rsidR="00AA03F8">
        <w:rPr>
          <w:sz w:val="24"/>
          <w:szCs w:val="24"/>
        </w:rPr>
        <w:t>Correspondingly</w:t>
      </w:r>
      <w:r w:rsidR="00355361">
        <w:rPr>
          <w:sz w:val="24"/>
          <w:szCs w:val="24"/>
        </w:rPr>
        <w:t xml:space="preserve">, </w:t>
      </w:r>
      <w:r w:rsidRPr="00FD55A3">
        <w:rPr>
          <w:sz w:val="24"/>
          <w:szCs w:val="24"/>
        </w:rPr>
        <w:t>French</w:t>
      </w:r>
      <w:r>
        <w:rPr>
          <w:sz w:val="24"/>
          <w:szCs w:val="24"/>
        </w:rPr>
        <w:t>’s</w:t>
      </w:r>
      <w:r w:rsidRPr="00FD55A3">
        <w:rPr>
          <w:sz w:val="24"/>
          <w:szCs w:val="24"/>
        </w:rPr>
        <w:t xml:space="preserve"> paper discussed the life and contributions of Roger of Hereford </w:t>
      </w:r>
      <w:r w:rsidR="00AB476C">
        <w:rPr>
          <w:sz w:val="24"/>
          <w:szCs w:val="24"/>
        </w:rPr>
        <w:t>during the era when</w:t>
      </w:r>
      <w:r w:rsidRPr="00FD55A3">
        <w:rPr>
          <w:sz w:val="24"/>
          <w:szCs w:val="24"/>
        </w:rPr>
        <w:t xml:space="preserve"> knowledge from Arabia and Greece</w:t>
      </w:r>
      <w:r>
        <w:rPr>
          <w:sz w:val="24"/>
          <w:szCs w:val="24"/>
        </w:rPr>
        <w:t xml:space="preserve"> </w:t>
      </w:r>
      <w:r w:rsidRPr="00FD55A3">
        <w:rPr>
          <w:sz w:val="24"/>
          <w:szCs w:val="24"/>
        </w:rPr>
        <w:t>was being translated into Latin and integrated into English teachings.</w:t>
      </w:r>
      <w:r>
        <w:rPr>
          <w:rStyle w:val="FootnoteReference"/>
          <w:sz w:val="24"/>
          <w:szCs w:val="24"/>
        </w:rPr>
        <w:footnoteReference w:id="5"/>
      </w:r>
      <w:r w:rsidRPr="00FD55A3">
        <w:rPr>
          <w:sz w:val="24"/>
          <w:szCs w:val="24"/>
        </w:rPr>
        <w:t xml:space="preserve"> His audience </w:t>
      </w:r>
      <w:r>
        <w:rPr>
          <w:sz w:val="24"/>
          <w:szCs w:val="24"/>
        </w:rPr>
        <w:t>was</w:t>
      </w:r>
      <w:r w:rsidRPr="00FD55A3">
        <w:rPr>
          <w:sz w:val="24"/>
          <w:szCs w:val="24"/>
        </w:rPr>
        <w:t xml:space="preserve"> historians</w:t>
      </w:r>
      <w:r>
        <w:rPr>
          <w:sz w:val="24"/>
          <w:szCs w:val="24"/>
        </w:rPr>
        <w:t>; his</w:t>
      </w:r>
      <w:r w:rsidRPr="00FD55A3">
        <w:rPr>
          <w:sz w:val="24"/>
          <w:szCs w:val="24"/>
        </w:rPr>
        <w:t xml:space="preserve"> </w:t>
      </w:r>
      <w:r>
        <w:rPr>
          <w:sz w:val="24"/>
          <w:szCs w:val="24"/>
        </w:rPr>
        <w:t>introduction</w:t>
      </w:r>
      <w:r w:rsidRPr="00FD55A3">
        <w:rPr>
          <w:sz w:val="24"/>
          <w:szCs w:val="24"/>
        </w:rPr>
        <w:t xml:space="preserve"> </w:t>
      </w:r>
      <w:r>
        <w:rPr>
          <w:sz w:val="24"/>
          <w:szCs w:val="24"/>
        </w:rPr>
        <w:t xml:space="preserve">states </w:t>
      </w:r>
      <w:r w:rsidRPr="00FD55A3">
        <w:rPr>
          <w:sz w:val="24"/>
          <w:szCs w:val="24"/>
        </w:rPr>
        <w:t xml:space="preserve">that Roger of Beresford </w:t>
      </w:r>
      <w:r>
        <w:rPr>
          <w:sz w:val="24"/>
          <w:szCs w:val="24"/>
        </w:rPr>
        <w:t>was</w:t>
      </w:r>
      <w:r w:rsidRPr="00FD55A3">
        <w:rPr>
          <w:sz w:val="24"/>
          <w:szCs w:val="24"/>
        </w:rPr>
        <w:t xml:space="preserve"> known to historians but ha</w:t>
      </w:r>
      <w:r>
        <w:rPr>
          <w:sz w:val="24"/>
          <w:szCs w:val="24"/>
        </w:rPr>
        <w:t>d</w:t>
      </w:r>
      <w:r w:rsidRPr="00FD55A3">
        <w:rPr>
          <w:sz w:val="24"/>
          <w:szCs w:val="24"/>
        </w:rPr>
        <w:t xml:space="preserve"> yet to receive</w:t>
      </w:r>
      <w:r>
        <w:rPr>
          <w:sz w:val="24"/>
          <w:szCs w:val="24"/>
        </w:rPr>
        <w:t xml:space="preserve"> </w:t>
      </w:r>
      <w:r w:rsidRPr="00FD55A3">
        <w:rPr>
          <w:sz w:val="24"/>
          <w:szCs w:val="24"/>
        </w:rPr>
        <w:t>the attention he deserve</w:t>
      </w:r>
      <w:r>
        <w:rPr>
          <w:sz w:val="24"/>
          <w:szCs w:val="24"/>
        </w:rPr>
        <w:t>d.</w:t>
      </w:r>
      <w:r>
        <w:rPr>
          <w:rStyle w:val="FootnoteReference"/>
          <w:sz w:val="24"/>
          <w:szCs w:val="24"/>
        </w:rPr>
        <w:footnoteReference w:id="6"/>
      </w:r>
      <w:r w:rsidRPr="00FD55A3">
        <w:rPr>
          <w:sz w:val="24"/>
          <w:szCs w:val="24"/>
        </w:rPr>
        <w:t xml:space="preserve"> French was a University</w:t>
      </w:r>
      <w:r>
        <w:rPr>
          <w:sz w:val="24"/>
          <w:szCs w:val="24"/>
        </w:rPr>
        <w:t xml:space="preserve"> </w:t>
      </w:r>
      <w:r w:rsidRPr="00FD55A3">
        <w:rPr>
          <w:sz w:val="24"/>
          <w:szCs w:val="24"/>
        </w:rPr>
        <w:t>Lecturer in History of Medicine at the University of Cambridge from 1975 until his passing in 2002.</w:t>
      </w:r>
      <w:r>
        <w:rPr>
          <w:rStyle w:val="FootnoteReference"/>
          <w:sz w:val="24"/>
          <w:szCs w:val="24"/>
        </w:rPr>
        <w:footnoteReference w:id="7"/>
      </w:r>
    </w:p>
    <w:p w14:paraId="75F325C2" w14:textId="35DB9913" w:rsidR="00074823" w:rsidRDefault="00074823" w:rsidP="00074823">
      <w:pPr>
        <w:ind w:firstLine="720"/>
        <w:rPr>
          <w:sz w:val="24"/>
          <w:szCs w:val="24"/>
          <w:lang w:val="en-CA"/>
        </w:rPr>
      </w:pPr>
      <w:r w:rsidRPr="00FD55A3">
        <w:rPr>
          <w:sz w:val="24"/>
          <w:szCs w:val="24"/>
        </w:rPr>
        <w:t xml:space="preserve">Pfeffer </w:t>
      </w:r>
      <w:r>
        <w:rPr>
          <w:sz w:val="24"/>
          <w:szCs w:val="24"/>
        </w:rPr>
        <w:t>defined</w:t>
      </w:r>
      <w:r w:rsidRPr="00FD55A3">
        <w:rPr>
          <w:sz w:val="24"/>
          <w:szCs w:val="24"/>
        </w:rPr>
        <w:t xml:space="preserve"> Marginalization of Astrology as </w:t>
      </w:r>
      <w:r w:rsidRPr="00FD55A3">
        <w:rPr>
          <w:sz w:val="24"/>
          <w:szCs w:val="24"/>
          <w:lang w:val="en-CA"/>
        </w:rPr>
        <w:t>‘The protracted process by which a rich scholarly field and a highly skilled trade migrated into the margins of European culture.’</w:t>
      </w:r>
      <w:r>
        <w:rPr>
          <w:rStyle w:val="FootnoteReference"/>
          <w:sz w:val="24"/>
          <w:szCs w:val="24"/>
          <w:lang w:val="en-CA"/>
        </w:rPr>
        <w:footnoteReference w:id="8"/>
      </w:r>
      <w:r w:rsidRPr="00FD55A3">
        <w:rPr>
          <w:sz w:val="24"/>
          <w:szCs w:val="24"/>
          <w:lang w:val="en-CA"/>
        </w:rPr>
        <w:t xml:space="preserve"> This remained the focus of her paper. In Section I, Pfeffer explored the early </w:t>
      </w:r>
      <w:r w:rsidRPr="00FD55A3">
        <w:rPr>
          <w:sz w:val="24"/>
          <w:szCs w:val="24"/>
          <w:lang w:val="en-CA"/>
        </w:rPr>
        <w:lastRenderedPageBreak/>
        <w:t xml:space="preserve">historiography </w:t>
      </w:r>
      <w:r w:rsidR="00152C84">
        <w:rPr>
          <w:sz w:val="24"/>
          <w:szCs w:val="24"/>
          <w:lang w:val="en-CA"/>
        </w:rPr>
        <w:t>of</w:t>
      </w:r>
      <w:r w:rsidRPr="00FD55A3">
        <w:rPr>
          <w:sz w:val="24"/>
          <w:szCs w:val="24"/>
          <w:lang w:val="en-CA"/>
        </w:rPr>
        <w:t xml:space="preserve"> this marginalization</w:t>
      </w:r>
      <w:r>
        <w:rPr>
          <w:sz w:val="24"/>
          <w:szCs w:val="24"/>
          <w:lang w:val="en-CA"/>
        </w:rPr>
        <w:t xml:space="preserve"> </w:t>
      </w:r>
      <w:r w:rsidRPr="00FD55A3">
        <w:rPr>
          <w:sz w:val="24"/>
          <w:szCs w:val="24"/>
          <w:lang w:val="en-CA"/>
        </w:rPr>
        <w:t xml:space="preserve">through the story of Carlos de Sigüenza, a mathematician and astrologer from Mexico City. </w:t>
      </w:r>
      <w:r>
        <w:rPr>
          <w:sz w:val="24"/>
          <w:szCs w:val="24"/>
          <w:lang w:val="en-CA"/>
        </w:rPr>
        <w:t>Using</w:t>
      </w:r>
      <w:r w:rsidRPr="00FD55A3">
        <w:rPr>
          <w:sz w:val="24"/>
          <w:szCs w:val="24"/>
          <w:lang w:val="en-CA"/>
        </w:rPr>
        <w:t xml:space="preserve"> Sigüenza's story, Pfeffer </w:t>
      </w:r>
      <w:r w:rsidR="00795D75">
        <w:rPr>
          <w:sz w:val="24"/>
          <w:szCs w:val="24"/>
          <w:lang w:val="en-CA"/>
        </w:rPr>
        <w:t>examined</w:t>
      </w:r>
      <w:r w:rsidRPr="00FD55A3">
        <w:rPr>
          <w:sz w:val="24"/>
          <w:szCs w:val="24"/>
          <w:lang w:val="en-CA"/>
        </w:rPr>
        <w:t xml:space="preserve"> why intellectual advancements were assumed to be the </w:t>
      </w:r>
      <w:r>
        <w:rPr>
          <w:sz w:val="24"/>
          <w:szCs w:val="24"/>
          <w:lang w:val="en-CA"/>
        </w:rPr>
        <w:t>impetus</w:t>
      </w:r>
      <w:r w:rsidRPr="00FD55A3">
        <w:rPr>
          <w:sz w:val="24"/>
          <w:szCs w:val="24"/>
          <w:lang w:val="en-CA"/>
        </w:rPr>
        <w:t xml:space="preserve"> behind the decline of astrology. </w:t>
      </w:r>
      <w:r>
        <w:rPr>
          <w:sz w:val="24"/>
          <w:szCs w:val="24"/>
          <w:lang w:val="en-CA"/>
        </w:rPr>
        <w:t>Yet</w:t>
      </w:r>
      <w:r w:rsidRPr="00FD55A3">
        <w:rPr>
          <w:sz w:val="24"/>
          <w:szCs w:val="24"/>
          <w:lang w:val="en-CA"/>
        </w:rPr>
        <w:t>, she also point</w:t>
      </w:r>
      <w:r>
        <w:rPr>
          <w:sz w:val="24"/>
          <w:szCs w:val="24"/>
          <w:lang w:val="en-CA"/>
        </w:rPr>
        <w:t>ed</w:t>
      </w:r>
      <w:r w:rsidRPr="00FD55A3">
        <w:rPr>
          <w:sz w:val="24"/>
          <w:szCs w:val="24"/>
          <w:lang w:val="en-CA"/>
        </w:rPr>
        <w:t xml:space="preserve"> out the issues with this thinking </w:t>
      </w:r>
      <w:r>
        <w:rPr>
          <w:sz w:val="24"/>
          <w:szCs w:val="24"/>
          <w:lang w:val="en-CA"/>
        </w:rPr>
        <w:t>by stating</w:t>
      </w:r>
      <w:r w:rsidRPr="00FD55A3">
        <w:rPr>
          <w:sz w:val="24"/>
          <w:szCs w:val="24"/>
          <w:lang w:val="en-CA"/>
        </w:rPr>
        <w:t>, ‘It soon became apparent, however, that pointing to early modern science raised more questions than answers’.</w:t>
      </w:r>
      <w:r>
        <w:rPr>
          <w:rStyle w:val="FootnoteReference"/>
          <w:sz w:val="24"/>
          <w:szCs w:val="24"/>
          <w:lang w:val="en-CA"/>
        </w:rPr>
        <w:footnoteReference w:id="9"/>
      </w:r>
      <w:r w:rsidRPr="00FD55A3">
        <w:rPr>
          <w:sz w:val="24"/>
          <w:szCs w:val="24"/>
          <w:lang w:val="en-CA"/>
        </w:rPr>
        <w:t xml:space="preserve"> Pfeffer then </w:t>
      </w:r>
      <w:r>
        <w:rPr>
          <w:sz w:val="24"/>
          <w:szCs w:val="24"/>
          <w:lang w:val="en-CA"/>
        </w:rPr>
        <w:t>explained</w:t>
      </w:r>
      <w:r w:rsidRPr="00FD55A3">
        <w:rPr>
          <w:sz w:val="24"/>
          <w:szCs w:val="24"/>
          <w:lang w:val="en-CA"/>
        </w:rPr>
        <w:t xml:space="preserve"> the reasons for the shift in emphasis to social, cultural, political, and religious drivers.</w:t>
      </w:r>
      <w:r>
        <w:rPr>
          <w:sz w:val="24"/>
          <w:szCs w:val="24"/>
          <w:lang w:val="en-CA"/>
        </w:rPr>
        <w:t xml:space="preserve">  </w:t>
      </w:r>
    </w:p>
    <w:p w14:paraId="7AAF4E13" w14:textId="6CB19770" w:rsidR="00E57950" w:rsidRPr="00222E34" w:rsidRDefault="00E57950" w:rsidP="00E57950">
      <w:pPr>
        <w:ind w:firstLine="720"/>
        <w:rPr>
          <w:sz w:val="24"/>
          <w:szCs w:val="24"/>
          <w:lang w:val="en-CA"/>
        </w:rPr>
      </w:pPr>
      <w:r>
        <w:rPr>
          <w:sz w:val="24"/>
          <w:szCs w:val="24"/>
          <w:lang w:val="en-CA"/>
        </w:rPr>
        <w:t>In Section II, Pfeffer</w:t>
      </w:r>
      <w:r w:rsidRPr="00FD55A3">
        <w:rPr>
          <w:sz w:val="24"/>
          <w:szCs w:val="24"/>
          <w:lang w:val="en-CA"/>
        </w:rPr>
        <w:t xml:space="preserve"> </w:t>
      </w:r>
      <w:r>
        <w:rPr>
          <w:sz w:val="24"/>
          <w:szCs w:val="24"/>
          <w:lang w:val="en-CA"/>
        </w:rPr>
        <w:t>introduced</w:t>
      </w:r>
      <w:r w:rsidRPr="00FD55A3">
        <w:rPr>
          <w:sz w:val="24"/>
          <w:szCs w:val="24"/>
          <w:lang w:val="en-CA"/>
        </w:rPr>
        <w:t xml:space="preserve"> </w:t>
      </w:r>
      <w:r>
        <w:rPr>
          <w:sz w:val="24"/>
          <w:szCs w:val="24"/>
          <w:lang w:val="en-CA"/>
        </w:rPr>
        <w:t>other factors demonstrating</w:t>
      </w:r>
      <w:r w:rsidRPr="00FD55A3">
        <w:rPr>
          <w:sz w:val="24"/>
          <w:szCs w:val="24"/>
          <w:lang w:val="en-CA"/>
        </w:rPr>
        <w:t xml:space="preserve"> </w:t>
      </w:r>
      <w:r>
        <w:rPr>
          <w:sz w:val="24"/>
          <w:szCs w:val="24"/>
          <w:lang w:val="en-CA"/>
        </w:rPr>
        <w:t xml:space="preserve">that </w:t>
      </w:r>
      <w:r w:rsidRPr="00FD55A3">
        <w:rPr>
          <w:sz w:val="24"/>
          <w:szCs w:val="24"/>
          <w:lang w:val="en-CA"/>
        </w:rPr>
        <w:t>intell</w:t>
      </w:r>
      <w:r>
        <w:rPr>
          <w:sz w:val="24"/>
          <w:szCs w:val="24"/>
          <w:lang w:val="en-CA"/>
        </w:rPr>
        <w:t>e</w:t>
      </w:r>
      <w:r w:rsidRPr="00FD55A3">
        <w:rPr>
          <w:sz w:val="24"/>
          <w:szCs w:val="24"/>
          <w:lang w:val="en-CA"/>
        </w:rPr>
        <w:t xml:space="preserve">ctual developments </w:t>
      </w:r>
      <w:r>
        <w:rPr>
          <w:sz w:val="24"/>
          <w:szCs w:val="24"/>
          <w:lang w:val="en-CA"/>
        </w:rPr>
        <w:t>were one</w:t>
      </w:r>
      <w:r w:rsidRPr="00FD55A3">
        <w:rPr>
          <w:sz w:val="24"/>
          <w:szCs w:val="24"/>
          <w:lang w:val="en-CA"/>
        </w:rPr>
        <w:t xml:space="preserve"> reason for astrology's decline. </w:t>
      </w:r>
      <w:r>
        <w:rPr>
          <w:sz w:val="24"/>
          <w:szCs w:val="24"/>
          <w:lang w:val="en-CA"/>
        </w:rPr>
        <w:t>One was</w:t>
      </w:r>
      <w:r w:rsidRPr="00FD55A3">
        <w:rPr>
          <w:sz w:val="24"/>
          <w:szCs w:val="24"/>
          <w:lang w:val="en-CA"/>
        </w:rPr>
        <w:t xml:space="preserve"> the </w:t>
      </w:r>
      <w:r>
        <w:rPr>
          <w:sz w:val="24"/>
          <w:szCs w:val="24"/>
          <w:lang w:val="en-CA"/>
        </w:rPr>
        <w:t>rise</w:t>
      </w:r>
      <w:r w:rsidRPr="00FD55A3">
        <w:rPr>
          <w:sz w:val="24"/>
          <w:szCs w:val="24"/>
          <w:lang w:val="en-CA"/>
        </w:rPr>
        <w:t xml:space="preserve"> of Humanis</w:t>
      </w:r>
      <w:r w:rsidR="008946FF">
        <w:rPr>
          <w:sz w:val="24"/>
          <w:szCs w:val="24"/>
          <w:lang w:val="en-CA"/>
        </w:rPr>
        <w:t>tic scholarship</w:t>
      </w:r>
      <w:r w:rsidRPr="00FD55A3">
        <w:rPr>
          <w:sz w:val="24"/>
          <w:szCs w:val="24"/>
          <w:lang w:val="en-CA"/>
        </w:rPr>
        <w:t xml:space="preserve">, which affected how Aristotle's Natural Philosophy, medicine, and astronomy were interpreted. </w:t>
      </w:r>
      <w:r>
        <w:rPr>
          <w:sz w:val="24"/>
          <w:szCs w:val="24"/>
          <w:lang w:val="en-CA"/>
        </w:rPr>
        <w:t>Additionally</w:t>
      </w:r>
      <w:r w:rsidRPr="00FD55A3">
        <w:rPr>
          <w:sz w:val="24"/>
          <w:szCs w:val="24"/>
          <w:lang w:val="en-CA"/>
        </w:rPr>
        <w:t xml:space="preserve">, increased emphasis on </w:t>
      </w:r>
      <w:r w:rsidR="00F20C3C">
        <w:rPr>
          <w:sz w:val="24"/>
          <w:szCs w:val="24"/>
          <w:lang w:val="en-CA"/>
        </w:rPr>
        <w:t xml:space="preserve">other </w:t>
      </w:r>
      <w:r>
        <w:rPr>
          <w:sz w:val="24"/>
          <w:szCs w:val="24"/>
          <w:lang w:val="en-CA"/>
        </w:rPr>
        <w:t>subfields with</w:t>
      </w:r>
      <w:r w:rsidRPr="00FD55A3">
        <w:rPr>
          <w:sz w:val="24"/>
          <w:szCs w:val="24"/>
          <w:lang w:val="en-CA"/>
        </w:rPr>
        <w:t>in astronomy, mathematics, and medicine took</w:t>
      </w:r>
      <w:r>
        <w:rPr>
          <w:sz w:val="24"/>
          <w:szCs w:val="24"/>
          <w:lang w:val="en-CA"/>
        </w:rPr>
        <w:t xml:space="preserve"> </w:t>
      </w:r>
      <w:r w:rsidRPr="00FD55A3">
        <w:rPr>
          <w:sz w:val="24"/>
          <w:szCs w:val="24"/>
          <w:lang w:val="en-CA"/>
        </w:rPr>
        <w:t xml:space="preserve">attention away from astrology, </w:t>
      </w:r>
      <w:r>
        <w:rPr>
          <w:sz w:val="24"/>
          <w:szCs w:val="24"/>
          <w:lang w:val="en-CA"/>
        </w:rPr>
        <w:t>facilitating</w:t>
      </w:r>
      <w:r w:rsidRPr="00FD55A3">
        <w:rPr>
          <w:sz w:val="24"/>
          <w:szCs w:val="24"/>
          <w:lang w:val="en-CA"/>
        </w:rPr>
        <w:t xml:space="preserve"> its decline in academia. Pfeffer </w:t>
      </w:r>
      <w:r w:rsidR="00F20C3C">
        <w:rPr>
          <w:sz w:val="24"/>
          <w:szCs w:val="24"/>
          <w:lang w:val="en-CA"/>
        </w:rPr>
        <w:t xml:space="preserve">also </w:t>
      </w:r>
      <w:r>
        <w:rPr>
          <w:sz w:val="24"/>
          <w:szCs w:val="24"/>
          <w:lang w:val="en-CA"/>
        </w:rPr>
        <w:t>stated</w:t>
      </w:r>
      <w:r w:rsidRPr="00FD55A3">
        <w:rPr>
          <w:sz w:val="24"/>
          <w:szCs w:val="24"/>
          <w:lang w:val="en-CA"/>
        </w:rPr>
        <w:t xml:space="preserve"> that outside academia, </w:t>
      </w:r>
      <w:r>
        <w:rPr>
          <w:sz w:val="24"/>
          <w:szCs w:val="24"/>
          <w:lang w:val="en-CA"/>
        </w:rPr>
        <w:t>intellectual developments</w:t>
      </w:r>
      <w:r w:rsidRPr="00FD55A3">
        <w:rPr>
          <w:sz w:val="24"/>
          <w:szCs w:val="24"/>
          <w:lang w:val="en-CA"/>
        </w:rPr>
        <w:t xml:space="preserve"> were increasingly available to lay people, hastening </w:t>
      </w:r>
      <w:r>
        <w:rPr>
          <w:sz w:val="24"/>
          <w:szCs w:val="24"/>
          <w:lang w:val="en-CA"/>
        </w:rPr>
        <w:t>public</w:t>
      </w:r>
      <w:r w:rsidRPr="00FD55A3">
        <w:rPr>
          <w:sz w:val="24"/>
          <w:szCs w:val="24"/>
          <w:lang w:val="en-CA"/>
        </w:rPr>
        <w:t xml:space="preserve"> decline in interest.</w:t>
      </w:r>
      <w:r>
        <w:rPr>
          <w:rStyle w:val="FootnoteReference"/>
          <w:sz w:val="24"/>
          <w:szCs w:val="24"/>
          <w:lang w:val="en-CA"/>
        </w:rPr>
        <w:footnoteReference w:id="10"/>
      </w:r>
      <w:r w:rsidRPr="00FD55A3">
        <w:rPr>
          <w:sz w:val="24"/>
          <w:szCs w:val="24"/>
          <w:lang w:val="en-CA"/>
        </w:rPr>
        <w:t xml:space="preserve"> </w:t>
      </w:r>
      <w:r>
        <w:rPr>
          <w:sz w:val="24"/>
          <w:szCs w:val="24"/>
          <w:lang w:val="en-CA"/>
        </w:rPr>
        <w:t>Finally, Pfeffer reiterated her opening statement, saying:</w:t>
      </w:r>
    </w:p>
    <w:p w14:paraId="32533A0C" w14:textId="77777777" w:rsidR="00E57950" w:rsidRDefault="00E57950" w:rsidP="00E57950">
      <w:pPr>
        <w:ind w:left="720"/>
        <w:rPr>
          <w:lang w:val="en-CA"/>
        </w:rPr>
      </w:pPr>
      <w:r w:rsidRPr="00200033">
        <w:rPr>
          <w:lang w:val="en-CA"/>
        </w:rPr>
        <w:t>I close the review by contending that after decades of neglect, it is an opportune time to bring intellectual history back into our studies of the ‘disenchantment of the world’.</w:t>
      </w:r>
      <w:r>
        <w:rPr>
          <w:rStyle w:val="FootnoteReference"/>
          <w:lang w:val="en-CA"/>
        </w:rPr>
        <w:footnoteReference w:id="11"/>
      </w:r>
    </w:p>
    <w:p w14:paraId="3DE69DAD" w14:textId="77777777" w:rsidR="00E57950" w:rsidRPr="00A93C4B" w:rsidRDefault="00E57950" w:rsidP="00E57950">
      <w:pPr>
        <w:rPr>
          <w:sz w:val="24"/>
          <w:szCs w:val="24"/>
          <w:lang w:val="en-CA"/>
        </w:rPr>
      </w:pPr>
      <w:r w:rsidRPr="00A93C4B">
        <w:rPr>
          <w:sz w:val="24"/>
          <w:szCs w:val="24"/>
          <w:lang w:val="en-CA"/>
        </w:rPr>
        <w:t xml:space="preserve">This brings attention back to </w:t>
      </w:r>
      <w:r>
        <w:rPr>
          <w:sz w:val="24"/>
          <w:szCs w:val="24"/>
          <w:lang w:val="en-CA"/>
        </w:rPr>
        <w:t>her</w:t>
      </w:r>
      <w:r w:rsidRPr="00A93C4B">
        <w:rPr>
          <w:sz w:val="24"/>
          <w:szCs w:val="24"/>
          <w:lang w:val="en-CA"/>
        </w:rPr>
        <w:t xml:space="preserve"> primary goa</w:t>
      </w:r>
      <w:r>
        <w:rPr>
          <w:sz w:val="24"/>
          <w:szCs w:val="24"/>
          <w:lang w:val="en-CA"/>
        </w:rPr>
        <w:t>l</w:t>
      </w:r>
      <w:r w:rsidRPr="00A93C4B">
        <w:rPr>
          <w:sz w:val="24"/>
          <w:szCs w:val="24"/>
          <w:lang w:val="en-CA"/>
        </w:rPr>
        <w:t xml:space="preserve">: </w:t>
      </w:r>
      <w:r>
        <w:rPr>
          <w:sz w:val="24"/>
          <w:szCs w:val="24"/>
          <w:lang w:val="en-CA"/>
        </w:rPr>
        <w:t>explaining why historians and other scholars should include intellectual developments in studies of astrology’s marginalization.</w:t>
      </w:r>
    </w:p>
    <w:p w14:paraId="5B7652DC" w14:textId="2B588274" w:rsidR="000F37F2" w:rsidRDefault="000A2F59" w:rsidP="000F37F2">
      <w:pPr>
        <w:rPr>
          <w:sz w:val="24"/>
          <w:szCs w:val="24"/>
        </w:rPr>
      </w:pPr>
      <w:r>
        <w:rPr>
          <w:sz w:val="24"/>
          <w:szCs w:val="24"/>
        </w:rPr>
        <w:tab/>
      </w:r>
      <w:r w:rsidR="000F37F2">
        <w:rPr>
          <w:sz w:val="24"/>
          <w:szCs w:val="24"/>
        </w:rPr>
        <w:t xml:space="preserve">Turning to French, his paper began by discussing Roger of Hereford and his place in astrological and medical history. French’s statement, ‘medieval </w:t>
      </w:r>
      <w:r w:rsidR="000F37F2" w:rsidRPr="001D2B3A">
        <w:rPr>
          <w:sz w:val="24"/>
          <w:szCs w:val="24"/>
          <w:lang w:val="en-CA"/>
        </w:rPr>
        <w:t>astrology attracts less attention</w:t>
      </w:r>
      <w:r w:rsidR="000F37F2">
        <w:rPr>
          <w:sz w:val="24"/>
          <w:szCs w:val="24"/>
          <w:lang w:val="en-CA"/>
        </w:rPr>
        <w:t xml:space="preserve"> </w:t>
      </w:r>
      <w:r w:rsidR="000F37F2" w:rsidRPr="001D2B3A">
        <w:rPr>
          <w:sz w:val="24"/>
          <w:szCs w:val="24"/>
          <w:lang w:val="en-CA"/>
        </w:rPr>
        <w:t>than that of the Renaissance; in the earlier period, Roger deserves more attention</w:t>
      </w:r>
      <w:r w:rsidR="000F37F2">
        <w:rPr>
          <w:sz w:val="24"/>
          <w:szCs w:val="24"/>
          <w:lang w:val="en-CA"/>
        </w:rPr>
        <w:t>,’</w:t>
      </w:r>
      <w:r w:rsidR="000F37F2">
        <w:rPr>
          <w:rStyle w:val="FootnoteReference"/>
          <w:sz w:val="24"/>
          <w:szCs w:val="24"/>
          <w:lang w:val="en-CA"/>
        </w:rPr>
        <w:footnoteReference w:id="12"/>
      </w:r>
      <w:r w:rsidR="000F37F2">
        <w:rPr>
          <w:sz w:val="24"/>
          <w:szCs w:val="24"/>
          <w:lang w:val="en-CA"/>
        </w:rPr>
        <w:t xml:space="preserve"> asked historians to look closer at Roger of Hereford’s life and work. He described the academic and cultural context of England in the twelfth century, when Arabic astrology was being disseminated and studied, and Aristotle’s Natural Philosophy was starting to influence medicine. French also discussed the Arabic astrologer </w:t>
      </w:r>
      <w:r w:rsidR="000F37F2" w:rsidRPr="0003021B">
        <w:rPr>
          <w:sz w:val="24"/>
          <w:szCs w:val="24"/>
        </w:rPr>
        <w:t>Abū Ma</w:t>
      </w:r>
      <w:r w:rsidR="000F37F2" w:rsidRPr="0003021B">
        <w:rPr>
          <w:rFonts w:ascii="Arial" w:hAnsi="Arial" w:cs="Arial"/>
          <w:sz w:val="24"/>
          <w:szCs w:val="24"/>
        </w:rPr>
        <w:t>ʿ</w:t>
      </w:r>
      <w:r w:rsidR="000F37F2" w:rsidRPr="0003021B">
        <w:rPr>
          <w:rFonts w:cs="Aptos"/>
          <w:sz w:val="24"/>
          <w:szCs w:val="24"/>
        </w:rPr>
        <w:t>š</w:t>
      </w:r>
      <w:r w:rsidR="000F37F2" w:rsidRPr="0003021B">
        <w:rPr>
          <w:sz w:val="24"/>
          <w:szCs w:val="24"/>
        </w:rPr>
        <w:t>ar</w:t>
      </w:r>
      <w:r w:rsidR="000F37F2" w:rsidRPr="000C3F45">
        <w:rPr>
          <w:sz w:val="24"/>
          <w:szCs w:val="24"/>
          <w:lang w:val="en-CA"/>
        </w:rPr>
        <w:t xml:space="preserve"> </w:t>
      </w:r>
      <w:r w:rsidR="000F37F2">
        <w:rPr>
          <w:sz w:val="24"/>
          <w:szCs w:val="24"/>
          <w:lang w:val="en-CA"/>
        </w:rPr>
        <w:t xml:space="preserve">and the benefits his techniques might bring to medicine by allowing doctors to foresee the future. He examined the views of medicine and astrology by academics versus non-academic physicians and how each received and incorporated this new information. </w:t>
      </w:r>
      <w:r w:rsidR="000F37F2">
        <w:rPr>
          <w:sz w:val="24"/>
          <w:szCs w:val="24"/>
        </w:rPr>
        <w:t xml:space="preserve">French then discussed the school at Hereford, Roger’s role in it, and the political environment. He explored the methods from </w:t>
      </w:r>
      <w:proofErr w:type="gramStart"/>
      <w:r w:rsidR="000F37F2">
        <w:rPr>
          <w:sz w:val="24"/>
          <w:szCs w:val="24"/>
        </w:rPr>
        <w:t>Roger of</w:t>
      </w:r>
      <w:proofErr w:type="gramEnd"/>
      <w:r w:rsidR="000F37F2">
        <w:rPr>
          <w:sz w:val="24"/>
          <w:szCs w:val="24"/>
        </w:rPr>
        <w:t xml:space="preserve"> Hereford’s writings and emphasized the significance of </w:t>
      </w:r>
      <w:r w:rsidR="007C54EA">
        <w:rPr>
          <w:sz w:val="24"/>
          <w:szCs w:val="24"/>
        </w:rPr>
        <w:t>prognostication</w:t>
      </w:r>
      <w:r w:rsidR="000F37F2">
        <w:rPr>
          <w:sz w:val="24"/>
          <w:szCs w:val="24"/>
        </w:rPr>
        <w:t xml:space="preserve"> for medicine. </w:t>
      </w:r>
    </w:p>
    <w:p w14:paraId="4229CE05" w14:textId="7CCE2D75" w:rsidR="008803E5" w:rsidRDefault="000A2F59" w:rsidP="00200033">
      <w:pPr>
        <w:rPr>
          <w:sz w:val="24"/>
          <w:szCs w:val="24"/>
        </w:rPr>
      </w:pPr>
      <w:r>
        <w:rPr>
          <w:sz w:val="24"/>
          <w:szCs w:val="24"/>
        </w:rPr>
        <w:tab/>
      </w:r>
      <w:r>
        <w:rPr>
          <w:sz w:val="24"/>
          <w:szCs w:val="24"/>
        </w:rPr>
        <w:t xml:space="preserve">French </w:t>
      </w:r>
      <w:r w:rsidR="000C19BD">
        <w:rPr>
          <w:sz w:val="24"/>
          <w:szCs w:val="24"/>
        </w:rPr>
        <w:t>then</w:t>
      </w:r>
      <w:r>
        <w:rPr>
          <w:sz w:val="24"/>
          <w:szCs w:val="24"/>
        </w:rPr>
        <w:t xml:space="preserve"> </w:t>
      </w:r>
      <w:r w:rsidR="00460B96">
        <w:rPr>
          <w:sz w:val="24"/>
          <w:szCs w:val="24"/>
        </w:rPr>
        <w:t>considered</w:t>
      </w:r>
      <w:r>
        <w:rPr>
          <w:sz w:val="24"/>
          <w:szCs w:val="24"/>
        </w:rPr>
        <w:t xml:space="preserve"> William of England, a non-academic </w:t>
      </w:r>
      <w:r w:rsidR="006F3BCE">
        <w:rPr>
          <w:sz w:val="24"/>
          <w:szCs w:val="24"/>
        </w:rPr>
        <w:t>physician</w:t>
      </w:r>
      <w:r w:rsidR="00D320AB">
        <w:rPr>
          <w:sz w:val="24"/>
          <w:szCs w:val="24"/>
        </w:rPr>
        <w:t xml:space="preserve"> who practiced similar techniques to those taught </w:t>
      </w:r>
      <w:r w:rsidR="00830CE2">
        <w:rPr>
          <w:sz w:val="24"/>
          <w:szCs w:val="24"/>
        </w:rPr>
        <w:t>at</w:t>
      </w:r>
      <w:r w:rsidR="00D320AB">
        <w:rPr>
          <w:sz w:val="24"/>
          <w:szCs w:val="24"/>
        </w:rPr>
        <w:t xml:space="preserve"> </w:t>
      </w:r>
      <w:r w:rsidR="009C238F">
        <w:rPr>
          <w:sz w:val="24"/>
          <w:szCs w:val="24"/>
        </w:rPr>
        <w:t>Hereford and</w:t>
      </w:r>
      <w:r w:rsidR="00BE0E56">
        <w:rPr>
          <w:sz w:val="24"/>
          <w:szCs w:val="24"/>
        </w:rPr>
        <w:t xml:space="preserve"> describe</w:t>
      </w:r>
      <w:r w:rsidR="003C2E8A">
        <w:rPr>
          <w:sz w:val="24"/>
          <w:szCs w:val="24"/>
        </w:rPr>
        <w:t>d</w:t>
      </w:r>
      <w:r w:rsidR="00BE0E56">
        <w:rPr>
          <w:sz w:val="24"/>
          <w:szCs w:val="24"/>
        </w:rPr>
        <w:t xml:space="preserve"> their use </w:t>
      </w:r>
      <w:r w:rsidR="00CF1496">
        <w:rPr>
          <w:sz w:val="24"/>
          <w:szCs w:val="24"/>
        </w:rPr>
        <w:t>within</w:t>
      </w:r>
      <w:r w:rsidR="00BE0E56">
        <w:rPr>
          <w:sz w:val="24"/>
          <w:szCs w:val="24"/>
        </w:rPr>
        <w:t xml:space="preserve"> his </w:t>
      </w:r>
      <w:r w:rsidR="00BE0E56">
        <w:rPr>
          <w:sz w:val="24"/>
          <w:szCs w:val="24"/>
        </w:rPr>
        <w:lastRenderedPageBreak/>
        <w:t>urology</w:t>
      </w:r>
      <w:r w:rsidR="00DF7A44">
        <w:rPr>
          <w:sz w:val="24"/>
          <w:szCs w:val="24"/>
        </w:rPr>
        <w:t xml:space="preserve"> practice</w:t>
      </w:r>
      <w:r w:rsidR="00BE0E56">
        <w:rPr>
          <w:sz w:val="24"/>
          <w:szCs w:val="24"/>
        </w:rPr>
        <w:t>.</w:t>
      </w:r>
      <w:r>
        <w:rPr>
          <w:rStyle w:val="FootnoteReference"/>
          <w:sz w:val="24"/>
          <w:szCs w:val="24"/>
        </w:rPr>
        <w:footnoteReference w:id="13"/>
      </w:r>
      <w:r w:rsidR="00BE0E56">
        <w:rPr>
          <w:sz w:val="24"/>
          <w:szCs w:val="24"/>
        </w:rPr>
        <w:t xml:space="preserve">  </w:t>
      </w:r>
      <w:r w:rsidR="0055419F">
        <w:rPr>
          <w:sz w:val="24"/>
          <w:szCs w:val="24"/>
        </w:rPr>
        <w:t>French continually emphasize</w:t>
      </w:r>
      <w:r w:rsidR="00087E68">
        <w:rPr>
          <w:sz w:val="24"/>
          <w:szCs w:val="24"/>
        </w:rPr>
        <w:t>d</w:t>
      </w:r>
      <w:r w:rsidR="0055419F">
        <w:rPr>
          <w:sz w:val="24"/>
          <w:szCs w:val="24"/>
        </w:rPr>
        <w:t xml:space="preserve"> the two main statements of his paper: firs</w:t>
      </w:r>
      <w:r w:rsidR="00B24C4F">
        <w:rPr>
          <w:sz w:val="24"/>
          <w:szCs w:val="24"/>
        </w:rPr>
        <w:t>t</w:t>
      </w:r>
      <w:r w:rsidR="0055419F">
        <w:rPr>
          <w:sz w:val="24"/>
          <w:szCs w:val="24"/>
        </w:rPr>
        <w:t xml:space="preserve">, to bring attention to Roger of Hereford and his role in </w:t>
      </w:r>
      <w:r w:rsidR="00886001">
        <w:rPr>
          <w:sz w:val="24"/>
          <w:szCs w:val="24"/>
        </w:rPr>
        <w:t>disseminating</w:t>
      </w:r>
      <w:r w:rsidR="0055419F">
        <w:rPr>
          <w:sz w:val="24"/>
          <w:szCs w:val="24"/>
        </w:rPr>
        <w:t xml:space="preserve"> information about Arabic astrology through Europe, and second, to point out the usefulness of astrological prognostication for doctors. </w:t>
      </w:r>
      <w:r w:rsidR="00BE0E56">
        <w:rPr>
          <w:sz w:val="24"/>
          <w:szCs w:val="24"/>
        </w:rPr>
        <w:t xml:space="preserve">At his conclusion, French again </w:t>
      </w:r>
      <w:r w:rsidR="009C238F">
        <w:rPr>
          <w:sz w:val="24"/>
          <w:szCs w:val="24"/>
        </w:rPr>
        <w:t xml:space="preserve">argued for his </w:t>
      </w:r>
      <w:r w:rsidR="00581352">
        <w:rPr>
          <w:sz w:val="24"/>
          <w:szCs w:val="24"/>
        </w:rPr>
        <w:t>second</w:t>
      </w:r>
      <w:r w:rsidR="004F7C19">
        <w:rPr>
          <w:sz w:val="24"/>
          <w:szCs w:val="24"/>
        </w:rPr>
        <w:t xml:space="preserve"> </w:t>
      </w:r>
      <w:r w:rsidR="009C238F">
        <w:rPr>
          <w:sz w:val="24"/>
          <w:szCs w:val="24"/>
        </w:rPr>
        <w:t>thesis statement:</w:t>
      </w:r>
      <w:r w:rsidR="00BE0E56">
        <w:rPr>
          <w:sz w:val="24"/>
          <w:szCs w:val="24"/>
        </w:rPr>
        <w:t xml:space="preserve"> </w:t>
      </w:r>
    </w:p>
    <w:p w14:paraId="5BF4CD82" w14:textId="4DC71DEE" w:rsidR="00BE0E56" w:rsidRDefault="000A2F59" w:rsidP="009C238F">
      <w:pPr>
        <w:ind w:left="720"/>
      </w:pPr>
      <w:r w:rsidRPr="009C238F">
        <w:t xml:space="preserve">Finally, then, we can see that for both Roger, </w:t>
      </w:r>
      <w:r w:rsidR="00ED3462">
        <w:t>…</w:t>
      </w:r>
      <w:r w:rsidR="009C238F" w:rsidRPr="009C238F">
        <w:t xml:space="preserve">, and William, </w:t>
      </w:r>
      <w:r w:rsidR="00ED3462">
        <w:t>…</w:t>
      </w:r>
      <w:r w:rsidR="009C238F" w:rsidRPr="009C238F">
        <w:t>, what was important was the ability to foretell the future.</w:t>
      </w:r>
      <w:r>
        <w:rPr>
          <w:rStyle w:val="FootnoteReference"/>
        </w:rPr>
        <w:footnoteReference w:id="14"/>
      </w:r>
    </w:p>
    <w:p w14:paraId="28EC7EBC" w14:textId="20A8898C" w:rsidR="0003552A" w:rsidRPr="008445DA" w:rsidRDefault="000A2F59" w:rsidP="00B72EFB">
      <w:pPr>
        <w:rPr>
          <w:sz w:val="24"/>
          <w:szCs w:val="24"/>
        </w:rPr>
      </w:pPr>
      <w:r w:rsidRPr="00670FDB">
        <w:rPr>
          <w:sz w:val="24"/>
          <w:szCs w:val="24"/>
        </w:rPr>
        <w:t xml:space="preserve">This was a </w:t>
      </w:r>
      <w:r w:rsidR="00281032">
        <w:rPr>
          <w:sz w:val="24"/>
          <w:szCs w:val="24"/>
        </w:rPr>
        <w:t>useful way to end his article and</w:t>
      </w:r>
      <w:r w:rsidR="009A3B7F">
        <w:rPr>
          <w:sz w:val="24"/>
          <w:szCs w:val="24"/>
        </w:rPr>
        <w:t xml:space="preserve"> </w:t>
      </w:r>
      <w:r w:rsidR="003A1BC5">
        <w:rPr>
          <w:sz w:val="24"/>
          <w:szCs w:val="24"/>
        </w:rPr>
        <w:t xml:space="preserve">helped </w:t>
      </w:r>
      <w:r w:rsidR="009A3B7F">
        <w:rPr>
          <w:sz w:val="24"/>
          <w:szCs w:val="24"/>
        </w:rPr>
        <w:t>to</w:t>
      </w:r>
      <w:r w:rsidR="00281032">
        <w:rPr>
          <w:sz w:val="24"/>
          <w:szCs w:val="24"/>
        </w:rPr>
        <w:t xml:space="preserve"> </w:t>
      </w:r>
      <w:r w:rsidR="009A3B7F">
        <w:rPr>
          <w:sz w:val="24"/>
          <w:szCs w:val="24"/>
        </w:rPr>
        <w:t>reinforce</w:t>
      </w:r>
      <w:r w:rsidR="00281032">
        <w:rPr>
          <w:sz w:val="24"/>
          <w:szCs w:val="24"/>
        </w:rPr>
        <w:t xml:space="preserve"> his main </w:t>
      </w:r>
      <w:r w:rsidR="00DE0C6E">
        <w:rPr>
          <w:sz w:val="24"/>
          <w:szCs w:val="24"/>
        </w:rPr>
        <w:t>points</w:t>
      </w:r>
      <w:r w:rsidR="00281032">
        <w:rPr>
          <w:sz w:val="24"/>
          <w:szCs w:val="24"/>
        </w:rPr>
        <w:t>.</w:t>
      </w:r>
    </w:p>
    <w:p w14:paraId="3D7E5ED9" w14:textId="78F57F3F" w:rsidR="00352C03" w:rsidRPr="000A7210" w:rsidRDefault="000A2F59" w:rsidP="007030F5">
      <w:pPr>
        <w:ind w:firstLine="720"/>
        <w:rPr>
          <w:sz w:val="24"/>
          <w:szCs w:val="24"/>
        </w:rPr>
      </w:pPr>
      <w:r w:rsidRPr="000A7210">
        <w:rPr>
          <w:sz w:val="24"/>
          <w:szCs w:val="24"/>
        </w:rPr>
        <w:t xml:space="preserve">Pfeffer's paper was organized clearly and logically. In her </w:t>
      </w:r>
      <w:r w:rsidR="00B71664" w:rsidRPr="000A7210">
        <w:rPr>
          <w:sz w:val="24"/>
          <w:szCs w:val="24"/>
        </w:rPr>
        <w:t>abstract and introduction,</w:t>
      </w:r>
      <w:r w:rsidRPr="000A7210">
        <w:rPr>
          <w:sz w:val="24"/>
          <w:szCs w:val="24"/>
        </w:rPr>
        <w:t xml:space="preserve"> she </w:t>
      </w:r>
      <w:r w:rsidR="00B71664" w:rsidRPr="000A7210">
        <w:rPr>
          <w:sz w:val="24"/>
          <w:szCs w:val="24"/>
        </w:rPr>
        <w:t>explained her thesis</w:t>
      </w:r>
      <w:r w:rsidRPr="000A7210">
        <w:rPr>
          <w:sz w:val="24"/>
          <w:szCs w:val="24"/>
        </w:rPr>
        <w:t xml:space="preserve"> and </w:t>
      </w:r>
      <w:r w:rsidRPr="000A7210">
        <w:rPr>
          <w:sz w:val="24"/>
          <w:szCs w:val="24"/>
        </w:rPr>
        <w:t xml:space="preserve">what she would discuss </w:t>
      </w:r>
      <w:r w:rsidR="00F70841">
        <w:rPr>
          <w:sz w:val="24"/>
          <w:szCs w:val="24"/>
        </w:rPr>
        <w:t>in</w:t>
      </w:r>
      <w:r w:rsidRPr="000A7210">
        <w:rPr>
          <w:sz w:val="24"/>
          <w:szCs w:val="24"/>
        </w:rPr>
        <w:t xml:space="preserve"> each </w:t>
      </w:r>
      <w:r w:rsidR="00F70841">
        <w:rPr>
          <w:sz w:val="24"/>
          <w:szCs w:val="24"/>
        </w:rPr>
        <w:t>section</w:t>
      </w:r>
      <w:r w:rsidRPr="000A7210">
        <w:rPr>
          <w:sz w:val="24"/>
          <w:szCs w:val="24"/>
        </w:rPr>
        <w:t xml:space="preserve">. </w:t>
      </w:r>
      <w:r w:rsidR="00357FCC">
        <w:rPr>
          <w:sz w:val="24"/>
          <w:szCs w:val="24"/>
        </w:rPr>
        <w:t>She then</w:t>
      </w:r>
      <w:r w:rsidR="00B71664" w:rsidRPr="000A7210">
        <w:rPr>
          <w:sz w:val="24"/>
          <w:szCs w:val="24"/>
        </w:rPr>
        <w:t xml:space="preserve"> followed the outline laid out in the introduction</w:t>
      </w:r>
      <w:r w:rsidR="00A715D3" w:rsidRPr="000A7210">
        <w:rPr>
          <w:sz w:val="24"/>
          <w:szCs w:val="24"/>
        </w:rPr>
        <w:t>, making smooth transitions between each section</w:t>
      </w:r>
      <w:r w:rsidR="00B71664" w:rsidRPr="000A7210">
        <w:rPr>
          <w:sz w:val="24"/>
          <w:szCs w:val="24"/>
        </w:rPr>
        <w:t xml:space="preserve">. </w:t>
      </w:r>
      <w:r w:rsidRPr="000A7210">
        <w:rPr>
          <w:sz w:val="24"/>
          <w:szCs w:val="24"/>
        </w:rPr>
        <w:t xml:space="preserve">That made it easy to </w:t>
      </w:r>
      <w:r w:rsidRPr="000A7210">
        <w:rPr>
          <w:sz w:val="24"/>
          <w:szCs w:val="24"/>
        </w:rPr>
        <w:t>follow</w:t>
      </w:r>
      <w:r w:rsidR="00B71664" w:rsidRPr="000A7210">
        <w:rPr>
          <w:sz w:val="24"/>
          <w:szCs w:val="24"/>
        </w:rPr>
        <w:t>, as everything flowed logical</w:t>
      </w:r>
      <w:r w:rsidR="00727E6E">
        <w:rPr>
          <w:sz w:val="24"/>
          <w:szCs w:val="24"/>
        </w:rPr>
        <w:t>ly, and the reader would know what</w:t>
      </w:r>
      <w:r w:rsidR="00727E6E" w:rsidRPr="000A7210">
        <w:rPr>
          <w:sz w:val="24"/>
          <w:szCs w:val="24"/>
        </w:rPr>
        <w:t xml:space="preserve"> to expect</w:t>
      </w:r>
      <w:r w:rsidR="007030F5">
        <w:rPr>
          <w:sz w:val="24"/>
          <w:szCs w:val="24"/>
        </w:rPr>
        <w:t xml:space="preserve">. </w:t>
      </w:r>
      <w:r w:rsidR="00746AA0">
        <w:rPr>
          <w:sz w:val="24"/>
          <w:szCs w:val="24"/>
        </w:rPr>
        <w:t>Fr</w:t>
      </w:r>
      <w:r w:rsidRPr="000A7210">
        <w:rPr>
          <w:sz w:val="24"/>
          <w:szCs w:val="24"/>
        </w:rPr>
        <w:t xml:space="preserve">om the start, Pfeffer described </w:t>
      </w:r>
      <w:r w:rsidR="005155A8" w:rsidRPr="000A7210">
        <w:rPr>
          <w:sz w:val="24"/>
          <w:szCs w:val="24"/>
        </w:rPr>
        <w:t>her</w:t>
      </w:r>
      <w:r w:rsidRPr="000A7210">
        <w:rPr>
          <w:sz w:val="24"/>
          <w:szCs w:val="24"/>
        </w:rPr>
        <w:t xml:space="preserve"> </w:t>
      </w:r>
      <w:r w:rsidR="005155A8" w:rsidRPr="000A7210">
        <w:rPr>
          <w:sz w:val="24"/>
          <w:szCs w:val="24"/>
        </w:rPr>
        <w:t>work</w:t>
      </w:r>
      <w:r w:rsidRPr="000A7210">
        <w:rPr>
          <w:sz w:val="24"/>
          <w:szCs w:val="24"/>
        </w:rPr>
        <w:t xml:space="preserve"> as a historiographical review</w:t>
      </w:r>
      <w:r w:rsidR="005155A8" w:rsidRPr="000A7210">
        <w:rPr>
          <w:sz w:val="24"/>
          <w:szCs w:val="24"/>
        </w:rPr>
        <w:t xml:space="preserve">, and this methodology provided the framework for the entire article. </w:t>
      </w:r>
    </w:p>
    <w:p w14:paraId="6D49729D" w14:textId="29EAAC25" w:rsidR="00BB6F19" w:rsidRDefault="00BB6F19" w:rsidP="00BB6F19">
      <w:pPr>
        <w:ind w:firstLine="720"/>
        <w:rPr>
          <w:noProof/>
          <w:sz w:val="24"/>
          <w:szCs w:val="24"/>
        </w:rPr>
      </w:pPr>
      <w:r w:rsidRPr="00ED1795">
        <w:rPr>
          <w:sz w:val="24"/>
          <w:szCs w:val="24"/>
        </w:rPr>
        <w:t xml:space="preserve">To </w:t>
      </w:r>
      <w:r>
        <w:rPr>
          <w:sz w:val="24"/>
          <w:szCs w:val="24"/>
        </w:rPr>
        <w:t>put</w:t>
      </w:r>
      <w:r w:rsidRPr="00ED1795">
        <w:rPr>
          <w:sz w:val="24"/>
          <w:szCs w:val="24"/>
        </w:rPr>
        <w:t xml:space="preserve"> the changing historiography</w:t>
      </w:r>
      <w:r>
        <w:rPr>
          <w:sz w:val="24"/>
          <w:szCs w:val="24"/>
        </w:rPr>
        <w:t xml:space="preserve"> in context</w:t>
      </w:r>
      <w:r w:rsidRPr="00ED1795">
        <w:rPr>
          <w:sz w:val="24"/>
          <w:szCs w:val="24"/>
        </w:rPr>
        <w:t xml:space="preserve">, Pfeffer </w:t>
      </w:r>
      <w:r>
        <w:rPr>
          <w:sz w:val="24"/>
          <w:szCs w:val="24"/>
        </w:rPr>
        <w:t>presented</w:t>
      </w:r>
      <w:r w:rsidRPr="00ED1795">
        <w:rPr>
          <w:sz w:val="24"/>
          <w:szCs w:val="24"/>
        </w:rPr>
        <w:t xml:space="preserve"> sources on how astrology was experienced in the early modern period. </w:t>
      </w:r>
      <w:r>
        <w:rPr>
          <w:sz w:val="24"/>
          <w:szCs w:val="24"/>
        </w:rPr>
        <w:t>Specifically</w:t>
      </w:r>
      <w:r w:rsidRPr="00ED1795">
        <w:rPr>
          <w:sz w:val="24"/>
          <w:szCs w:val="24"/>
        </w:rPr>
        <w:t xml:space="preserve">, she referred to </w:t>
      </w:r>
      <w:r w:rsidRPr="00ED1795">
        <w:rPr>
          <w:sz w:val="24"/>
          <w:szCs w:val="24"/>
          <w:lang w:val="en-CA"/>
        </w:rPr>
        <w:t xml:space="preserve">Carlos de Sigüenza and </w:t>
      </w:r>
      <w:r>
        <w:rPr>
          <w:sz w:val="24"/>
          <w:szCs w:val="24"/>
          <w:lang w:val="en-CA"/>
        </w:rPr>
        <w:t>referenced</w:t>
      </w:r>
      <w:r w:rsidRPr="00ED1795">
        <w:rPr>
          <w:sz w:val="24"/>
          <w:szCs w:val="24"/>
          <w:lang w:val="en-CA"/>
        </w:rPr>
        <w:t xml:space="preserve"> scholars who had studied Sigüenza's life and work, as well as direct quotes from Sigüenza</w:t>
      </w:r>
      <w:r>
        <w:rPr>
          <w:sz w:val="24"/>
          <w:szCs w:val="24"/>
          <w:lang w:val="en-CA"/>
        </w:rPr>
        <w:t xml:space="preserve"> as a primary source</w:t>
      </w:r>
      <w:r w:rsidRPr="00ED1795">
        <w:rPr>
          <w:sz w:val="24"/>
          <w:szCs w:val="24"/>
          <w:lang w:val="en-CA"/>
        </w:rPr>
        <w:t>.</w:t>
      </w:r>
      <w:r>
        <w:rPr>
          <w:rStyle w:val="FootnoteReference"/>
          <w:sz w:val="24"/>
          <w:szCs w:val="24"/>
          <w:lang w:val="en-CA"/>
        </w:rPr>
        <w:footnoteReference w:id="15"/>
      </w:r>
      <w:r w:rsidRPr="00ED1795">
        <w:rPr>
          <w:sz w:val="24"/>
          <w:szCs w:val="24"/>
          <w:lang w:val="en-CA"/>
        </w:rPr>
        <w:t xml:space="preserve">  These put the attitudes</w:t>
      </w:r>
      <w:r>
        <w:rPr>
          <w:sz w:val="24"/>
          <w:szCs w:val="24"/>
          <w:lang w:val="en-CA"/>
        </w:rPr>
        <w:t xml:space="preserve"> of the times into perspective and allowed readers to understand why early historians believed that intellectual developments were the cause of astrology’s decline. She described how and why the trends in thinking changed over time, and effectively used additional sources to support her arguments, including other scholars who had studied the effects of humanism and </w:t>
      </w:r>
      <w:r w:rsidRPr="00DC132C">
        <w:rPr>
          <w:sz w:val="24"/>
          <w:szCs w:val="24"/>
          <w:lang w:val="en-CA"/>
        </w:rPr>
        <w:t xml:space="preserve">Cartesian philosophy on the prevailing paradigms. </w:t>
      </w:r>
      <w:r>
        <w:rPr>
          <w:sz w:val="24"/>
          <w:szCs w:val="24"/>
          <w:lang w:val="en-CA"/>
        </w:rPr>
        <w:t>One</w:t>
      </w:r>
      <w:r w:rsidRPr="00DC132C">
        <w:rPr>
          <w:sz w:val="24"/>
          <w:szCs w:val="24"/>
          <w:lang w:val="en-CA"/>
        </w:rPr>
        <w:t xml:space="preserve"> was Reink </w:t>
      </w:r>
      <w:proofErr w:type="spellStart"/>
      <w:r w:rsidRPr="00DC132C">
        <w:rPr>
          <w:sz w:val="24"/>
          <w:szCs w:val="24"/>
          <w:lang w:val="en-CA"/>
        </w:rPr>
        <w:t>Vermij</w:t>
      </w:r>
      <w:proofErr w:type="spellEnd"/>
      <w:r w:rsidRPr="00DC132C">
        <w:rPr>
          <w:sz w:val="24"/>
          <w:szCs w:val="24"/>
          <w:lang w:val="en-CA"/>
        </w:rPr>
        <w:t xml:space="preserve">, whose paper </w:t>
      </w:r>
      <w:r>
        <w:rPr>
          <w:noProof/>
          <w:sz w:val="24"/>
          <w:szCs w:val="24"/>
        </w:rPr>
        <w:t>‘</w:t>
      </w:r>
      <w:r w:rsidRPr="00A33F19">
        <w:rPr>
          <w:noProof/>
          <w:sz w:val="24"/>
          <w:szCs w:val="24"/>
        </w:rPr>
        <w:t xml:space="preserve">The Marginalization of Astrology Among Dutch Astronomers in the </w:t>
      </w:r>
      <w:r w:rsidR="00EC6CCF">
        <w:rPr>
          <w:noProof/>
          <w:sz w:val="24"/>
          <w:szCs w:val="24"/>
        </w:rPr>
        <w:t>F</w:t>
      </w:r>
      <w:r w:rsidRPr="00A33F19">
        <w:rPr>
          <w:noProof/>
          <w:sz w:val="24"/>
          <w:szCs w:val="24"/>
        </w:rPr>
        <w:t xml:space="preserve">irst </w:t>
      </w:r>
      <w:r w:rsidR="00EC6CCF">
        <w:rPr>
          <w:noProof/>
          <w:sz w:val="24"/>
          <w:szCs w:val="24"/>
        </w:rPr>
        <w:t>H</w:t>
      </w:r>
      <w:r w:rsidRPr="00A33F19">
        <w:rPr>
          <w:noProof/>
          <w:sz w:val="24"/>
          <w:szCs w:val="24"/>
        </w:rPr>
        <w:t xml:space="preserve">alf of the 17th </w:t>
      </w:r>
      <w:r w:rsidR="00EC6CCF">
        <w:rPr>
          <w:noProof/>
          <w:sz w:val="24"/>
          <w:szCs w:val="24"/>
        </w:rPr>
        <w:t>C</w:t>
      </w:r>
      <w:r w:rsidRPr="00A33F19">
        <w:rPr>
          <w:noProof/>
          <w:sz w:val="24"/>
          <w:szCs w:val="24"/>
        </w:rPr>
        <w:t>entury</w:t>
      </w:r>
      <w:r w:rsidRPr="00A33F19">
        <w:rPr>
          <w:i/>
          <w:iCs/>
          <w:noProof/>
          <w:sz w:val="24"/>
          <w:szCs w:val="24"/>
        </w:rPr>
        <w:t>’</w:t>
      </w:r>
      <w:r w:rsidRPr="00DC132C">
        <w:rPr>
          <w:noProof/>
          <w:sz w:val="24"/>
          <w:szCs w:val="24"/>
        </w:rPr>
        <w:t xml:space="preserve"> was published in the </w:t>
      </w:r>
      <w:r w:rsidRPr="00DC132C">
        <w:rPr>
          <w:i/>
          <w:iCs/>
          <w:noProof/>
          <w:sz w:val="24"/>
          <w:szCs w:val="24"/>
        </w:rPr>
        <w:t>Sage Journal, History of Science</w:t>
      </w:r>
      <w:r w:rsidRPr="00DC132C">
        <w:rPr>
          <w:noProof/>
          <w:sz w:val="24"/>
          <w:szCs w:val="24"/>
        </w:rPr>
        <w:t xml:space="preserve"> in 2014.</w:t>
      </w:r>
      <w:r>
        <w:rPr>
          <w:rStyle w:val="FootnoteReference"/>
          <w:noProof/>
          <w:sz w:val="24"/>
          <w:szCs w:val="24"/>
        </w:rPr>
        <w:footnoteReference w:id="16"/>
      </w:r>
      <w:r w:rsidRPr="00DC132C">
        <w:rPr>
          <w:noProof/>
          <w:sz w:val="24"/>
          <w:szCs w:val="24"/>
        </w:rPr>
        <w:t xml:space="preserve"> Vermij discussed the same questions </w:t>
      </w:r>
      <w:r>
        <w:rPr>
          <w:noProof/>
          <w:sz w:val="24"/>
          <w:szCs w:val="24"/>
        </w:rPr>
        <w:t>as</w:t>
      </w:r>
      <w:r w:rsidRPr="00DC132C">
        <w:rPr>
          <w:noProof/>
          <w:sz w:val="24"/>
          <w:szCs w:val="24"/>
        </w:rPr>
        <w:t xml:space="preserve"> Pfeffer but </w:t>
      </w:r>
      <w:r w:rsidR="000C688F">
        <w:rPr>
          <w:noProof/>
          <w:sz w:val="24"/>
          <w:szCs w:val="24"/>
        </w:rPr>
        <w:t>applied them to</w:t>
      </w:r>
      <w:r w:rsidRPr="00DC132C">
        <w:rPr>
          <w:noProof/>
          <w:sz w:val="24"/>
          <w:szCs w:val="24"/>
        </w:rPr>
        <w:t xml:space="preserve"> Dutch scholars. </w:t>
      </w:r>
      <w:r>
        <w:rPr>
          <w:noProof/>
          <w:sz w:val="24"/>
          <w:szCs w:val="24"/>
        </w:rPr>
        <w:t>After describing how Dutch academics of the day turned away from astrology, he concluded:</w:t>
      </w:r>
    </w:p>
    <w:p w14:paraId="35BEDBA9" w14:textId="77777777" w:rsidR="00BB6F19" w:rsidRPr="001B01E1" w:rsidRDefault="00BB6F19" w:rsidP="00BB6F19">
      <w:pPr>
        <w:ind w:left="720"/>
        <w:rPr>
          <w:lang w:val="en-CA"/>
        </w:rPr>
      </w:pPr>
      <w:r w:rsidRPr="001B01E1">
        <w:rPr>
          <w:noProof/>
        </w:rPr>
        <w:t>Astrology did not disappear because of the demise of the underlying worldview. Long before the theory of celestial influence was discredited by the new philosophy, astrology already was generally ignored or even repudiated by respectable scholars.</w:t>
      </w:r>
      <w:r>
        <w:rPr>
          <w:rStyle w:val="FootnoteReference"/>
          <w:noProof/>
        </w:rPr>
        <w:footnoteReference w:id="17"/>
      </w:r>
    </w:p>
    <w:p w14:paraId="0EDDE88B" w14:textId="168A988C" w:rsidR="0095312D" w:rsidRDefault="000A2F59" w:rsidP="00B72EFB">
      <w:pPr>
        <w:rPr>
          <w:sz w:val="24"/>
          <w:szCs w:val="24"/>
          <w:lang w:val="en-CA"/>
        </w:rPr>
      </w:pPr>
      <w:r>
        <w:rPr>
          <w:sz w:val="24"/>
          <w:szCs w:val="24"/>
          <w:lang w:val="en-CA"/>
        </w:rPr>
        <w:lastRenderedPageBreak/>
        <w:t>This support</w:t>
      </w:r>
      <w:r w:rsidR="00267108">
        <w:rPr>
          <w:sz w:val="24"/>
          <w:szCs w:val="24"/>
          <w:lang w:val="en-CA"/>
        </w:rPr>
        <w:t>ed</w:t>
      </w:r>
      <w:r>
        <w:rPr>
          <w:sz w:val="24"/>
          <w:szCs w:val="24"/>
          <w:lang w:val="en-CA"/>
        </w:rPr>
        <w:t xml:space="preserve"> Pfeffer’s argument that intellectual developments </w:t>
      </w:r>
      <w:r w:rsidR="004B04FA">
        <w:rPr>
          <w:sz w:val="24"/>
          <w:szCs w:val="24"/>
          <w:lang w:val="en-CA"/>
        </w:rPr>
        <w:t>should be considered a</w:t>
      </w:r>
      <w:r>
        <w:rPr>
          <w:sz w:val="24"/>
          <w:szCs w:val="24"/>
          <w:lang w:val="en-CA"/>
        </w:rPr>
        <w:t xml:space="preserve"> critical factor in astrology's decline.</w:t>
      </w:r>
    </w:p>
    <w:p w14:paraId="0726AC0D" w14:textId="219F9F7E" w:rsidR="004A34F3" w:rsidRDefault="000A2F59" w:rsidP="00B72EFB">
      <w:pPr>
        <w:rPr>
          <w:noProof/>
          <w:sz w:val="24"/>
          <w:szCs w:val="24"/>
        </w:rPr>
      </w:pPr>
      <w:r>
        <w:rPr>
          <w:sz w:val="24"/>
          <w:szCs w:val="24"/>
          <w:lang w:val="en-CA"/>
        </w:rPr>
        <w:tab/>
      </w:r>
      <w:r w:rsidRPr="000833CE">
        <w:rPr>
          <w:sz w:val="24"/>
          <w:szCs w:val="24"/>
          <w:lang w:val="en-CA"/>
        </w:rPr>
        <w:t xml:space="preserve">In his article </w:t>
      </w:r>
      <w:r w:rsidRPr="000833CE">
        <w:rPr>
          <w:noProof/>
          <w:sz w:val="24"/>
          <w:szCs w:val="24"/>
        </w:rPr>
        <w:t xml:space="preserve">"How to </w:t>
      </w:r>
      <w:r w:rsidR="00EB327F">
        <w:rPr>
          <w:noProof/>
          <w:sz w:val="24"/>
          <w:szCs w:val="24"/>
        </w:rPr>
        <w:t>A</w:t>
      </w:r>
      <w:r w:rsidRPr="000833CE">
        <w:rPr>
          <w:noProof/>
          <w:sz w:val="24"/>
          <w:szCs w:val="24"/>
        </w:rPr>
        <w:t xml:space="preserve">ccurately </w:t>
      </w:r>
      <w:r w:rsidR="00EB327F">
        <w:rPr>
          <w:noProof/>
          <w:sz w:val="24"/>
          <w:szCs w:val="24"/>
        </w:rPr>
        <w:t>A</w:t>
      </w:r>
      <w:r w:rsidRPr="000833CE">
        <w:rPr>
          <w:noProof/>
          <w:sz w:val="24"/>
          <w:szCs w:val="24"/>
        </w:rPr>
        <w:t xml:space="preserve">ccount for </w:t>
      </w:r>
      <w:r w:rsidR="00EB327F">
        <w:rPr>
          <w:noProof/>
          <w:sz w:val="24"/>
          <w:szCs w:val="24"/>
        </w:rPr>
        <w:t>A</w:t>
      </w:r>
      <w:r w:rsidRPr="000833CE">
        <w:rPr>
          <w:noProof/>
          <w:sz w:val="24"/>
          <w:szCs w:val="24"/>
        </w:rPr>
        <w:t xml:space="preserve">strology’s </w:t>
      </w:r>
      <w:r w:rsidR="00EB327F">
        <w:rPr>
          <w:noProof/>
          <w:sz w:val="24"/>
          <w:szCs w:val="24"/>
        </w:rPr>
        <w:t>M</w:t>
      </w:r>
      <w:r w:rsidRPr="000833CE">
        <w:rPr>
          <w:noProof/>
          <w:sz w:val="24"/>
          <w:szCs w:val="24"/>
        </w:rPr>
        <w:t xml:space="preserve">arginalization in the </w:t>
      </w:r>
      <w:r w:rsidR="00EB327F">
        <w:rPr>
          <w:noProof/>
          <w:sz w:val="24"/>
          <w:szCs w:val="24"/>
        </w:rPr>
        <w:t>H</w:t>
      </w:r>
      <w:r w:rsidRPr="000833CE">
        <w:rPr>
          <w:noProof/>
          <w:sz w:val="24"/>
          <w:szCs w:val="24"/>
        </w:rPr>
        <w:t xml:space="preserve">istory of </w:t>
      </w:r>
      <w:r w:rsidR="00EB327F">
        <w:rPr>
          <w:noProof/>
          <w:sz w:val="24"/>
          <w:szCs w:val="24"/>
        </w:rPr>
        <w:t>S</w:t>
      </w:r>
      <w:r w:rsidRPr="000833CE">
        <w:rPr>
          <w:noProof/>
          <w:sz w:val="24"/>
          <w:szCs w:val="24"/>
        </w:rPr>
        <w:t xml:space="preserve">cience and </w:t>
      </w:r>
      <w:r w:rsidR="00EB327F">
        <w:rPr>
          <w:noProof/>
          <w:sz w:val="24"/>
          <w:szCs w:val="24"/>
        </w:rPr>
        <w:t>C</w:t>
      </w:r>
      <w:r w:rsidRPr="000833CE">
        <w:rPr>
          <w:noProof/>
          <w:sz w:val="24"/>
          <w:szCs w:val="24"/>
        </w:rPr>
        <w:t xml:space="preserve">ulture: the central importance of an interpretive framework.", </w:t>
      </w:r>
      <w:r w:rsidR="005B47A9">
        <w:rPr>
          <w:noProof/>
          <w:sz w:val="24"/>
          <w:szCs w:val="24"/>
        </w:rPr>
        <w:t xml:space="preserve"> </w:t>
      </w:r>
      <w:r w:rsidRPr="000833CE">
        <w:rPr>
          <w:noProof/>
          <w:sz w:val="24"/>
          <w:szCs w:val="24"/>
        </w:rPr>
        <w:t>H. Darrel Rutkin also support</w:t>
      </w:r>
      <w:r w:rsidR="004C6C08">
        <w:rPr>
          <w:noProof/>
          <w:sz w:val="24"/>
          <w:szCs w:val="24"/>
        </w:rPr>
        <w:t>ed</w:t>
      </w:r>
      <w:r w:rsidRPr="000833CE">
        <w:rPr>
          <w:noProof/>
          <w:sz w:val="24"/>
          <w:szCs w:val="24"/>
        </w:rPr>
        <w:t xml:space="preserve"> Pfeffer’s statement that the decline of Aristotle’s Natural Philosophy </w:t>
      </w:r>
      <w:r w:rsidR="002F4980">
        <w:rPr>
          <w:noProof/>
          <w:sz w:val="24"/>
          <w:szCs w:val="24"/>
        </w:rPr>
        <w:t>‘seems to have been deeply connected’</w:t>
      </w:r>
      <w:r w:rsidRPr="000833CE">
        <w:rPr>
          <w:noProof/>
          <w:sz w:val="24"/>
          <w:szCs w:val="24"/>
        </w:rPr>
        <w:t xml:space="preserve"> </w:t>
      </w:r>
      <w:r w:rsidR="002F4980">
        <w:rPr>
          <w:noProof/>
          <w:sz w:val="24"/>
          <w:szCs w:val="24"/>
        </w:rPr>
        <w:t>to</w:t>
      </w:r>
      <w:r w:rsidRPr="000833CE">
        <w:rPr>
          <w:noProof/>
          <w:sz w:val="24"/>
          <w:szCs w:val="24"/>
        </w:rPr>
        <w:t xml:space="preserve"> the marginalization of astrology.</w:t>
      </w:r>
      <w:r>
        <w:rPr>
          <w:rStyle w:val="FootnoteReference"/>
          <w:noProof/>
          <w:sz w:val="24"/>
          <w:szCs w:val="24"/>
        </w:rPr>
        <w:footnoteReference w:id="18"/>
      </w:r>
    </w:p>
    <w:p w14:paraId="360199A3" w14:textId="386FCEC8" w:rsidR="00B72EFB" w:rsidRPr="00DA1AC0" w:rsidRDefault="000A2F59" w:rsidP="00DA1AC0">
      <w:pPr>
        <w:ind w:firstLine="720"/>
        <w:rPr>
          <w:sz w:val="24"/>
          <w:szCs w:val="24"/>
          <w:lang w:val="en-CA"/>
        </w:rPr>
      </w:pPr>
      <w:r>
        <w:rPr>
          <w:noProof/>
          <w:sz w:val="24"/>
          <w:szCs w:val="24"/>
        </w:rPr>
        <w:t>Pfeffer conclude</w:t>
      </w:r>
      <w:r w:rsidR="004C6C08">
        <w:rPr>
          <w:noProof/>
          <w:sz w:val="24"/>
          <w:szCs w:val="24"/>
        </w:rPr>
        <w:t>d</w:t>
      </w:r>
      <w:r>
        <w:rPr>
          <w:noProof/>
          <w:sz w:val="24"/>
          <w:szCs w:val="24"/>
        </w:rPr>
        <w:t xml:space="preserve"> her paper by </w:t>
      </w:r>
      <w:r w:rsidR="00DC35B4">
        <w:rPr>
          <w:noProof/>
          <w:sz w:val="24"/>
          <w:szCs w:val="24"/>
        </w:rPr>
        <w:t>reinforcing her thesis statement and stating, ‘if one thing emerges from recent historiography, it is that there is no one-dimensional explanation’</w:t>
      </w:r>
      <w:r>
        <w:rPr>
          <w:rStyle w:val="FootnoteReference"/>
          <w:noProof/>
          <w:sz w:val="24"/>
          <w:szCs w:val="24"/>
        </w:rPr>
        <w:footnoteReference w:id="19"/>
      </w:r>
      <w:r w:rsidR="00413F04">
        <w:rPr>
          <w:noProof/>
          <w:sz w:val="24"/>
          <w:szCs w:val="24"/>
        </w:rPr>
        <w:t xml:space="preserve"> She then suggest</w:t>
      </w:r>
      <w:r w:rsidR="004C6C08">
        <w:rPr>
          <w:noProof/>
          <w:sz w:val="24"/>
          <w:szCs w:val="24"/>
        </w:rPr>
        <w:t>ed</w:t>
      </w:r>
      <w:r w:rsidR="00413F04">
        <w:rPr>
          <w:noProof/>
          <w:sz w:val="24"/>
          <w:szCs w:val="24"/>
        </w:rPr>
        <w:t xml:space="preserve"> that future scholars may be able to confirm her work</w:t>
      </w:r>
      <w:r w:rsidR="006E2C15">
        <w:rPr>
          <w:noProof/>
          <w:sz w:val="24"/>
          <w:szCs w:val="24"/>
        </w:rPr>
        <w:t>, pointing out opportunities for further research</w:t>
      </w:r>
      <w:r w:rsidR="00413F04">
        <w:rPr>
          <w:noProof/>
          <w:sz w:val="24"/>
          <w:szCs w:val="24"/>
        </w:rPr>
        <w:t>.</w:t>
      </w:r>
      <w:r>
        <w:rPr>
          <w:rStyle w:val="FootnoteReference"/>
          <w:noProof/>
          <w:sz w:val="24"/>
          <w:szCs w:val="24"/>
        </w:rPr>
        <w:footnoteReference w:id="20"/>
      </w:r>
      <w:r w:rsidR="00A17557">
        <w:rPr>
          <w:noProof/>
          <w:sz w:val="24"/>
          <w:szCs w:val="24"/>
        </w:rPr>
        <w:t xml:space="preserve"> Overall, Pfeffer’s </w:t>
      </w:r>
      <w:r w:rsidR="008722EF">
        <w:rPr>
          <w:noProof/>
          <w:sz w:val="24"/>
          <w:szCs w:val="24"/>
        </w:rPr>
        <w:t xml:space="preserve">conclusion </w:t>
      </w:r>
      <w:r w:rsidR="006B30D7">
        <w:rPr>
          <w:noProof/>
          <w:sz w:val="24"/>
          <w:szCs w:val="24"/>
        </w:rPr>
        <w:t>reiterated and summarized the points she made in</w:t>
      </w:r>
      <w:r w:rsidR="008722EF">
        <w:rPr>
          <w:noProof/>
          <w:sz w:val="24"/>
          <w:szCs w:val="24"/>
        </w:rPr>
        <w:t xml:space="preserve"> the </w:t>
      </w:r>
      <w:r w:rsidR="006B30D7">
        <w:rPr>
          <w:noProof/>
          <w:sz w:val="24"/>
          <w:szCs w:val="24"/>
        </w:rPr>
        <w:t>article, which was well organized, logical, and understandable and accomplished what it stated it would do in the introduction.</w:t>
      </w:r>
    </w:p>
    <w:p w14:paraId="04D57F8E" w14:textId="77777777" w:rsidR="00930808" w:rsidRPr="005B25DC" w:rsidRDefault="00930808" w:rsidP="00930808">
      <w:pPr>
        <w:ind w:firstLine="720"/>
        <w:rPr>
          <w:sz w:val="24"/>
          <w:szCs w:val="24"/>
        </w:rPr>
      </w:pPr>
      <w:r w:rsidRPr="0003021B">
        <w:rPr>
          <w:sz w:val="24"/>
          <w:szCs w:val="24"/>
        </w:rPr>
        <w:t xml:space="preserve">By contrast, French did not make his thesis statement </w:t>
      </w:r>
      <w:r>
        <w:rPr>
          <w:sz w:val="24"/>
          <w:szCs w:val="24"/>
        </w:rPr>
        <w:t xml:space="preserve">or the structure of his paper </w:t>
      </w:r>
      <w:r w:rsidRPr="0003021B">
        <w:rPr>
          <w:sz w:val="24"/>
          <w:szCs w:val="24"/>
        </w:rPr>
        <w:t xml:space="preserve">obvious in an abstract or introductory section the way Pfeffer did. Although the title of his article was </w:t>
      </w:r>
      <w:r>
        <w:rPr>
          <w:sz w:val="24"/>
          <w:szCs w:val="24"/>
        </w:rPr>
        <w:t>‘</w:t>
      </w:r>
      <w:r w:rsidRPr="0003021B">
        <w:rPr>
          <w:sz w:val="24"/>
          <w:szCs w:val="24"/>
        </w:rPr>
        <w:t>Foretelling the Future</w:t>
      </w:r>
      <w:r>
        <w:rPr>
          <w:sz w:val="24"/>
          <w:szCs w:val="24"/>
        </w:rPr>
        <w:t>’</w:t>
      </w:r>
      <w:r>
        <w:rPr>
          <w:rStyle w:val="FootnoteReference"/>
          <w:sz w:val="24"/>
          <w:szCs w:val="24"/>
        </w:rPr>
        <w:footnoteReference w:id="21"/>
      </w:r>
      <w:r>
        <w:rPr>
          <w:sz w:val="24"/>
          <w:szCs w:val="24"/>
        </w:rPr>
        <w:t xml:space="preserve"> i</w:t>
      </w:r>
      <w:r w:rsidRPr="0003021B">
        <w:rPr>
          <w:sz w:val="24"/>
          <w:szCs w:val="24"/>
        </w:rPr>
        <w:t xml:space="preserve">t was not </w:t>
      </w:r>
      <w:r>
        <w:rPr>
          <w:sz w:val="24"/>
          <w:szCs w:val="24"/>
        </w:rPr>
        <w:t>stated</w:t>
      </w:r>
      <w:r w:rsidRPr="0003021B">
        <w:rPr>
          <w:sz w:val="24"/>
          <w:szCs w:val="24"/>
        </w:rPr>
        <w:t xml:space="preserve"> that one of his main arguments would be the importance of prognostication to medical doctors in the twelfth century. However, French </w:t>
      </w:r>
      <w:r>
        <w:rPr>
          <w:sz w:val="24"/>
          <w:szCs w:val="24"/>
        </w:rPr>
        <w:t>spoke at length about</w:t>
      </w:r>
      <w:r w:rsidRPr="0003021B">
        <w:rPr>
          <w:sz w:val="24"/>
          <w:szCs w:val="24"/>
        </w:rPr>
        <w:t xml:space="preserve"> Roger of Hereford and Abū Ma</w:t>
      </w:r>
      <w:r w:rsidRPr="0003021B">
        <w:rPr>
          <w:rFonts w:ascii="Arial" w:hAnsi="Arial" w:cs="Arial"/>
          <w:sz w:val="24"/>
          <w:szCs w:val="24"/>
        </w:rPr>
        <w:t>ʿ</w:t>
      </w:r>
      <w:r w:rsidRPr="0003021B">
        <w:rPr>
          <w:rFonts w:cs="Aptos"/>
          <w:sz w:val="24"/>
          <w:szCs w:val="24"/>
        </w:rPr>
        <w:t>š</w:t>
      </w:r>
      <w:r w:rsidRPr="0003021B">
        <w:rPr>
          <w:sz w:val="24"/>
          <w:szCs w:val="24"/>
        </w:rPr>
        <w:t>ar, the methodologies of Arabic astrology, and the school at Hereford.</w:t>
      </w:r>
      <w:r>
        <w:rPr>
          <w:rStyle w:val="FootnoteReference"/>
          <w:sz w:val="24"/>
          <w:szCs w:val="24"/>
        </w:rPr>
        <w:footnoteReference w:id="22"/>
      </w:r>
      <w:r w:rsidRPr="0003021B">
        <w:rPr>
          <w:sz w:val="24"/>
          <w:szCs w:val="24"/>
        </w:rPr>
        <w:t xml:space="preserve"> This </w:t>
      </w:r>
      <w:r>
        <w:rPr>
          <w:sz w:val="24"/>
          <w:szCs w:val="24"/>
        </w:rPr>
        <w:t>created</w:t>
      </w:r>
      <w:r w:rsidRPr="0003021B">
        <w:rPr>
          <w:sz w:val="24"/>
          <w:szCs w:val="24"/>
        </w:rPr>
        <w:t xml:space="preserve"> context for reader</w:t>
      </w:r>
      <w:r>
        <w:rPr>
          <w:sz w:val="24"/>
          <w:szCs w:val="24"/>
        </w:rPr>
        <w:t>s</w:t>
      </w:r>
      <w:r w:rsidRPr="0003021B">
        <w:rPr>
          <w:sz w:val="24"/>
          <w:szCs w:val="24"/>
        </w:rPr>
        <w:t xml:space="preserve"> to understand the astrology that Roger of Hereford helped disseminate in Europe, the current state of astrology and medic</w:t>
      </w:r>
      <w:r>
        <w:rPr>
          <w:sz w:val="24"/>
          <w:szCs w:val="24"/>
        </w:rPr>
        <w:t>ine</w:t>
      </w:r>
      <w:r w:rsidRPr="0003021B">
        <w:rPr>
          <w:sz w:val="24"/>
          <w:szCs w:val="24"/>
        </w:rPr>
        <w:t xml:space="preserve">, and why methods introduced by Arabic astrology </w:t>
      </w:r>
      <w:r>
        <w:rPr>
          <w:sz w:val="24"/>
          <w:szCs w:val="24"/>
        </w:rPr>
        <w:t>were</w:t>
      </w:r>
      <w:r w:rsidRPr="0003021B">
        <w:rPr>
          <w:sz w:val="24"/>
          <w:szCs w:val="24"/>
        </w:rPr>
        <w:t xml:space="preserve"> valuable. </w:t>
      </w:r>
      <w:r>
        <w:rPr>
          <w:sz w:val="24"/>
          <w:szCs w:val="24"/>
        </w:rPr>
        <w:t>Additionally</w:t>
      </w:r>
      <w:r w:rsidRPr="0003021B">
        <w:rPr>
          <w:sz w:val="24"/>
          <w:szCs w:val="24"/>
        </w:rPr>
        <w:t>, his section on William of England demonstrated how the techniques introduced were put to practical use.</w:t>
      </w:r>
      <w:r>
        <w:rPr>
          <w:rStyle w:val="FootnoteReference"/>
          <w:sz w:val="24"/>
          <w:szCs w:val="24"/>
        </w:rPr>
        <w:footnoteReference w:id="23"/>
      </w:r>
    </w:p>
    <w:p w14:paraId="14989B01" w14:textId="0F0833E8" w:rsidR="005950D2" w:rsidRDefault="000A2F59" w:rsidP="00B72EFB">
      <w:pPr>
        <w:rPr>
          <w:sz w:val="24"/>
          <w:szCs w:val="24"/>
        </w:rPr>
      </w:pPr>
      <w:r>
        <w:rPr>
          <w:b/>
          <w:bCs/>
        </w:rPr>
        <w:tab/>
      </w:r>
      <w:r w:rsidR="00CF4B30" w:rsidRPr="00CF4B30">
        <w:rPr>
          <w:sz w:val="24"/>
          <w:szCs w:val="24"/>
        </w:rPr>
        <w:t>To help illustrate his point</w:t>
      </w:r>
      <w:r w:rsidR="00C5449F">
        <w:rPr>
          <w:sz w:val="24"/>
          <w:szCs w:val="24"/>
        </w:rPr>
        <w:t>s</w:t>
      </w:r>
      <w:r w:rsidR="00CF4B30" w:rsidRPr="00CF4B30">
        <w:rPr>
          <w:sz w:val="24"/>
          <w:szCs w:val="24"/>
        </w:rPr>
        <w:t xml:space="preserve">, </w:t>
      </w:r>
      <w:r w:rsidRPr="00CF4B30">
        <w:rPr>
          <w:sz w:val="24"/>
          <w:szCs w:val="24"/>
        </w:rPr>
        <w:t xml:space="preserve">French </w:t>
      </w:r>
      <w:r w:rsidR="00F546A1">
        <w:rPr>
          <w:sz w:val="24"/>
          <w:szCs w:val="24"/>
        </w:rPr>
        <w:t>used</w:t>
      </w:r>
      <w:r w:rsidRPr="00CF4B30">
        <w:rPr>
          <w:sz w:val="24"/>
          <w:szCs w:val="24"/>
        </w:rPr>
        <w:t xml:space="preserve"> primary sources in </w:t>
      </w:r>
      <w:r w:rsidR="000017EF" w:rsidRPr="00CF4B30">
        <w:rPr>
          <w:sz w:val="24"/>
          <w:szCs w:val="24"/>
        </w:rPr>
        <w:t>his paper</w:t>
      </w:r>
      <w:r w:rsidR="000861F9">
        <w:rPr>
          <w:sz w:val="24"/>
          <w:szCs w:val="24"/>
        </w:rPr>
        <w:t>,</w:t>
      </w:r>
      <w:r w:rsidR="000017EF" w:rsidRPr="00CF4B30">
        <w:rPr>
          <w:sz w:val="24"/>
          <w:szCs w:val="24"/>
        </w:rPr>
        <w:t xml:space="preserve"> including </w:t>
      </w:r>
      <w:r w:rsidR="002E0A4A" w:rsidRPr="00CF4B30">
        <w:rPr>
          <w:sz w:val="24"/>
          <w:szCs w:val="24"/>
        </w:rPr>
        <w:t>references to</w:t>
      </w:r>
      <w:r w:rsidR="000017EF" w:rsidRPr="00CF4B30">
        <w:rPr>
          <w:sz w:val="24"/>
          <w:szCs w:val="24"/>
        </w:rPr>
        <w:t xml:space="preserve"> the writings of </w:t>
      </w:r>
      <w:r w:rsidR="00133512" w:rsidRPr="00CF4B30">
        <w:rPr>
          <w:sz w:val="24"/>
          <w:szCs w:val="24"/>
        </w:rPr>
        <w:t>Roger of Hereford</w:t>
      </w:r>
      <w:r w:rsidR="00EE1B61">
        <w:rPr>
          <w:sz w:val="24"/>
          <w:szCs w:val="24"/>
        </w:rPr>
        <w:t>,</w:t>
      </w:r>
      <w:r>
        <w:rPr>
          <w:rStyle w:val="FootnoteReference"/>
          <w:sz w:val="24"/>
          <w:szCs w:val="24"/>
        </w:rPr>
        <w:footnoteReference w:id="24"/>
      </w:r>
      <w:r w:rsidR="00AE3C3B" w:rsidRPr="00CF4B30">
        <w:rPr>
          <w:sz w:val="24"/>
          <w:szCs w:val="24"/>
        </w:rPr>
        <w:t xml:space="preserve"> </w:t>
      </w:r>
      <w:r w:rsidR="000017EF" w:rsidRPr="00CF4B30">
        <w:rPr>
          <w:sz w:val="24"/>
          <w:szCs w:val="24"/>
        </w:rPr>
        <w:t>Abū Ma</w:t>
      </w:r>
      <w:r w:rsidR="000017EF" w:rsidRPr="00CF4B30">
        <w:rPr>
          <w:rFonts w:ascii="Arial" w:hAnsi="Arial" w:cs="Arial"/>
          <w:sz w:val="24"/>
          <w:szCs w:val="24"/>
        </w:rPr>
        <w:t>ʿ</w:t>
      </w:r>
      <w:r w:rsidR="000017EF" w:rsidRPr="00CF4B30">
        <w:rPr>
          <w:rFonts w:cs="Aptos"/>
          <w:sz w:val="24"/>
          <w:szCs w:val="24"/>
        </w:rPr>
        <w:t>š</w:t>
      </w:r>
      <w:r w:rsidR="000017EF" w:rsidRPr="00CF4B30">
        <w:rPr>
          <w:sz w:val="24"/>
          <w:szCs w:val="24"/>
        </w:rPr>
        <w:t>ar</w:t>
      </w:r>
      <w:r w:rsidR="00EE1B61">
        <w:rPr>
          <w:sz w:val="24"/>
          <w:szCs w:val="24"/>
        </w:rPr>
        <w:t>,</w:t>
      </w:r>
      <w:r>
        <w:rPr>
          <w:rStyle w:val="FootnoteReference"/>
          <w:sz w:val="24"/>
          <w:szCs w:val="24"/>
        </w:rPr>
        <w:footnoteReference w:id="25"/>
      </w:r>
      <w:r w:rsidR="004C093F" w:rsidRPr="00CF4B30">
        <w:rPr>
          <w:sz w:val="24"/>
          <w:szCs w:val="24"/>
        </w:rPr>
        <w:t xml:space="preserve"> and </w:t>
      </w:r>
      <w:r w:rsidR="00305BAD" w:rsidRPr="00CF4B30">
        <w:rPr>
          <w:sz w:val="24"/>
          <w:szCs w:val="24"/>
        </w:rPr>
        <w:t>William of England</w:t>
      </w:r>
      <w:r w:rsidR="00E411E0" w:rsidRPr="00CF4B30">
        <w:rPr>
          <w:sz w:val="24"/>
          <w:szCs w:val="24"/>
        </w:rPr>
        <w:t>.</w:t>
      </w:r>
      <w:r>
        <w:rPr>
          <w:rStyle w:val="FootnoteReference"/>
          <w:sz w:val="24"/>
          <w:szCs w:val="24"/>
        </w:rPr>
        <w:footnoteReference w:id="26"/>
      </w:r>
      <w:r w:rsidR="008B0E3E" w:rsidRPr="00CF4B30">
        <w:rPr>
          <w:sz w:val="24"/>
          <w:szCs w:val="24"/>
        </w:rPr>
        <w:t xml:space="preserve"> </w:t>
      </w:r>
      <w:r w:rsidR="0080737D" w:rsidRPr="00CF4B30">
        <w:rPr>
          <w:sz w:val="24"/>
          <w:szCs w:val="24"/>
        </w:rPr>
        <w:t>He included quotes from</w:t>
      </w:r>
      <w:r w:rsidR="0080737D">
        <w:rPr>
          <w:sz w:val="24"/>
          <w:szCs w:val="24"/>
        </w:rPr>
        <w:t xml:space="preserve"> Roger of Hereford and William of England in his footnotes, and because these were written in Latin, he also provided his own explanations in the main </w:t>
      </w:r>
      <w:r w:rsidR="0080737D">
        <w:rPr>
          <w:sz w:val="24"/>
          <w:szCs w:val="24"/>
        </w:rPr>
        <w:lastRenderedPageBreak/>
        <w:t xml:space="preserve">text. However, including the original </w:t>
      </w:r>
      <w:r w:rsidR="005F6CA4">
        <w:rPr>
          <w:sz w:val="24"/>
          <w:szCs w:val="24"/>
        </w:rPr>
        <w:t xml:space="preserve">words </w:t>
      </w:r>
      <w:r w:rsidR="0080737D">
        <w:rPr>
          <w:sz w:val="24"/>
          <w:szCs w:val="24"/>
        </w:rPr>
        <w:t xml:space="preserve">would be </w:t>
      </w:r>
      <w:r w:rsidR="00490494">
        <w:rPr>
          <w:sz w:val="24"/>
          <w:szCs w:val="24"/>
        </w:rPr>
        <w:t>valuable</w:t>
      </w:r>
      <w:r w:rsidR="0080737D">
        <w:rPr>
          <w:sz w:val="24"/>
          <w:szCs w:val="24"/>
        </w:rPr>
        <w:t xml:space="preserve"> for readers who could do their own translations.</w:t>
      </w:r>
    </w:p>
    <w:p w14:paraId="3AF976D9" w14:textId="15C983C4" w:rsidR="00765BB3" w:rsidRDefault="000A2F59" w:rsidP="00B72EFB">
      <w:pPr>
        <w:rPr>
          <w:noProof/>
          <w:sz w:val="24"/>
          <w:szCs w:val="24"/>
        </w:rPr>
      </w:pPr>
      <w:r>
        <w:rPr>
          <w:sz w:val="24"/>
          <w:szCs w:val="24"/>
        </w:rPr>
        <w:tab/>
      </w:r>
      <w:r w:rsidR="00D005B5">
        <w:rPr>
          <w:sz w:val="24"/>
          <w:szCs w:val="24"/>
        </w:rPr>
        <w:t>R</w:t>
      </w:r>
      <w:r w:rsidRPr="006456B6">
        <w:rPr>
          <w:sz w:val="24"/>
          <w:szCs w:val="24"/>
        </w:rPr>
        <w:t>ecent scholars</w:t>
      </w:r>
      <w:r w:rsidR="00293453" w:rsidRPr="006456B6">
        <w:rPr>
          <w:sz w:val="24"/>
          <w:szCs w:val="24"/>
        </w:rPr>
        <w:t xml:space="preserve">hip </w:t>
      </w:r>
      <w:r w:rsidR="00FB3CBE">
        <w:rPr>
          <w:sz w:val="24"/>
          <w:szCs w:val="24"/>
        </w:rPr>
        <w:t>on</w:t>
      </w:r>
      <w:r w:rsidR="007C6CB6">
        <w:rPr>
          <w:sz w:val="24"/>
          <w:szCs w:val="24"/>
        </w:rPr>
        <w:t xml:space="preserve"> medieval astronomy includes </w:t>
      </w:r>
      <w:r w:rsidR="006766AB" w:rsidRPr="006456B6">
        <w:rPr>
          <w:noProof/>
          <w:sz w:val="24"/>
          <w:szCs w:val="24"/>
        </w:rPr>
        <w:t xml:space="preserve">"Roger of Hereford: The Twelfth-Century Astronomer </w:t>
      </w:r>
      <w:r w:rsidR="00EE1B61">
        <w:rPr>
          <w:noProof/>
          <w:sz w:val="24"/>
          <w:szCs w:val="24"/>
        </w:rPr>
        <w:t>w</w:t>
      </w:r>
      <w:r w:rsidR="006766AB" w:rsidRPr="006456B6">
        <w:rPr>
          <w:noProof/>
          <w:sz w:val="24"/>
          <w:szCs w:val="24"/>
        </w:rPr>
        <w:t xml:space="preserve">ho </w:t>
      </w:r>
      <w:r w:rsidR="00EE1B61">
        <w:rPr>
          <w:noProof/>
          <w:sz w:val="24"/>
          <w:szCs w:val="24"/>
        </w:rPr>
        <w:t>p</w:t>
      </w:r>
      <w:r w:rsidR="006766AB" w:rsidRPr="006456B6">
        <w:rPr>
          <w:noProof/>
          <w:sz w:val="24"/>
          <w:szCs w:val="24"/>
        </w:rPr>
        <w:t xml:space="preserve">ut Hereford </w:t>
      </w:r>
      <w:r w:rsidR="00EE1B61">
        <w:rPr>
          <w:noProof/>
          <w:sz w:val="24"/>
          <w:szCs w:val="24"/>
        </w:rPr>
        <w:t>o</w:t>
      </w:r>
      <w:r w:rsidR="006766AB" w:rsidRPr="006456B6">
        <w:rPr>
          <w:noProof/>
          <w:sz w:val="24"/>
          <w:szCs w:val="24"/>
        </w:rPr>
        <w:t xml:space="preserve">n </w:t>
      </w:r>
      <w:r w:rsidR="00EE1B61">
        <w:rPr>
          <w:noProof/>
          <w:sz w:val="24"/>
          <w:szCs w:val="24"/>
        </w:rPr>
        <w:t>t</w:t>
      </w:r>
      <w:r w:rsidR="006766AB" w:rsidRPr="006456B6">
        <w:rPr>
          <w:noProof/>
          <w:sz w:val="24"/>
          <w:szCs w:val="24"/>
        </w:rPr>
        <w:t>he Map, Literally"</w:t>
      </w:r>
      <w:r w:rsidR="00C716D6">
        <w:rPr>
          <w:noProof/>
          <w:sz w:val="24"/>
          <w:szCs w:val="24"/>
        </w:rPr>
        <w:t xml:space="preserve">(2023) </w:t>
      </w:r>
      <w:r>
        <w:rPr>
          <w:rStyle w:val="FootnoteReference"/>
          <w:noProof/>
          <w:sz w:val="24"/>
          <w:szCs w:val="24"/>
        </w:rPr>
        <w:footnoteReference w:id="27"/>
      </w:r>
      <w:r w:rsidR="005C5EFF">
        <w:rPr>
          <w:noProof/>
          <w:sz w:val="24"/>
          <w:szCs w:val="24"/>
        </w:rPr>
        <w:t xml:space="preserve">. </w:t>
      </w:r>
      <w:r w:rsidR="009278E2">
        <w:rPr>
          <w:noProof/>
          <w:sz w:val="24"/>
          <w:szCs w:val="24"/>
        </w:rPr>
        <w:t xml:space="preserve">In this article, </w:t>
      </w:r>
      <w:r w:rsidR="006456B6" w:rsidRPr="006456B6">
        <w:rPr>
          <w:noProof/>
          <w:sz w:val="24"/>
          <w:szCs w:val="24"/>
        </w:rPr>
        <w:t>Richard de Grijs</w:t>
      </w:r>
      <w:r w:rsidR="005E0DE3">
        <w:rPr>
          <w:noProof/>
          <w:sz w:val="24"/>
          <w:szCs w:val="24"/>
        </w:rPr>
        <w:t xml:space="preserve"> emphasized </w:t>
      </w:r>
      <w:r w:rsidR="0024531D">
        <w:rPr>
          <w:noProof/>
          <w:sz w:val="24"/>
          <w:szCs w:val="24"/>
        </w:rPr>
        <w:t xml:space="preserve">both the school at Hereford’s and </w:t>
      </w:r>
      <w:r w:rsidR="000E1941">
        <w:rPr>
          <w:noProof/>
          <w:sz w:val="24"/>
          <w:szCs w:val="24"/>
        </w:rPr>
        <w:t xml:space="preserve">Roger’s </w:t>
      </w:r>
      <w:r w:rsidR="00B6273E">
        <w:rPr>
          <w:noProof/>
          <w:sz w:val="24"/>
          <w:szCs w:val="24"/>
        </w:rPr>
        <w:t>role</w:t>
      </w:r>
      <w:r w:rsidR="0024531D">
        <w:rPr>
          <w:noProof/>
          <w:sz w:val="24"/>
          <w:szCs w:val="24"/>
        </w:rPr>
        <w:t>s</w:t>
      </w:r>
      <w:r w:rsidR="0085287E">
        <w:rPr>
          <w:noProof/>
          <w:sz w:val="24"/>
          <w:szCs w:val="24"/>
        </w:rPr>
        <w:t xml:space="preserve">, </w:t>
      </w:r>
      <w:r w:rsidR="00B6273E">
        <w:rPr>
          <w:noProof/>
          <w:sz w:val="24"/>
          <w:szCs w:val="24"/>
        </w:rPr>
        <w:t>stating</w:t>
      </w:r>
      <w:r w:rsidR="001F6219">
        <w:rPr>
          <w:noProof/>
          <w:sz w:val="24"/>
          <w:szCs w:val="24"/>
        </w:rPr>
        <w:t xml:space="preserve"> in his conclusion</w:t>
      </w:r>
      <w:r w:rsidR="00B6273E">
        <w:rPr>
          <w:noProof/>
          <w:sz w:val="24"/>
          <w:szCs w:val="24"/>
        </w:rPr>
        <w:t>,</w:t>
      </w:r>
    </w:p>
    <w:p w14:paraId="7744B68A" w14:textId="323247B3" w:rsidR="0085287E" w:rsidRPr="001F4386" w:rsidRDefault="000A2F59" w:rsidP="001F4386">
      <w:pPr>
        <w:ind w:left="720"/>
        <w:rPr>
          <w:noProof/>
        </w:rPr>
      </w:pPr>
      <w:r w:rsidRPr="001F4386">
        <w:rPr>
          <w:noProof/>
        </w:rPr>
        <w:t xml:space="preserve">As we have seen, Roger of Hereford </w:t>
      </w:r>
      <w:r w:rsidR="0003119E" w:rsidRPr="001F4386">
        <w:rPr>
          <w:noProof/>
        </w:rPr>
        <w:t>propelled Hereford into the scholarly</w:t>
      </w:r>
      <w:r w:rsidR="00A17CF9" w:rsidRPr="001F4386">
        <w:rPr>
          <w:noProof/>
        </w:rPr>
        <w:t xml:space="preserve"> and ec</w:t>
      </w:r>
      <w:r w:rsidR="00154611" w:rsidRPr="001F4386">
        <w:rPr>
          <w:noProof/>
        </w:rPr>
        <w:t>c</w:t>
      </w:r>
      <w:r w:rsidR="00A17CF9" w:rsidRPr="001F4386">
        <w:rPr>
          <w:noProof/>
        </w:rPr>
        <w:t>lesiastical</w:t>
      </w:r>
      <w:r w:rsidR="0003119E" w:rsidRPr="001F4386">
        <w:rPr>
          <w:noProof/>
        </w:rPr>
        <w:t xml:space="preserve"> limelight </w:t>
      </w:r>
      <w:r w:rsidR="00A17CF9" w:rsidRPr="001F4386">
        <w:rPr>
          <w:noProof/>
        </w:rPr>
        <w:t xml:space="preserve">of the </w:t>
      </w:r>
      <w:r w:rsidR="00154611" w:rsidRPr="001F4386">
        <w:rPr>
          <w:noProof/>
        </w:rPr>
        <w:t xml:space="preserve">late twelfth century by embracing the "new science" </w:t>
      </w:r>
      <w:r w:rsidR="00875D9B" w:rsidRPr="001F4386">
        <w:rPr>
          <w:noProof/>
        </w:rPr>
        <w:t>from Arabic sources well before most of his contemporaries.</w:t>
      </w:r>
      <w:r>
        <w:rPr>
          <w:rStyle w:val="FootnoteReference"/>
          <w:noProof/>
        </w:rPr>
        <w:footnoteReference w:id="28"/>
      </w:r>
    </w:p>
    <w:p w14:paraId="52B32D40" w14:textId="7E984CB5" w:rsidR="005950D2" w:rsidRDefault="000A2F59" w:rsidP="00B72EFB">
      <w:pPr>
        <w:rPr>
          <w:sz w:val="24"/>
          <w:szCs w:val="24"/>
        </w:rPr>
      </w:pPr>
      <w:r>
        <w:rPr>
          <w:sz w:val="24"/>
          <w:szCs w:val="24"/>
        </w:rPr>
        <w:t xml:space="preserve">This article </w:t>
      </w:r>
      <w:r w:rsidRPr="006456B6">
        <w:rPr>
          <w:sz w:val="24"/>
          <w:szCs w:val="24"/>
        </w:rPr>
        <w:t xml:space="preserve">supported French's assertion that Roger of Hereford was </w:t>
      </w:r>
      <w:r w:rsidR="007533F1">
        <w:rPr>
          <w:sz w:val="24"/>
          <w:szCs w:val="24"/>
        </w:rPr>
        <w:t>crucial</w:t>
      </w:r>
      <w:r w:rsidR="00251C63">
        <w:rPr>
          <w:sz w:val="24"/>
          <w:szCs w:val="24"/>
        </w:rPr>
        <w:t xml:space="preserve"> to</w:t>
      </w:r>
      <w:r w:rsidRPr="006456B6">
        <w:rPr>
          <w:sz w:val="24"/>
          <w:szCs w:val="24"/>
        </w:rPr>
        <w:t xml:space="preserve"> the adoption of Arabic astrology by European astronomers and </w:t>
      </w:r>
      <w:r w:rsidR="00B84B0B" w:rsidRPr="006456B6">
        <w:rPr>
          <w:sz w:val="24"/>
          <w:szCs w:val="24"/>
        </w:rPr>
        <w:t>schools</w:t>
      </w:r>
      <w:r w:rsidR="00B84B0B">
        <w:rPr>
          <w:sz w:val="24"/>
          <w:szCs w:val="24"/>
        </w:rPr>
        <w:t xml:space="preserve"> and</w:t>
      </w:r>
      <w:r w:rsidR="00CD4510">
        <w:rPr>
          <w:sz w:val="24"/>
          <w:szCs w:val="24"/>
        </w:rPr>
        <w:t xml:space="preserve"> deserve</w:t>
      </w:r>
      <w:r w:rsidR="00B42C40">
        <w:rPr>
          <w:sz w:val="24"/>
          <w:szCs w:val="24"/>
        </w:rPr>
        <w:t xml:space="preserve">d </w:t>
      </w:r>
      <w:r w:rsidR="00CD4510">
        <w:rPr>
          <w:sz w:val="24"/>
          <w:szCs w:val="24"/>
        </w:rPr>
        <w:t>attention from historians.</w:t>
      </w:r>
    </w:p>
    <w:p w14:paraId="7E0BCBF5" w14:textId="155B31CF" w:rsidR="00D260AA" w:rsidRDefault="000A2F59" w:rsidP="00B72EFB">
      <w:pPr>
        <w:rPr>
          <w:sz w:val="24"/>
          <w:szCs w:val="24"/>
        </w:rPr>
      </w:pPr>
      <w:r>
        <w:rPr>
          <w:sz w:val="24"/>
          <w:szCs w:val="24"/>
        </w:rPr>
        <w:tab/>
      </w:r>
      <w:r w:rsidR="00F077B8">
        <w:rPr>
          <w:sz w:val="24"/>
          <w:szCs w:val="24"/>
        </w:rPr>
        <w:t xml:space="preserve">In addition, </w:t>
      </w:r>
      <w:r>
        <w:rPr>
          <w:sz w:val="24"/>
          <w:szCs w:val="24"/>
        </w:rPr>
        <w:t>Chris Mitchell’s translation of</w:t>
      </w:r>
      <w:r w:rsidR="00554B2E">
        <w:rPr>
          <w:sz w:val="24"/>
          <w:szCs w:val="24"/>
        </w:rPr>
        <w:t xml:space="preserve"> Roger of Hereford’s ‘</w:t>
      </w:r>
      <w:r w:rsidR="00554B2E" w:rsidRPr="00554B2E">
        <w:rPr>
          <w:i/>
          <w:iCs/>
          <w:sz w:val="24"/>
          <w:szCs w:val="24"/>
        </w:rPr>
        <w:t>Judicial Astrology</w:t>
      </w:r>
      <w:r w:rsidR="00554B2E">
        <w:rPr>
          <w:sz w:val="24"/>
          <w:szCs w:val="24"/>
        </w:rPr>
        <w:t>’</w:t>
      </w:r>
      <w:r>
        <w:rPr>
          <w:sz w:val="24"/>
          <w:szCs w:val="24"/>
        </w:rPr>
        <w:t xml:space="preserve"> </w:t>
      </w:r>
      <w:r>
        <w:rPr>
          <w:rStyle w:val="FootnoteReference"/>
          <w:sz w:val="24"/>
          <w:szCs w:val="24"/>
        </w:rPr>
        <w:footnoteReference w:id="29"/>
      </w:r>
      <w:r w:rsidR="00554B2E">
        <w:rPr>
          <w:sz w:val="24"/>
          <w:szCs w:val="24"/>
        </w:rPr>
        <w:t xml:space="preserve"> </w:t>
      </w:r>
      <w:r w:rsidR="00A51DAD">
        <w:rPr>
          <w:sz w:val="24"/>
          <w:szCs w:val="24"/>
        </w:rPr>
        <w:t xml:space="preserve">gives insight into </w:t>
      </w:r>
      <w:r w:rsidR="0036235D">
        <w:rPr>
          <w:sz w:val="24"/>
          <w:szCs w:val="24"/>
        </w:rPr>
        <w:t xml:space="preserve">how this information was presented and what was considered important at the time. In Roger of Hereford’s introduction, he stated, </w:t>
      </w:r>
    </w:p>
    <w:p w14:paraId="23C51446" w14:textId="53F0A5B4" w:rsidR="00927362" w:rsidRDefault="000A2F59" w:rsidP="00D260AA">
      <w:pPr>
        <w:ind w:left="720"/>
      </w:pPr>
      <w:r w:rsidRPr="00D260AA">
        <w:t xml:space="preserve">Why would you want to study astrology? It’s obvious! </w:t>
      </w:r>
      <w:r w:rsidR="006C7B6F" w:rsidRPr="00D260AA">
        <w:t>It rewards you by showing you future events, and things that are hidden from most people, and that gives you power over other people!</w:t>
      </w:r>
      <w:r>
        <w:rPr>
          <w:rStyle w:val="FootnoteReference"/>
        </w:rPr>
        <w:footnoteReference w:id="30"/>
      </w:r>
    </w:p>
    <w:p w14:paraId="27D9234C" w14:textId="1875649C" w:rsidR="00233EDF" w:rsidRPr="00FC7D15" w:rsidRDefault="00233EDF" w:rsidP="00233EDF">
      <w:pPr>
        <w:rPr>
          <w:sz w:val="24"/>
          <w:szCs w:val="24"/>
        </w:rPr>
      </w:pPr>
      <w:r w:rsidRPr="00FC7D15">
        <w:rPr>
          <w:sz w:val="24"/>
          <w:szCs w:val="24"/>
        </w:rPr>
        <w:t xml:space="preserve">This showed that Roger himself considered the ability to prognosticate to be </w:t>
      </w:r>
      <w:r>
        <w:rPr>
          <w:sz w:val="24"/>
          <w:szCs w:val="24"/>
        </w:rPr>
        <w:t xml:space="preserve">the </w:t>
      </w:r>
      <w:r w:rsidRPr="00FC7D15">
        <w:rPr>
          <w:sz w:val="24"/>
          <w:szCs w:val="24"/>
        </w:rPr>
        <w:t xml:space="preserve">reason to learn astrology. </w:t>
      </w:r>
      <w:r>
        <w:rPr>
          <w:sz w:val="24"/>
          <w:szCs w:val="24"/>
        </w:rPr>
        <w:t>Mitchell concluded his book by reminding readers that the teaching of astrology throughout Europe started with people like Roger of Hereford, and therefore it is time once again for him to be acknowledge and his work studied</w:t>
      </w:r>
      <w:r w:rsidRPr="00FC7D15">
        <w:t>.</w:t>
      </w:r>
      <w:r>
        <w:rPr>
          <w:rStyle w:val="FootnoteReference"/>
        </w:rPr>
        <w:footnoteReference w:id="31"/>
      </w:r>
      <w:r w:rsidR="00225B08">
        <w:rPr>
          <w:sz w:val="24"/>
          <w:szCs w:val="24"/>
        </w:rPr>
        <w:t xml:space="preserve"> </w:t>
      </w:r>
      <w:r w:rsidRPr="00FC7D15">
        <w:rPr>
          <w:sz w:val="24"/>
          <w:szCs w:val="24"/>
        </w:rPr>
        <w:t>This support</w:t>
      </w:r>
      <w:r>
        <w:rPr>
          <w:sz w:val="24"/>
          <w:szCs w:val="24"/>
        </w:rPr>
        <w:t>ed</w:t>
      </w:r>
      <w:r w:rsidRPr="00FC7D15">
        <w:rPr>
          <w:sz w:val="24"/>
          <w:szCs w:val="24"/>
        </w:rPr>
        <w:t xml:space="preserve"> French's argument that Roger of Hereford </w:t>
      </w:r>
      <w:r>
        <w:rPr>
          <w:sz w:val="24"/>
          <w:szCs w:val="24"/>
        </w:rPr>
        <w:t>was</w:t>
      </w:r>
      <w:r w:rsidRPr="00FC7D15">
        <w:rPr>
          <w:sz w:val="24"/>
          <w:szCs w:val="24"/>
        </w:rPr>
        <w:t xml:space="preserve"> an important figure worthy of</w:t>
      </w:r>
      <w:r>
        <w:rPr>
          <w:sz w:val="24"/>
          <w:szCs w:val="24"/>
        </w:rPr>
        <w:t xml:space="preserve"> </w:t>
      </w:r>
      <w:r w:rsidRPr="00FC7D15">
        <w:rPr>
          <w:sz w:val="24"/>
          <w:szCs w:val="24"/>
        </w:rPr>
        <w:t>study.</w:t>
      </w:r>
    </w:p>
    <w:p w14:paraId="7126EDAE" w14:textId="554DFAEE" w:rsidR="003D758F" w:rsidRDefault="003D758F" w:rsidP="003D758F">
      <w:pPr>
        <w:ind w:firstLine="720"/>
        <w:rPr>
          <w:sz w:val="24"/>
          <w:szCs w:val="24"/>
        </w:rPr>
      </w:pPr>
      <w:r w:rsidRPr="00C65EA3">
        <w:rPr>
          <w:sz w:val="24"/>
          <w:szCs w:val="24"/>
        </w:rPr>
        <w:t xml:space="preserve">In conclusion, </w:t>
      </w:r>
      <w:r>
        <w:rPr>
          <w:sz w:val="24"/>
          <w:szCs w:val="24"/>
        </w:rPr>
        <w:t xml:space="preserve">there were significant contrasts between the two papers. They were structured and presented very differently. Pfeffer’s article was laid out in a way that made it clear what her thesis was and how she would present her argument. This made it easy to understand and follow her arguments through to her conclusion. By contrast, French began </w:t>
      </w:r>
      <w:r>
        <w:rPr>
          <w:sz w:val="24"/>
          <w:szCs w:val="24"/>
        </w:rPr>
        <w:lastRenderedPageBreak/>
        <w:t>his paper by discussing Roger of Hereford and his work, only gradually bringing up his argument that telling the future was of primary importance to medical practitioners.</w:t>
      </w:r>
    </w:p>
    <w:p w14:paraId="7D7912C9" w14:textId="5DE841C0" w:rsidR="003D758F" w:rsidRPr="00C65EA3" w:rsidRDefault="003D758F" w:rsidP="003D758F">
      <w:pPr>
        <w:ind w:firstLine="720"/>
        <w:rPr>
          <w:sz w:val="24"/>
          <w:szCs w:val="24"/>
        </w:rPr>
      </w:pPr>
      <w:r>
        <w:rPr>
          <w:sz w:val="24"/>
          <w:szCs w:val="24"/>
        </w:rPr>
        <w:t xml:space="preserve">However, there were also substantial similarities between these two papers. Both examined the status of astrology at critical historical turning points. French looked at the reintroduction of astrology to Europe in the Medieval period, a time when knowledge from the East that had been neglected was being sought out, translated, and incorporated into medical practice and academia. On the other hand, Pfeffer addressed the Early Modern period, when astrology was </w:t>
      </w:r>
      <w:r w:rsidR="00B977A7">
        <w:rPr>
          <w:sz w:val="24"/>
          <w:szCs w:val="24"/>
        </w:rPr>
        <w:t xml:space="preserve">being </w:t>
      </w:r>
      <w:r>
        <w:rPr>
          <w:sz w:val="24"/>
          <w:szCs w:val="24"/>
        </w:rPr>
        <w:t>marginalized and removed from academic programs and general societal consideration for a variety of reasons. In this way, the two papers mark the rise and fall of astrology as a fundamental academic and cultural discipline.</w:t>
      </w:r>
    </w:p>
    <w:p w14:paraId="1C3EF07A" w14:textId="28D29C7C" w:rsidR="00490C5B" w:rsidRDefault="00490C5B" w:rsidP="003D758F">
      <w:pPr>
        <w:rPr>
          <w:b/>
          <w:bCs/>
          <w:sz w:val="24"/>
          <w:szCs w:val="24"/>
        </w:rPr>
      </w:pPr>
    </w:p>
    <w:p w14:paraId="68BE42C4" w14:textId="77777777" w:rsidR="00AD6EAE" w:rsidRDefault="00AD6EAE">
      <w:pPr>
        <w:spacing w:line="278" w:lineRule="auto"/>
        <w:rPr>
          <w:b/>
          <w:bCs/>
          <w:sz w:val="24"/>
          <w:szCs w:val="24"/>
        </w:rPr>
      </w:pPr>
      <w:r>
        <w:rPr>
          <w:b/>
          <w:bCs/>
          <w:sz w:val="24"/>
          <w:szCs w:val="24"/>
        </w:rPr>
        <w:br w:type="page"/>
      </w:r>
    </w:p>
    <w:p w14:paraId="30A76334" w14:textId="641A871D" w:rsidR="007035DE" w:rsidRDefault="000A2F59" w:rsidP="007035DE">
      <w:pPr>
        <w:rPr>
          <w:b/>
          <w:bCs/>
          <w:sz w:val="24"/>
          <w:szCs w:val="24"/>
        </w:rPr>
      </w:pPr>
      <w:r>
        <w:rPr>
          <w:b/>
          <w:bCs/>
          <w:sz w:val="24"/>
          <w:szCs w:val="24"/>
        </w:rPr>
        <w:lastRenderedPageBreak/>
        <w:t>BIBLIOGRAPHY</w:t>
      </w:r>
    </w:p>
    <w:p w14:paraId="1F503DEA" w14:textId="77777777" w:rsidR="00AB4980" w:rsidRDefault="000A2F59" w:rsidP="00AB4980">
      <w:pPr>
        <w:pStyle w:val="Bibliography"/>
        <w:ind w:left="720" w:hanging="720"/>
        <w:rPr>
          <w:noProof/>
          <w:kern w:val="0"/>
          <w:sz w:val="24"/>
          <w:szCs w:val="24"/>
          <w14:ligatures w14:val="none"/>
        </w:rPr>
      </w:pPr>
      <w:r>
        <w:rPr>
          <w:b/>
          <w:bCs/>
          <w:sz w:val="24"/>
          <w:szCs w:val="24"/>
        </w:rPr>
        <w:fldChar w:fldCharType="begin"/>
      </w:r>
      <w:r>
        <w:rPr>
          <w:b/>
          <w:bCs/>
          <w:sz w:val="24"/>
          <w:szCs w:val="24"/>
        </w:rPr>
        <w:instrText xml:space="preserve"> BIBLIOGRAPHY  \l 1033 </w:instrText>
      </w:r>
      <w:r>
        <w:rPr>
          <w:b/>
          <w:bCs/>
          <w:sz w:val="24"/>
          <w:szCs w:val="24"/>
        </w:rPr>
        <w:fldChar w:fldCharType="separate"/>
      </w:r>
      <w:r>
        <w:rPr>
          <w:noProof/>
        </w:rPr>
        <w:t xml:space="preserve">Grijs, Richard de. 2023. "Roger of Hereford: The Twelfth-Century Astronomer Who Put Hereford On The Map, Literally." </w:t>
      </w:r>
      <w:r>
        <w:rPr>
          <w:i/>
          <w:iCs/>
          <w:noProof/>
        </w:rPr>
        <w:t>The Local Historian [journal of the British Association for Local History], vol.53 no.2</w:t>
      </w:r>
      <w:r>
        <w:rPr>
          <w:noProof/>
        </w:rPr>
        <w:t xml:space="preserve"> 98-111.</w:t>
      </w:r>
    </w:p>
    <w:p w14:paraId="6463F726" w14:textId="77777777" w:rsidR="00AB4980" w:rsidRDefault="000A2F59" w:rsidP="00AB4980">
      <w:pPr>
        <w:pStyle w:val="Bibliography"/>
        <w:ind w:left="720" w:hanging="720"/>
        <w:rPr>
          <w:noProof/>
          <w:lang w:val="en-CA"/>
        </w:rPr>
      </w:pPr>
      <w:r>
        <w:rPr>
          <w:noProof/>
        </w:rPr>
        <w:t xml:space="preserve">Mitchell, Chris. 2021. </w:t>
      </w:r>
      <w:r>
        <w:rPr>
          <w:i/>
          <w:iCs/>
          <w:noProof/>
        </w:rPr>
        <w:t>England's First Astrology Book: Roger of Hereford's Judicial Astrology.</w:t>
      </w:r>
      <w:r>
        <w:rPr>
          <w:noProof/>
        </w:rPr>
        <w:t xml:space="preserve"> Leicester, UK: Almuten Figuris Publications.</w:t>
      </w:r>
    </w:p>
    <w:p w14:paraId="6A0D4F09" w14:textId="77777777" w:rsidR="00AB4980" w:rsidRDefault="000A2F59" w:rsidP="00AB4980">
      <w:pPr>
        <w:pStyle w:val="Bibliography"/>
        <w:ind w:left="720" w:hanging="720"/>
        <w:rPr>
          <w:noProof/>
        </w:rPr>
      </w:pPr>
      <w:r>
        <w:rPr>
          <w:noProof/>
        </w:rPr>
        <w:t xml:space="preserve">Pfeffer, Michelle. 2023. "Michelle Pfeffer, 'Reassessing the Marginalization of Astrology in the Early Modern World.'." </w:t>
      </w:r>
      <w:r>
        <w:rPr>
          <w:i/>
          <w:iCs/>
          <w:noProof/>
        </w:rPr>
        <w:t>The Historical Journal 66, no. 5</w:t>
      </w:r>
      <w:r>
        <w:rPr>
          <w:noProof/>
        </w:rPr>
        <w:t xml:space="preserve"> 1152-1176.</w:t>
      </w:r>
    </w:p>
    <w:p w14:paraId="1B9DEB22" w14:textId="77777777" w:rsidR="00AB4980" w:rsidRDefault="000A2F59" w:rsidP="00AB4980">
      <w:pPr>
        <w:pStyle w:val="Bibliography"/>
        <w:ind w:left="720" w:hanging="720"/>
        <w:rPr>
          <w:noProof/>
        </w:rPr>
      </w:pPr>
      <w:r>
        <w:rPr>
          <w:noProof/>
        </w:rPr>
        <w:t xml:space="preserve">Rienk Vermij, University of Oklahoma. 2014. "The marginalization of Astrology Among Dutch astronomers in the first half of the 17th century." </w:t>
      </w:r>
      <w:r>
        <w:rPr>
          <w:i/>
          <w:iCs/>
          <w:noProof/>
        </w:rPr>
        <w:t>Sage Journals, History of Science</w:t>
      </w:r>
      <w:r>
        <w:rPr>
          <w:noProof/>
        </w:rPr>
        <w:t xml:space="preserve"> 153-177.</w:t>
      </w:r>
    </w:p>
    <w:p w14:paraId="1452292F" w14:textId="77777777" w:rsidR="00AB4980" w:rsidRDefault="000A2F59" w:rsidP="00AB4980">
      <w:pPr>
        <w:pStyle w:val="Bibliography"/>
        <w:ind w:left="720" w:hanging="720"/>
        <w:rPr>
          <w:noProof/>
        </w:rPr>
      </w:pPr>
      <w:r>
        <w:rPr>
          <w:noProof/>
        </w:rPr>
        <w:t xml:space="preserve">Roger French. 1996. "'Foretelling the Future: Arabic Astrology and English Medicine in the Late Twelfth Century'." </w:t>
      </w:r>
      <w:r>
        <w:rPr>
          <w:i/>
          <w:iCs/>
          <w:noProof/>
        </w:rPr>
        <w:t>Isis 87, no. 3</w:t>
      </w:r>
      <w:r>
        <w:rPr>
          <w:noProof/>
        </w:rPr>
        <w:t xml:space="preserve"> 453-480.</w:t>
      </w:r>
    </w:p>
    <w:p w14:paraId="2F029B89" w14:textId="77777777" w:rsidR="00AB4980" w:rsidRDefault="000A2F59" w:rsidP="00AB4980">
      <w:pPr>
        <w:pStyle w:val="Bibliography"/>
        <w:ind w:left="720" w:hanging="720"/>
        <w:rPr>
          <w:noProof/>
        </w:rPr>
      </w:pPr>
      <w:r>
        <w:rPr>
          <w:noProof/>
        </w:rPr>
        <w:t xml:space="preserve">Rutkin, H. Darrel. 2018. "How to accurately account for astrology’s marginalization in the history of science and culture: the central importance of an interpretive framework." </w:t>
      </w:r>
      <w:r>
        <w:rPr>
          <w:i/>
          <w:iCs/>
          <w:noProof/>
        </w:rPr>
        <w:t>Early Science and Medicine 23</w:t>
      </w:r>
      <w:r>
        <w:rPr>
          <w:noProof/>
        </w:rPr>
        <w:t xml:space="preserve"> 218-243.</w:t>
      </w:r>
    </w:p>
    <w:p w14:paraId="121597BC" w14:textId="77777777" w:rsidR="00AB4980" w:rsidRDefault="000A2F59" w:rsidP="00AB4980">
      <w:pPr>
        <w:pStyle w:val="Bibliography"/>
        <w:ind w:left="720" w:hanging="720"/>
        <w:rPr>
          <w:noProof/>
        </w:rPr>
      </w:pPr>
      <w:r>
        <w:rPr>
          <w:noProof/>
        </w:rPr>
        <w:t xml:space="preserve">University of Cambridge, Department Of History And Philosophy Of Science,. 2002. </w:t>
      </w:r>
      <w:r>
        <w:rPr>
          <w:i/>
          <w:iCs/>
          <w:noProof/>
        </w:rPr>
        <w:t>Roger French.</w:t>
      </w:r>
      <w:r>
        <w:rPr>
          <w:noProof/>
        </w:rPr>
        <w:t xml:space="preserve"> 1 2. Accessed 10 24, 2024. https://www.hps.cam.ac.uk/news-events/news-archive/roger-french.</w:t>
      </w:r>
    </w:p>
    <w:p w14:paraId="616ACD47" w14:textId="77777777" w:rsidR="00AB4980" w:rsidRDefault="000A2F59" w:rsidP="00AB4980">
      <w:pPr>
        <w:pStyle w:val="Bibliography"/>
        <w:ind w:left="720" w:hanging="720"/>
        <w:rPr>
          <w:noProof/>
        </w:rPr>
      </w:pPr>
      <w:r>
        <w:rPr>
          <w:noProof/>
        </w:rPr>
        <w:t xml:space="preserve">University of Oxford, Faculty of History. 2024. </w:t>
      </w:r>
      <w:r>
        <w:rPr>
          <w:i/>
          <w:iCs/>
          <w:noProof/>
        </w:rPr>
        <w:t>Dr Michelle Aroney (formerly Pfeffer).</w:t>
      </w:r>
      <w:r>
        <w:rPr>
          <w:noProof/>
        </w:rPr>
        <w:t xml:space="preserve"> 10 21. Accessed 10 24, 2024. https://www.history.ox.ac.uk/people/dr-michelle-pfeffer.</w:t>
      </w:r>
    </w:p>
    <w:p w14:paraId="209596A3" w14:textId="59520FA8" w:rsidR="007B43AD" w:rsidRDefault="000A2F59" w:rsidP="00AB4980">
      <w:pPr>
        <w:rPr>
          <w:b/>
          <w:bCs/>
          <w:sz w:val="24"/>
          <w:szCs w:val="24"/>
        </w:rPr>
      </w:pPr>
      <w:r>
        <w:rPr>
          <w:b/>
          <w:bCs/>
          <w:sz w:val="24"/>
          <w:szCs w:val="24"/>
        </w:rPr>
        <w:fldChar w:fldCharType="end"/>
      </w:r>
    </w:p>
    <w:p w14:paraId="2599D0E3" w14:textId="77777777" w:rsidR="007B43AD" w:rsidRDefault="007B43AD" w:rsidP="00306C55"/>
    <w:sectPr w:rsidR="007B43A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41EB17" w14:textId="77777777" w:rsidR="000A2F59" w:rsidRDefault="000A2F59">
      <w:pPr>
        <w:spacing w:after="0" w:line="240" w:lineRule="auto"/>
      </w:pPr>
      <w:r>
        <w:separator/>
      </w:r>
    </w:p>
  </w:endnote>
  <w:endnote w:type="continuationSeparator" w:id="0">
    <w:p w14:paraId="49CB797A" w14:textId="77777777" w:rsidR="000A2F59" w:rsidRDefault="000A2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4A2EF" w14:textId="77777777" w:rsidR="00DA732A" w:rsidRDefault="000A2F59" w:rsidP="003201F3">
      <w:pPr>
        <w:spacing w:after="0" w:line="240" w:lineRule="auto"/>
      </w:pPr>
      <w:r>
        <w:separator/>
      </w:r>
    </w:p>
  </w:footnote>
  <w:footnote w:type="continuationSeparator" w:id="0">
    <w:p w14:paraId="403E6E1A" w14:textId="77777777" w:rsidR="00DA732A" w:rsidRDefault="000A2F59" w:rsidP="003201F3">
      <w:pPr>
        <w:spacing w:after="0" w:line="240" w:lineRule="auto"/>
      </w:pPr>
      <w:r>
        <w:continuationSeparator/>
      </w:r>
    </w:p>
  </w:footnote>
  <w:footnote w:id="1">
    <w:p w14:paraId="7536D7D8" w14:textId="77777777" w:rsidR="009B1786" w:rsidRDefault="009B1786" w:rsidP="009B1786">
      <w:pPr>
        <w:pStyle w:val="FootnoteText"/>
      </w:pPr>
      <w:r>
        <w:rPr>
          <w:rStyle w:val="FootnoteReference"/>
        </w:rPr>
        <w:footnoteRef/>
      </w:r>
      <w:r>
        <w:t xml:space="preserve"> </w:t>
      </w:r>
      <w:r w:rsidRPr="00074A9F">
        <w:t>Michelle</w:t>
      </w:r>
      <w:r>
        <w:t xml:space="preserve"> </w:t>
      </w:r>
      <w:r w:rsidRPr="00074A9F">
        <w:t>Pfeffer</w:t>
      </w:r>
      <w:r>
        <w:t>,</w:t>
      </w:r>
      <w:r w:rsidRPr="00074A9F">
        <w:t xml:space="preserve"> 'Reassessing </w:t>
      </w:r>
      <w:proofErr w:type="gramStart"/>
      <w:r>
        <w:t>T</w:t>
      </w:r>
      <w:r w:rsidRPr="00074A9F">
        <w:t>he</w:t>
      </w:r>
      <w:proofErr w:type="gramEnd"/>
      <w:r w:rsidRPr="00074A9F">
        <w:t xml:space="preserve"> Marginalization </w:t>
      </w:r>
      <w:r>
        <w:t>O</w:t>
      </w:r>
      <w:r w:rsidRPr="00074A9F">
        <w:t xml:space="preserve">f Astrology </w:t>
      </w:r>
      <w:r>
        <w:t>I</w:t>
      </w:r>
      <w:r w:rsidRPr="00074A9F">
        <w:t xml:space="preserve">n </w:t>
      </w:r>
      <w:r>
        <w:t>T</w:t>
      </w:r>
      <w:r w:rsidRPr="00074A9F">
        <w:t xml:space="preserve">he Early Modern World.' </w:t>
      </w:r>
      <w:r w:rsidRPr="001602F2">
        <w:rPr>
          <w:i/>
          <w:iCs/>
        </w:rPr>
        <w:t>The Historical Journal</w:t>
      </w:r>
      <w:r w:rsidRPr="00074A9F">
        <w:t xml:space="preserve"> 66, no. 5 (2023): </w:t>
      </w:r>
      <w:r>
        <w:t xml:space="preserve">pp. </w:t>
      </w:r>
      <w:r w:rsidRPr="00074A9F">
        <w:t>1152-1176</w:t>
      </w:r>
      <w:r>
        <w:t>.</w:t>
      </w:r>
    </w:p>
  </w:footnote>
  <w:footnote w:id="2">
    <w:p w14:paraId="540363F1" w14:textId="77777777" w:rsidR="009B1786" w:rsidRDefault="009B1786" w:rsidP="009B1786">
      <w:pPr>
        <w:pStyle w:val="FootnoteText"/>
      </w:pPr>
      <w:r>
        <w:rPr>
          <w:rStyle w:val="FootnoteReference"/>
        </w:rPr>
        <w:footnoteRef/>
      </w:r>
      <w:r>
        <w:t xml:space="preserve"> </w:t>
      </w:r>
      <w:r w:rsidRPr="00074A9F">
        <w:t>Pfeffer</w:t>
      </w:r>
      <w:r>
        <w:t>,</w:t>
      </w:r>
      <w:r w:rsidRPr="00074A9F">
        <w:t xml:space="preserve"> </w:t>
      </w:r>
      <w:r>
        <w:t>‘</w:t>
      </w:r>
      <w:r w:rsidRPr="003E495A">
        <w:rPr>
          <w:i/>
          <w:iCs/>
        </w:rPr>
        <w:t xml:space="preserve">Marginalization </w:t>
      </w:r>
      <w:proofErr w:type="gramStart"/>
      <w:r>
        <w:rPr>
          <w:i/>
          <w:iCs/>
        </w:rPr>
        <w:t>O</w:t>
      </w:r>
      <w:r w:rsidRPr="003E495A">
        <w:rPr>
          <w:i/>
          <w:iCs/>
        </w:rPr>
        <w:t>f</w:t>
      </w:r>
      <w:proofErr w:type="gramEnd"/>
      <w:r w:rsidRPr="003E495A">
        <w:rPr>
          <w:i/>
          <w:iCs/>
        </w:rPr>
        <w:t xml:space="preserve"> Astrology</w:t>
      </w:r>
      <w:r>
        <w:t>'.</w:t>
      </w:r>
    </w:p>
  </w:footnote>
  <w:footnote w:id="3">
    <w:p w14:paraId="211DF2BD" w14:textId="77777777" w:rsidR="009B1786" w:rsidRDefault="009B1786" w:rsidP="009B1786">
      <w:pPr>
        <w:pStyle w:val="FootnoteText"/>
      </w:pPr>
      <w:r>
        <w:rPr>
          <w:rStyle w:val="FootnoteReference"/>
        </w:rPr>
        <w:footnoteRef/>
      </w:r>
      <w:r>
        <w:t xml:space="preserve"> Pfeffer, ‘</w:t>
      </w:r>
      <w:r w:rsidRPr="003E495A">
        <w:rPr>
          <w:i/>
          <w:iCs/>
        </w:rPr>
        <w:t xml:space="preserve">Marginalization </w:t>
      </w:r>
      <w:proofErr w:type="gramStart"/>
      <w:r>
        <w:rPr>
          <w:i/>
          <w:iCs/>
        </w:rPr>
        <w:t>O</w:t>
      </w:r>
      <w:r w:rsidRPr="003E495A">
        <w:rPr>
          <w:i/>
          <w:iCs/>
        </w:rPr>
        <w:t>f</w:t>
      </w:r>
      <w:proofErr w:type="gramEnd"/>
      <w:r w:rsidRPr="003E495A">
        <w:rPr>
          <w:i/>
          <w:iCs/>
        </w:rPr>
        <w:t xml:space="preserve"> Astrology’</w:t>
      </w:r>
      <w:r>
        <w:t>, p. 1176.</w:t>
      </w:r>
    </w:p>
  </w:footnote>
  <w:footnote w:id="4">
    <w:p w14:paraId="14F5FC81" w14:textId="77777777" w:rsidR="009B1786" w:rsidRDefault="009B1786" w:rsidP="009B1786">
      <w:pPr>
        <w:pStyle w:val="FootnoteText"/>
      </w:pPr>
      <w:r>
        <w:rPr>
          <w:rStyle w:val="FootnoteReference"/>
        </w:rPr>
        <w:footnoteRef/>
      </w:r>
      <w:r>
        <w:t xml:space="preserve"> University of Oxford, </w:t>
      </w:r>
      <w:r w:rsidRPr="003E495A">
        <w:rPr>
          <w:i/>
          <w:iCs/>
        </w:rPr>
        <w:t xml:space="preserve">Faculty </w:t>
      </w:r>
      <w:proofErr w:type="gramStart"/>
      <w:r>
        <w:rPr>
          <w:i/>
          <w:iCs/>
        </w:rPr>
        <w:t>O</w:t>
      </w:r>
      <w:r w:rsidRPr="003E495A">
        <w:rPr>
          <w:i/>
          <w:iCs/>
        </w:rPr>
        <w:t>f</w:t>
      </w:r>
      <w:proofErr w:type="gramEnd"/>
      <w:r w:rsidRPr="003E495A">
        <w:rPr>
          <w:i/>
          <w:iCs/>
        </w:rPr>
        <w:t xml:space="preserve"> History</w:t>
      </w:r>
      <w:r>
        <w:t xml:space="preserve">, </w:t>
      </w:r>
      <w:hyperlink r:id="rId1" w:history="1">
        <w:r w:rsidRPr="001E6BA2">
          <w:rPr>
            <w:rStyle w:val="Hyperlink"/>
          </w:rPr>
          <w:t>https://www.history.ox.ac.uk/people/dr-michelle-pfeffer</w:t>
        </w:r>
      </w:hyperlink>
      <w:r>
        <w:t>, [accessed October 24, 2024].</w:t>
      </w:r>
    </w:p>
  </w:footnote>
  <w:footnote w:id="5">
    <w:p w14:paraId="3BE48B0C" w14:textId="77777777" w:rsidR="009B1786" w:rsidRPr="00890269" w:rsidRDefault="009B1786" w:rsidP="009B1786">
      <w:pPr>
        <w:pStyle w:val="Bibliography"/>
        <w:ind w:left="720" w:hanging="720"/>
        <w:rPr>
          <w:noProof/>
          <w:sz w:val="20"/>
          <w:szCs w:val="20"/>
        </w:rPr>
      </w:pPr>
      <w:r w:rsidRPr="00890269">
        <w:rPr>
          <w:rStyle w:val="FootnoteReference"/>
          <w:sz w:val="20"/>
          <w:szCs w:val="20"/>
        </w:rPr>
        <w:footnoteRef/>
      </w:r>
      <w:r w:rsidRPr="00890269">
        <w:rPr>
          <w:sz w:val="20"/>
          <w:szCs w:val="20"/>
        </w:rPr>
        <w:t xml:space="preserve"> </w:t>
      </w:r>
      <w:r w:rsidRPr="00890269">
        <w:rPr>
          <w:noProof/>
          <w:sz w:val="20"/>
          <w:szCs w:val="20"/>
        </w:rPr>
        <w:t xml:space="preserve">Roger French. 1996. "'Foretelling </w:t>
      </w:r>
      <w:r>
        <w:rPr>
          <w:noProof/>
          <w:sz w:val="20"/>
          <w:szCs w:val="20"/>
        </w:rPr>
        <w:t>T</w:t>
      </w:r>
      <w:r w:rsidRPr="00890269">
        <w:rPr>
          <w:noProof/>
          <w:sz w:val="20"/>
          <w:szCs w:val="20"/>
        </w:rPr>
        <w:t xml:space="preserve">he Future: Arabic Astrology </w:t>
      </w:r>
      <w:r>
        <w:rPr>
          <w:noProof/>
          <w:sz w:val="20"/>
          <w:szCs w:val="20"/>
        </w:rPr>
        <w:t>A</w:t>
      </w:r>
      <w:r w:rsidRPr="00890269">
        <w:rPr>
          <w:noProof/>
          <w:sz w:val="20"/>
          <w:szCs w:val="20"/>
        </w:rPr>
        <w:t xml:space="preserve">nd English Medicine </w:t>
      </w:r>
      <w:r>
        <w:rPr>
          <w:noProof/>
          <w:sz w:val="20"/>
          <w:szCs w:val="20"/>
        </w:rPr>
        <w:t>I</w:t>
      </w:r>
      <w:r w:rsidRPr="00890269">
        <w:rPr>
          <w:noProof/>
          <w:sz w:val="20"/>
          <w:szCs w:val="20"/>
        </w:rPr>
        <w:t xml:space="preserve">n </w:t>
      </w:r>
      <w:r>
        <w:rPr>
          <w:noProof/>
          <w:sz w:val="20"/>
          <w:szCs w:val="20"/>
        </w:rPr>
        <w:t>T</w:t>
      </w:r>
      <w:r w:rsidRPr="00890269">
        <w:rPr>
          <w:noProof/>
          <w:sz w:val="20"/>
          <w:szCs w:val="20"/>
        </w:rPr>
        <w:t xml:space="preserve">he Late Twelfth Century'." </w:t>
      </w:r>
      <w:r w:rsidRPr="00890269">
        <w:rPr>
          <w:i/>
          <w:iCs/>
          <w:noProof/>
          <w:sz w:val="20"/>
          <w:szCs w:val="20"/>
        </w:rPr>
        <w:t>Isis 87, no. 3</w:t>
      </w:r>
      <w:r>
        <w:rPr>
          <w:i/>
          <w:iCs/>
          <w:noProof/>
          <w:sz w:val="20"/>
          <w:szCs w:val="20"/>
        </w:rPr>
        <w:t xml:space="preserve">: </w:t>
      </w:r>
      <w:r w:rsidRPr="00890269">
        <w:rPr>
          <w:noProof/>
          <w:sz w:val="20"/>
          <w:szCs w:val="20"/>
        </w:rPr>
        <w:t>pp. 453-480.</w:t>
      </w:r>
    </w:p>
  </w:footnote>
  <w:footnote w:id="6">
    <w:p w14:paraId="49B72F50" w14:textId="77777777" w:rsidR="009B1786" w:rsidRDefault="009B1786" w:rsidP="009B1786">
      <w:pPr>
        <w:pStyle w:val="FootnoteText"/>
      </w:pPr>
      <w:r>
        <w:rPr>
          <w:rStyle w:val="FootnoteReference"/>
        </w:rPr>
        <w:footnoteRef/>
      </w:r>
      <w:r>
        <w:t xml:space="preserve"> French, ‘</w:t>
      </w:r>
      <w:r w:rsidRPr="00890269">
        <w:rPr>
          <w:i/>
          <w:iCs/>
        </w:rPr>
        <w:t xml:space="preserve">Foretelling </w:t>
      </w:r>
      <w:proofErr w:type="gramStart"/>
      <w:r w:rsidRPr="00890269">
        <w:rPr>
          <w:i/>
          <w:iCs/>
        </w:rPr>
        <w:t>The</w:t>
      </w:r>
      <w:proofErr w:type="gramEnd"/>
      <w:r w:rsidRPr="00890269">
        <w:rPr>
          <w:i/>
          <w:iCs/>
        </w:rPr>
        <w:t xml:space="preserve"> Future’</w:t>
      </w:r>
      <w:r>
        <w:t>, p. 453.</w:t>
      </w:r>
    </w:p>
  </w:footnote>
  <w:footnote w:id="7">
    <w:p w14:paraId="139EF5BE" w14:textId="77777777" w:rsidR="009B1786" w:rsidRDefault="009B1786" w:rsidP="009B1786">
      <w:pPr>
        <w:pStyle w:val="FootnoteText"/>
      </w:pPr>
      <w:r>
        <w:rPr>
          <w:rStyle w:val="FootnoteReference"/>
        </w:rPr>
        <w:footnoteRef/>
      </w:r>
      <w:r>
        <w:t xml:space="preserve"> University of Cambridge, </w:t>
      </w:r>
      <w:r w:rsidRPr="003A2990">
        <w:rPr>
          <w:i/>
          <w:iCs/>
        </w:rPr>
        <w:t xml:space="preserve">Department </w:t>
      </w:r>
      <w:proofErr w:type="gramStart"/>
      <w:r>
        <w:rPr>
          <w:i/>
          <w:iCs/>
        </w:rPr>
        <w:t>O</w:t>
      </w:r>
      <w:r w:rsidRPr="003A2990">
        <w:rPr>
          <w:i/>
          <w:iCs/>
        </w:rPr>
        <w:t>f</w:t>
      </w:r>
      <w:proofErr w:type="gramEnd"/>
      <w:r w:rsidRPr="003A2990">
        <w:rPr>
          <w:i/>
          <w:iCs/>
        </w:rPr>
        <w:t xml:space="preserve"> History </w:t>
      </w:r>
      <w:r>
        <w:rPr>
          <w:i/>
          <w:iCs/>
        </w:rPr>
        <w:t>A</w:t>
      </w:r>
      <w:r w:rsidRPr="003A2990">
        <w:rPr>
          <w:i/>
          <w:iCs/>
        </w:rPr>
        <w:t xml:space="preserve">nd Philosophy </w:t>
      </w:r>
      <w:r>
        <w:rPr>
          <w:i/>
          <w:iCs/>
        </w:rPr>
        <w:t>O</w:t>
      </w:r>
      <w:r w:rsidRPr="003A2990">
        <w:rPr>
          <w:i/>
          <w:iCs/>
        </w:rPr>
        <w:t>f Science</w:t>
      </w:r>
      <w:r>
        <w:t xml:space="preserve">, </w:t>
      </w:r>
      <w:hyperlink r:id="rId2" w:history="1">
        <w:r w:rsidRPr="001E6BA2">
          <w:rPr>
            <w:rStyle w:val="Hyperlink"/>
          </w:rPr>
          <w:t>https://www.hps.cam.ac.uk/news-events/news-archive/roger-french</w:t>
        </w:r>
      </w:hyperlink>
      <w:r>
        <w:t xml:space="preserve"> [accessed October 24, 2024].</w:t>
      </w:r>
    </w:p>
  </w:footnote>
  <w:footnote w:id="8">
    <w:p w14:paraId="0BFC83FB" w14:textId="77777777" w:rsidR="00074823" w:rsidRDefault="00074823" w:rsidP="00074823">
      <w:pPr>
        <w:pStyle w:val="FootnoteText"/>
      </w:pPr>
      <w:r>
        <w:rPr>
          <w:rStyle w:val="FootnoteReference"/>
        </w:rPr>
        <w:footnoteRef/>
      </w:r>
      <w:r>
        <w:t xml:space="preserve"> Pfeffer, ‘</w:t>
      </w:r>
      <w:r w:rsidRPr="003C2CC9">
        <w:rPr>
          <w:i/>
          <w:iCs/>
        </w:rPr>
        <w:t xml:space="preserve">Marginalization </w:t>
      </w:r>
      <w:proofErr w:type="gramStart"/>
      <w:r>
        <w:rPr>
          <w:i/>
          <w:iCs/>
        </w:rPr>
        <w:t>O</w:t>
      </w:r>
      <w:r w:rsidRPr="003C2CC9">
        <w:rPr>
          <w:i/>
          <w:iCs/>
        </w:rPr>
        <w:t>f</w:t>
      </w:r>
      <w:proofErr w:type="gramEnd"/>
      <w:r w:rsidRPr="003C2CC9">
        <w:rPr>
          <w:i/>
          <w:iCs/>
        </w:rPr>
        <w:t xml:space="preserve"> Astrology’</w:t>
      </w:r>
      <w:r>
        <w:t>, p. 1152.</w:t>
      </w:r>
    </w:p>
  </w:footnote>
  <w:footnote w:id="9">
    <w:p w14:paraId="715FFB70" w14:textId="77777777" w:rsidR="00074823" w:rsidRDefault="00074823" w:rsidP="00074823">
      <w:pPr>
        <w:pStyle w:val="FootnoteText"/>
      </w:pPr>
      <w:r>
        <w:rPr>
          <w:rStyle w:val="FootnoteReference"/>
        </w:rPr>
        <w:footnoteRef/>
      </w:r>
      <w:r>
        <w:t xml:space="preserve"> Pfeffer, ‘</w:t>
      </w:r>
      <w:r w:rsidRPr="002C168D">
        <w:rPr>
          <w:i/>
          <w:iCs/>
        </w:rPr>
        <w:t xml:space="preserve">Marginalization </w:t>
      </w:r>
      <w:proofErr w:type="gramStart"/>
      <w:r w:rsidRPr="002C168D">
        <w:rPr>
          <w:i/>
          <w:iCs/>
        </w:rPr>
        <w:t>Of</w:t>
      </w:r>
      <w:proofErr w:type="gramEnd"/>
      <w:r w:rsidRPr="002C168D">
        <w:rPr>
          <w:i/>
          <w:iCs/>
        </w:rPr>
        <w:t xml:space="preserve"> Astrology</w:t>
      </w:r>
      <w:r>
        <w:t>’, p. 1155.</w:t>
      </w:r>
    </w:p>
  </w:footnote>
  <w:footnote w:id="10">
    <w:p w14:paraId="533BBBFB" w14:textId="77777777" w:rsidR="00E57950" w:rsidRDefault="00E57950" w:rsidP="00E57950">
      <w:pPr>
        <w:pStyle w:val="FootnoteText"/>
      </w:pPr>
      <w:r>
        <w:rPr>
          <w:rStyle w:val="FootnoteReference"/>
        </w:rPr>
        <w:footnoteRef/>
      </w:r>
      <w:r>
        <w:t xml:space="preserve"> Pfeffer, ‘</w:t>
      </w:r>
      <w:r w:rsidRPr="003C2CC9">
        <w:rPr>
          <w:i/>
          <w:iCs/>
        </w:rPr>
        <w:t xml:space="preserve">Marginalization </w:t>
      </w:r>
      <w:proofErr w:type="gramStart"/>
      <w:r>
        <w:rPr>
          <w:i/>
          <w:iCs/>
        </w:rPr>
        <w:t>O</w:t>
      </w:r>
      <w:r w:rsidRPr="003C2CC9">
        <w:rPr>
          <w:i/>
          <w:iCs/>
        </w:rPr>
        <w:t>f</w:t>
      </w:r>
      <w:proofErr w:type="gramEnd"/>
      <w:r w:rsidRPr="003C2CC9">
        <w:rPr>
          <w:i/>
          <w:iCs/>
        </w:rPr>
        <w:t xml:space="preserve"> Astrology’</w:t>
      </w:r>
      <w:r>
        <w:t>, pp. 1171-1174.</w:t>
      </w:r>
    </w:p>
  </w:footnote>
  <w:footnote w:id="11">
    <w:p w14:paraId="35A7669F" w14:textId="77777777" w:rsidR="00E57950" w:rsidRDefault="00E57950" w:rsidP="00E57950">
      <w:pPr>
        <w:pStyle w:val="FootnoteText"/>
      </w:pPr>
      <w:r>
        <w:rPr>
          <w:rStyle w:val="FootnoteReference"/>
        </w:rPr>
        <w:footnoteRef/>
      </w:r>
      <w:r>
        <w:t xml:space="preserve"> Pfeffer, ‘</w:t>
      </w:r>
      <w:r w:rsidRPr="003C2CC9">
        <w:rPr>
          <w:i/>
          <w:iCs/>
        </w:rPr>
        <w:t xml:space="preserve">Marginalization </w:t>
      </w:r>
      <w:proofErr w:type="gramStart"/>
      <w:r>
        <w:rPr>
          <w:i/>
          <w:iCs/>
        </w:rPr>
        <w:t>O</w:t>
      </w:r>
      <w:r w:rsidRPr="003C2CC9">
        <w:rPr>
          <w:i/>
          <w:iCs/>
        </w:rPr>
        <w:t>f</w:t>
      </w:r>
      <w:proofErr w:type="gramEnd"/>
      <w:r w:rsidRPr="003C2CC9">
        <w:rPr>
          <w:i/>
          <w:iCs/>
        </w:rPr>
        <w:t xml:space="preserve"> Astrology’</w:t>
      </w:r>
      <w:r>
        <w:t>, p. 1152.</w:t>
      </w:r>
    </w:p>
  </w:footnote>
  <w:footnote w:id="12">
    <w:p w14:paraId="22592197" w14:textId="77777777" w:rsidR="000F37F2" w:rsidRDefault="000F37F2" w:rsidP="000F37F2">
      <w:pPr>
        <w:pStyle w:val="FootnoteText"/>
      </w:pPr>
      <w:r>
        <w:rPr>
          <w:rStyle w:val="FootnoteReference"/>
        </w:rPr>
        <w:footnoteRef/>
      </w:r>
      <w:r>
        <w:t xml:space="preserve"> French, ‘</w:t>
      </w:r>
      <w:r w:rsidRPr="002E19A9">
        <w:rPr>
          <w:i/>
          <w:iCs/>
        </w:rPr>
        <w:t xml:space="preserve">Foretelling </w:t>
      </w:r>
      <w:proofErr w:type="gramStart"/>
      <w:r>
        <w:rPr>
          <w:i/>
          <w:iCs/>
        </w:rPr>
        <w:t>T</w:t>
      </w:r>
      <w:r w:rsidRPr="002E19A9">
        <w:rPr>
          <w:i/>
          <w:iCs/>
        </w:rPr>
        <w:t>he</w:t>
      </w:r>
      <w:proofErr w:type="gramEnd"/>
      <w:r w:rsidRPr="002E19A9">
        <w:rPr>
          <w:i/>
          <w:iCs/>
        </w:rPr>
        <w:t xml:space="preserve"> Future’</w:t>
      </w:r>
      <w:r>
        <w:t>, p. 453.</w:t>
      </w:r>
    </w:p>
  </w:footnote>
  <w:footnote w:id="13">
    <w:p w14:paraId="4F878E2F" w14:textId="4533EC7B" w:rsidR="00D320AB" w:rsidRDefault="000A2F59">
      <w:pPr>
        <w:pStyle w:val="FootnoteText"/>
      </w:pPr>
      <w:r>
        <w:rPr>
          <w:rStyle w:val="FootnoteReference"/>
        </w:rPr>
        <w:footnoteRef/>
      </w:r>
      <w:r>
        <w:t xml:space="preserve"> French, ‘</w:t>
      </w:r>
      <w:r w:rsidRPr="002E19A9">
        <w:rPr>
          <w:i/>
          <w:iCs/>
        </w:rPr>
        <w:t xml:space="preserve">Foretelling </w:t>
      </w:r>
      <w:r w:rsidR="00EC6CCF">
        <w:rPr>
          <w:i/>
          <w:iCs/>
        </w:rPr>
        <w:t>t</w:t>
      </w:r>
      <w:r w:rsidRPr="002E19A9">
        <w:rPr>
          <w:i/>
          <w:iCs/>
        </w:rPr>
        <w:t>he Future’</w:t>
      </w:r>
      <w:r>
        <w:t>, pp. 475-479.</w:t>
      </w:r>
    </w:p>
  </w:footnote>
  <w:footnote w:id="14">
    <w:p w14:paraId="27E00662" w14:textId="59C6B37F" w:rsidR="009C238F" w:rsidRDefault="000A2F59" w:rsidP="009C238F">
      <w:pPr>
        <w:pStyle w:val="FootnoteText"/>
      </w:pPr>
      <w:r>
        <w:rPr>
          <w:rStyle w:val="FootnoteReference"/>
        </w:rPr>
        <w:footnoteRef/>
      </w:r>
      <w:r>
        <w:t xml:space="preserve"> French, ‘</w:t>
      </w:r>
      <w:r w:rsidRPr="002E19A9">
        <w:rPr>
          <w:i/>
          <w:iCs/>
        </w:rPr>
        <w:t xml:space="preserve">Foretelling </w:t>
      </w:r>
      <w:r w:rsidR="00EC6CCF">
        <w:rPr>
          <w:i/>
          <w:iCs/>
        </w:rPr>
        <w:t>t</w:t>
      </w:r>
      <w:r w:rsidRPr="002E19A9">
        <w:rPr>
          <w:i/>
          <w:iCs/>
        </w:rPr>
        <w:t>he Future’</w:t>
      </w:r>
      <w:r>
        <w:t>, p. 479.</w:t>
      </w:r>
    </w:p>
    <w:p w14:paraId="3EFBC334" w14:textId="5861AC46" w:rsidR="009C238F" w:rsidRDefault="009C238F">
      <w:pPr>
        <w:pStyle w:val="FootnoteText"/>
      </w:pPr>
    </w:p>
  </w:footnote>
  <w:footnote w:id="15">
    <w:p w14:paraId="75FDA826" w14:textId="6F0B7CD5" w:rsidR="00BB6F19" w:rsidRDefault="00BB6F19" w:rsidP="00BB6F19">
      <w:pPr>
        <w:pStyle w:val="FootnoteText"/>
      </w:pPr>
      <w:r>
        <w:rPr>
          <w:rStyle w:val="FootnoteReference"/>
        </w:rPr>
        <w:footnoteRef/>
      </w:r>
      <w:r>
        <w:t xml:space="preserve"> Pfeffer, ‘</w:t>
      </w:r>
      <w:r w:rsidRPr="003C2CC9">
        <w:rPr>
          <w:i/>
          <w:iCs/>
        </w:rPr>
        <w:t xml:space="preserve">Marginalization </w:t>
      </w:r>
      <w:r w:rsidR="00EC6CCF">
        <w:rPr>
          <w:i/>
          <w:iCs/>
        </w:rPr>
        <w:t>o</w:t>
      </w:r>
      <w:r w:rsidRPr="003C2CC9">
        <w:rPr>
          <w:i/>
          <w:iCs/>
        </w:rPr>
        <w:t>f Astrology’</w:t>
      </w:r>
      <w:r>
        <w:t>, p. 1154.</w:t>
      </w:r>
    </w:p>
    <w:p w14:paraId="1F28BE21" w14:textId="77777777" w:rsidR="00BB6F19" w:rsidRDefault="00BB6F19" w:rsidP="00BB6F19">
      <w:pPr>
        <w:pStyle w:val="FootnoteText"/>
      </w:pPr>
    </w:p>
  </w:footnote>
  <w:footnote w:id="16">
    <w:p w14:paraId="7912C96F" w14:textId="77777777" w:rsidR="00BB6F19" w:rsidRDefault="00BB6F19" w:rsidP="00BB6F19">
      <w:pPr>
        <w:pStyle w:val="Bibliography"/>
        <w:ind w:left="720" w:hanging="720"/>
        <w:rPr>
          <w:noProof/>
        </w:rPr>
      </w:pPr>
      <w:r>
        <w:rPr>
          <w:rStyle w:val="FootnoteReference"/>
        </w:rPr>
        <w:footnoteRef/>
      </w:r>
      <w:r>
        <w:t xml:space="preserve"> </w:t>
      </w:r>
      <w:r w:rsidRPr="00007131">
        <w:rPr>
          <w:noProof/>
          <w:sz w:val="20"/>
          <w:szCs w:val="20"/>
        </w:rPr>
        <w:t xml:space="preserve">Rienk Vermij, University of Oklahoma. 2014. "The marginalization of Astrology Among Dutch astronomers in the first half of the 17th century." </w:t>
      </w:r>
      <w:r w:rsidRPr="00007131">
        <w:rPr>
          <w:i/>
          <w:iCs/>
          <w:noProof/>
          <w:sz w:val="20"/>
          <w:szCs w:val="20"/>
        </w:rPr>
        <w:t>Sage Journals, History of Science</w:t>
      </w:r>
      <w:r w:rsidRPr="00007131">
        <w:rPr>
          <w:noProof/>
          <w:sz w:val="20"/>
          <w:szCs w:val="20"/>
        </w:rPr>
        <w:t xml:space="preserve"> 153-177.</w:t>
      </w:r>
    </w:p>
  </w:footnote>
  <w:footnote w:id="17">
    <w:p w14:paraId="60C6922C" w14:textId="77777777" w:rsidR="00BB6F19" w:rsidRDefault="00BB6F19" w:rsidP="00BB6F19">
      <w:pPr>
        <w:pStyle w:val="FootnoteText"/>
      </w:pPr>
      <w:r>
        <w:rPr>
          <w:rStyle w:val="FootnoteReference"/>
        </w:rPr>
        <w:footnoteRef/>
      </w:r>
      <w:r>
        <w:t xml:space="preserve"> </w:t>
      </w:r>
      <w:proofErr w:type="spellStart"/>
      <w:r>
        <w:t>Vermij</w:t>
      </w:r>
      <w:proofErr w:type="spellEnd"/>
      <w:r>
        <w:t>, ‘</w:t>
      </w:r>
      <w:r>
        <w:rPr>
          <w:i/>
          <w:iCs/>
        </w:rPr>
        <w:t>Dutch Astronomers’</w:t>
      </w:r>
      <w:r>
        <w:t>, p. 172.</w:t>
      </w:r>
    </w:p>
  </w:footnote>
  <w:footnote w:id="18">
    <w:p w14:paraId="60B78A21" w14:textId="222F3F36" w:rsidR="004A34F3" w:rsidRPr="00DC35B4" w:rsidRDefault="000A2F59" w:rsidP="00DC35B4">
      <w:pPr>
        <w:pStyle w:val="Bibliography"/>
        <w:ind w:left="720" w:hanging="720"/>
        <w:rPr>
          <w:noProof/>
          <w:sz w:val="20"/>
          <w:szCs w:val="20"/>
        </w:rPr>
      </w:pPr>
      <w:r>
        <w:rPr>
          <w:rStyle w:val="FootnoteReference"/>
        </w:rPr>
        <w:footnoteRef/>
      </w:r>
      <w:r>
        <w:t xml:space="preserve"> </w:t>
      </w:r>
      <w:r w:rsidRPr="004A34F3">
        <w:rPr>
          <w:noProof/>
          <w:sz w:val="20"/>
          <w:szCs w:val="20"/>
        </w:rPr>
        <w:t xml:space="preserve">Rutkin, H. Darrel. 2018. "How to accurately account for astrology’s marginalization in the history of science and culture: the central importance of an interpretive framework." </w:t>
      </w:r>
      <w:r w:rsidRPr="004A34F3">
        <w:rPr>
          <w:i/>
          <w:iCs/>
          <w:noProof/>
          <w:sz w:val="20"/>
          <w:szCs w:val="20"/>
        </w:rPr>
        <w:t>Early Science and Medicine 23</w:t>
      </w:r>
      <w:r w:rsidRPr="004A34F3">
        <w:rPr>
          <w:noProof/>
          <w:sz w:val="20"/>
          <w:szCs w:val="20"/>
        </w:rPr>
        <w:t xml:space="preserve"> </w:t>
      </w:r>
      <w:r w:rsidR="00DD7F9A">
        <w:rPr>
          <w:noProof/>
          <w:sz w:val="20"/>
          <w:szCs w:val="20"/>
        </w:rPr>
        <w:t>242-243</w:t>
      </w:r>
      <w:r w:rsidRPr="004A34F3">
        <w:rPr>
          <w:noProof/>
          <w:sz w:val="20"/>
          <w:szCs w:val="20"/>
        </w:rPr>
        <w:t>.</w:t>
      </w:r>
    </w:p>
  </w:footnote>
  <w:footnote w:id="19">
    <w:p w14:paraId="3D683EAA" w14:textId="6304E391" w:rsidR="00DC35B4" w:rsidRDefault="000A2F59">
      <w:pPr>
        <w:pStyle w:val="FootnoteText"/>
      </w:pPr>
      <w:r>
        <w:rPr>
          <w:rStyle w:val="FootnoteReference"/>
        </w:rPr>
        <w:footnoteRef/>
      </w:r>
      <w:r>
        <w:t xml:space="preserve"> Pfeffer, ‘</w:t>
      </w:r>
      <w:r w:rsidRPr="003C2CC9">
        <w:rPr>
          <w:i/>
          <w:iCs/>
        </w:rPr>
        <w:t xml:space="preserve">Marginalization </w:t>
      </w:r>
      <w:r w:rsidR="00527759">
        <w:rPr>
          <w:i/>
          <w:iCs/>
        </w:rPr>
        <w:t>o</w:t>
      </w:r>
      <w:r w:rsidRPr="003C2CC9">
        <w:rPr>
          <w:i/>
          <w:iCs/>
        </w:rPr>
        <w:t>f Astrology’</w:t>
      </w:r>
      <w:r>
        <w:t>, p. 1175.</w:t>
      </w:r>
    </w:p>
  </w:footnote>
  <w:footnote w:id="20">
    <w:p w14:paraId="2F262AFF" w14:textId="5165E97E" w:rsidR="00413F04" w:rsidRDefault="000A2F59">
      <w:pPr>
        <w:pStyle w:val="FootnoteText"/>
      </w:pPr>
      <w:r>
        <w:rPr>
          <w:rStyle w:val="FootnoteReference"/>
        </w:rPr>
        <w:footnoteRef/>
      </w:r>
      <w:r>
        <w:t xml:space="preserve"> </w:t>
      </w:r>
      <w:r w:rsidR="00BA0B09">
        <w:t>Pfeffer, ‘</w:t>
      </w:r>
      <w:r w:rsidR="00BA0B09" w:rsidRPr="003C2CC9">
        <w:rPr>
          <w:i/>
          <w:iCs/>
        </w:rPr>
        <w:t xml:space="preserve">Marginalization </w:t>
      </w:r>
      <w:r w:rsidR="00527759">
        <w:rPr>
          <w:i/>
          <w:iCs/>
        </w:rPr>
        <w:t>o</w:t>
      </w:r>
      <w:r w:rsidR="00BA0B09" w:rsidRPr="003C2CC9">
        <w:rPr>
          <w:i/>
          <w:iCs/>
        </w:rPr>
        <w:t>f Astrology’</w:t>
      </w:r>
      <w:r w:rsidR="00BA0B09">
        <w:t>, p. 1175.</w:t>
      </w:r>
    </w:p>
  </w:footnote>
  <w:footnote w:id="21">
    <w:p w14:paraId="0D8B2209" w14:textId="4CDD0286" w:rsidR="00930808" w:rsidRPr="00D55B8C" w:rsidRDefault="00930808" w:rsidP="00930808">
      <w:pPr>
        <w:pStyle w:val="Bibliography"/>
        <w:ind w:left="720" w:hanging="720"/>
        <w:rPr>
          <w:noProof/>
          <w:sz w:val="20"/>
          <w:szCs w:val="20"/>
        </w:rPr>
      </w:pPr>
      <w:r>
        <w:rPr>
          <w:rStyle w:val="FootnoteReference"/>
        </w:rPr>
        <w:footnoteRef/>
      </w:r>
      <w:r>
        <w:t xml:space="preserve"> </w:t>
      </w:r>
      <w:r w:rsidRPr="00890269">
        <w:rPr>
          <w:noProof/>
          <w:sz w:val="20"/>
          <w:szCs w:val="20"/>
        </w:rPr>
        <w:t xml:space="preserve">Roger French. 1996. "'Foretelling </w:t>
      </w:r>
      <w:r w:rsidR="00527759">
        <w:rPr>
          <w:noProof/>
          <w:sz w:val="20"/>
          <w:szCs w:val="20"/>
        </w:rPr>
        <w:t>t</w:t>
      </w:r>
      <w:r w:rsidRPr="00890269">
        <w:rPr>
          <w:noProof/>
          <w:sz w:val="20"/>
          <w:szCs w:val="20"/>
        </w:rPr>
        <w:t xml:space="preserve">he Future: Arabic Astrology </w:t>
      </w:r>
      <w:r w:rsidR="00527759">
        <w:rPr>
          <w:noProof/>
          <w:sz w:val="20"/>
          <w:szCs w:val="20"/>
        </w:rPr>
        <w:t>a</w:t>
      </w:r>
      <w:r w:rsidRPr="00890269">
        <w:rPr>
          <w:noProof/>
          <w:sz w:val="20"/>
          <w:szCs w:val="20"/>
        </w:rPr>
        <w:t xml:space="preserve">nd English Medicine </w:t>
      </w:r>
      <w:r w:rsidR="00527759">
        <w:rPr>
          <w:noProof/>
          <w:sz w:val="20"/>
          <w:szCs w:val="20"/>
        </w:rPr>
        <w:t>i</w:t>
      </w:r>
      <w:r w:rsidRPr="00890269">
        <w:rPr>
          <w:noProof/>
          <w:sz w:val="20"/>
          <w:szCs w:val="20"/>
        </w:rPr>
        <w:t xml:space="preserve">n </w:t>
      </w:r>
      <w:r w:rsidR="00527759">
        <w:rPr>
          <w:noProof/>
          <w:sz w:val="20"/>
          <w:szCs w:val="20"/>
        </w:rPr>
        <w:t>t</w:t>
      </w:r>
      <w:r w:rsidRPr="00890269">
        <w:rPr>
          <w:noProof/>
          <w:sz w:val="20"/>
          <w:szCs w:val="20"/>
        </w:rPr>
        <w:t xml:space="preserve">he Late Twelfth Century'." </w:t>
      </w:r>
      <w:r w:rsidRPr="00890269">
        <w:rPr>
          <w:i/>
          <w:iCs/>
          <w:noProof/>
          <w:sz w:val="20"/>
          <w:szCs w:val="20"/>
        </w:rPr>
        <w:t>Isis 87, no. 3</w:t>
      </w:r>
      <w:r>
        <w:rPr>
          <w:i/>
          <w:iCs/>
          <w:noProof/>
          <w:sz w:val="20"/>
          <w:szCs w:val="20"/>
        </w:rPr>
        <w:t xml:space="preserve">: </w:t>
      </w:r>
      <w:r w:rsidRPr="00890269">
        <w:rPr>
          <w:noProof/>
          <w:sz w:val="20"/>
          <w:szCs w:val="20"/>
        </w:rPr>
        <w:t>pp. 453-480.</w:t>
      </w:r>
    </w:p>
  </w:footnote>
  <w:footnote w:id="22">
    <w:p w14:paraId="2DA576A2" w14:textId="2AE03CE7" w:rsidR="00930808" w:rsidRDefault="00930808" w:rsidP="00930808">
      <w:pPr>
        <w:pStyle w:val="FootnoteText"/>
      </w:pPr>
      <w:r>
        <w:rPr>
          <w:rStyle w:val="FootnoteReference"/>
        </w:rPr>
        <w:footnoteRef/>
      </w:r>
      <w:r>
        <w:t xml:space="preserve"> French, ‘</w:t>
      </w:r>
      <w:r w:rsidRPr="00890269">
        <w:rPr>
          <w:i/>
          <w:iCs/>
        </w:rPr>
        <w:t xml:space="preserve">Foretelling </w:t>
      </w:r>
      <w:r w:rsidR="00527759">
        <w:rPr>
          <w:i/>
          <w:iCs/>
        </w:rPr>
        <w:t>t</w:t>
      </w:r>
      <w:r w:rsidRPr="00890269">
        <w:rPr>
          <w:i/>
          <w:iCs/>
        </w:rPr>
        <w:t>he Future’</w:t>
      </w:r>
    </w:p>
  </w:footnote>
  <w:footnote w:id="23">
    <w:p w14:paraId="3FC4E3A4" w14:textId="5674A519" w:rsidR="00930808" w:rsidRDefault="00930808" w:rsidP="00930808">
      <w:pPr>
        <w:pStyle w:val="FootnoteText"/>
      </w:pPr>
      <w:r>
        <w:rPr>
          <w:rStyle w:val="FootnoteReference"/>
        </w:rPr>
        <w:footnoteRef/>
      </w:r>
      <w:r>
        <w:t xml:space="preserve"> French, ‘</w:t>
      </w:r>
      <w:r w:rsidRPr="00890269">
        <w:rPr>
          <w:i/>
          <w:iCs/>
        </w:rPr>
        <w:t xml:space="preserve">Foretelling </w:t>
      </w:r>
      <w:r w:rsidR="00EE1B61">
        <w:rPr>
          <w:i/>
          <w:iCs/>
        </w:rPr>
        <w:t>t</w:t>
      </w:r>
      <w:r w:rsidRPr="00890269">
        <w:rPr>
          <w:i/>
          <w:iCs/>
        </w:rPr>
        <w:t>he Future’</w:t>
      </w:r>
      <w:r>
        <w:t>, pp 475-479.</w:t>
      </w:r>
    </w:p>
  </w:footnote>
  <w:footnote w:id="24">
    <w:p w14:paraId="0F14EE4C" w14:textId="0144F360" w:rsidR="00AE3C3B" w:rsidRPr="00AE3C3B" w:rsidRDefault="000A2F59">
      <w:pPr>
        <w:pStyle w:val="FootnoteText"/>
      </w:pPr>
      <w:r>
        <w:rPr>
          <w:rStyle w:val="FootnoteReference"/>
        </w:rPr>
        <w:footnoteRef/>
      </w:r>
      <w:r>
        <w:t xml:space="preserve"> French, ‘</w:t>
      </w:r>
      <w:r w:rsidRPr="00890269">
        <w:rPr>
          <w:i/>
          <w:iCs/>
        </w:rPr>
        <w:t xml:space="preserve">Foretelling </w:t>
      </w:r>
      <w:r w:rsidR="00EE1B61">
        <w:rPr>
          <w:i/>
          <w:iCs/>
        </w:rPr>
        <w:t>t</w:t>
      </w:r>
      <w:r w:rsidRPr="00890269">
        <w:rPr>
          <w:i/>
          <w:iCs/>
        </w:rPr>
        <w:t>he Future’</w:t>
      </w:r>
      <w:r>
        <w:t>, p</w:t>
      </w:r>
      <w:r w:rsidR="00E82E6F">
        <w:t>p 459</w:t>
      </w:r>
      <w:r w:rsidR="00A152A7">
        <w:t>-</w:t>
      </w:r>
      <w:r w:rsidR="000E7085">
        <w:t>474</w:t>
      </w:r>
      <w:r w:rsidR="00A152A7">
        <w:t>.</w:t>
      </w:r>
    </w:p>
  </w:footnote>
  <w:footnote w:id="25">
    <w:p w14:paraId="6CB31BCB" w14:textId="2D7CCED6" w:rsidR="002E0A4A" w:rsidRPr="002E0A4A" w:rsidRDefault="000A2F59">
      <w:pPr>
        <w:pStyle w:val="FootnoteText"/>
      </w:pPr>
      <w:r>
        <w:rPr>
          <w:rStyle w:val="FootnoteReference"/>
        </w:rPr>
        <w:footnoteRef/>
      </w:r>
      <w:r>
        <w:t xml:space="preserve"> French, ‘</w:t>
      </w:r>
      <w:r w:rsidRPr="00890269">
        <w:rPr>
          <w:i/>
          <w:iCs/>
        </w:rPr>
        <w:t xml:space="preserve">Foretelling </w:t>
      </w:r>
      <w:r w:rsidR="00EE1B61">
        <w:rPr>
          <w:i/>
          <w:iCs/>
        </w:rPr>
        <w:t>t</w:t>
      </w:r>
      <w:r w:rsidRPr="00890269">
        <w:rPr>
          <w:i/>
          <w:iCs/>
        </w:rPr>
        <w:t>he Future’</w:t>
      </w:r>
      <w:r>
        <w:rPr>
          <w:i/>
          <w:iCs/>
        </w:rPr>
        <w:t>,</w:t>
      </w:r>
      <w:r>
        <w:t xml:space="preserve"> p. </w:t>
      </w:r>
      <w:r w:rsidR="000B2E8E">
        <w:t>456</w:t>
      </w:r>
      <w:r w:rsidR="00557C75">
        <w:t>.</w:t>
      </w:r>
    </w:p>
  </w:footnote>
  <w:footnote w:id="26">
    <w:p w14:paraId="44A98704" w14:textId="2DCCD7F5" w:rsidR="00E411E0" w:rsidRPr="00E411E0" w:rsidRDefault="000A2F59">
      <w:pPr>
        <w:pStyle w:val="FootnoteText"/>
      </w:pPr>
      <w:r>
        <w:rPr>
          <w:rStyle w:val="FootnoteReference"/>
        </w:rPr>
        <w:footnoteRef/>
      </w:r>
      <w:r>
        <w:t xml:space="preserve"> French, ‘</w:t>
      </w:r>
      <w:r w:rsidRPr="00890269">
        <w:rPr>
          <w:i/>
          <w:iCs/>
        </w:rPr>
        <w:t xml:space="preserve">Foretelling </w:t>
      </w:r>
      <w:r w:rsidR="00EE1B61">
        <w:rPr>
          <w:i/>
          <w:iCs/>
        </w:rPr>
        <w:t>t</w:t>
      </w:r>
      <w:r w:rsidRPr="00890269">
        <w:rPr>
          <w:i/>
          <w:iCs/>
        </w:rPr>
        <w:t>he Future’</w:t>
      </w:r>
      <w:r>
        <w:rPr>
          <w:i/>
          <w:iCs/>
        </w:rPr>
        <w:t xml:space="preserve">, </w:t>
      </w:r>
      <w:r>
        <w:t xml:space="preserve">pp. </w:t>
      </w:r>
      <w:r w:rsidR="00557C75">
        <w:t>476-477.</w:t>
      </w:r>
    </w:p>
  </w:footnote>
  <w:footnote w:id="27">
    <w:p w14:paraId="4AEED92E" w14:textId="709F241B" w:rsidR="006456B6" w:rsidRPr="00802687" w:rsidRDefault="000A2F59" w:rsidP="00802687">
      <w:pPr>
        <w:pStyle w:val="Bibliography"/>
        <w:ind w:left="720" w:hanging="720"/>
        <w:rPr>
          <w:noProof/>
          <w:kern w:val="0"/>
          <w:sz w:val="20"/>
          <w:szCs w:val="20"/>
          <w14:ligatures w14:val="none"/>
        </w:rPr>
      </w:pPr>
      <w:r>
        <w:rPr>
          <w:rStyle w:val="FootnoteReference"/>
        </w:rPr>
        <w:footnoteRef/>
      </w:r>
      <w:r>
        <w:t xml:space="preserve"> </w:t>
      </w:r>
      <w:r w:rsidRPr="006456B6">
        <w:rPr>
          <w:noProof/>
          <w:sz w:val="20"/>
          <w:szCs w:val="20"/>
        </w:rPr>
        <w:t xml:space="preserve">Grijs, Richard de. 2023. "Roger of Hereford: The Twelfth-Century Astronomer Who Put Hereford On The Map, Literally." </w:t>
      </w:r>
      <w:r w:rsidRPr="006456B6">
        <w:rPr>
          <w:i/>
          <w:iCs/>
          <w:noProof/>
          <w:sz w:val="20"/>
          <w:szCs w:val="20"/>
        </w:rPr>
        <w:t>The Local Historian [journal of the British Association for Local History], vol.53 no.2</w:t>
      </w:r>
      <w:r w:rsidRPr="006456B6">
        <w:rPr>
          <w:noProof/>
          <w:sz w:val="20"/>
          <w:szCs w:val="20"/>
        </w:rPr>
        <w:t xml:space="preserve"> 98-111.</w:t>
      </w:r>
    </w:p>
  </w:footnote>
  <w:footnote w:id="28">
    <w:p w14:paraId="4DF5650F" w14:textId="1C5B9C47" w:rsidR="001F4386" w:rsidRDefault="000A2F59">
      <w:pPr>
        <w:pStyle w:val="FootnoteText"/>
      </w:pPr>
      <w:r>
        <w:rPr>
          <w:rStyle w:val="FootnoteReference"/>
        </w:rPr>
        <w:footnoteRef/>
      </w:r>
      <w:r>
        <w:t xml:space="preserve"> </w:t>
      </w:r>
      <w:r w:rsidR="00802687">
        <w:t>deGrijs, ‘</w:t>
      </w:r>
      <w:r w:rsidR="00802687" w:rsidRPr="00802687">
        <w:rPr>
          <w:i/>
          <w:iCs/>
        </w:rPr>
        <w:t>Roger of Hereford’</w:t>
      </w:r>
      <w:r w:rsidR="00802687">
        <w:t xml:space="preserve">, p. </w:t>
      </w:r>
      <w:r w:rsidR="001847CE">
        <w:t>108.</w:t>
      </w:r>
    </w:p>
  </w:footnote>
  <w:footnote w:id="29">
    <w:p w14:paraId="17D0A9CE" w14:textId="5E905B9C" w:rsidR="005D3543" w:rsidRPr="004B5545" w:rsidRDefault="000A2F59" w:rsidP="004B5545">
      <w:pPr>
        <w:pStyle w:val="Bibliography"/>
        <w:ind w:left="720" w:hanging="720"/>
        <w:rPr>
          <w:noProof/>
          <w:lang w:val="en-CA"/>
        </w:rPr>
      </w:pPr>
      <w:r>
        <w:rPr>
          <w:rStyle w:val="FootnoteReference"/>
        </w:rPr>
        <w:footnoteRef/>
      </w:r>
      <w:r>
        <w:t xml:space="preserve"> </w:t>
      </w:r>
      <w:r>
        <w:rPr>
          <w:noProof/>
        </w:rPr>
        <w:t xml:space="preserve">Mitchell, Chris. 2021. </w:t>
      </w:r>
      <w:r>
        <w:rPr>
          <w:i/>
          <w:iCs/>
          <w:noProof/>
        </w:rPr>
        <w:t xml:space="preserve">England's First Astrology Book: Roger of </w:t>
      </w:r>
      <w:r>
        <w:rPr>
          <w:i/>
          <w:iCs/>
          <w:noProof/>
        </w:rPr>
        <w:t>Hereford's Judicial Astrology.</w:t>
      </w:r>
      <w:r>
        <w:rPr>
          <w:noProof/>
        </w:rPr>
        <w:t xml:space="preserve"> Leicester, UK: Almuten Figuris Publications.</w:t>
      </w:r>
    </w:p>
  </w:footnote>
  <w:footnote w:id="30">
    <w:p w14:paraId="3AFC5265" w14:textId="48D5401E" w:rsidR="004B5545" w:rsidRDefault="000A2F59">
      <w:pPr>
        <w:pStyle w:val="FootnoteText"/>
      </w:pPr>
      <w:r>
        <w:rPr>
          <w:rStyle w:val="FootnoteReference"/>
        </w:rPr>
        <w:footnoteRef/>
      </w:r>
      <w:r>
        <w:t xml:space="preserve"> Mitchell, ‘Judicial Astrology’, p. 43</w:t>
      </w:r>
    </w:p>
  </w:footnote>
  <w:footnote w:id="31">
    <w:p w14:paraId="502BDD25" w14:textId="77777777" w:rsidR="00233EDF" w:rsidRDefault="00233EDF" w:rsidP="00233EDF">
      <w:pPr>
        <w:pStyle w:val="FootnoteText"/>
      </w:pPr>
      <w:r>
        <w:rPr>
          <w:rStyle w:val="FootnoteReference"/>
        </w:rPr>
        <w:footnoteRef/>
      </w:r>
      <w:r>
        <w:t xml:space="preserve"> Mitchell, ‘Judicial Astrology’, p. 141</w:t>
      </w:r>
    </w:p>
    <w:p w14:paraId="3DCFB9AC" w14:textId="77777777" w:rsidR="00233EDF" w:rsidRDefault="00233EDF" w:rsidP="00233ED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93B"/>
    <w:multiLevelType w:val="hybridMultilevel"/>
    <w:tmpl w:val="1F08B760"/>
    <w:lvl w:ilvl="0" w:tplc="2898DC56">
      <w:start w:val="5"/>
      <w:numFmt w:val="bullet"/>
      <w:lvlText w:val="-"/>
      <w:lvlJc w:val="left"/>
      <w:pPr>
        <w:ind w:left="720" w:hanging="360"/>
      </w:pPr>
      <w:rPr>
        <w:rFonts w:ascii="Aptos" w:eastAsiaTheme="minorHAnsi" w:hAnsi="Aptos" w:cstheme="minorBidi" w:hint="default"/>
        <w:sz w:val="24"/>
      </w:rPr>
    </w:lvl>
    <w:lvl w:ilvl="1" w:tplc="904C515E" w:tentative="1">
      <w:start w:val="1"/>
      <w:numFmt w:val="bullet"/>
      <w:lvlText w:val="o"/>
      <w:lvlJc w:val="left"/>
      <w:pPr>
        <w:ind w:left="1440" w:hanging="360"/>
      </w:pPr>
      <w:rPr>
        <w:rFonts w:ascii="Courier New" w:hAnsi="Courier New" w:cs="Courier New" w:hint="default"/>
      </w:rPr>
    </w:lvl>
    <w:lvl w:ilvl="2" w:tplc="D466CF94" w:tentative="1">
      <w:start w:val="1"/>
      <w:numFmt w:val="bullet"/>
      <w:lvlText w:val=""/>
      <w:lvlJc w:val="left"/>
      <w:pPr>
        <w:ind w:left="2160" w:hanging="360"/>
      </w:pPr>
      <w:rPr>
        <w:rFonts w:ascii="Wingdings" w:hAnsi="Wingdings" w:hint="default"/>
      </w:rPr>
    </w:lvl>
    <w:lvl w:ilvl="3" w:tplc="F1C47922" w:tentative="1">
      <w:start w:val="1"/>
      <w:numFmt w:val="bullet"/>
      <w:lvlText w:val=""/>
      <w:lvlJc w:val="left"/>
      <w:pPr>
        <w:ind w:left="2880" w:hanging="360"/>
      </w:pPr>
      <w:rPr>
        <w:rFonts w:ascii="Symbol" w:hAnsi="Symbol" w:hint="default"/>
      </w:rPr>
    </w:lvl>
    <w:lvl w:ilvl="4" w:tplc="6FE05FAA" w:tentative="1">
      <w:start w:val="1"/>
      <w:numFmt w:val="bullet"/>
      <w:lvlText w:val="o"/>
      <w:lvlJc w:val="left"/>
      <w:pPr>
        <w:ind w:left="3600" w:hanging="360"/>
      </w:pPr>
      <w:rPr>
        <w:rFonts w:ascii="Courier New" w:hAnsi="Courier New" w:cs="Courier New" w:hint="default"/>
      </w:rPr>
    </w:lvl>
    <w:lvl w:ilvl="5" w:tplc="5CD48434" w:tentative="1">
      <w:start w:val="1"/>
      <w:numFmt w:val="bullet"/>
      <w:lvlText w:val=""/>
      <w:lvlJc w:val="left"/>
      <w:pPr>
        <w:ind w:left="4320" w:hanging="360"/>
      </w:pPr>
      <w:rPr>
        <w:rFonts w:ascii="Wingdings" w:hAnsi="Wingdings" w:hint="default"/>
      </w:rPr>
    </w:lvl>
    <w:lvl w:ilvl="6" w:tplc="4E1CEC7E" w:tentative="1">
      <w:start w:val="1"/>
      <w:numFmt w:val="bullet"/>
      <w:lvlText w:val=""/>
      <w:lvlJc w:val="left"/>
      <w:pPr>
        <w:ind w:left="5040" w:hanging="360"/>
      </w:pPr>
      <w:rPr>
        <w:rFonts w:ascii="Symbol" w:hAnsi="Symbol" w:hint="default"/>
      </w:rPr>
    </w:lvl>
    <w:lvl w:ilvl="7" w:tplc="2BAEFD5A" w:tentative="1">
      <w:start w:val="1"/>
      <w:numFmt w:val="bullet"/>
      <w:lvlText w:val="o"/>
      <w:lvlJc w:val="left"/>
      <w:pPr>
        <w:ind w:left="5760" w:hanging="360"/>
      </w:pPr>
      <w:rPr>
        <w:rFonts w:ascii="Courier New" w:hAnsi="Courier New" w:cs="Courier New" w:hint="default"/>
      </w:rPr>
    </w:lvl>
    <w:lvl w:ilvl="8" w:tplc="09624120" w:tentative="1">
      <w:start w:val="1"/>
      <w:numFmt w:val="bullet"/>
      <w:lvlText w:val=""/>
      <w:lvlJc w:val="left"/>
      <w:pPr>
        <w:ind w:left="6480" w:hanging="360"/>
      </w:pPr>
      <w:rPr>
        <w:rFonts w:ascii="Wingdings" w:hAnsi="Wingdings" w:hint="default"/>
      </w:rPr>
    </w:lvl>
  </w:abstractNum>
  <w:abstractNum w:abstractNumId="1" w15:restartNumberingAfterBreak="0">
    <w:nsid w:val="5B6A43DC"/>
    <w:multiLevelType w:val="hybridMultilevel"/>
    <w:tmpl w:val="A70282B6"/>
    <w:lvl w:ilvl="0" w:tplc="09D6D1AE">
      <w:numFmt w:val="bullet"/>
      <w:lvlText w:val="-"/>
      <w:lvlJc w:val="left"/>
      <w:pPr>
        <w:ind w:left="720" w:hanging="360"/>
      </w:pPr>
      <w:rPr>
        <w:rFonts w:ascii="Aptos" w:eastAsiaTheme="minorHAnsi" w:hAnsi="Aptos" w:cstheme="minorBidi" w:hint="default"/>
      </w:rPr>
    </w:lvl>
    <w:lvl w:ilvl="1" w:tplc="A4A27B4E" w:tentative="1">
      <w:start w:val="1"/>
      <w:numFmt w:val="bullet"/>
      <w:lvlText w:val="o"/>
      <w:lvlJc w:val="left"/>
      <w:pPr>
        <w:ind w:left="1440" w:hanging="360"/>
      </w:pPr>
      <w:rPr>
        <w:rFonts w:ascii="Courier New" w:hAnsi="Courier New" w:cs="Courier New" w:hint="default"/>
      </w:rPr>
    </w:lvl>
    <w:lvl w:ilvl="2" w:tplc="E72C2FFC" w:tentative="1">
      <w:start w:val="1"/>
      <w:numFmt w:val="bullet"/>
      <w:lvlText w:val=""/>
      <w:lvlJc w:val="left"/>
      <w:pPr>
        <w:ind w:left="2160" w:hanging="360"/>
      </w:pPr>
      <w:rPr>
        <w:rFonts w:ascii="Wingdings" w:hAnsi="Wingdings" w:hint="default"/>
      </w:rPr>
    </w:lvl>
    <w:lvl w:ilvl="3" w:tplc="558AEF7A" w:tentative="1">
      <w:start w:val="1"/>
      <w:numFmt w:val="bullet"/>
      <w:lvlText w:val=""/>
      <w:lvlJc w:val="left"/>
      <w:pPr>
        <w:ind w:left="2880" w:hanging="360"/>
      </w:pPr>
      <w:rPr>
        <w:rFonts w:ascii="Symbol" w:hAnsi="Symbol" w:hint="default"/>
      </w:rPr>
    </w:lvl>
    <w:lvl w:ilvl="4" w:tplc="A7D299A4" w:tentative="1">
      <w:start w:val="1"/>
      <w:numFmt w:val="bullet"/>
      <w:lvlText w:val="o"/>
      <w:lvlJc w:val="left"/>
      <w:pPr>
        <w:ind w:left="3600" w:hanging="360"/>
      </w:pPr>
      <w:rPr>
        <w:rFonts w:ascii="Courier New" w:hAnsi="Courier New" w:cs="Courier New" w:hint="default"/>
      </w:rPr>
    </w:lvl>
    <w:lvl w:ilvl="5" w:tplc="B5CAA192" w:tentative="1">
      <w:start w:val="1"/>
      <w:numFmt w:val="bullet"/>
      <w:lvlText w:val=""/>
      <w:lvlJc w:val="left"/>
      <w:pPr>
        <w:ind w:left="4320" w:hanging="360"/>
      </w:pPr>
      <w:rPr>
        <w:rFonts w:ascii="Wingdings" w:hAnsi="Wingdings" w:hint="default"/>
      </w:rPr>
    </w:lvl>
    <w:lvl w:ilvl="6" w:tplc="FCEEE776" w:tentative="1">
      <w:start w:val="1"/>
      <w:numFmt w:val="bullet"/>
      <w:lvlText w:val=""/>
      <w:lvlJc w:val="left"/>
      <w:pPr>
        <w:ind w:left="5040" w:hanging="360"/>
      </w:pPr>
      <w:rPr>
        <w:rFonts w:ascii="Symbol" w:hAnsi="Symbol" w:hint="default"/>
      </w:rPr>
    </w:lvl>
    <w:lvl w:ilvl="7" w:tplc="523AEE96" w:tentative="1">
      <w:start w:val="1"/>
      <w:numFmt w:val="bullet"/>
      <w:lvlText w:val="o"/>
      <w:lvlJc w:val="left"/>
      <w:pPr>
        <w:ind w:left="5760" w:hanging="360"/>
      </w:pPr>
      <w:rPr>
        <w:rFonts w:ascii="Courier New" w:hAnsi="Courier New" w:cs="Courier New" w:hint="default"/>
      </w:rPr>
    </w:lvl>
    <w:lvl w:ilvl="8" w:tplc="705E2E6E" w:tentative="1">
      <w:start w:val="1"/>
      <w:numFmt w:val="bullet"/>
      <w:lvlText w:val=""/>
      <w:lvlJc w:val="left"/>
      <w:pPr>
        <w:ind w:left="6480" w:hanging="360"/>
      </w:pPr>
      <w:rPr>
        <w:rFonts w:ascii="Wingdings" w:hAnsi="Wingdings" w:hint="default"/>
      </w:rPr>
    </w:lvl>
  </w:abstractNum>
  <w:num w:numId="1" w16cid:durableId="1541937582">
    <w:abstractNumId w:val="0"/>
  </w:num>
  <w:num w:numId="2" w16cid:durableId="1519856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475"/>
    <w:rsid w:val="00000B2A"/>
    <w:rsid w:val="000017EF"/>
    <w:rsid w:val="00004E34"/>
    <w:rsid w:val="00005904"/>
    <w:rsid w:val="00007131"/>
    <w:rsid w:val="000100A5"/>
    <w:rsid w:val="0001410C"/>
    <w:rsid w:val="00014368"/>
    <w:rsid w:val="00015656"/>
    <w:rsid w:val="00017B02"/>
    <w:rsid w:val="000214C7"/>
    <w:rsid w:val="0003021B"/>
    <w:rsid w:val="0003119E"/>
    <w:rsid w:val="0003552A"/>
    <w:rsid w:val="000414D1"/>
    <w:rsid w:val="00046060"/>
    <w:rsid w:val="000473A6"/>
    <w:rsid w:val="0005263F"/>
    <w:rsid w:val="00074823"/>
    <w:rsid w:val="00074A9F"/>
    <w:rsid w:val="000833CE"/>
    <w:rsid w:val="000835E6"/>
    <w:rsid w:val="000858DC"/>
    <w:rsid w:val="000861F9"/>
    <w:rsid w:val="00087E68"/>
    <w:rsid w:val="0009313E"/>
    <w:rsid w:val="00093E63"/>
    <w:rsid w:val="000A2F59"/>
    <w:rsid w:val="000A43F1"/>
    <w:rsid w:val="000A7210"/>
    <w:rsid w:val="000B2E8E"/>
    <w:rsid w:val="000C0039"/>
    <w:rsid w:val="000C19BD"/>
    <w:rsid w:val="000C3F45"/>
    <w:rsid w:val="000C688F"/>
    <w:rsid w:val="000E1941"/>
    <w:rsid w:val="000E7085"/>
    <w:rsid w:val="000F37F2"/>
    <w:rsid w:val="0010594C"/>
    <w:rsid w:val="00126CB7"/>
    <w:rsid w:val="00131D0E"/>
    <w:rsid w:val="0013258D"/>
    <w:rsid w:val="00132F67"/>
    <w:rsid w:val="00133512"/>
    <w:rsid w:val="001346EB"/>
    <w:rsid w:val="00152C84"/>
    <w:rsid w:val="00154611"/>
    <w:rsid w:val="00156F76"/>
    <w:rsid w:val="0015750E"/>
    <w:rsid w:val="00157AA7"/>
    <w:rsid w:val="001602F2"/>
    <w:rsid w:val="00160C7E"/>
    <w:rsid w:val="0017452F"/>
    <w:rsid w:val="001847CE"/>
    <w:rsid w:val="00192614"/>
    <w:rsid w:val="001936F5"/>
    <w:rsid w:val="001A7204"/>
    <w:rsid w:val="001B01E1"/>
    <w:rsid w:val="001B2641"/>
    <w:rsid w:val="001B4D28"/>
    <w:rsid w:val="001C5F5A"/>
    <w:rsid w:val="001D2895"/>
    <w:rsid w:val="001D2B3A"/>
    <w:rsid w:val="001E0501"/>
    <w:rsid w:val="001E2CBE"/>
    <w:rsid w:val="001E643B"/>
    <w:rsid w:val="001E6BA2"/>
    <w:rsid w:val="001E6D14"/>
    <w:rsid w:val="001F4386"/>
    <w:rsid w:val="001F6069"/>
    <w:rsid w:val="001F6219"/>
    <w:rsid w:val="00200033"/>
    <w:rsid w:val="002073F8"/>
    <w:rsid w:val="00216F3F"/>
    <w:rsid w:val="00222E34"/>
    <w:rsid w:val="002242EB"/>
    <w:rsid w:val="00225B08"/>
    <w:rsid w:val="002337B4"/>
    <w:rsid w:val="00233CC1"/>
    <w:rsid w:val="00233EDF"/>
    <w:rsid w:val="00235BF8"/>
    <w:rsid w:val="0024531D"/>
    <w:rsid w:val="00246812"/>
    <w:rsid w:val="00251C63"/>
    <w:rsid w:val="00253C3E"/>
    <w:rsid w:val="0025422A"/>
    <w:rsid w:val="00264953"/>
    <w:rsid w:val="00267103"/>
    <w:rsid w:val="00267108"/>
    <w:rsid w:val="00272029"/>
    <w:rsid w:val="0027234F"/>
    <w:rsid w:val="00275844"/>
    <w:rsid w:val="00276724"/>
    <w:rsid w:val="00281032"/>
    <w:rsid w:val="00284926"/>
    <w:rsid w:val="002859B2"/>
    <w:rsid w:val="00290C79"/>
    <w:rsid w:val="00293453"/>
    <w:rsid w:val="00294820"/>
    <w:rsid w:val="002A37F4"/>
    <w:rsid w:val="002B1207"/>
    <w:rsid w:val="002B5EC1"/>
    <w:rsid w:val="002B7927"/>
    <w:rsid w:val="002C168D"/>
    <w:rsid w:val="002C2CD7"/>
    <w:rsid w:val="002E0A4A"/>
    <w:rsid w:val="002E19A9"/>
    <w:rsid w:val="002E3D28"/>
    <w:rsid w:val="002E5741"/>
    <w:rsid w:val="002E7E00"/>
    <w:rsid w:val="002E7E15"/>
    <w:rsid w:val="002F10B4"/>
    <w:rsid w:val="002F11C7"/>
    <w:rsid w:val="002F4980"/>
    <w:rsid w:val="002F4F55"/>
    <w:rsid w:val="002F7BEE"/>
    <w:rsid w:val="00305BAD"/>
    <w:rsid w:val="00306C55"/>
    <w:rsid w:val="0031375B"/>
    <w:rsid w:val="003201F3"/>
    <w:rsid w:val="003235FE"/>
    <w:rsid w:val="00346F6A"/>
    <w:rsid w:val="00351147"/>
    <w:rsid w:val="00352C03"/>
    <w:rsid w:val="00355361"/>
    <w:rsid w:val="00357FCC"/>
    <w:rsid w:val="0036235D"/>
    <w:rsid w:val="00377ACD"/>
    <w:rsid w:val="003A07FC"/>
    <w:rsid w:val="003A1218"/>
    <w:rsid w:val="003A1BC5"/>
    <w:rsid w:val="003A2990"/>
    <w:rsid w:val="003B0DD7"/>
    <w:rsid w:val="003B2571"/>
    <w:rsid w:val="003B60EA"/>
    <w:rsid w:val="003C2CC9"/>
    <w:rsid w:val="003C2E8A"/>
    <w:rsid w:val="003D59C2"/>
    <w:rsid w:val="003D6E7F"/>
    <w:rsid w:val="003D758F"/>
    <w:rsid w:val="003E495A"/>
    <w:rsid w:val="003F4063"/>
    <w:rsid w:val="00400DEC"/>
    <w:rsid w:val="00401EC6"/>
    <w:rsid w:val="00402F45"/>
    <w:rsid w:val="00413F04"/>
    <w:rsid w:val="00424012"/>
    <w:rsid w:val="004359BE"/>
    <w:rsid w:val="004440EF"/>
    <w:rsid w:val="00446D93"/>
    <w:rsid w:val="004477ED"/>
    <w:rsid w:val="00460B96"/>
    <w:rsid w:val="00461B68"/>
    <w:rsid w:val="00461D70"/>
    <w:rsid w:val="00462E24"/>
    <w:rsid w:val="00463405"/>
    <w:rsid w:val="00463452"/>
    <w:rsid w:val="004663A3"/>
    <w:rsid w:val="00466C31"/>
    <w:rsid w:val="00480316"/>
    <w:rsid w:val="00490494"/>
    <w:rsid w:val="00490C5B"/>
    <w:rsid w:val="004A0A1E"/>
    <w:rsid w:val="004A31DF"/>
    <w:rsid w:val="004A34F3"/>
    <w:rsid w:val="004B04FA"/>
    <w:rsid w:val="004B37E1"/>
    <w:rsid w:val="004B3D7F"/>
    <w:rsid w:val="004B5545"/>
    <w:rsid w:val="004C093F"/>
    <w:rsid w:val="004C6C08"/>
    <w:rsid w:val="004E571A"/>
    <w:rsid w:val="004F2835"/>
    <w:rsid w:val="004F7C19"/>
    <w:rsid w:val="00500BCE"/>
    <w:rsid w:val="00505453"/>
    <w:rsid w:val="0050603E"/>
    <w:rsid w:val="0050635A"/>
    <w:rsid w:val="005155A8"/>
    <w:rsid w:val="00521EFE"/>
    <w:rsid w:val="005255CF"/>
    <w:rsid w:val="0052607E"/>
    <w:rsid w:val="00527759"/>
    <w:rsid w:val="00527F2C"/>
    <w:rsid w:val="00536A67"/>
    <w:rsid w:val="00543548"/>
    <w:rsid w:val="0055419F"/>
    <w:rsid w:val="00554B2E"/>
    <w:rsid w:val="005565B7"/>
    <w:rsid w:val="00557C75"/>
    <w:rsid w:val="00561FDE"/>
    <w:rsid w:val="00581352"/>
    <w:rsid w:val="0059375F"/>
    <w:rsid w:val="005950D2"/>
    <w:rsid w:val="00597A05"/>
    <w:rsid w:val="005A421F"/>
    <w:rsid w:val="005A45D1"/>
    <w:rsid w:val="005A5AC5"/>
    <w:rsid w:val="005B25DC"/>
    <w:rsid w:val="005B2B99"/>
    <w:rsid w:val="005B47A9"/>
    <w:rsid w:val="005B55AD"/>
    <w:rsid w:val="005B74D9"/>
    <w:rsid w:val="005C204D"/>
    <w:rsid w:val="005C5EFF"/>
    <w:rsid w:val="005D3543"/>
    <w:rsid w:val="005D7141"/>
    <w:rsid w:val="005E0DE3"/>
    <w:rsid w:val="005F6CA4"/>
    <w:rsid w:val="006028D7"/>
    <w:rsid w:val="00607882"/>
    <w:rsid w:val="006130BC"/>
    <w:rsid w:val="006168E8"/>
    <w:rsid w:val="00623E58"/>
    <w:rsid w:val="00634F0C"/>
    <w:rsid w:val="0063656F"/>
    <w:rsid w:val="00641883"/>
    <w:rsid w:val="00641959"/>
    <w:rsid w:val="00641AAF"/>
    <w:rsid w:val="00643325"/>
    <w:rsid w:val="00645364"/>
    <w:rsid w:val="006456B6"/>
    <w:rsid w:val="00654D4D"/>
    <w:rsid w:val="006557EF"/>
    <w:rsid w:val="006618B4"/>
    <w:rsid w:val="00665C57"/>
    <w:rsid w:val="00666826"/>
    <w:rsid w:val="00670FDB"/>
    <w:rsid w:val="006766AB"/>
    <w:rsid w:val="00677A99"/>
    <w:rsid w:val="00681397"/>
    <w:rsid w:val="00685CB6"/>
    <w:rsid w:val="00687900"/>
    <w:rsid w:val="0069014C"/>
    <w:rsid w:val="006974F9"/>
    <w:rsid w:val="006A6A2C"/>
    <w:rsid w:val="006A7F20"/>
    <w:rsid w:val="006B2DF6"/>
    <w:rsid w:val="006B30D7"/>
    <w:rsid w:val="006B6BEA"/>
    <w:rsid w:val="006C7B6F"/>
    <w:rsid w:val="006C7D88"/>
    <w:rsid w:val="006D4890"/>
    <w:rsid w:val="006D7552"/>
    <w:rsid w:val="006E2C15"/>
    <w:rsid w:val="006E5A99"/>
    <w:rsid w:val="006F3BCE"/>
    <w:rsid w:val="006F3FE7"/>
    <w:rsid w:val="006F578F"/>
    <w:rsid w:val="007030F5"/>
    <w:rsid w:val="007035DE"/>
    <w:rsid w:val="00717866"/>
    <w:rsid w:val="0072156B"/>
    <w:rsid w:val="0072259C"/>
    <w:rsid w:val="00724E74"/>
    <w:rsid w:val="00727E0A"/>
    <w:rsid w:val="00727E6E"/>
    <w:rsid w:val="00737C19"/>
    <w:rsid w:val="0074387E"/>
    <w:rsid w:val="00743DDF"/>
    <w:rsid w:val="00746AA0"/>
    <w:rsid w:val="007533F1"/>
    <w:rsid w:val="00765BB3"/>
    <w:rsid w:val="00765C81"/>
    <w:rsid w:val="00774E1B"/>
    <w:rsid w:val="007957FE"/>
    <w:rsid w:val="00795D75"/>
    <w:rsid w:val="00797735"/>
    <w:rsid w:val="007A365A"/>
    <w:rsid w:val="007A51CF"/>
    <w:rsid w:val="007B43AD"/>
    <w:rsid w:val="007B6B1B"/>
    <w:rsid w:val="007C46A7"/>
    <w:rsid w:val="007C54EA"/>
    <w:rsid w:val="007C6CB6"/>
    <w:rsid w:val="007D6FB3"/>
    <w:rsid w:val="007F252D"/>
    <w:rsid w:val="007F4AB4"/>
    <w:rsid w:val="007F53FC"/>
    <w:rsid w:val="00802687"/>
    <w:rsid w:val="0080376A"/>
    <w:rsid w:val="008046C5"/>
    <w:rsid w:val="0080737D"/>
    <w:rsid w:val="008124EA"/>
    <w:rsid w:val="00825797"/>
    <w:rsid w:val="00830CE2"/>
    <w:rsid w:val="00832556"/>
    <w:rsid w:val="008405D5"/>
    <w:rsid w:val="008424ED"/>
    <w:rsid w:val="008445DA"/>
    <w:rsid w:val="008469E1"/>
    <w:rsid w:val="00850BA5"/>
    <w:rsid w:val="0085287E"/>
    <w:rsid w:val="00867AAD"/>
    <w:rsid w:val="00871256"/>
    <w:rsid w:val="00871FB0"/>
    <w:rsid w:val="008722EF"/>
    <w:rsid w:val="008742A5"/>
    <w:rsid w:val="0087510E"/>
    <w:rsid w:val="00875D9B"/>
    <w:rsid w:val="00877583"/>
    <w:rsid w:val="008803E5"/>
    <w:rsid w:val="00885C00"/>
    <w:rsid w:val="00886001"/>
    <w:rsid w:val="00886EB5"/>
    <w:rsid w:val="00890269"/>
    <w:rsid w:val="008946FF"/>
    <w:rsid w:val="00896199"/>
    <w:rsid w:val="008A5E1F"/>
    <w:rsid w:val="008A60D5"/>
    <w:rsid w:val="008B0E3E"/>
    <w:rsid w:val="008B544A"/>
    <w:rsid w:val="008D64D0"/>
    <w:rsid w:val="008D7425"/>
    <w:rsid w:val="008D78C3"/>
    <w:rsid w:val="008E29C6"/>
    <w:rsid w:val="008E3E58"/>
    <w:rsid w:val="008F5B8F"/>
    <w:rsid w:val="009002B4"/>
    <w:rsid w:val="00904CC4"/>
    <w:rsid w:val="00904EAB"/>
    <w:rsid w:val="00906838"/>
    <w:rsid w:val="00910646"/>
    <w:rsid w:val="009165C3"/>
    <w:rsid w:val="00917CB3"/>
    <w:rsid w:val="00917E8F"/>
    <w:rsid w:val="00927362"/>
    <w:rsid w:val="009278E2"/>
    <w:rsid w:val="00930808"/>
    <w:rsid w:val="0093264B"/>
    <w:rsid w:val="0093603D"/>
    <w:rsid w:val="0095312D"/>
    <w:rsid w:val="009556C8"/>
    <w:rsid w:val="0096265B"/>
    <w:rsid w:val="00964710"/>
    <w:rsid w:val="009678BE"/>
    <w:rsid w:val="00971715"/>
    <w:rsid w:val="00972773"/>
    <w:rsid w:val="0098182A"/>
    <w:rsid w:val="00982959"/>
    <w:rsid w:val="009A2BAF"/>
    <w:rsid w:val="009A3B7F"/>
    <w:rsid w:val="009B1786"/>
    <w:rsid w:val="009B38FD"/>
    <w:rsid w:val="009B4AC1"/>
    <w:rsid w:val="009B6316"/>
    <w:rsid w:val="009B6F79"/>
    <w:rsid w:val="009C238F"/>
    <w:rsid w:val="009C273F"/>
    <w:rsid w:val="009E0656"/>
    <w:rsid w:val="009E1D26"/>
    <w:rsid w:val="009E337E"/>
    <w:rsid w:val="00A152A7"/>
    <w:rsid w:val="00A17557"/>
    <w:rsid w:val="00A17CF9"/>
    <w:rsid w:val="00A26BD1"/>
    <w:rsid w:val="00A404E4"/>
    <w:rsid w:val="00A51C64"/>
    <w:rsid w:val="00A51DAD"/>
    <w:rsid w:val="00A715D3"/>
    <w:rsid w:val="00A71EA7"/>
    <w:rsid w:val="00A73F37"/>
    <w:rsid w:val="00A828F7"/>
    <w:rsid w:val="00A92ABB"/>
    <w:rsid w:val="00A92C66"/>
    <w:rsid w:val="00A93C4B"/>
    <w:rsid w:val="00A96FDE"/>
    <w:rsid w:val="00A97E44"/>
    <w:rsid w:val="00AA03F8"/>
    <w:rsid w:val="00AA0DED"/>
    <w:rsid w:val="00AB476C"/>
    <w:rsid w:val="00AB4980"/>
    <w:rsid w:val="00AC20CD"/>
    <w:rsid w:val="00AD1350"/>
    <w:rsid w:val="00AD2876"/>
    <w:rsid w:val="00AD6EAE"/>
    <w:rsid w:val="00AE11CB"/>
    <w:rsid w:val="00AE3C3B"/>
    <w:rsid w:val="00B00D51"/>
    <w:rsid w:val="00B02FB0"/>
    <w:rsid w:val="00B17990"/>
    <w:rsid w:val="00B24C4F"/>
    <w:rsid w:val="00B24EE9"/>
    <w:rsid w:val="00B316BA"/>
    <w:rsid w:val="00B34AE4"/>
    <w:rsid w:val="00B36175"/>
    <w:rsid w:val="00B42C40"/>
    <w:rsid w:val="00B445DD"/>
    <w:rsid w:val="00B5618F"/>
    <w:rsid w:val="00B60B56"/>
    <w:rsid w:val="00B6273E"/>
    <w:rsid w:val="00B639AA"/>
    <w:rsid w:val="00B70C4C"/>
    <w:rsid w:val="00B71664"/>
    <w:rsid w:val="00B72EFB"/>
    <w:rsid w:val="00B83802"/>
    <w:rsid w:val="00B84B0B"/>
    <w:rsid w:val="00B91343"/>
    <w:rsid w:val="00B977A7"/>
    <w:rsid w:val="00BA0B09"/>
    <w:rsid w:val="00BA256D"/>
    <w:rsid w:val="00BB6F19"/>
    <w:rsid w:val="00BC627E"/>
    <w:rsid w:val="00BD364D"/>
    <w:rsid w:val="00BE0E56"/>
    <w:rsid w:val="00BE2A56"/>
    <w:rsid w:val="00BF5E3E"/>
    <w:rsid w:val="00C0012A"/>
    <w:rsid w:val="00C0240A"/>
    <w:rsid w:val="00C11AD2"/>
    <w:rsid w:val="00C16952"/>
    <w:rsid w:val="00C27542"/>
    <w:rsid w:val="00C33B8F"/>
    <w:rsid w:val="00C3756D"/>
    <w:rsid w:val="00C37CB3"/>
    <w:rsid w:val="00C50305"/>
    <w:rsid w:val="00C5449F"/>
    <w:rsid w:val="00C560BE"/>
    <w:rsid w:val="00C608F4"/>
    <w:rsid w:val="00C65EA3"/>
    <w:rsid w:val="00C716D6"/>
    <w:rsid w:val="00C7254D"/>
    <w:rsid w:val="00C74A3D"/>
    <w:rsid w:val="00C8652F"/>
    <w:rsid w:val="00C86AA7"/>
    <w:rsid w:val="00C9042E"/>
    <w:rsid w:val="00CA01DE"/>
    <w:rsid w:val="00CC1836"/>
    <w:rsid w:val="00CD4510"/>
    <w:rsid w:val="00CE743D"/>
    <w:rsid w:val="00CF1496"/>
    <w:rsid w:val="00CF356F"/>
    <w:rsid w:val="00CF3F1D"/>
    <w:rsid w:val="00CF4B30"/>
    <w:rsid w:val="00CF5C04"/>
    <w:rsid w:val="00D005B5"/>
    <w:rsid w:val="00D13564"/>
    <w:rsid w:val="00D16F94"/>
    <w:rsid w:val="00D16FB9"/>
    <w:rsid w:val="00D2388F"/>
    <w:rsid w:val="00D260AA"/>
    <w:rsid w:val="00D27D01"/>
    <w:rsid w:val="00D320AB"/>
    <w:rsid w:val="00D35D8F"/>
    <w:rsid w:val="00D54538"/>
    <w:rsid w:val="00D55B8C"/>
    <w:rsid w:val="00D6190F"/>
    <w:rsid w:val="00D726ED"/>
    <w:rsid w:val="00D865C7"/>
    <w:rsid w:val="00D97211"/>
    <w:rsid w:val="00DA1AC0"/>
    <w:rsid w:val="00DA732A"/>
    <w:rsid w:val="00DB4486"/>
    <w:rsid w:val="00DC132C"/>
    <w:rsid w:val="00DC35B4"/>
    <w:rsid w:val="00DC38D7"/>
    <w:rsid w:val="00DD04F4"/>
    <w:rsid w:val="00DD4F31"/>
    <w:rsid w:val="00DD676A"/>
    <w:rsid w:val="00DD7F9A"/>
    <w:rsid w:val="00DE0C6E"/>
    <w:rsid w:val="00DE1F79"/>
    <w:rsid w:val="00DE5B51"/>
    <w:rsid w:val="00DF187E"/>
    <w:rsid w:val="00DF7A44"/>
    <w:rsid w:val="00E00AD8"/>
    <w:rsid w:val="00E07446"/>
    <w:rsid w:val="00E10883"/>
    <w:rsid w:val="00E114E3"/>
    <w:rsid w:val="00E15475"/>
    <w:rsid w:val="00E21C76"/>
    <w:rsid w:val="00E34CAA"/>
    <w:rsid w:val="00E403F8"/>
    <w:rsid w:val="00E411E0"/>
    <w:rsid w:val="00E45271"/>
    <w:rsid w:val="00E51843"/>
    <w:rsid w:val="00E57950"/>
    <w:rsid w:val="00E64BDB"/>
    <w:rsid w:val="00E67488"/>
    <w:rsid w:val="00E67918"/>
    <w:rsid w:val="00E82E6F"/>
    <w:rsid w:val="00E8339B"/>
    <w:rsid w:val="00E925C9"/>
    <w:rsid w:val="00EA7831"/>
    <w:rsid w:val="00EB327F"/>
    <w:rsid w:val="00EC62B5"/>
    <w:rsid w:val="00EC6C02"/>
    <w:rsid w:val="00EC6CCF"/>
    <w:rsid w:val="00ED1795"/>
    <w:rsid w:val="00ED3462"/>
    <w:rsid w:val="00ED63BB"/>
    <w:rsid w:val="00ED7A48"/>
    <w:rsid w:val="00EE1B61"/>
    <w:rsid w:val="00EF550E"/>
    <w:rsid w:val="00EF72AE"/>
    <w:rsid w:val="00F06D12"/>
    <w:rsid w:val="00F077B8"/>
    <w:rsid w:val="00F10EA2"/>
    <w:rsid w:val="00F20C3C"/>
    <w:rsid w:val="00F20D27"/>
    <w:rsid w:val="00F246DC"/>
    <w:rsid w:val="00F457EB"/>
    <w:rsid w:val="00F546A1"/>
    <w:rsid w:val="00F61AEC"/>
    <w:rsid w:val="00F70841"/>
    <w:rsid w:val="00F763F7"/>
    <w:rsid w:val="00F806A5"/>
    <w:rsid w:val="00F856AD"/>
    <w:rsid w:val="00FA6064"/>
    <w:rsid w:val="00FB08E2"/>
    <w:rsid w:val="00FB3CBE"/>
    <w:rsid w:val="00FC7D15"/>
    <w:rsid w:val="00FD55A3"/>
    <w:rsid w:val="00FE4BDB"/>
    <w:rsid w:val="00FE5F9C"/>
    <w:rsid w:val="00FF02E7"/>
    <w:rsid w:val="00FF54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338ABB"/>
  <w15:chartTrackingRefBased/>
  <w15:docId w15:val="{CF20372C-2759-4E35-8739-DF61437BB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397"/>
    <w:pPr>
      <w:spacing w:line="259" w:lineRule="auto"/>
    </w:pPr>
    <w:rPr>
      <w:sz w:val="22"/>
      <w:szCs w:val="22"/>
      <w:lang w:val="en-US"/>
    </w:rPr>
  </w:style>
  <w:style w:type="paragraph" w:styleId="Heading1">
    <w:name w:val="heading 1"/>
    <w:basedOn w:val="Normal"/>
    <w:next w:val="Normal"/>
    <w:link w:val="Heading1Char"/>
    <w:uiPriority w:val="9"/>
    <w:qFormat/>
    <w:rsid w:val="00E15475"/>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CA"/>
    </w:rPr>
  </w:style>
  <w:style w:type="paragraph" w:styleId="Heading2">
    <w:name w:val="heading 2"/>
    <w:basedOn w:val="Normal"/>
    <w:next w:val="Normal"/>
    <w:link w:val="Heading2Char"/>
    <w:uiPriority w:val="9"/>
    <w:semiHidden/>
    <w:unhideWhenUsed/>
    <w:qFormat/>
    <w:rsid w:val="00E15475"/>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CA"/>
    </w:rPr>
  </w:style>
  <w:style w:type="paragraph" w:styleId="Heading3">
    <w:name w:val="heading 3"/>
    <w:basedOn w:val="Normal"/>
    <w:next w:val="Normal"/>
    <w:link w:val="Heading3Char"/>
    <w:unhideWhenUsed/>
    <w:qFormat/>
    <w:rsid w:val="00E15475"/>
    <w:pPr>
      <w:keepNext/>
      <w:keepLines/>
      <w:spacing w:before="160" w:after="80" w:line="278" w:lineRule="auto"/>
      <w:outlineLvl w:val="2"/>
    </w:pPr>
    <w:rPr>
      <w:rFonts w:eastAsiaTheme="majorEastAsia" w:cstheme="majorBidi"/>
      <w:color w:val="0F4761" w:themeColor="accent1" w:themeShade="BF"/>
      <w:sz w:val="28"/>
      <w:szCs w:val="28"/>
      <w:lang w:val="en-CA"/>
    </w:rPr>
  </w:style>
  <w:style w:type="paragraph" w:styleId="Heading4">
    <w:name w:val="heading 4"/>
    <w:basedOn w:val="Normal"/>
    <w:next w:val="Normal"/>
    <w:link w:val="Heading4Char"/>
    <w:uiPriority w:val="9"/>
    <w:semiHidden/>
    <w:unhideWhenUsed/>
    <w:qFormat/>
    <w:rsid w:val="00E15475"/>
    <w:pPr>
      <w:keepNext/>
      <w:keepLines/>
      <w:spacing w:before="80" w:after="40" w:line="278" w:lineRule="auto"/>
      <w:outlineLvl w:val="3"/>
    </w:pPr>
    <w:rPr>
      <w:rFonts w:eastAsiaTheme="majorEastAsia" w:cstheme="majorBidi"/>
      <w:i/>
      <w:iCs/>
      <w:color w:val="0F4761" w:themeColor="accent1" w:themeShade="BF"/>
      <w:sz w:val="24"/>
      <w:szCs w:val="24"/>
      <w:lang w:val="en-CA"/>
    </w:rPr>
  </w:style>
  <w:style w:type="paragraph" w:styleId="Heading5">
    <w:name w:val="heading 5"/>
    <w:basedOn w:val="Normal"/>
    <w:next w:val="Normal"/>
    <w:link w:val="Heading5Char"/>
    <w:uiPriority w:val="9"/>
    <w:semiHidden/>
    <w:unhideWhenUsed/>
    <w:qFormat/>
    <w:rsid w:val="00E15475"/>
    <w:pPr>
      <w:keepNext/>
      <w:keepLines/>
      <w:spacing w:before="80" w:after="40" w:line="278" w:lineRule="auto"/>
      <w:outlineLvl w:val="4"/>
    </w:pPr>
    <w:rPr>
      <w:rFonts w:eastAsiaTheme="majorEastAsia" w:cstheme="majorBidi"/>
      <w:color w:val="0F4761" w:themeColor="accent1" w:themeShade="BF"/>
      <w:sz w:val="24"/>
      <w:szCs w:val="24"/>
      <w:lang w:val="en-CA"/>
    </w:rPr>
  </w:style>
  <w:style w:type="paragraph" w:styleId="Heading6">
    <w:name w:val="heading 6"/>
    <w:basedOn w:val="Normal"/>
    <w:next w:val="Normal"/>
    <w:link w:val="Heading6Char"/>
    <w:uiPriority w:val="9"/>
    <w:semiHidden/>
    <w:unhideWhenUsed/>
    <w:qFormat/>
    <w:rsid w:val="00E15475"/>
    <w:pPr>
      <w:keepNext/>
      <w:keepLines/>
      <w:spacing w:before="40" w:after="0" w:line="278" w:lineRule="auto"/>
      <w:outlineLvl w:val="5"/>
    </w:pPr>
    <w:rPr>
      <w:rFonts w:eastAsiaTheme="majorEastAsia" w:cstheme="majorBidi"/>
      <w:i/>
      <w:iCs/>
      <w:color w:val="595959" w:themeColor="text1" w:themeTint="A6"/>
      <w:sz w:val="24"/>
      <w:szCs w:val="24"/>
      <w:lang w:val="en-CA"/>
    </w:rPr>
  </w:style>
  <w:style w:type="paragraph" w:styleId="Heading7">
    <w:name w:val="heading 7"/>
    <w:basedOn w:val="Normal"/>
    <w:next w:val="Normal"/>
    <w:link w:val="Heading7Char"/>
    <w:uiPriority w:val="9"/>
    <w:semiHidden/>
    <w:unhideWhenUsed/>
    <w:qFormat/>
    <w:rsid w:val="00E15475"/>
    <w:pPr>
      <w:keepNext/>
      <w:keepLines/>
      <w:spacing w:before="40" w:after="0" w:line="278" w:lineRule="auto"/>
      <w:outlineLvl w:val="6"/>
    </w:pPr>
    <w:rPr>
      <w:rFonts w:eastAsiaTheme="majorEastAsia" w:cstheme="majorBidi"/>
      <w:color w:val="595959" w:themeColor="text1" w:themeTint="A6"/>
      <w:sz w:val="24"/>
      <w:szCs w:val="24"/>
      <w:lang w:val="en-CA"/>
    </w:rPr>
  </w:style>
  <w:style w:type="paragraph" w:styleId="Heading8">
    <w:name w:val="heading 8"/>
    <w:basedOn w:val="Normal"/>
    <w:next w:val="Normal"/>
    <w:link w:val="Heading8Char"/>
    <w:uiPriority w:val="9"/>
    <w:semiHidden/>
    <w:unhideWhenUsed/>
    <w:qFormat/>
    <w:rsid w:val="00E15475"/>
    <w:pPr>
      <w:keepNext/>
      <w:keepLines/>
      <w:spacing w:after="0" w:line="278" w:lineRule="auto"/>
      <w:outlineLvl w:val="7"/>
    </w:pPr>
    <w:rPr>
      <w:rFonts w:eastAsiaTheme="majorEastAsia" w:cstheme="majorBidi"/>
      <w:i/>
      <w:iCs/>
      <w:color w:val="272727" w:themeColor="text1" w:themeTint="D8"/>
      <w:sz w:val="24"/>
      <w:szCs w:val="24"/>
      <w:lang w:val="en-CA"/>
    </w:rPr>
  </w:style>
  <w:style w:type="paragraph" w:styleId="Heading9">
    <w:name w:val="heading 9"/>
    <w:basedOn w:val="Normal"/>
    <w:next w:val="Normal"/>
    <w:link w:val="Heading9Char"/>
    <w:uiPriority w:val="9"/>
    <w:semiHidden/>
    <w:unhideWhenUsed/>
    <w:qFormat/>
    <w:rsid w:val="00E15475"/>
    <w:pPr>
      <w:keepNext/>
      <w:keepLines/>
      <w:spacing w:after="0" w:line="278" w:lineRule="auto"/>
      <w:outlineLvl w:val="8"/>
    </w:pPr>
    <w:rPr>
      <w:rFonts w:eastAsiaTheme="majorEastAsia" w:cstheme="majorBidi"/>
      <w:color w:val="272727" w:themeColor="text1" w:themeTint="D8"/>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4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4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4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4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4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475"/>
    <w:rPr>
      <w:rFonts w:eastAsiaTheme="majorEastAsia" w:cstheme="majorBidi"/>
      <w:color w:val="272727" w:themeColor="text1" w:themeTint="D8"/>
    </w:rPr>
  </w:style>
  <w:style w:type="paragraph" w:styleId="Title">
    <w:name w:val="Title"/>
    <w:basedOn w:val="Normal"/>
    <w:next w:val="Normal"/>
    <w:link w:val="TitleChar"/>
    <w:uiPriority w:val="10"/>
    <w:qFormat/>
    <w:rsid w:val="00E15475"/>
    <w:pPr>
      <w:spacing w:after="80" w:line="240" w:lineRule="auto"/>
      <w:contextualSpacing/>
    </w:pPr>
    <w:rPr>
      <w:rFonts w:asciiTheme="majorHAnsi" w:eastAsiaTheme="majorEastAsia" w:hAnsiTheme="majorHAnsi" w:cstheme="majorBidi"/>
      <w:spacing w:val="-10"/>
      <w:kern w:val="28"/>
      <w:sz w:val="56"/>
      <w:szCs w:val="56"/>
      <w:lang w:val="en-CA"/>
    </w:rPr>
  </w:style>
  <w:style w:type="character" w:customStyle="1" w:styleId="TitleChar">
    <w:name w:val="Title Char"/>
    <w:basedOn w:val="DefaultParagraphFont"/>
    <w:link w:val="Title"/>
    <w:uiPriority w:val="10"/>
    <w:rsid w:val="00E15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475"/>
    <w:pPr>
      <w:numPr>
        <w:ilvl w:val="1"/>
      </w:numPr>
      <w:spacing w:line="278" w:lineRule="auto"/>
    </w:pPr>
    <w:rPr>
      <w:rFonts w:eastAsiaTheme="majorEastAsia" w:cstheme="majorBidi"/>
      <w:color w:val="595959" w:themeColor="text1" w:themeTint="A6"/>
      <w:spacing w:val="15"/>
      <w:sz w:val="28"/>
      <w:szCs w:val="28"/>
      <w:lang w:val="en-CA"/>
    </w:rPr>
  </w:style>
  <w:style w:type="character" w:customStyle="1" w:styleId="SubtitleChar">
    <w:name w:val="Subtitle Char"/>
    <w:basedOn w:val="DefaultParagraphFont"/>
    <w:link w:val="Subtitle"/>
    <w:uiPriority w:val="11"/>
    <w:rsid w:val="00E15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475"/>
    <w:pPr>
      <w:spacing w:before="160" w:line="278" w:lineRule="auto"/>
      <w:jc w:val="center"/>
    </w:pPr>
    <w:rPr>
      <w:i/>
      <w:iCs/>
      <w:color w:val="404040" w:themeColor="text1" w:themeTint="BF"/>
      <w:sz w:val="24"/>
      <w:szCs w:val="24"/>
      <w:lang w:val="en-CA"/>
    </w:rPr>
  </w:style>
  <w:style w:type="character" w:customStyle="1" w:styleId="QuoteChar">
    <w:name w:val="Quote Char"/>
    <w:basedOn w:val="DefaultParagraphFont"/>
    <w:link w:val="Quote"/>
    <w:uiPriority w:val="29"/>
    <w:rsid w:val="00E15475"/>
    <w:rPr>
      <w:i/>
      <w:iCs/>
      <w:color w:val="404040" w:themeColor="text1" w:themeTint="BF"/>
    </w:rPr>
  </w:style>
  <w:style w:type="paragraph" w:styleId="ListParagraph">
    <w:name w:val="List Paragraph"/>
    <w:basedOn w:val="Normal"/>
    <w:uiPriority w:val="34"/>
    <w:qFormat/>
    <w:rsid w:val="00E15475"/>
    <w:pPr>
      <w:spacing w:line="278" w:lineRule="auto"/>
      <w:ind w:left="720"/>
      <w:contextualSpacing/>
    </w:pPr>
    <w:rPr>
      <w:sz w:val="24"/>
      <w:szCs w:val="24"/>
      <w:lang w:val="en-CA"/>
    </w:rPr>
  </w:style>
  <w:style w:type="character" w:styleId="IntenseEmphasis">
    <w:name w:val="Intense Emphasis"/>
    <w:basedOn w:val="DefaultParagraphFont"/>
    <w:uiPriority w:val="21"/>
    <w:qFormat/>
    <w:rsid w:val="00E15475"/>
    <w:rPr>
      <w:i/>
      <w:iCs/>
      <w:color w:val="0F4761" w:themeColor="accent1" w:themeShade="BF"/>
    </w:rPr>
  </w:style>
  <w:style w:type="paragraph" w:styleId="IntenseQuote">
    <w:name w:val="Intense Quote"/>
    <w:basedOn w:val="Normal"/>
    <w:next w:val="Normal"/>
    <w:link w:val="IntenseQuoteChar"/>
    <w:uiPriority w:val="30"/>
    <w:qFormat/>
    <w:rsid w:val="00E1547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lang w:val="en-CA"/>
    </w:rPr>
  </w:style>
  <w:style w:type="character" w:customStyle="1" w:styleId="IntenseQuoteChar">
    <w:name w:val="Intense Quote Char"/>
    <w:basedOn w:val="DefaultParagraphFont"/>
    <w:link w:val="IntenseQuote"/>
    <w:uiPriority w:val="30"/>
    <w:rsid w:val="00E15475"/>
    <w:rPr>
      <w:i/>
      <w:iCs/>
      <w:color w:val="0F4761" w:themeColor="accent1" w:themeShade="BF"/>
    </w:rPr>
  </w:style>
  <w:style w:type="character" w:styleId="IntenseReference">
    <w:name w:val="Intense Reference"/>
    <w:basedOn w:val="DefaultParagraphFont"/>
    <w:uiPriority w:val="32"/>
    <w:qFormat/>
    <w:rsid w:val="00E15475"/>
    <w:rPr>
      <w:b/>
      <w:bCs/>
      <w:smallCaps/>
      <w:color w:val="0F4761" w:themeColor="accent1" w:themeShade="BF"/>
      <w:spacing w:val="5"/>
    </w:rPr>
  </w:style>
  <w:style w:type="paragraph" w:styleId="FootnoteText">
    <w:name w:val="footnote text"/>
    <w:basedOn w:val="Normal"/>
    <w:link w:val="FootnoteTextChar"/>
    <w:uiPriority w:val="99"/>
    <w:unhideWhenUsed/>
    <w:rsid w:val="003201F3"/>
    <w:pPr>
      <w:spacing w:after="0" w:line="240" w:lineRule="auto"/>
    </w:pPr>
    <w:rPr>
      <w:sz w:val="20"/>
      <w:szCs w:val="20"/>
    </w:rPr>
  </w:style>
  <w:style w:type="character" w:customStyle="1" w:styleId="FootnoteTextChar">
    <w:name w:val="Footnote Text Char"/>
    <w:basedOn w:val="DefaultParagraphFont"/>
    <w:link w:val="FootnoteText"/>
    <w:uiPriority w:val="99"/>
    <w:rsid w:val="003201F3"/>
    <w:rPr>
      <w:sz w:val="20"/>
      <w:szCs w:val="20"/>
      <w:lang w:val="en-US"/>
    </w:rPr>
  </w:style>
  <w:style w:type="character" w:styleId="FootnoteReference">
    <w:name w:val="footnote reference"/>
    <w:basedOn w:val="DefaultParagraphFont"/>
    <w:uiPriority w:val="99"/>
    <w:semiHidden/>
    <w:unhideWhenUsed/>
    <w:rsid w:val="003201F3"/>
    <w:rPr>
      <w:vertAlign w:val="superscript"/>
    </w:rPr>
  </w:style>
  <w:style w:type="character" w:styleId="Hyperlink">
    <w:name w:val="Hyperlink"/>
    <w:basedOn w:val="DefaultParagraphFont"/>
    <w:uiPriority w:val="99"/>
    <w:unhideWhenUsed/>
    <w:rsid w:val="003E495A"/>
    <w:rPr>
      <w:color w:val="467886" w:themeColor="hyperlink"/>
      <w:u w:val="single"/>
    </w:rPr>
  </w:style>
  <w:style w:type="character" w:styleId="UnresolvedMention">
    <w:name w:val="Unresolved Mention"/>
    <w:basedOn w:val="DefaultParagraphFont"/>
    <w:uiPriority w:val="99"/>
    <w:semiHidden/>
    <w:unhideWhenUsed/>
    <w:rsid w:val="003E495A"/>
    <w:rPr>
      <w:color w:val="605E5C"/>
      <w:shd w:val="clear" w:color="auto" w:fill="E1DFDD"/>
    </w:rPr>
  </w:style>
  <w:style w:type="paragraph" w:styleId="Bibliography">
    <w:name w:val="Bibliography"/>
    <w:basedOn w:val="Normal"/>
    <w:next w:val="Normal"/>
    <w:uiPriority w:val="37"/>
    <w:unhideWhenUsed/>
    <w:rsid w:val="00306C55"/>
  </w:style>
  <w:style w:type="paragraph" w:styleId="NormalWeb">
    <w:name w:val="Normal (Web)"/>
    <w:basedOn w:val="Normal"/>
    <w:rsid w:val="00C8652F"/>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hps.cam.ac.uk/news-events/news-archive/roger-french" TargetMode="External"/><Relationship Id="rId1" Type="http://schemas.openxmlformats.org/officeDocument/2006/relationships/hyperlink" Target="https://www.history.ox.ac.uk/people/dr-michelle-pfe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Mic23</b:Tag>
    <b:SourceType>JournalArticle</b:SourceType>
    <b:Guid>{63810E9E-0C4D-4575-9AD3-C2F550B8D3A9}</b:Guid>
    <b:Title>Michelle Pfeffer, 'Reassessing the Marginalization of Astrology in the Early Modern World.'</b:Title>
    <b:Year>2023</b:Year>
    <b:LCID>en-CA</b:LCID>
    <b:Author>
      <b:Author>
        <b:NameList>
          <b:Person>
            <b:Last>Pfeffer</b:Last>
            <b:First>Michelle</b:First>
          </b:Person>
        </b:NameList>
      </b:Author>
    </b:Author>
    <b:JournalName>The Historical Journal 66, no. 5</b:JournalName>
    <b:Pages>1152-1176</b:Pages>
    <b:RefOrder>1</b:RefOrder>
  </b:Source>
  <b:Source>
    <b:Tag>Rog96</b:Tag>
    <b:SourceType>JournalArticle</b:SourceType>
    <b:Guid>{645CF285-8D4F-4587-B7CD-AFD5DA81EF49}</b:Guid>
    <b:Author>
      <b:Author>
        <b:NameList>
          <b:Person>
            <b:Last>Roger French</b:Last>
          </b:Person>
        </b:NameList>
      </b:Author>
    </b:Author>
    <b:Title>'Foretelling the Future: Arabic Astrology and English Medicine in the Late Twelfth Century'</b:Title>
    <b:JournalName>Isis 87, no. 3</b:JournalName>
    <b:Year>1996</b:Year>
    <b:Pages>453-480</b:Pages>
    <b:RefOrder>2</b:RefOrder>
  </b:Source>
  <b:Source>
    <b:Tag>Uni02</b:Tag>
    <b:SourceType>InternetSite</b:SourceType>
    <b:Guid>{5F4AB97E-0324-4666-A252-840C5A51BCBF}</b:Guid>
    <b:Author>
      <b:Author>
        <b:NameList>
          <b:Person>
            <b:Last>University of Cambridge</b:Last>
            <b:First>Department</b:First>
            <b:Middle>Of History And Philosophy Of Science,</b:Middle>
          </b:Person>
        </b:NameList>
      </b:Author>
    </b:Author>
    <b:Title>Roger French</b:Title>
    <b:Year>2002</b:Year>
    <b:Month>1</b:Month>
    <b:Day>2</b:Day>
    <b:YearAccessed>2024</b:YearAccessed>
    <b:MonthAccessed>10</b:MonthAccessed>
    <b:DayAccessed>24</b:DayAccessed>
    <b:URL>https://www.hps.cam.ac.uk/news-events/news-archive/roger-french</b:URL>
    <b:RefOrder>3</b:RefOrder>
  </b:Source>
  <b:Source>
    <b:Tag>Uni24</b:Tag>
    <b:SourceType>InternetSite</b:SourceType>
    <b:Guid>{88748B02-F859-4AE8-A383-D57CFDC4667E}</b:Guid>
    <b:Title>Dr Michelle Aroney (formerly Pfeffer)</b:Title>
    <b:Year>2024</b:Year>
    <b:Author>
      <b:Author>
        <b:NameList>
          <b:Person>
            <b:Last>University of Oxford</b:Last>
            <b:First>Faculty</b:First>
            <b:Middle>of History</b:Middle>
          </b:Person>
        </b:NameList>
      </b:Author>
    </b:Author>
    <b:InternetSiteTitle>University of Oxford, Faculty of History</b:InternetSiteTitle>
    <b:Month>10</b:Month>
    <b:Day>21</b:Day>
    <b:URL>https://www.history.ox.ac.uk/people/dr-michelle-pfeffer</b:URL>
    <b:YearAccessed>2024</b:YearAccessed>
    <b:MonthAccessed>10</b:MonthAccessed>
    <b:DayAccessed>24</b:DayAccessed>
    <b:RefOrder>4</b:RefOrder>
  </b:Source>
  <b:Source>
    <b:Tag>Rie14</b:Tag>
    <b:SourceType>JournalArticle</b:SourceType>
    <b:Guid>{0EE86EEA-DFC5-4261-BA94-0FA052B4DF49}</b:Guid>
    <b:Title>The marginalization of Astrology Among Dutch astronomers in the first half of the 17th century</b:Title>
    <b:Year>2014</b:Year>
    <b:LCID>en-US</b:LCID>
    <b:Author>
      <b:Author>
        <b:NameList>
          <b:Person>
            <b:Last>Rienk Vermij</b:Last>
            <b:First>University</b:First>
            <b:Middle>of Oklahoma</b:Middle>
          </b:Person>
        </b:NameList>
      </b:Author>
    </b:Author>
    <b:JournalName>Sage Journals, History of Science</b:JournalName>
    <b:Pages>153-177</b:Pages>
    <b:RefOrder>5</b:RefOrder>
  </b:Source>
  <b:Source>
    <b:Tag>HDa18</b:Tag>
    <b:SourceType>JournalArticle</b:SourceType>
    <b:Guid>{1A6B213B-4A3B-4CA3-BAB5-9E60A78FD9F3}</b:Guid>
    <b:Author>
      <b:Author>
        <b:NameList>
          <b:Person>
            <b:Last>Rutkin</b:Last>
            <b:First>H.</b:First>
            <b:Middle>Darrel</b:Middle>
          </b:Person>
        </b:NameList>
      </b:Author>
    </b:Author>
    <b:Title>How to accurately account for astrology’s marginalization in the history of science and culture: the central importance of an interpretive framework</b:Title>
    <b:Year>2018</b:Year>
    <b:Pages>218-243</b:Pages>
    <b:JournalName>Early Science and Medicine 23</b:JournalName>
    <b:LCID>en-US</b:LCID>
    <b:RefOrder>6</b:RefOrder>
  </b:Source>
  <b:Source>
    <b:Tag>Rog</b:Tag>
    <b:SourceType>JournalArticle</b:SourceType>
    <b:Guid>{36563541-9382-4029-8835-DF51B7B2501A}</b:Guid>
    <b:Title>Roger of Hereford: The Twelfth-Century Astronomer Who Put Hereford On The Map, Literally</b:Title>
    <b:Author>
      <b:Author>
        <b:NameList>
          <b:Person>
            <b:Last>Grijs</b:Last>
            <b:First>Richard</b:First>
            <b:Middle>de</b:Middle>
          </b:Person>
        </b:NameList>
      </b:Author>
    </b:Author>
    <b:JournalName>The Local Historian [journal of the British Association for Local History], vol.53 no.2</b:JournalName>
    <b:Year>2023</b:Year>
    <b:LCID>en-US</b:LCID>
    <b:Pages>98-111</b:Pages>
    <b:RefOrder>7</b:RefOrder>
  </b:Source>
  <b:Source>
    <b:Tag>Chr21</b:Tag>
    <b:SourceType>Book</b:SourceType>
    <b:Guid>{F6A8CC65-978C-4160-A3F4-7CECB4583DA4}</b:Guid>
    <b:Title>England's First Astrology Book: Roger of Hereford's Judicial Astrology</b:Title>
    <b:Year>2021</b:Year>
    <b:LCID>en-CA</b:LCID>
    <b:Author>
      <b:Author>
        <b:NameList>
          <b:Person>
            <b:Last>Mitchell</b:Last>
            <b:First>Chris</b:First>
          </b:Person>
        </b:NameList>
      </b:Author>
    </b:Author>
    <b:City>Leicester, UK</b:City>
    <b:Publisher>Almuten Figuris Publications</b:Publisher>
    <b:RefOrder>8</b:RefOrder>
  </b:Source>
</b:Sources>
</file>

<file path=customXml/itemProps1.xml><?xml version="1.0" encoding="utf-8"?>
<ds:datastoreItem xmlns:ds="http://schemas.openxmlformats.org/officeDocument/2006/customXml" ds:itemID="{FB9B6F6C-2204-428E-85A9-CAFB6742A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2320</Words>
  <Characters>13277</Characters>
  <Application>Microsoft Office Word</Application>
  <DocSecurity>0</DocSecurity>
  <Lines>201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 Scannell</dc:creator>
  <cp:lastModifiedBy>Beth Scannell</cp:lastModifiedBy>
  <cp:revision>2</cp:revision>
  <dcterms:created xsi:type="dcterms:W3CDTF">2024-11-02T20:32:00Z</dcterms:created>
  <dcterms:modified xsi:type="dcterms:W3CDTF">2024-11-02T20:32:00Z</dcterms:modified>
</cp:coreProperties>
</file>