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rels" ContentType="application/vnd.openxmlformats-package.relationships+xml"/>
  <Default Extension="emf" ContentType="image/x-emf"/>
  <Override PartName="/word/theme/theme1.xml" ContentType="application/vnd.openxmlformats-officedocument.theme+xml"/>
  <Override PartName="/word/charts/chart3.xml" ContentType="application/vnd.openxmlformats-officedocument.drawingml.chart+xml"/>
  <Override PartName="/word/charts/style6.xml" ContentType="application/vnd.ms-office.chartstyle+xml"/>
  <Override PartName="/word/footer1.xml" ContentType="application/vnd.openxmlformats-officedocument.wordprocessingml.footer+xml"/>
  <Override PartName="/word/numbering.xml" ContentType="application/vnd.openxmlformats-officedocument.wordprocessingml.numbering+xml"/>
  <Override PartName="/word/charts/colors3.xml" ContentType="application/vnd.ms-office.chartcolorstyle+xml"/>
  <Override PartName="/word/settings.xml" ContentType="application/vnd.openxmlformats-officedocument.wordprocessingml.settings+xml"/>
  <Override PartName="/word/charts/colors5.xml" ContentType="application/vnd.ms-office.chartcolorstyle+xml"/>
  <Override PartName="/word/charts/chart4.xml" ContentType="application/vnd.openxmlformats-officedocument.drawingml.chart+xml"/>
  <Override PartName="/word/charts/colors4.xml" ContentType="application/vnd.ms-office.chartcolorstyle+xml"/>
  <Override PartName="/word/document.xml" ContentType="application/vnd.openxmlformats-officedocument.wordprocessingml.document.main+xml"/>
  <Override PartName="/word/charts/style1.xml" ContentType="application/vnd.ms-office.chartstyle+xml"/>
  <Override PartName="/customXml/itemProps1.xml" ContentType="application/vnd.openxmlformats-officedocument.customXmlProperties+xml"/>
  <Override PartName="/word/charts/style5.xml" ContentType="application/vnd.ms-office.chartstyle+xml"/>
  <Override PartName="/word/styles.xml" ContentType="application/vnd.openxmlformats-officedocument.wordprocessingml.styles+xml"/>
  <Override PartName="/docProps/app.xml" ContentType="application/vnd.openxmlformats-officedocument.extended-properties+xml"/>
  <Override PartName="/word/charts/colors1.xml" ContentType="application/vnd.ms-office.chartcolorstyle+xml"/>
  <Override PartName="/word/fontTable.xml" ContentType="application/vnd.openxmlformats-officedocument.wordprocessingml.fontTable+xml"/>
  <Override PartName="/word/charts/chart5.xml" ContentType="application/vnd.openxmlformats-officedocument.drawingml.chart+xml"/>
  <Override PartName="/word/charts/colors6.xml" ContentType="application/vnd.ms-office.chartcolorstyle+xml"/>
  <Override PartName="/docProps/core.xml" ContentType="application/vnd.openxmlformats-package.core-properties+xml"/>
  <Override PartName="/word/charts/chart1.xml" ContentType="application/vnd.openxmlformats-officedocument.drawingml.chart+xml"/>
  <Override PartName="/word/charts/style2.xml" ContentType="application/vnd.ms-office.chartstyle+xml"/>
  <Override PartName="/word/charts/style4.xml" ContentType="application/vnd.ms-office.chartstyle+xml"/>
  <Override PartName="/docProps/custom.xml" ContentType="application/vnd.openxmlformats-officedocument.custom-properties+xml"/>
  <Override PartName="/word/charts/colors2.xml" ContentType="application/vnd.ms-office.chartcolorstyle+xml"/>
  <Override PartName="/word/charts/chart6.xml" ContentType="application/vnd.openxmlformats-officedocument.drawingml.chart+xml"/>
  <Override PartName="/word/charts/chart2.xml" ContentType="application/vnd.openxmlformats-officedocument.drawingml.chart+xml"/>
  <Override PartName="/word/charts/style3.xml" ContentType="application/vnd.ms-office.chartstyle+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278"/>
        <w:jc w:val="center"/>
        <w:rPr>
          <w:rFonts w:cs="Times New Roman"/>
          <w:b/>
          <w:bCs/>
        </w:rPr>
      </w:pPr>
    </w:p>
    <w:p>
      <w:pPr>
        <w:pStyle w:val="style0"/>
        <w:spacing w:lineRule="auto" w:line="278"/>
        <w:jc w:val="center"/>
        <w:rPr>
          <w:rFonts w:cs="Times New Roman"/>
          <w:b/>
          <w:bCs/>
        </w:rPr>
      </w:pPr>
    </w:p>
    <w:p>
      <w:pPr>
        <w:pStyle w:val="style0"/>
        <w:spacing w:lineRule="auto" w:line="278"/>
        <w:jc w:val="center"/>
        <w:rPr>
          <w:rFonts w:cs="Times New Roman"/>
          <w:b/>
          <w:bCs/>
        </w:rPr>
      </w:pPr>
    </w:p>
    <w:p>
      <w:pPr>
        <w:pStyle w:val="style0"/>
        <w:spacing w:lineRule="auto" w:line="278"/>
        <w:jc w:val="center"/>
        <w:rPr>
          <w:rFonts w:cs="Times New Roman"/>
          <w:b/>
          <w:bCs/>
        </w:rPr>
      </w:pPr>
    </w:p>
    <w:p>
      <w:pPr>
        <w:pStyle w:val="style0"/>
        <w:spacing w:lineRule="auto" w:line="278"/>
        <w:jc w:val="center"/>
        <w:rPr>
          <w:rFonts w:cs="Times New Roman"/>
          <w:b/>
          <w:bCs/>
        </w:rPr>
      </w:pPr>
    </w:p>
    <w:p>
      <w:pPr>
        <w:pStyle w:val="style0"/>
        <w:spacing w:lineRule="auto" w:line="278"/>
        <w:jc w:val="center"/>
        <w:rPr>
          <w:rFonts w:cs="Times New Roman"/>
          <w:b/>
          <w:bCs/>
        </w:rPr>
      </w:pPr>
    </w:p>
    <w:p>
      <w:pPr>
        <w:pStyle w:val="style0"/>
        <w:spacing w:lineRule="auto" w:line="278"/>
        <w:jc w:val="center"/>
        <w:rPr>
          <w:rFonts w:cs="Times New Roman"/>
          <w:b/>
          <w:bCs/>
        </w:rPr>
      </w:pPr>
    </w:p>
    <w:p>
      <w:pPr>
        <w:pStyle w:val="style0"/>
        <w:spacing w:lineRule="auto" w:line="278"/>
        <w:jc w:val="center"/>
        <w:rPr>
          <w:rFonts w:cs="Times New Roman"/>
          <w:b/>
          <w:bCs/>
        </w:rPr>
      </w:pPr>
    </w:p>
    <w:p>
      <w:pPr>
        <w:pStyle w:val="style0"/>
        <w:spacing w:lineRule="auto" w:line="278"/>
        <w:jc w:val="center"/>
        <w:rPr>
          <w:rFonts w:cs="Times New Roman"/>
          <w:b/>
          <w:bCs/>
        </w:rPr>
      </w:pPr>
    </w:p>
    <w:p>
      <w:pPr>
        <w:pStyle w:val="style0"/>
        <w:spacing w:lineRule="auto" w:line="278"/>
        <w:jc w:val="center"/>
        <w:rPr>
          <w:rFonts w:cs="Times New Roman"/>
          <w:b/>
          <w:bCs/>
        </w:rPr>
      </w:pPr>
      <w:r>
        <w:rPr>
          <w:rFonts w:cs="Times New Roman"/>
          <w:b/>
          <w:bCs/>
        </w:rPr>
        <w:t>Financial performance and management</w:t>
      </w:r>
    </w:p>
    <w:p>
      <w:pPr>
        <w:pStyle w:val="style0"/>
        <w:spacing w:lineRule="auto" w:line="278"/>
        <w:jc w:val="center"/>
        <w:rPr>
          <w:rFonts w:cs="Times New Roman"/>
          <w:b/>
          <w:bCs/>
        </w:rPr>
      </w:pPr>
      <w:r>
        <w:rPr>
          <w:rFonts w:cs="Times New Roman"/>
          <w:b/>
          <w:bCs/>
        </w:rPr>
        <w:t>Student id:2532951</w:t>
      </w:r>
    </w:p>
    <w:p>
      <w:pPr>
        <w:pStyle w:val="style0"/>
        <w:spacing w:lineRule="auto" w:line="278"/>
        <w:jc w:val="center"/>
        <w:rPr>
          <w:rFonts w:cs="Times New Roman"/>
        </w:rPr>
      </w:pPr>
      <w:r>
        <w:rPr>
          <w:rFonts w:cs="Times New Roman"/>
          <w:b/>
          <w:bCs/>
        </w:rPr>
        <w:t>Student name:</w:t>
      </w:r>
      <w:r>
        <w:rPr>
          <w:rFonts w:cs="Times New Roman"/>
        </w:rPr>
        <w:t>Sajil salimbhai vahora</w:t>
      </w:r>
    </w:p>
    <w:p>
      <w:pPr>
        <w:pStyle w:val="style0"/>
        <w:spacing w:before="240" w:after="240"/>
        <w:jc w:val="left"/>
        <w:rPr>
          <w:rFonts w:cs="Times New Roman"/>
        </w:rPr>
      </w:pPr>
    </w:p>
    <w:p>
      <w:pPr>
        <w:pStyle w:val="style266"/>
        <w:spacing w:after="240" w:lineRule="auto" w:line="360"/>
        <w:rPr>
          <w:rFonts w:ascii="Times New Roman" w:cs="Times New Roman" w:hAnsi="Times New Roman"/>
        </w:rPr>
      </w:pPr>
      <w:r>
        <w:rPr>
          <w:rFonts w:ascii="Times New Roman" w:cs="Times New Roman" w:hAnsi="Times New Roman"/>
          <w:lang w:val="en-GB"/>
        </w:rPr>
        <w:t>Table of Contents</w:t>
      </w:r>
    </w:p>
    <w:p>
      <w:pPr>
        <w:pStyle w:val="style19"/>
        <w:tabs>
          <w:tab w:val="right" w:leader="dot" w:pos="9350"/>
        </w:tabs>
        <w:spacing w:before="240" w:after="240"/>
        <w:rPr>
          <w:rFonts w:cs="Times New Roman"/>
          <w:noProof/>
        </w:rPr>
      </w:pPr>
      <w:r>
        <w:rPr>
          <w:rFonts w:cs="Times New Roman"/>
        </w:rPr>
        <w:fldChar w:fldCharType="begin"/>
      </w:r>
      <w:r>
        <w:rPr>
          <w:rFonts w:cs="Times New Roman"/>
        </w:rPr>
        <w:instrText xml:space="preserve"> TOC \o "1-3" \h \z \u </w:instrText>
      </w:r>
      <w:r>
        <w:rPr>
          <w:rFonts w:cs="Times New Roman"/>
        </w:rPr>
        <w:fldChar w:fldCharType="separate"/>
      </w:r>
      <w:r>
        <w:rPr/>
        <w:fldChar w:fldCharType="begin"/>
      </w:r>
      <w:r>
        <w:instrText xml:space="preserve"> HYPERLINK \l "_Toc227946704" </w:instrText>
      </w:r>
      <w:r>
        <w:rPr/>
        <w:fldChar w:fldCharType="separate"/>
      </w:r>
      <w:r>
        <w:rPr>
          <w:rStyle w:val="style85"/>
          <w:rFonts w:cs="Times New Roman"/>
          <w:noProof/>
        </w:rPr>
        <w:t>1. INTRODUCTION</w:t>
      </w:r>
      <w:r>
        <w:rPr>
          <w:rFonts w:cs="Times New Roman"/>
          <w:noProof/>
          <w:webHidden/>
        </w:rPr>
        <w:tab/>
      </w:r>
      <w:r>
        <w:rPr>
          <w:rFonts w:cs="Times New Roman"/>
          <w:noProof/>
          <w:webHidden/>
        </w:rPr>
        <w:fldChar w:fldCharType="begin"/>
      </w:r>
      <w:r>
        <w:rPr>
          <w:rFonts w:cs="Times New Roman"/>
          <w:noProof/>
          <w:webHidden/>
        </w:rPr>
        <w:instrText xml:space="preserve"> PAGEREF _Toc227946704 \h </w:instrText>
      </w:r>
      <w:r>
        <w:rPr>
          <w:rFonts w:cs="Times New Roman"/>
          <w:noProof/>
          <w:webHidden/>
        </w:rPr>
        <w:fldChar w:fldCharType="separate"/>
      </w:r>
      <w:r>
        <w:rPr>
          <w:rFonts w:cs="Times New Roman"/>
          <w:noProof/>
          <w:webHidden/>
        </w:rPr>
        <w:t>3</w:t>
      </w:r>
      <w:r>
        <w:rPr>
          <w:rFonts w:cs="Times New Roman"/>
          <w:noProof/>
          <w:webHidden/>
        </w:rPr>
        <w:fldChar w:fldCharType="end"/>
      </w:r>
      <w:r>
        <w:rPr/>
        <w:fldChar w:fldCharType="end"/>
      </w:r>
    </w:p>
    <w:p>
      <w:pPr>
        <w:pStyle w:val="style19"/>
        <w:tabs>
          <w:tab w:val="right" w:leader="dot" w:pos="9350"/>
        </w:tabs>
        <w:spacing w:before="240" w:after="240"/>
        <w:rPr>
          <w:rFonts w:cs="Times New Roman"/>
          <w:noProof/>
        </w:rPr>
      </w:pPr>
      <w:r>
        <w:rPr/>
        <w:fldChar w:fldCharType="begin"/>
      </w:r>
      <w:r>
        <w:instrText xml:space="preserve"> HYPERLINK \l "_Toc227946705" </w:instrText>
      </w:r>
      <w:r>
        <w:rPr/>
        <w:fldChar w:fldCharType="separate"/>
      </w:r>
      <w:r>
        <w:rPr>
          <w:rStyle w:val="style85"/>
          <w:rFonts w:cs="Times New Roman"/>
          <w:noProof/>
        </w:rPr>
        <w:t>2. FINANCIAL HEALTH CHECK</w:t>
      </w:r>
      <w:r>
        <w:rPr>
          <w:rFonts w:cs="Times New Roman"/>
          <w:noProof/>
          <w:webHidden/>
        </w:rPr>
        <w:tab/>
      </w:r>
      <w:r>
        <w:rPr>
          <w:rFonts w:cs="Times New Roman"/>
          <w:noProof/>
          <w:webHidden/>
        </w:rPr>
        <w:fldChar w:fldCharType="begin"/>
      </w:r>
      <w:r>
        <w:rPr>
          <w:rFonts w:cs="Times New Roman"/>
          <w:noProof/>
          <w:webHidden/>
        </w:rPr>
        <w:instrText xml:space="preserve"> PAGEREF _Toc227946705 \h </w:instrText>
      </w:r>
      <w:r>
        <w:rPr>
          <w:rFonts w:cs="Times New Roman"/>
          <w:noProof/>
          <w:webHidden/>
        </w:rPr>
        <w:fldChar w:fldCharType="separate"/>
      </w:r>
      <w:r>
        <w:rPr>
          <w:rFonts w:cs="Times New Roman"/>
          <w:noProof/>
          <w:webHidden/>
        </w:rPr>
        <w:t>5</w:t>
      </w:r>
      <w:r>
        <w:rPr>
          <w:rFonts w:cs="Times New Roman"/>
          <w:noProof/>
          <w:webHidden/>
        </w:rPr>
        <w:fldChar w:fldCharType="end"/>
      </w:r>
      <w:r>
        <w:rPr/>
        <w:fldChar w:fldCharType="end"/>
      </w:r>
    </w:p>
    <w:p>
      <w:pPr>
        <w:pStyle w:val="style19"/>
        <w:tabs>
          <w:tab w:val="right" w:leader="dot" w:pos="9350"/>
        </w:tabs>
        <w:spacing w:before="240" w:after="240"/>
        <w:rPr>
          <w:rFonts w:cs="Times New Roman"/>
          <w:noProof/>
        </w:rPr>
      </w:pPr>
      <w:r>
        <w:rPr/>
        <w:fldChar w:fldCharType="begin"/>
      </w:r>
      <w:r>
        <w:instrText xml:space="preserve"> HYPERLINK \l "_Toc227946706" </w:instrText>
      </w:r>
      <w:r>
        <w:rPr/>
        <w:fldChar w:fldCharType="separate"/>
      </w:r>
      <w:r>
        <w:rPr>
          <w:rStyle w:val="style85"/>
          <w:rFonts w:cs="Times New Roman"/>
          <w:noProof/>
        </w:rPr>
        <w:t>3. WORKING CAPITAL MANAGEMENT</w:t>
      </w:r>
      <w:r>
        <w:rPr>
          <w:rFonts w:cs="Times New Roman"/>
          <w:noProof/>
          <w:webHidden/>
        </w:rPr>
        <w:tab/>
      </w:r>
      <w:r>
        <w:rPr>
          <w:rFonts w:cs="Times New Roman"/>
          <w:noProof/>
          <w:webHidden/>
        </w:rPr>
        <w:fldChar w:fldCharType="begin"/>
      </w:r>
      <w:r>
        <w:rPr>
          <w:rFonts w:cs="Times New Roman"/>
          <w:noProof/>
          <w:webHidden/>
        </w:rPr>
        <w:instrText xml:space="preserve"> PAGEREF _Toc227946706 \h </w:instrText>
      </w:r>
      <w:r>
        <w:rPr>
          <w:rFonts w:cs="Times New Roman"/>
          <w:noProof/>
          <w:webHidden/>
        </w:rPr>
        <w:fldChar w:fldCharType="separate"/>
      </w:r>
      <w:r>
        <w:rPr>
          <w:rFonts w:cs="Times New Roman"/>
          <w:noProof/>
          <w:webHidden/>
        </w:rPr>
        <w:t>14</w:t>
      </w:r>
      <w:r>
        <w:rPr>
          <w:rFonts w:cs="Times New Roman"/>
          <w:noProof/>
          <w:webHidden/>
        </w:rPr>
        <w:fldChar w:fldCharType="end"/>
      </w:r>
      <w:r>
        <w:rPr/>
        <w:fldChar w:fldCharType="end"/>
      </w:r>
    </w:p>
    <w:p>
      <w:pPr>
        <w:pStyle w:val="style19"/>
        <w:tabs>
          <w:tab w:val="right" w:leader="dot" w:pos="9350"/>
        </w:tabs>
        <w:spacing w:before="240" w:after="240"/>
        <w:rPr>
          <w:rFonts w:cs="Times New Roman"/>
          <w:noProof/>
        </w:rPr>
      </w:pPr>
      <w:r>
        <w:rPr/>
        <w:fldChar w:fldCharType="begin"/>
      </w:r>
      <w:r>
        <w:instrText xml:space="preserve"> HYPERLINK \l "_Toc227946707" </w:instrText>
      </w:r>
      <w:r>
        <w:rPr/>
        <w:fldChar w:fldCharType="separate"/>
      </w:r>
      <w:r>
        <w:rPr>
          <w:rStyle w:val="style85"/>
          <w:rFonts w:cs="Times New Roman"/>
          <w:noProof/>
        </w:rPr>
        <w:t>4. STRATEGIC FINANCIAL RESTRUCTURING</w:t>
      </w:r>
      <w:r>
        <w:rPr>
          <w:rFonts w:cs="Times New Roman"/>
          <w:noProof/>
          <w:webHidden/>
        </w:rPr>
        <w:tab/>
      </w:r>
      <w:r>
        <w:rPr>
          <w:rFonts w:cs="Times New Roman"/>
          <w:noProof/>
          <w:webHidden/>
        </w:rPr>
        <w:fldChar w:fldCharType="begin"/>
      </w:r>
      <w:r>
        <w:rPr>
          <w:rFonts w:cs="Times New Roman"/>
          <w:noProof/>
          <w:webHidden/>
        </w:rPr>
        <w:instrText xml:space="preserve"> PAGEREF _Toc227946707 \h </w:instrText>
      </w:r>
      <w:r>
        <w:rPr>
          <w:rFonts w:cs="Times New Roman"/>
          <w:noProof/>
          <w:webHidden/>
        </w:rPr>
        <w:fldChar w:fldCharType="separate"/>
      </w:r>
      <w:r>
        <w:rPr>
          <w:rFonts w:cs="Times New Roman"/>
          <w:noProof/>
          <w:webHidden/>
        </w:rPr>
        <w:t>20</w:t>
      </w:r>
      <w:r>
        <w:rPr>
          <w:rFonts w:cs="Times New Roman"/>
          <w:noProof/>
          <w:webHidden/>
        </w:rPr>
        <w:fldChar w:fldCharType="end"/>
      </w:r>
      <w:r>
        <w:rPr/>
        <w:fldChar w:fldCharType="end"/>
      </w:r>
    </w:p>
    <w:p>
      <w:pPr>
        <w:pStyle w:val="style19"/>
        <w:tabs>
          <w:tab w:val="right" w:leader="dot" w:pos="9350"/>
        </w:tabs>
        <w:spacing w:before="240" w:after="240"/>
        <w:rPr>
          <w:rFonts w:cs="Times New Roman"/>
          <w:noProof/>
        </w:rPr>
      </w:pPr>
      <w:r>
        <w:rPr/>
        <w:fldChar w:fldCharType="begin"/>
      </w:r>
      <w:r>
        <w:instrText xml:space="preserve"> HYPERLINK \l "_Toc227946708" </w:instrText>
      </w:r>
      <w:r>
        <w:rPr/>
        <w:fldChar w:fldCharType="separate"/>
      </w:r>
      <w:r>
        <w:rPr>
          <w:rStyle w:val="style85"/>
          <w:rFonts w:cs="Times New Roman"/>
          <w:noProof/>
        </w:rPr>
        <w:t>5. INVESTMENT APPRAISAL</w:t>
      </w:r>
      <w:r>
        <w:rPr>
          <w:rFonts w:cs="Times New Roman"/>
          <w:noProof/>
          <w:webHidden/>
        </w:rPr>
        <w:tab/>
      </w:r>
      <w:r>
        <w:rPr>
          <w:rFonts w:cs="Times New Roman"/>
          <w:noProof/>
          <w:webHidden/>
        </w:rPr>
        <w:fldChar w:fldCharType="begin"/>
      </w:r>
      <w:r>
        <w:rPr>
          <w:rFonts w:cs="Times New Roman"/>
          <w:noProof/>
          <w:webHidden/>
        </w:rPr>
        <w:instrText xml:space="preserve"> PAGEREF _Toc227946708 \h </w:instrText>
      </w:r>
      <w:r>
        <w:rPr>
          <w:rFonts w:cs="Times New Roman"/>
          <w:noProof/>
          <w:webHidden/>
        </w:rPr>
        <w:fldChar w:fldCharType="separate"/>
      </w:r>
      <w:r>
        <w:rPr>
          <w:rFonts w:cs="Times New Roman"/>
          <w:noProof/>
          <w:webHidden/>
        </w:rPr>
        <w:t>25</w:t>
      </w:r>
      <w:r>
        <w:rPr>
          <w:rFonts w:cs="Times New Roman"/>
          <w:noProof/>
          <w:webHidden/>
        </w:rPr>
        <w:fldChar w:fldCharType="end"/>
      </w:r>
      <w:r>
        <w:rPr/>
        <w:fldChar w:fldCharType="end"/>
      </w:r>
    </w:p>
    <w:p>
      <w:pPr>
        <w:pStyle w:val="style19"/>
        <w:tabs>
          <w:tab w:val="right" w:leader="dot" w:pos="9350"/>
        </w:tabs>
        <w:spacing w:before="240" w:after="240"/>
        <w:rPr>
          <w:rFonts w:cs="Times New Roman"/>
          <w:noProof/>
        </w:rPr>
      </w:pPr>
      <w:r>
        <w:rPr/>
        <w:fldChar w:fldCharType="begin"/>
      </w:r>
      <w:r>
        <w:instrText xml:space="preserve"> HYPERLINK \l "_Toc227946709" </w:instrText>
      </w:r>
      <w:r>
        <w:rPr/>
        <w:fldChar w:fldCharType="separate"/>
      </w:r>
      <w:r>
        <w:rPr>
          <w:rStyle w:val="style85"/>
          <w:rFonts w:cs="Times New Roman"/>
          <w:noProof/>
        </w:rPr>
        <w:t>6. CONCLUSION</w:t>
      </w:r>
      <w:r>
        <w:rPr>
          <w:rFonts w:cs="Times New Roman"/>
          <w:noProof/>
          <w:webHidden/>
        </w:rPr>
        <w:tab/>
      </w:r>
      <w:r>
        <w:rPr>
          <w:rFonts w:cs="Times New Roman"/>
          <w:noProof/>
          <w:webHidden/>
        </w:rPr>
        <w:fldChar w:fldCharType="begin"/>
      </w:r>
      <w:r>
        <w:rPr>
          <w:rFonts w:cs="Times New Roman"/>
          <w:noProof/>
          <w:webHidden/>
        </w:rPr>
        <w:instrText xml:space="preserve"> PAGEREF _Toc227946709 \h </w:instrText>
      </w:r>
      <w:r>
        <w:rPr>
          <w:rFonts w:cs="Times New Roman"/>
          <w:noProof/>
          <w:webHidden/>
        </w:rPr>
        <w:fldChar w:fldCharType="separate"/>
      </w:r>
      <w:r>
        <w:rPr>
          <w:rFonts w:cs="Times New Roman"/>
          <w:noProof/>
          <w:webHidden/>
        </w:rPr>
        <w:t>29</w:t>
      </w:r>
      <w:r>
        <w:rPr>
          <w:rFonts w:cs="Times New Roman"/>
          <w:noProof/>
          <w:webHidden/>
        </w:rPr>
        <w:fldChar w:fldCharType="end"/>
      </w:r>
      <w:r>
        <w:rPr/>
        <w:fldChar w:fldCharType="end"/>
      </w:r>
    </w:p>
    <w:p>
      <w:pPr>
        <w:pStyle w:val="style19"/>
        <w:tabs>
          <w:tab w:val="right" w:leader="dot" w:pos="9350"/>
        </w:tabs>
        <w:spacing w:before="240" w:after="240"/>
        <w:rPr>
          <w:rFonts w:cs="Times New Roman"/>
          <w:noProof/>
        </w:rPr>
      </w:pPr>
      <w:r>
        <w:rPr/>
        <w:fldChar w:fldCharType="begin"/>
      </w:r>
      <w:r>
        <w:instrText xml:space="preserve"> HYPERLINK \l "_Toc227946710" </w:instrText>
      </w:r>
      <w:r>
        <w:rPr/>
        <w:fldChar w:fldCharType="separate"/>
      </w:r>
      <w:r>
        <w:rPr>
          <w:rStyle w:val="style85"/>
          <w:rFonts w:cs="Times New Roman"/>
          <w:noProof/>
        </w:rPr>
        <w:t>References</w:t>
      </w:r>
      <w:r>
        <w:rPr>
          <w:rFonts w:cs="Times New Roman"/>
          <w:noProof/>
          <w:webHidden/>
        </w:rPr>
        <w:tab/>
      </w:r>
      <w:r>
        <w:rPr>
          <w:rFonts w:cs="Times New Roman"/>
          <w:noProof/>
          <w:webHidden/>
        </w:rPr>
        <w:fldChar w:fldCharType="begin"/>
      </w:r>
      <w:r>
        <w:rPr>
          <w:rFonts w:cs="Times New Roman"/>
          <w:noProof/>
          <w:webHidden/>
        </w:rPr>
        <w:instrText xml:space="preserve"> PAGEREF _Toc227946710 \h </w:instrText>
      </w:r>
      <w:r>
        <w:rPr>
          <w:rFonts w:cs="Times New Roman"/>
          <w:noProof/>
          <w:webHidden/>
        </w:rPr>
        <w:fldChar w:fldCharType="separate"/>
      </w:r>
      <w:r>
        <w:rPr>
          <w:rFonts w:cs="Times New Roman"/>
          <w:noProof/>
          <w:webHidden/>
        </w:rPr>
        <w:t>30</w:t>
      </w:r>
      <w:r>
        <w:rPr>
          <w:rFonts w:cs="Times New Roman"/>
          <w:noProof/>
          <w:webHidden/>
        </w:rPr>
        <w:fldChar w:fldCharType="end"/>
      </w:r>
      <w:r>
        <w:rPr/>
        <w:fldChar w:fldCharType="end"/>
      </w:r>
    </w:p>
    <w:p>
      <w:pPr>
        <w:pStyle w:val="style19"/>
        <w:tabs>
          <w:tab w:val="right" w:leader="dot" w:pos="9350"/>
        </w:tabs>
        <w:spacing w:before="240" w:after="240"/>
        <w:rPr>
          <w:rFonts w:cs="Times New Roman"/>
          <w:noProof/>
        </w:rPr>
      </w:pPr>
      <w:r>
        <w:rPr/>
        <w:fldChar w:fldCharType="begin"/>
      </w:r>
      <w:r>
        <w:instrText xml:space="preserve"> HYPERLINK \l "_Toc227946711" </w:instrText>
      </w:r>
      <w:r>
        <w:rPr/>
        <w:fldChar w:fldCharType="separate"/>
      </w:r>
      <w:r>
        <w:rPr>
          <w:rStyle w:val="style85"/>
          <w:rFonts w:cs="Times New Roman"/>
          <w:noProof/>
        </w:rPr>
        <w:t>Appendix</w:t>
      </w:r>
      <w:r>
        <w:rPr>
          <w:rFonts w:cs="Times New Roman"/>
          <w:noProof/>
          <w:webHidden/>
        </w:rPr>
        <w:tab/>
      </w:r>
      <w:r>
        <w:rPr>
          <w:rFonts w:cs="Times New Roman"/>
          <w:noProof/>
          <w:webHidden/>
        </w:rPr>
        <w:fldChar w:fldCharType="begin"/>
      </w:r>
      <w:r>
        <w:rPr>
          <w:rFonts w:cs="Times New Roman"/>
          <w:noProof/>
          <w:webHidden/>
        </w:rPr>
        <w:instrText xml:space="preserve"> PAGEREF _Toc227946711 \h </w:instrText>
      </w:r>
      <w:r>
        <w:rPr>
          <w:rFonts w:cs="Times New Roman"/>
          <w:noProof/>
          <w:webHidden/>
        </w:rPr>
        <w:fldChar w:fldCharType="separate"/>
      </w:r>
      <w:r>
        <w:rPr>
          <w:rFonts w:cs="Times New Roman"/>
          <w:noProof/>
          <w:webHidden/>
        </w:rPr>
        <w:t>34</w:t>
      </w:r>
      <w:r>
        <w:rPr>
          <w:rFonts w:cs="Times New Roman"/>
          <w:noProof/>
          <w:webHidden/>
        </w:rPr>
        <w:fldChar w:fldCharType="end"/>
      </w:r>
      <w:r>
        <w:rPr/>
        <w:fldChar w:fldCharType="end"/>
      </w:r>
    </w:p>
    <w:p>
      <w:pPr>
        <w:pStyle w:val="style0"/>
        <w:spacing w:before="240" w:after="240"/>
        <w:rPr>
          <w:rFonts w:cs="Times New Roman"/>
        </w:rPr>
      </w:pPr>
      <w:r>
        <w:rPr>
          <w:rFonts w:cs="Times New Roman"/>
          <w:b/>
          <w:bCs/>
          <w:lang w:val="en-GB"/>
        </w:rPr>
        <w:fldChar w:fldCharType="end"/>
      </w:r>
    </w:p>
    <w:p>
      <w:pPr>
        <w:pStyle w:val="style0"/>
        <w:spacing w:before="240" w:after="240"/>
        <w:jc w:val="left"/>
        <w:rPr>
          <w:rFonts w:cs="Times New Roman"/>
        </w:rPr>
      </w:pPr>
      <w:r>
        <w:rPr>
          <w:rFonts w:cs="Times New Roman"/>
        </w:rPr>
        <w:br w:type="page"/>
      </w:r>
    </w:p>
    <w:bookmarkStart w:id="0" w:name="_Toc227946704"/>
    <w:p>
      <w:pPr>
        <w:pStyle w:val="style1"/>
        <w:spacing w:before="240" w:after="240"/>
        <w:rPr>
          <w:rFonts w:cs="Times New Roman"/>
        </w:rPr>
      </w:pPr>
      <w:r>
        <w:rPr>
          <w:rFonts w:cs="Times New Roman"/>
        </w:rPr>
        <w:t>1. INTRODUCTION</w:t>
      </w:r>
      <w:bookmarkEnd w:id="0"/>
    </w:p>
    <w:p>
      <w:pPr>
        <w:pStyle w:val="style0"/>
        <w:spacing w:before="240" w:after="240"/>
        <w:rPr>
          <w:rFonts w:cs="Times New Roman"/>
        </w:rPr>
      </w:pPr>
      <w:r>
        <w:rPr>
          <w:rFonts w:cs="Times New Roman"/>
        </w:rPr>
        <w:t>Based in Texas, Tesla, Inc. is the founding champion in the EV industry. Other areas Tesla is involved in are energy storage and solar solutions. Tesla operates under the automotive and energy sector. Tesla is the only company that provides support for all three areas of the automotive sector and energy sector.</w:t>
      </w:r>
    </w:p>
    <w:p>
      <w:pPr>
        <w:pStyle w:val="style0"/>
        <w:spacing w:before="240" w:after="240"/>
        <w:jc w:val="center"/>
        <w:rPr>
          <w:rFonts w:cs="Times New Roman"/>
        </w:rPr>
      </w:pPr>
      <w:r>
        <w:rPr>
          <w:rFonts w:cs="Times New Roman"/>
        </w:rPr>
        <w:drawing>
          <wp:inline distL="0" distT="0" distB="0" distR="0">
            <wp:extent cx="4660579" cy="1953857"/>
            <wp:effectExtent l="0" t="0" r="6985" b="8890"/>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4660579" cy="1953857"/>
                    </a:xfrm>
                    <a:prstGeom prst="rect"/>
                  </pic:spPr>
                </pic:pic>
              </a:graphicData>
            </a:graphic>
          </wp:inline>
        </w:drawing>
      </w:r>
    </w:p>
    <w:p>
      <w:pPr>
        <w:pStyle w:val="style0"/>
        <w:spacing w:before="240" w:after="240"/>
        <w:rPr>
          <w:rFonts w:cs="Times New Roman"/>
        </w:rPr>
      </w:pPr>
      <w:r>
        <w:rPr>
          <w:rFonts w:cs="Times New Roman"/>
        </w:rPr>
        <w:t>As mentioned in the Impact Report, t</w:t>
      </w:r>
      <w:r>
        <w:rPr>
          <w:rFonts w:cs="Times New Roman"/>
        </w:rPr>
        <w:t xml:space="preserve">he company’s core mission is </w:t>
      </w:r>
      <w:r>
        <w:rPr>
          <w:rFonts w:cs="Times New Roman"/>
          <w:i/>
          <w:iCs/>
        </w:rPr>
        <w:t>“to accelerate the world’s transition to sustainable energy”</w:t>
      </w:r>
      <w:r>
        <w:rPr>
          <w:rFonts w:cs="Times New Roman"/>
        </w:rPr>
        <w:t>, which is supported by a vertically integrated business model and large-scale global manufacturing operations</w:t>
      </w:r>
      <w:r>
        <w:rPr>
          <w:rFonts w:cs="Times New Roman"/>
        </w:rPr>
        <w:t xml:space="preserve"> as shown in the figure below</w:t>
      </w:r>
      <w:r>
        <w:rPr>
          <w:rFonts w:cs="Times New Roman"/>
        </w:rPr>
        <w:t xml:space="preserve">. </w:t>
      </w:r>
    </w:p>
    <w:p>
      <w:pPr>
        <w:pStyle w:val="style0"/>
        <w:keepNext/>
        <w:spacing w:before="240" w:after="240"/>
        <w:jc w:val="center"/>
        <w:rPr>
          <w:rFonts w:cs="Times New Roman"/>
        </w:rPr>
      </w:pPr>
      <w:r>
        <w:rPr>
          <w:rFonts w:cs="Times New Roman"/>
          <w:noProof/>
        </w:rPr>
        <w:drawing>
          <wp:inline distL="0" distT="0" distB="0" distR="0">
            <wp:extent cx="3095625" cy="1476375"/>
            <wp:effectExtent l="0" t="0" r="9525" b="9525"/>
            <wp:docPr id="1027" name="Picture 1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4"/>
                    <pic:cNvPicPr/>
                  </pic:nvPicPr>
                  <pic:blipFill>
                    <a:blip r:embed="rId3" cstate="print"/>
                    <a:srcRect l="0" t="0" r="0" b="0"/>
                    <a:stretch/>
                  </pic:blipFill>
                  <pic:spPr>
                    <a:xfrm rot="0">
                      <a:off x="0" y="0"/>
                      <a:ext cx="3095625" cy="1476375"/>
                    </a:xfrm>
                    <a:prstGeom prst="rect"/>
                  </pic:spPr>
                </pic:pic>
              </a:graphicData>
            </a:graphic>
          </wp:inline>
        </w:drawing>
      </w:r>
    </w:p>
    <w:p>
      <w:pPr>
        <w:pStyle w:val="style34"/>
        <w:spacing w:before="240" w:after="240" w:lineRule="auto" w:line="360"/>
        <w:jc w:val="center"/>
        <w:rPr>
          <w:rFonts w:cs="Times New Roman"/>
        </w:rPr>
      </w:pPr>
      <w:r>
        <w:rPr>
          <w:rFonts w:cs="Times New Roman"/>
        </w:rPr>
        <w:t xml:space="preserve">Figure </w:t>
      </w: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noProof/>
        </w:rPr>
        <w:t>1</w:t>
      </w:r>
      <w:r>
        <w:rPr>
          <w:rFonts w:cs="Times New Roman"/>
        </w:rPr>
        <w:fldChar w:fldCharType="end"/>
      </w:r>
      <w:r>
        <w:rPr>
          <w:rFonts w:cs="Times New Roman"/>
        </w:rPr>
        <w:t>: Vertical Integration Tesla</w:t>
      </w:r>
    </w:p>
    <w:p>
      <w:pPr>
        <w:pStyle w:val="style0"/>
        <w:spacing w:before="240" w:after="240"/>
        <w:jc w:val="center"/>
        <w:rPr>
          <w:rFonts w:cs="Times New Roman"/>
        </w:rPr>
      </w:pPr>
      <w:r>
        <w:rPr>
          <w:rFonts w:cs="Times New Roman"/>
        </w:rPr>
        <w:t xml:space="preserve">(Source: </w:t>
      </w:r>
      <w:r>
        <w:rPr>
          <w:rFonts w:cs="Times New Roman"/>
        </w:rPr>
        <w:t>Harryson and Lorange, 2024</w:t>
      </w:r>
      <w:r>
        <w:rPr>
          <w:rFonts w:cs="Times New Roman"/>
        </w:rPr>
        <w:t>)</w:t>
      </w:r>
    </w:p>
    <w:p>
      <w:pPr>
        <w:pStyle w:val="style0"/>
        <w:spacing w:before="240" w:after="240"/>
        <w:rPr>
          <w:rFonts w:cs="Times New Roman"/>
        </w:rPr>
      </w:pPr>
      <w:r>
        <w:rPr>
          <w:rFonts w:cs="Times New Roman"/>
        </w:rPr>
        <w:t xml:space="preserve">Tesla employs more than 100,000 employees, and the company has established operations on all continents. Tesla's goal is to support the delivery of zero-emission vehicles and to accompany systems for the production of renewable energies. Operations in Texas show that from a financial standpoint, Tesla has strong scale support and a strong industry position. As of 2026, Tesla's market </w:t>
      </w:r>
      <w:r>
        <w:rPr>
          <w:rFonts w:cs="Times New Roman"/>
        </w:rPr>
        <w:t>capitalization is $1.40 trillion, annual revenues of $97.88 billion, and operating cash flows of $16.53 billion</w:t>
      </w:r>
      <w:r>
        <w:rPr>
          <w:rFonts w:cs="Times New Roman"/>
        </w:rPr>
        <w:t xml:space="preserve"> </w:t>
      </w:r>
      <w:r>
        <w:rPr>
          <w:rFonts w:cs="Times New Roman"/>
        </w:rPr>
        <w:t>(Yahoo finance, 2026)</w:t>
      </w:r>
      <w:r>
        <w:rPr>
          <w:rFonts w:cs="Times New Roman"/>
        </w:rPr>
        <w:t xml:space="preserve">. </w:t>
      </w:r>
      <w:r>
        <w:rPr>
          <w:rFonts w:cs="Times New Roman"/>
        </w:rPr>
        <w:t xml:space="preserve">Tesla has a modest profit net margin of 3.95%, and return on assets of 2.23%. This suggests challenges in cost and efficiency, even though the company has grown significantly. In financial performance, the company has a strong position on the scale of liquidity, supported by a current ratio of 2.04, and relatively low leverage </w:t>
      </w:r>
      <w:r>
        <w:rPr>
          <w:rFonts w:cs="Times New Roman"/>
        </w:rPr>
        <w:t>(Yahoo Finance, 2025)</w:t>
      </w:r>
      <w:r>
        <w:rPr>
          <w:rFonts w:cs="Times New Roman"/>
        </w:rPr>
        <w:t>.</w:t>
      </w:r>
    </w:p>
    <w:p>
      <w:pPr>
        <w:pStyle w:val="style0"/>
        <w:spacing w:before="240" w:after="240"/>
        <w:rPr>
          <w:rFonts w:cs="Times New Roman"/>
        </w:rPr>
      </w:pPr>
      <w:r>
        <w:rPr>
          <w:rFonts w:cs="Times New Roman"/>
        </w:rPr>
        <w:t>Another major contributor to Tesla has been its value-driven goals, and the company’s 2024 Impact Report states that Tesla’s products supported the avoidance of nearly 32 million tons of CO₂ emissions</w:t>
      </w:r>
      <w:r>
        <w:rPr>
          <w:rFonts w:cs="Times New Roman"/>
        </w:rPr>
        <w:t>.</w:t>
      </w:r>
    </w:p>
    <w:p>
      <w:pPr>
        <w:pStyle w:val="style0"/>
        <w:spacing w:before="240" w:after="240"/>
        <w:jc w:val="center"/>
        <w:rPr>
          <w:rFonts w:cs="Times New Roman"/>
        </w:rPr>
      </w:pPr>
      <w:r>
        <w:rPr>
          <w:rFonts w:cs="Times New Roman"/>
        </w:rPr>
        <w:drawing>
          <wp:inline distL="0" distT="0" distB="0" distR="0">
            <wp:extent cx="4786923" cy="2694178"/>
            <wp:effectExtent l="0" t="0" r="0" b="0"/>
            <wp:docPr id="1028"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4" cstate="print"/>
                    <a:srcRect l="0" t="0" r="0" b="0"/>
                    <a:stretch/>
                  </pic:blipFill>
                  <pic:spPr>
                    <a:xfrm rot="0">
                      <a:off x="0" y="0"/>
                      <a:ext cx="4786923" cy="2694178"/>
                    </a:xfrm>
                    <a:prstGeom prst="rect"/>
                  </pic:spPr>
                </pic:pic>
              </a:graphicData>
            </a:graphic>
          </wp:inline>
        </w:drawing>
      </w:r>
    </w:p>
    <w:p>
      <w:pPr>
        <w:pStyle w:val="style0"/>
        <w:spacing w:before="240" w:after="240"/>
        <w:rPr>
          <w:rFonts w:cs="Times New Roman"/>
        </w:rPr>
      </w:pPr>
      <w:r>
        <w:rPr>
          <w:rFonts w:cs="Times New Roman"/>
        </w:rPr>
        <w:t>Th</w:t>
      </w:r>
      <w:r>
        <w:rPr>
          <w:rFonts w:cs="Times New Roman"/>
        </w:rPr>
        <w:t>erefore, th</w:t>
      </w:r>
      <w:r>
        <w:rPr>
          <w:rFonts w:cs="Times New Roman"/>
        </w:rPr>
        <w:t>is report</w:t>
      </w:r>
      <w:r>
        <w:rPr>
          <w:rFonts w:cs="Times New Roman"/>
        </w:rPr>
        <w:t xml:space="preserve"> is </w:t>
      </w:r>
      <w:r>
        <w:rPr>
          <w:rFonts w:cs="Times New Roman"/>
        </w:rPr>
        <w:t>written from the perspective of the Chief Financial Officer (CFO</w:t>
      </w:r>
      <w:r>
        <w:rPr>
          <w:rFonts w:cs="Times New Roman"/>
        </w:rPr>
        <w:t xml:space="preserve">) and it </w:t>
      </w:r>
      <w:r>
        <w:rPr>
          <w:rFonts w:cs="Times New Roman"/>
        </w:rPr>
        <w:t>analy</w:t>
      </w:r>
      <w:r>
        <w:rPr>
          <w:rFonts w:cs="Times New Roman"/>
        </w:rPr>
        <w:t>s</w:t>
      </w:r>
      <w:r>
        <w:rPr>
          <w:rFonts w:cs="Times New Roman"/>
        </w:rPr>
        <w:t>es Tesla's financial performance over the fiscal period of the past five years using detailed financial ratio analysis and working capital effectiveness. Additionally, it offers financially and strategically rational alternatives focusing on financial restructuring. Furthermore, it evaluates three types of investment projects using capital/budgeting techniques The analysis intends to prioritize the framework of data-driven analysis, recommend alternatives that are financially credible, and strategically justified investment options</w:t>
      </w:r>
      <w:r>
        <w:rPr>
          <w:rFonts w:cs="Times New Roman"/>
        </w:rPr>
        <w:t>.</w:t>
      </w:r>
    </w:p>
    <w:p>
      <w:pPr>
        <w:pStyle w:val="style0"/>
        <w:spacing w:before="240" w:after="240"/>
        <w:jc w:val="left"/>
        <w:rPr>
          <w:rFonts w:cs="Times New Roman"/>
        </w:rPr>
      </w:pPr>
      <w:r>
        <w:rPr>
          <w:rFonts w:cs="Times New Roman"/>
        </w:rPr>
        <w:br w:type="page"/>
      </w:r>
    </w:p>
    <w:bookmarkStart w:id="1" w:name="_Toc227946705"/>
    <w:p>
      <w:pPr>
        <w:pStyle w:val="style1"/>
        <w:spacing w:before="240" w:after="240"/>
        <w:rPr>
          <w:rFonts w:cs="Times New Roman"/>
        </w:rPr>
      </w:pPr>
      <w:r>
        <w:rPr>
          <w:rFonts w:cs="Times New Roman"/>
        </w:rPr>
        <w:t>2. FINANCIAL HEALTH CHECK</w:t>
      </w:r>
      <w:bookmarkEnd w:id="1"/>
    </w:p>
    <w:p>
      <w:pPr>
        <w:pStyle w:val="style0"/>
        <w:spacing w:before="240" w:after="240"/>
        <w:rPr>
          <w:rFonts w:cs="Times New Roman"/>
          <w:b/>
          <w:bCs/>
        </w:rPr>
      </w:pPr>
      <w:r>
        <w:rPr>
          <w:rFonts w:cs="Times New Roman"/>
          <w:b/>
          <w:bCs/>
        </w:rPr>
        <w:t>2.1 Profitability Analysis</w:t>
      </w:r>
    </w:p>
    <w:p>
      <w:pPr>
        <w:pStyle w:val="style0"/>
        <w:keepNext/>
        <w:spacing w:before="240" w:after="240"/>
        <w:jc w:val="center"/>
        <w:rPr>
          <w:rFonts w:cs="Times New Roman"/>
        </w:rPr>
      </w:pPr>
      <w:r>
        <w:rPr>
          <w:rFonts w:cs="Times New Roman"/>
          <w:noProof/>
        </w:rPr>
      </w:r>
      <w:r>
        <w:rPr>
          <w:rFonts w:cs="Times New Roman"/>
          <w:noProof/>
        </w:rPr>
      </w:r>
      <w:r>
        <w:rPr>
          <w:rFonts w:cs="Times New Roman"/>
          <w:noProof/>
        </w:rPr>
      </w:r>
      <w:r>
        <w:rPr>
          <w:rFonts w:cs="Times New Roman"/>
          <w:noProof/>
        </w:rPr>
        <w:drawing>
          <wp:inline distL="114300" distT="0" distB="0" distR="114300">
            <wp:extent cx="5490308" cy="2832344"/>
            <wp:effectExtent l="0" t="0" r="0" b="0"/>
            <wp:docPr id="1030"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rPr>
          <w:rFonts w:cs="Times New Roman"/>
          <w:noProof/>
        </w:rPr>
      </w:r>
    </w:p>
    <w:p>
      <w:pPr>
        <w:pStyle w:val="style34"/>
        <w:spacing w:before="240" w:after="240" w:lineRule="auto" w:line="360"/>
        <w:jc w:val="center"/>
        <w:rPr>
          <w:rFonts w:cs="Times New Roman"/>
          <w:b/>
          <w:bCs/>
        </w:rPr>
      </w:pPr>
      <w:r>
        <w:rPr>
          <w:rFonts w:cs="Times New Roman"/>
        </w:rPr>
        <w:t xml:space="preserve">Figure </w:t>
      </w: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noProof/>
        </w:rPr>
        <w:t>2</w:t>
      </w:r>
      <w:r>
        <w:rPr>
          <w:rFonts w:cs="Times New Roman"/>
        </w:rPr>
        <w:fldChar w:fldCharType="end"/>
      </w:r>
      <w:r>
        <w:rPr>
          <w:rFonts w:cs="Times New Roman"/>
        </w:rPr>
        <w:t>: Profitability</w:t>
      </w:r>
    </w:p>
    <w:p>
      <w:pPr>
        <w:pStyle w:val="style0"/>
        <w:spacing w:before="240" w:after="240"/>
        <w:rPr>
          <w:rFonts w:cs="Times New Roman"/>
        </w:rPr>
      </w:pPr>
      <w:r>
        <w:rPr>
          <w:rFonts w:cs="Times New Roman"/>
        </w:rPr>
        <w:t>Profitability ratios outline the potential of a firm to produce a positive outcome (earnings) relative to a firm’s total revenue, total assets, and total capital spent. According to Majka (2024), the Gross Profit Margin is the ratio of Gross Profit to revenue. It demonstrates the effectiveness of both the production and pricing of the firm’s products. The Gross Profit Margin for Tesla, Inc has declined significantly from 25.28% in 2021 and 25.60% in 2022 to 18.25% in 2023, 17.86% in 2024, and a slight recovery to 18.03% in 2025 (Yahoo finance, 2026). The declining Gross Profit Margin, is indicative of the firm experiencing the pressure of increasing costs and its choice of strategic pricing.</w:t>
      </w:r>
      <w:r>
        <w:rPr>
          <w:rFonts w:cs="Times New Roman"/>
        </w:rPr>
        <w:t xml:space="preserve"> </w:t>
      </w:r>
    </w:p>
    <w:p>
      <w:pPr>
        <w:pStyle w:val="style0"/>
        <w:keepNext/>
        <w:spacing w:before="240" w:after="240"/>
        <w:jc w:val="center"/>
        <w:rPr>
          <w:rFonts w:cs="Times New Roman"/>
        </w:rPr>
      </w:pPr>
      <w:r>
        <w:rPr>
          <w:rFonts w:cs="Times New Roman"/>
        </w:rPr>
        <w:object>
          <v:shape id="1031" type="#_x0000_t75" filled="f" stroked="f" style="margin-left:0.0pt;margin-top:0.0pt;width:468.0pt;height:107.0pt;mso-wrap-distance-left:0.0pt;mso-wrap-distance-right:0.0pt;visibility:visible;">
            <w10:anchorlock/>
            <v:imagedata r:id="rId6" embosscolor="white" o:title=""/>
            <v:fill/>
          </v:shape>
          <o:OLEObject Type="EMBED" ProgID="Excel.Chart.8" ShapeID="1031" DrawAspect="Content" ObjectID="0" r:id="rId7"/>
        </w:object>
      </w:r>
    </w:p>
    <w:p>
      <w:pPr>
        <w:pStyle w:val="style34"/>
        <w:spacing w:before="240" w:after="240" w:lineRule="auto" w:line="360"/>
        <w:jc w:val="center"/>
        <w:rPr>
          <w:rFonts w:cs="Times New Roman"/>
        </w:rPr>
      </w:pPr>
      <w:r>
        <w:rPr>
          <w:rFonts w:cs="Times New Roman"/>
        </w:rPr>
        <w:t xml:space="preserve">Figure </w:t>
      </w: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noProof/>
        </w:rPr>
        <w:t>3</w:t>
      </w:r>
      <w:r>
        <w:rPr>
          <w:rFonts w:cs="Times New Roman"/>
        </w:rPr>
        <w:fldChar w:fldCharType="end"/>
      </w:r>
      <w:r>
        <w:rPr>
          <w:rFonts w:cs="Times New Roman"/>
        </w:rPr>
        <w:t>: Price reduction by Tesla</w:t>
      </w:r>
    </w:p>
    <w:p>
      <w:pPr>
        <w:pStyle w:val="style0"/>
        <w:spacing w:before="240" w:after="240"/>
        <w:jc w:val="center"/>
        <w:rPr>
          <w:rFonts w:cs="Times New Roman"/>
        </w:rPr>
      </w:pPr>
      <w:r>
        <w:rPr>
          <w:rFonts w:cs="Times New Roman"/>
        </w:rPr>
        <w:t>(Rest of World, 2025)</w:t>
      </w:r>
    </w:p>
    <w:p>
      <w:pPr>
        <w:pStyle w:val="style0"/>
        <w:spacing w:before="240" w:after="240"/>
        <w:rPr>
          <w:rFonts w:cs="Times New Roman"/>
        </w:rPr>
      </w:pPr>
      <w:r>
        <w:rPr>
          <w:rFonts w:cs="Times New Roman"/>
        </w:rPr>
        <w:t>Remarkably, as depicted above, Tesla has introduced intensive price cuts throughout its vehicles, and focusing on boosting its sales volume and preventing market share loss to mounting EV contenders like BYD and Volkswagen. Although this plan helped in demand, it squeezed margins, which justifies loss of gross profitability</w:t>
      </w:r>
      <w:r>
        <w:rPr>
          <w:rFonts w:cs="Times New Roman"/>
        </w:rPr>
        <w:t>.</w:t>
      </w:r>
    </w:p>
    <w:p>
      <w:pPr>
        <w:pStyle w:val="style0"/>
        <w:keepNext/>
        <w:spacing w:before="240" w:after="240"/>
        <w:jc w:val="center"/>
        <w:rPr>
          <w:rFonts w:cs="Times New Roman"/>
        </w:rPr>
      </w:pPr>
      <w:r>
        <w:rPr>
          <w:rFonts w:cs="Times New Roman"/>
          <w:noProof/>
        </w:rPr>
        <w:drawing>
          <wp:inline distL="0" distT="0" distB="0" distR="0">
            <wp:extent cx="5672110" cy="5705475"/>
            <wp:effectExtent l="0" t="0" r="5080" b="0"/>
            <wp:docPr id="1032" name="Picture 1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16"/>
                    <pic:cNvPicPr/>
                  </pic:nvPicPr>
                  <pic:blipFill>
                    <a:blip r:embed="rId8" cstate="print"/>
                    <a:srcRect l="0" t="0" r="0" b="0"/>
                    <a:stretch/>
                  </pic:blipFill>
                  <pic:spPr>
                    <a:xfrm rot="0">
                      <a:off x="0" y="0"/>
                      <a:ext cx="5672110" cy="5705475"/>
                    </a:xfrm>
                    <a:prstGeom prst="rect"/>
                  </pic:spPr>
                </pic:pic>
              </a:graphicData>
            </a:graphic>
          </wp:inline>
        </w:drawing>
      </w:r>
    </w:p>
    <w:p>
      <w:pPr>
        <w:pStyle w:val="style34"/>
        <w:spacing w:before="240" w:after="240" w:lineRule="auto" w:line="360"/>
        <w:jc w:val="center"/>
        <w:rPr>
          <w:rFonts w:cs="Times New Roman"/>
        </w:rPr>
      </w:pPr>
      <w:r>
        <w:rPr>
          <w:rFonts w:cs="Times New Roman"/>
        </w:rPr>
        <w:t xml:space="preserve">Figure </w:t>
      </w: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noProof/>
        </w:rPr>
        <w:t>4</w:t>
      </w:r>
      <w:r>
        <w:rPr>
          <w:rFonts w:cs="Times New Roman"/>
        </w:rPr>
        <w:fldChar w:fldCharType="end"/>
      </w:r>
      <w:r>
        <w:rPr>
          <w:rFonts w:cs="Times New Roman"/>
        </w:rPr>
        <w:t>: Sales, Tesla and Competitors</w:t>
      </w:r>
    </w:p>
    <w:p>
      <w:pPr>
        <w:pStyle w:val="style0"/>
        <w:spacing w:before="240" w:after="240"/>
        <w:jc w:val="center"/>
        <w:rPr>
          <w:rFonts w:cs="Times New Roman"/>
        </w:rPr>
      </w:pPr>
      <w:r>
        <w:rPr>
          <w:rFonts w:cs="Times New Roman"/>
        </w:rPr>
        <w:t>(Statista, 2025)</w:t>
      </w:r>
    </w:p>
    <w:p>
      <w:pPr>
        <w:pStyle w:val="style0"/>
        <w:keepNext/>
        <w:spacing w:before="240" w:after="240"/>
        <w:jc w:val="center"/>
        <w:rPr>
          <w:rFonts w:cs="Times New Roman"/>
        </w:rPr>
      </w:pPr>
      <w:r>
        <w:rPr>
          <w:rFonts w:cs="Times New Roman"/>
          <w:noProof/>
        </w:rPr>
        <w:drawing>
          <wp:inline distL="0" distT="0" distB="0" distR="0">
            <wp:extent cx="6033415" cy="2575277"/>
            <wp:effectExtent l="0" t="0" r="5715" b="0"/>
            <wp:docPr id="1033" name="Picture 2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21"/>
                    <pic:cNvPicPr/>
                  </pic:nvPicPr>
                  <pic:blipFill>
                    <a:blip r:embed="rId9" cstate="print"/>
                    <a:srcRect l="0" t="0" r="0" b="0"/>
                    <a:stretch/>
                  </pic:blipFill>
                  <pic:spPr>
                    <a:xfrm rot="0">
                      <a:off x="0" y="0"/>
                      <a:ext cx="6033415" cy="2575277"/>
                    </a:xfrm>
                    <a:prstGeom prst="rect"/>
                  </pic:spPr>
                </pic:pic>
              </a:graphicData>
            </a:graphic>
          </wp:inline>
        </w:drawing>
      </w:r>
    </w:p>
    <w:p>
      <w:pPr>
        <w:pStyle w:val="style34"/>
        <w:spacing w:before="240" w:after="240" w:lineRule="auto" w:line="360"/>
        <w:jc w:val="center"/>
        <w:rPr>
          <w:rFonts w:cs="Times New Roman"/>
        </w:rPr>
      </w:pPr>
      <w:r>
        <w:rPr>
          <w:rFonts w:cs="Times New Roman"/>
        </w:rPr>
        <w:t xml:space="preserve">Figure </w:t>
      </w: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noProof/>
        </w:rPr>
        <w:t>5</w:t>
      </w:r>
      <w:r>
        <w:rPr>
          <w:rFonts w:cs="Times New Roman"/>
        </w:rPr>
        <w:fldChar w:fldCharType="end"/>
      </w:r>
      <w:r>
        <w:rPr>
          <w:rFonts w:cs="Times New Roman"/>
        </w:rPr>
        <w:t>: Sales, Tesla and Competitors</w:t>
      </w:r>
    </w:p>
    <w:p>
      <w:pPr>
        <w:pStyle w:val="style0"/>
        <w:spacing w:before="240" w:after="240"/>
        <w:jc w:val="center"/>
        <w:rPr>
          <w:rFonts w:cs="Times New Roman"/>
        </w:rPr>
      </w:pPr>
      <w:r>
        <w:rPr>
          <w:rFonts w:cs="Times New Roman"/>
        </w:rPr>
        <w:t>(M</w:t>
      </w:r>
      <w:r>
        <w:rPr>
          <w:rFonts w:cs="Times New Roman"/>
        </w:rPr>
        <w:t>otor</w:t>
      </w:r>
      <w:r>
        <w:rPr>
          <w:rFonts w:cs="Times New Roman"/>
        </w:rPr>
        <w:t xml:space="preserve"> T</w:t>
      </w:r>
      <w:r>
        <w:rPr>
          <w:rFonts w:cs="Times New Roman"/>
        </w:rPr>
        <w:t>rade</w:t>
      </w:r>
      <w:r>
        <w:rPr>
          <w:rFonts w:cs="Times New Roman"/>
        </w:rPr>
        <w:t xml:space="preserve"> N</w:t>
      </w:r>
      <w:r>
        <w:rPr>
          <w:rFonts w:cs="Times New Roman"/>
        </w:rPr>
        <w:t>ews</w:t>
      </w:r>
      <w:r>
        <w:rPr>
          <w:rFonts w:cs="Times New Roman"/>
        </w:rPr>
        <w:t>, 2025)</w:t>
      </w:r>
    </w:p>
    <w:p>
      <w:pPr>
        <w:pStyle w:val="style0"/>
        <w:keepNext/>
        <w:spacing w:before="240" w:after="240"/>
        <w:jc w:val="center"/>
        <w:rPr>
          <w:rFonts w:cs="Times New Roman"/>
        </w:rPr>
      </w:pPr>
      <w:r>
        <w:rPr>
          <w:rFonts w:cs="Times New Roman"/>
          <w:noProof/>
        </w:rPr>
        <w:drawing>
          <wp:inline distL="0" distT="0" distB="0" distR="0">
            <wp:extent cx="5502031" cy="4489450"/>
            <wp:effectExtent l="0" t="0" r="3810" b="6350"/>
            <wp:docPr id="1034" name="Picture 22" descr="Chart: Tesla Sees First Ever Drop in Annual Vehicles Sales | Statista"/>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22"/>
                    <pic:cNvPicPr/>
                  </pic:nvPicPr>
                  <pic:blipFill>
                    <a:blip r:embed="rId10" cstate="print"/>
                    <a:srcRect l="0" t="0" r="0" b="0"/>
                    <a:stretch/>
                  </pic:blipFill>
                  <pic:spPr>
                    <a:xfrm rot="0">
                      <a:off x="0" y="0"/>
                      <a:ext cx="5502031" cy="4489450"/>
                    </a:xfrm>
                    <a:prstGeom prst="rect"/>
                    <a:ln>
                      <a:noFill/>
                    </a:ln>
                  </pic:spPr>
                </pic:pic>
              </a:graphicData>
            </a:graphic>
          </wp:inline>
        </w:drawing>
      </w:r>
    </w:p>
    <w:p>
      <w:pPr>
        <w:pStyle w:val="style34"/>
        <w:spacing w:before="240" w:after="240" w:lineRule="auto" w:line="360"/>
        <w:jc w:val="center"/>
        <w:rPr>
          <w:rFonts w:cs="Times New Roman"/>
        </w:rPr>
      </w:pPr>
      <w:r>
        <w:rPr>
          <w:rFonts w:cs="Times New Roman"/>
        </w:rPr>
        <w:t xml:space="preserve">Figure </w:t>
      </w: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noProof/>
        </w:rPr>
        <w:t>6</w:t>
      </w:r>
      <w:r>
        <w:rPr>
          <w:rFonts w:cs="Times New Roman"/>
        </w:rPr>
        <w:fldChar w:fldCharType="end"/>
      </w:r>
      <w:r>
        <w:rPr>
          <w:rFonts w:cs="Times New Roman"/>
        </w:rPr>
        <w:t>: Drop in Tesla Sales</w:t>
      </w:r>
    </w:p>
    <w:p>
      <w:pPr>
        <w:pStyle w:val="style0"/>
        <w:spacing w:before="240" w:after="240"/>
        <w:jc w:val="center"/>
        <w:rPr>
          <w:rFonts w:cs="Times New Roman"/>
        </w:rPr>
      </w:pPr>
      <w:r>
        <w:rPr>
          <w:rFonts w:cs="Times New Roman"/>
        </w:rPr>
        <w:t>(Statista, 2025)</w:t>
      </w:r>
    </w:p>
    <w:p>
      <w:pPr>
        <w:pStyle w:val="style0"/>
        <w:spacing w:before="240" w:after="240"/>
        <w:rPr>
          <w:rFonts w:cs="Times New Roman"/>
        </w:rPr>
      </w:pPr>
      <w:r>
        <w:rPr>
          <w:rFonts w:cs="Times New Roman"/>
        </w:rPr>
        <w:t xml:space="preserve">Similarly, the Net Profit Margin, which measures net income relative to revenue, shows a sharp decline from 15.45% in 2022 and 15.50% in 2023 to 7.30% in 2024 and further to 4.00% in 2025 (WSJ, 2026). Such a decline suggests not only is the deterioration of gross margins but the general cost structures such as operating expenses have been aggravated. The rise in expenditure in research and development, growth of production plants and global scaling plans have also added to the cost, thus lowering net profitability. Even though these investments are in line with Tesla long term growth strategy, they put pressure on short term earnings because there </w:t>
      </w:r>
      <w:r>
        <w:rPr>
          <w:rFonts w:cs="Times New Roman"/>
        </w:rPr>
        <w:t>is</w:t>
      </w:r>
      <w:r>
        <w:rPr>
          <w:rFonts w:cs="Times New Roman"/>
        </w:rPr>
        <w:t xml:space="preserve"> minimal effects on the revenue of the business (as indicated in the figure in below).</w:t>
      </w:r>
    </w:p>
    <w:p>
      <w:pPr>
        <w:pStyle w:val="style0"/>
        <w:keepNext/>
        <w:spacing w:before="240" w:after="240"/>
        <w:jc w:val="center"/>
        <w:rPr>
          <w:rFonts w:cs="Times New Roman"/>
        </w:rPr>
      </w:pPr>
      <w:r>
        <w:rPr>
          <w:rFonts w:cs="Times New Roman"/>
          <w:noProof/>
        </w:rPr>
      </w:r>
      <w:r>
        <w:rPr>
          <w:rFonts w:cs="Times New Roman"/>
          <w:noProof/>
        </w:rPr>
      </w:r>
      <w:r>
        <w:rPr>
          <w:rFonts w:cs="Times New Roman"/>
          <w:noProof/>
        </w:rPr>
      </w:r>
      <w:r>
        <w:rPr>
          <w:rFonts w:cs="Times New Roman"/>
          <w:noProof/>
        </w:rPr>
        <w:drawing>
          <wp:inline distL="114300" distT="0" distB="0" distR="114300">
            <wp:extent cx="5943600" cy="2117090"/>
            <wp:effectExtent l="0" t="0" r="0" b="0"/>
            <wp:docPr id="1036"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Pr>
          <w:rFonts w:cs="Times New Roman"/>
          <w:noProof/>
        </w:rPr>
      </w:r>
    </w:p>
    <w:p>
      <w:pPr>
        <w:pStyle w:val="style34"/>
        <w:spacing w:before="240" w:after="240" w:lineRule="auto" w:line="360"/>
        <w:jc w:val="center"/>
        <w:rPr>
          <w:rFonts w:cs="Times New Roman"/>
        </w:rPr>
      </w:pPr>
      <w:r>
        <w:rPr>
          <w:rFonts w:cs="Times New Roman"/>
        </w:rPr>
        <w:t xml:space="preserve">Figure </w:t>
      </w: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noProof/>
        </w:rPr>
        <w:t>7</w:t>
      </w:r>
      <w:r>
        <w:rPr>
          <w:rFonts w:cs="Times New Roman"/>
        </w:rPr>
        <w:fldChar w:fldCharType="end"/>
      </w:r>
      <w:r>
        <w:rPr>
          <w:rFonts w:cs="Times New Roman"/>
        </w:rPr>
        <w:t>: Revenue</w:t>
      </w:r>
    </w:p>
    <w:p>
      <w:pPr>
        <w:pStyle w:val="style0"/>
        <w:spacing w:before="240" w:after="240"/>
        <w:rPr>
          <w:rFonts w:cs="Times New Roman"/>
        </w:rPr>
      </w:pPr>
      <w:r>
        <w:rPr>
          <w:rFonts w:cs="Times New Roman"/>
        </w:rPr>
        <w:t xml:space="preserve">Return on Assets (ROA), defined as net income divided by total assets, also declined significantly from 15.28% in 2022 to 14.07% in 2023, 5.84% in 2024, and 2.75% in 2025. This implies that the asset base has been increasing more rapidly than the earnings of Tesla, which means that it is less efficient in using the assets to earn profits. This is attributable to huge capital investments in Gigafactories and infrastructure growth that add to total assets but require time to be converted into equivalent income. As an example, Tesla has announced its biggest capital spending scheme, increasing its 2026 spending objective to 25 billion dollars (around 37 trillion won) (Finance </w:t>
      </w:r>
      <w:r>
        <w:rPr>
          <w:rFonts w:cs="Times New Roman"/>
        </w:rPr>
        <w:t>Biggo</w:t>
      </w:r>
      <w:r>
        <w:rPr>
          <w:rFonts w:cs="Times New Roman"/>
        </w:rPr>
        <w:t xml:space="preserve">, 2026). The company is in the process of converting into an AI, humanoid robot, and semiconductor company, and it is moving faster amid a slowdown in the market of electric vehicles. Major projects are mass manufacturing the </w:t>
      </w:r>
      <w:r>
        <w:rPr>
          <w:rFonts w:cs="Times New Roman"/>
        </w:rPr>
        <w:t>Cybercab</w:t>
      </w:r>
      <w:r>
        <w:rPr>
          <w:rFonts w:cs="Times New Roman"/>
        </w:rPr>
        <w:t xml:space="preserve">, growth of Robotaxi taxi, the introduction of the third generation Optimus robot (July-August) and building a </w:t>
      </w:r>
      <w:r>
        <w:rPr>
          <w:rFonts w:cs="Times New Roman"/>
        </w:rPr>
        <w:t>Terafab</w:t>
      </w:r>
      <w:r>
        <w:rPr>
          <w:rFonts w:cs="Times New Roman"/>
        </w:rPr>
        <w:t xml:space="preserve"> with Intel 14A process. The first-quarter net profit surpassed market expectations, whereas the EV sales clearly slowed down.</w:t>
      </w:r>
      <w:r>
        <w:rPr>
          <w:rFonts w:cs="Times New Roman"/>
        </w:rPr>
        <w:t xml:space="preserve"> </w:t>
      </w:r>
    </w:p>
    <w:p>
      <w:pPr>
        <w:pStyle w:val="style0"/>
        <w:spacing w:before="240" w:after="240"/>
        <w:rPr>
          <w:rFonts w:cs="Times New Roman"/>
        </w:rPr>
      </w:pPr>
      <w:r>
        <w:rPr>
          <w:rFonts w:cs="Times New Roman"/>
        </w:rPr>
        <w:t xml:space="preserve">Whereas, Return on Capital Employed (ROCE), which is determined as EBIT/capital employed, is exhibiting a similar downward trend, decreasing since 24.86% in 2022 to 11.42% in 2023, 8.32% in 2024, and 4.57% in 2025. This shows that there has been a fall in efficiency of producing operating profits on invested capital (WSJ, 2026). According to, </w:t>
      </w:r>
      <w:r>
        <w:rPr>
          <w:rFonts w:cs="Times New Roman"/>
        </w:rPr>
        <w:t>Iliemena</w:t>
      </w:r>
      <w:r>
        <w:rPr>
          <w:rFonts w:cs="Times New Roman"/>
        </w:rPr>
        <w:t xml:space="preserve">, et al., (2023), the decrease indicates decreased operating margins as well as higher capital investment. </w:t>
      </w:r>
      <w:r>
        <w:rPr>
          <w:rFonts w:cs="Times New Roman"/>
        </w:rPr>
        <w:t xml:space="preserve"> </w:t>
      </w:r>
    </w:p>
    <w:p>
      <w:pPr>
        <w:pStyle w:val="style0"/>
        <w:spacing w:before="240" w:after="240"/>
        <w:rPr>
          <w:rFonts w:cs="Times New Roman"/>
          <w:b/>
          <w:bCs/>
        </w:rPr>
      </w:pPr>
      <w:r>
        <w:rPr>
          <w:rFonts w:cs="Times New Roman"/>
          <w:b/>
          <w:bCs/>
        </w:rPr>
        <w:t>2.2 Liquidity Analysis</w:t>
      </w:r>
    </w:p>
    <w:p>
      <w:pPr>
        <w:pStyle w:val="style0"/>
        <w:keepNext/>
        <w:spacing w:before="240" w:after="240"/>
        <w:jc w:val="center"/>
        <w:rPr>
          <w:rFonts w:cs="Times New Roman"/>
        </w:rPr>
      </w:pPr>
      <w:r>
        <w:rPr>
          <w:rFonts w:cs="Times New Roman"/>
          <w:noProof/>
        </w:rPr>
      </w:r>
      <w:r>
        <w:rPr>
          <w:rFonts w:cs="Times New Roman"/>
          <w:noProof/>
        </w:rPr>
      </w:r>
      <w:r>
        <w:rPr>
          <w:rFonts w:cs="Times New Roman"/>
          <w:noProof/>
        </w:rPr>
      </w:r>
      <w:r>
        <w:rPr>
          <w:rFonts w:cs="Times New Roman"/>
          <w:noProof/>
        </w:rPr>
        <w:drawing>
          <wp:inline distL="114300" distT="0" distB="0" distR="114300">
            <wp:extent cx="4572000" cy="2743200"/>
            <wp:effectExtent l="0" t="0" r="0" b="0"/>
            <wp:docPr id="1038"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Pr>
          <w:rFonts w:cs="Times New Roman"/>
          <w:noProof/>
        </w:rPr>
      </w:r>
    </w:p>
    <w:p>
      <w:pPr>
        <w:pStyle w:val="style34"/>
        <w:spacing w:before="240" w:after="240" w:lineRule="auto" w:line="360"/>
        <w:jc w:val="center"/>
        <w:rPr>
          <w:rFonts w:cs="Times New Roman"/>
        </w:rPr>
      </w:pPr>
      <w:r>
        <w:rPr>
          <w:rFonts w:cs="Times New Roman"/>
        </w:rPr>
        <w:t xml:space="preserve">Figure </w:t>
      </w: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noProof/>
        </w:rPr>
        <w:t>8</w:t>
      </w:r>
      <w:r>
        <w:rPr>
          <w:rFonts w:cs="Times New Roman"/>
        </w:rPr>
        <w:fldChar w:fldCharType="end"/>
      </w:r>
      <w:r>
        <w:rPr>
          <w:rFonts w:cs="Times New Roman"/>
        </w:rPr>
        <w:t>: Liquidity analysis</w:t>
      </w:r>
    </w:p>
    <w:p>
      <w:pPr>
        <w:pStyle w:val="style0"/>
        <w:spacing w:before="240" w:after="240"/>
        <w:rPr>
          <w:rFonts w:cs="Times New Roman"/>
        </w:rPr>
      </w:pPr>
      <w:r>
        <w:rPr>
          <w:rFonts w:cs="Times New Roman"/>
        </w:rPr>
        <w:t xml:space="preserve">The liquidity ratios measure how a company can cover its </w:t>
      </w:r>
      <w:r>
        <w:rPr>
          <w:rFonts w:cs="Times New Roman"/>
        </w:rPr>
        <w:t>short term</w:t>
      </w:r>
      <w:r>
        <w:rPr>
          <w:rFonts w:cs="Times New Roman"/>
        </w:rPr>
        <w:t xml:space="preserve"> liabilities with the current assets. The Current Ratio, defined as current assets divided by current liabilities, improved steadily from 1.375 in 2021 to 1.532 in 2022, 1.726 in 2023, 2.025 in 2024, and 2.164 in 2025. This positive trend shows that Tesla has been improving its liquidity status over the years, and it has enough short-term assets to meet its liabilities. The recent years show that the current ratio is greater than 2, which indicates a comfortable liquidity buffer. Whereas, the Quick Ratio, which excludes inventory from current assets to provide a stricter measure of liquidity, also improved from 1.083 in 2021 to 1.051 in 2022, 1.252 in 2023, 1.608 in 2024, and 1.774 in 2025 (WSJ, 2026). This means that Tesla is becoming more likely to cover short-term liabilities without having to sell inventory. The improvement indicates a better management of cash reserves and receivables, with the help of regular operating cash flows (as illustrated in the figure below).</w:t>
      </w:r>
    </w:p>
    <w:p>
      <w:pPr>
        <w:pStyle w:val="style0"/>
        <w:keepNext/>
        <w:spacing w:before="240" w:after="240"/>
        <w:jc w:val="center"/>
        <w:rPr>
          <w:rFonts w:cs="Times New Roman"/>
        </w:rPr>
      </w:pPr>
      <w:r>
        <w:rPr>
          <w:rFonts w:cs="Times New Roman"/>
        </w:rPr>
        <w:object>
          <v:shape id="1039" type="#_x0000_t75" filled="f" stroked="f" style="margin-left:0.0pt;margin-top:0.0pt;width:468.0pt;height:323.75pt;mso-wrap-distance-left:0.0pt;mso-wrap-distance-right:0.0pt;visibility:visible;">
            <w10:anchorlock/>
            <v:imagedata r:id="rId13" embosscolor="white" o:title=""/>
            <v:fill/>
          </v:shape>
          <o:OLEObject Type="EMBED" ProgID="Excel.Chart.8" ShapeID="1039" DrawAspect="Content" ObjectID="0" r:id="rId14"/>
        </w:object>
      </w:r>
    </w:p>
    <w:p>
      <w:pPr>
        <w:pStyle w:val="style34"/>
        <w:spacing w:before="240" w:after="240" w:lineRule="auto" w:line="360"/>
        <w:jc w:val="center"/>
        <w:rPr>
          <w:rFonts w:cs="Times New Roman"/>
        </w:rPr>
      </w:pPr>
      <w:r>
        <w:rPr>
          <w:rFonts w:cs="Times New Roman"/>
        </w:rPr>
        <w:t xml:space="preserve">Figure </w:t>
      </w: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noProof/>
        </w:rPr>
        <w:t>9</w:t>
      </w:r>
      <w:r>
        <w:rPr>
          <w:rFonts w:cs="Times New Roman"/>
        </w:rPr>
        <w:fldChar w:fldCharType="end"/>
      </w:r>
      <w:r>
        <w:rPr>
          <w:rFonts w:cs="Times New Roman"/>
        </w:rPr>
        <w:t>: Highlights in annual report</w:t>
      </w:r>
    </w:p>
    <w:p>
      <w:pPr>
        <w:pStyle w:val="style0"/>
        <w:spacing w:before="240" w:after="240"/>
        <w:rPr>
          <w:rFonts w:cs="Times New Roman"/>
        </w:rPr>
      </w:pPr>
      <w:r>
        <w:rPr>
          <w:rFonts w:cs="Times New Roman"/>
        </w:rPr>
        <w:t xml:space="preserve">Tesla has a good liquidity position which implies efficient management of its </w:t>
      </w:r>
      <w:r>
        <w:rPr>
          <w:rFonts w:cs="Times New Roman"/>
        </w:rPr>
        <w:t>short term</w:t>
      </w:r>
      <w:r>
        <w:rPr>
          <w:rFonts w:cs="Times New Roman"/>
        </w:rPr>
        <w:t xml:space="preserve"> finances. But </w:t>
      </w:r>
      <w:r>
        <w:rPr>
          <w:rFonts w:cs="Times New Roman"/>
        </w:rPr>
        <w:t>Hasidi</w:t>
      </w:r>
      <w:r>
        <w:rPr>
          <w:rFonts w:cs="Times New Roman"/>
        </w:rPr>
        <w:t xml:space="preserve">, et al., (2024), stated that too much liquidity can also reflect </w:t>
      </w:r>
      <w:r>
        <w:rPr>
          <w:rFonts w:cs="Times New Roman"/>
        </w:rPr>
        <w:t>under-utilised</w:t>
      </w:r>
      <w:r>
        <w:rPr>
          <w:rFonts w:cs="Times New Roman"/>
        </w:rPr>
        <w:t xml:space="preserve"> resources, which can be invested in and earn higher returns.</w:t>
      </w:r>
    </w:p>
    <w:p>
      <w:pPr>
        <w:pStyle w:val="style0"/>
        <w:spacing w:before="240" w:after="240"/>
        <w:rPr>
          <w:rFonts w:cs="Times New Roman"/>
          <w:b/>
          <w:bCs/>
        </w:rPr>
      </w:pPr>
      <w:r>
        <w:rPr>
          <w:rFonts w:cs="Times New Roman"/>
          <w:b/>
          <w:bCs/>
        </w:rPr>
        <w:t>2.3 Efficiency Analysis</w:t>
      </w:r>
    </w:p>
    <w:p>
      <w:pPr>
        <w:pStyle w:val="style0"/>
        <w:spacing w:before="240" w:after="240"/>
        <w:rPr>
          <w:rFonts w:cs="Times New Roman"/>
        </w:rPr>
      </w:pPr>
      <w:r>
        <w:rPr>
          <w:rFonts w:cs="Times New Roman"/>
        </w:rPr>
        <w:t>Efficiency ratios measure the efficiency with which the company uses its assets and how well it operates. Inventory Days, which is calculated as inventory/cost of goods sold/ 365 days, has gone up to 77.32 days in 2022, and then decreased to 62.87 days in 2023 and 58.19 days in 2024. The first rise is because of the disruption of supply chains and difficulties in managing production, and the second growth is the indication of improved inventory management. Nevertheless, the small rise in 2025 implies continuous operational changes (Supply chain brain, 2025).</w:t>
      </w:r>
    </w:p>
    <w:p>
      <w:pPr>
        <w:pStyle w:val="style0"/>
        <w:spacing w:before="240" w:after="240"/>
        <w:rPr>
          <w:rFonts w:cs="Times New Roman"/>
        </w:rPr>
      </w:pPr>
      <w:r>
        <w:rPr>
          <w:rFonts w:cs="Times New Roman"/>
        </w:rPr>
        <w:t xml:space="preserve">Receivable Days, the metric that reflects the average number of days to collect payment due to the customers, grew slowly in 2022 and 2023 with 12.97 days and 13.23 days respectively, and in </w:t>
      </w:r>
      <w:r>
        <w:rPr>
          <w:rFonts w:cs="Times New Roman"/>
        </w:rPr>
        <w:t>2024 and 2025 with 16.51 days and 17.61 days respectively (Yahoo Finance, 2026). The growth, though moderate, shows a slight deceleration in cash collection and this could be linked to the widening of global operations and changing of sales channels. Whereas, Payable Days, representing the time taken to pay suppliers, declined from 90.99 days in 2021 and 91.87 days in 2022 to 66.58 days in 2023, 56.74 days in 2024, and 62.78 days in 2025. This decline is an indication that Tesla is paying its suppliers faster potentially because of financial strength gains or alterations of supplier contracts. Although this enhances supplier relationships, it diminishes supplier credit.</w:t>
      </w:r>
    </w:p>
    <w:p>
      <w:pPr>
        <w:pStyle w:val="style0"/>
        <w:keepNext/>
        <w:spacing w:before="240" w:after="240"/>
        <w:jc w:val="center"/>
        <w:rPr>
          <w:rFonts w:cs="Times New Roman"/>
        </w:rPr>
      </w:pPr>
      <w:r>
        <w:rPr>
          <w:rFonts w:cs="Times New Roman"/>
        </w:rPr>
        <w:drawing>
          <wp:inline distL="0" distT="0" distB="0" distR="0">
            <wp:extent cx="5943600" cy="2590800"/>
            <wp:effectExtent l="0" t="0" r="0" b="0"/>
            <wp:docPr id="1040"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Picture 1"/>
                    <pic:cNvPicPr/>
                  </pic:nvPicPr>
                  <pic:blipFill>
                    <a:blip r:embed="rId15" cstate="print"/>
                    <a:srcRect l="0" t="0" r="0" b="0"/>
                    <a:stretch/>
                  </pic:blipFill>
                  <pic:spPr>
                    <a:xfrm rot="0">
                      <a:off x="0" y="0"/>
                      <a:ext cx="5943600" cy="2590800"/>
                    </a:xfrm>
                    <a:prstGeom prst="rect"/>
                  </pic:spPr>
                </pic:pic>
              </a:graphicData>
            </a:graphic>
          </wp:inline>
        </w:drawing>
      </w:r>
    </w:p>
    <w:p>
      <w:pPr>
        <w:pStyle w:val="style34"/>
        <w:spacing w:before="240" w:after="240" w:lineRule="auto" w:line="360"/>
        <w:jc w:val="center"/>
        <w:rPr>
          <w:rFonts w:cs="Times New Roman"/>
        </w:rPr>
      </w:pPr>
      <w:r>
        <w:rPr>
          <w:rFonts w:cs="Times New Roman"/>
        </w:rPr>
        <w:t xml:space="preserve">Figure </w:t>
      </w: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noProof/>
        </w:rPr>
        <w:t>10</w:t>
      </w:r>
      <w:r>
        <w:rPr>
          <w:rFonts w:cs="Times New Roman"/>
        </w:rPr>
        <w:fldChar w:fldCharType="end"/>
      </w:r>
      <w:r>
        <w:rPr>
          <w:rFonts w:cs="Times New Roman"/>
        </w:rPr>
        <w:t>: Supplier agreements impact</w:t>
      </w:r>
    </w:p>
    <w:p>
      <w:pPr>
        <w:pStyle w:val="style0"/>
        <w:spacing w:before="240" w:after="240"/>
        <w:jc w:val="center"/>
        <w:rPr>
          <w:rFonts w:cs="Times New Roman"/>
        </w:rPr>
      </w:pPr>
      <w:r>
        <w:rPr>
          <w:rFonts w:cs="Times New Roman"/>
        </w:rPr>
        <w:t>(Annual Report Tesla, 2024)</w:t>
      </w:r>
    </w:p>
    <w:p>
      <w:pPr>
        <w:pStyle w:val="style0"/>
        <w:spacing w:before="240" w:after="240"/>
        <w:rPr>
          <w:rFonts w:cs="Times New Roman"/>
        </w:rPr>
      </w:pPr>
      <w:r>
        <w:rPr>
          <w:rFonts w:cs="Times New Roman"/>
        </w:rPr>
        <w:t xml:space="preserve">Asset Turnover, defined as revenue divided by total assets, declined from 0.989 in 2022 to 0.908 in 2023, 0.800 in 2024, and 0.688 in 2025. It means that Tesla is earning less revenue per unit of assets, which is influenced by the fast growth of assets and intensive investments. </w:t>
      </w:r>
      <w:r>
        <w:rPr>
          <w:rFonts w:cs="Times New Roman"/>
        </w:rPr>
        <w:t xml:space="preserve"> </w:t>
      </w:r>
    </w:p>
    <w:p>
      <w:pPr>
        <w:pStyle w:val="style0"/>
        <w:spacing w:before="240" w:after="240"/>
        <w:rPr>
          <w:rFonts w:cs="Times New Roman"/>
          <w:b/>
          <w:bCs/>
        </w:rPr>
      </w:pPr>
      <w:r>
        <w:rPr>
          <w:rFonts w:cs="Times New Roman"/>
          <w:b/>
          <w:bCs/>
        </w:rPr>
        <w:t>2.4 Gearing / Risk Analysis</w:t>
      </w:r>
    </w:p>
    <w:p>
      <w:pPr>
        <w:pStyle w:val="style0"/>
        <w:spacing w:before="240" w:after="240"/>
        <w:rPr>
          <w:rFonts w:cs="Times New Roman"/>
        </w:rPr>
      </w:pPr>
      <w:r>
        <w:rPr>
          <w:rFonts w:cs="Times New Roman"/>
        </w:rPr>
        <w:t xml:space="preserve">Gearing ratios determine the financial risk of a capital structure of a company. The Debt-to-Equity Ratio, defined as long-term debt divided by equity, declined significantly from 0.229 in 2021 to 0.084 in 2022, before increasing slightly to 0.104 in 2023, 0.142 in 2024, and 0.148 in 2025 (Yahoo Finance, 2026). This implies that Tesla has a low degree of financial leverage, with a higher </w:t>
      </w:r>
      <w:r>
        <w:rPr>
          <w:rFonts w:cs="Times New Roman"/>
        </w:rPr>
        <w:t>proportion of equity financing than debt financing. This type of a conservative capital structure minimizes financial risk but can limit the leverage benefit.</w:t>
      </w:r>
    </w:p>
    <w:p>
      <w:pPr>
        <w:pStyle w:val="style0"/>
        <w:keepNext/>
        <w:spacing w:before="240" w:after="240"/>
        <w:jc w:val="center"/>
        <w:rPr>
          <w:rFonts w:cs="Times New Roman"/>
        </w:rPr>
      </w:pPr>
      <w:r>
        <w:rPr>
          <w:rFonts w:cs="Times New Roman"/>
          <w:noProof/>
        </w:rPr>
      </w:r>
      <w:r>
        <w:rPr>
          <w:rFonts w:cs="Times New Roman"/>
          <w:noProof/>
        </w:rPr>
      </w:r>
      <w:r>
        <w:rPr>
          <w:rFonts w:cs="Times New Roman"/>
          <w:noProof/>
        </w:rPr>
      </w:r>
      <w:r>
        <w:rPr>
          <w:rFonts w:cs="Times New Roman"/>
          <w:noProof/>
        </w:rPr>
        <w:drawing>
          <wp:inline distL="114300" distT="0" distB="0" distR="114300">
            <wp:extent cx="4572000" cy="2743200"/>
            <wp:effectExtent l="0" t="0" r="0" b="0"/>
            <wp:docPr id="1042"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Pr>
          <w:rFonts w:cs="Times New Roman"/>
          <w:noProof/>
        </w:rPr>
      </w:r>
    </w:p>
    <w:p>
      <w:pPr>
        <w:pStyle w:val="style34"/>
        <w:spacing w:before="240" w:after="240" w:lineRule="auto" w:line="360"/>
        <w:jc w:val="center"/>
        <w:rPr>
          <w:rFonts w:cs="Times New Roman"/>
        </w:rPr>
      </w:pPr>
      <w:r>
        <w:rPr>
          <w:rFonts w:cs="Times New Roman"/>
        </w:rPr>
        <w:t xml:space="preserve">Figure </w:t>
      </w: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noProof/>
        </w:rPr>
        <w:t>11</w:t>
      </w:r>
      <w:r>
        <w:rPr>
          <w:rFonts w:cs="Times New Roman"/>
        </w:rPr>
        <w:fldChar w:fldCharType="end"/>
      </w:r>
      <w:r>
        <w:rPr>
          <w:rFonts w:cs="Times New Roman"/>
        </w:rPr>
        <w:t xml:space="preserve">: </w:t>
      </w:r>
      <w:r>
        <w:rPr>
          <w:rFonts w:cs="Times New Roman"/>
        </w:rPr>
        <w:t>Gearing / Risk Analysis</w:t>
      </w:r>
    </w:p>
    <w:p>
      <w:pPr>
        <w:pStyle w:val="style0"/>
        <w:spacing w:before="240" w:after="240"/>
        <w:rPr>
          <w:rFonts w:cs="Times New Roman"/>
        </w:rPr>
      </w:pPr>
      <w:r>
        <w:rPr>
          <w:rFonts w:cs="Times New Roman"/>
        </w:rPr>
        <w:t>The Interest Coverage Ratio is expressed as EBIT divided by interest expense. In just 3 years, this ratio shrank from 72.42 in 2023 to 56.99 in 2023 to 22.17 in 2024 to only 14.35 in 2025. While a strong ratio, this indicates a large weaken in operating profit, covering the interest payment in 2024 and 2025. The root cause of this decline is the EBIT. in 2023, 2024, and 2025, there was a decline in profit, as opposed to a large increase in debt.</w:t>
      </w:r>
    </w:p>
    <w:p>
      <w:pPr>
        <w:pStyle w:val="style0"/>
        <w:spacing w:before="240" w:after="240"/>
        <w:rPr>
          <w:rFonts w:cs="Times New Roman"/>
          <w:b/>
          <w:bCs/>
        </w:rPr>
      </w:pPr>
      <w:r>
        <w:rPr>
          <w:rFonts w:cs="Times New Roman"/>
          <w:b/>
          <w:bCs/>
        </w:rPr>
        <w:t>2.</w:t>
      </w:r>
      <w:r>
        <w:rPr>
          <w:rFonts w:cs="Times New Roman"/>
          <w:b/>
          <w:bCs/>
        </w:rPr>
        <w:t>5</w:t>
      </w:r>
      <w:r>
        <w:rPr>
          <w:rFonts w:cs="Times New Roman"/>
          <w:b/>
          <w:bCs/>
        </w:rPr>
        <w:t xml:space="preserve"> Investment Ratios</w:t>
      </w:r>
    </w:p>
    <w:p>
      <w:pPr>
        <w:pStyle w:val="style0"/>
        <w:spacing w:before="240" w:after="240"/>
        <w:rPr>
          <w:rFonts w:cs="Times New Roman"/>
        </w:rPr>
      </w:pPr>
    </w:p>
    <w:p>
      <w:pPr>
        <w:pStyle w:val="style0"/>
        <w:spacing w:before="240" w:after="240"/>
        <w:rPr>
          <w:rFonts w:cs="Times New Roman"/>
        </w:rPr>
      </w:pPr>
      <w:r>
        <w:rPr>
          <w:rFonts w:cs="Times New Roman"/>
        </w:rPr>
        <w:t>Using the framework of, Nukala and Prasada Rao, (2021), as the investment ratios strengthens, this solidifies the position of a firm in the market; solidifies investor confidence in a short period of time; and strengthens the confidence in the long run.</w:t>
      </w:r>
      <w:r>
        <w:rPr>
          <w:rFonts w:cs="Times New Roman"/>
        </w:rPr>
        <w:t xml:space="preserve"> </w:t>
      </w:r>
      <w:r>
        <w:rPr>
          <w:rFonts w:cs="Times New Roman"/>
        </w:rPr>
        <w:t>The Price-to-Earnings (P/E) Ratio increased from 34.03 in 2022, NA for 2023, 197.96 for 2024, and a staggering 416.41 for 2025 (</w:t>
      </w:r>
      <w:r>
        <w:rPr>
          <w:rFonts w:cs="Times New Roman"/>
        </w:rPr>
        <w:t>reffered</w:t>
      </w:r>
      <w:r>
        <w:rPr>
          <w:rFonts w:cs="Times New Roman"/>
        </w:rPr>
        <w:t xml:space="preserve"> to appendix) this is a strong signal that the value of the firm is rising quickly, as is the solidifying position. This coincides with the impressive EBIT, and the strong confidence in a long run position.</w:t>
      </w:r>
    </w:p>
    <w:p>
      <w:pPr>
        <w:pStyle w:val="style0"/>
        <w:spacing w:before="240" w:after="240"/>
        <w:rPr>
          <w:rFonts w:cs="Times New Roman"/>
        </w:rPr>
      </w:pPr>
      <w:r>
        <w:rPr>
          <w:rFonts w:cs="Times New Roman"/>
        </w:rPr>
        <w:t>The Earnings Yield is the inverse of a Price to Earnings Ratio; in 2022, it was 2.94%, in 2023 it was 1.73%, in 2024 it was 0.51%, and finally, in 2025 it will be 0.24% (</w:t>
      </w:r>
      <w:r>
        <w:rPr>
          <w:rFonts w:cs="Times New Roman"/>
        </w:rPr>
        <w:t>reffered</w:t>
      </w:r>
      <w:r>
        <w:rPr>
          <w:rFonts w:cs="Times New Roman"/>
        </w:rPr>
        <w:t xml:space="preserve"> to appendix), adding to the valuation is strongly based on the future. This coincides with impressive low profit and slim debt. The Earnings Yield is the inverse of the Price-(P/E), of 2022 is 2.94%, in 2023 it is 1.73%, in 2024 it will be 0.51%, and finally, in 2025 it will be 0.24% (</w:t>
      </w:r>
      <w:r>
        <w:rPr>
          <w:rFonts w:cs="Times New Roman"/>
        </w:rPr>
        <w:t>reffered</w:t>
      </w:r>
      <w:r>
        <w:rPr>
          <w:rFonts w:cs="Times New Roman"/>
        </w:rPr>
        <w:t xml:space="preserve"> to appendix), adding to the valuation is strongly based on the future.</w:t>
      </w:r>
    </w:p>
    <w:p>
      <w:pPr>
        <w:pStyle w:val="style34"/>
        <w:spacing w:before="240" w:after="240" w:lineRule="auto" w:line="360"/>
        <w:jc w:val="center"/>
        <w:rPr>
          <w:rFonts w:cs="Times New Roman"/>
        </w:rPr>
      </w:pPr>
      <w:r>
        <w:rPr>
          <w:rFonts w:cs="Times New Roman"/>
          <w:noProof/>
        </w:rPr>
      </w:r>
      <w:r>
        <w:rPr>
          <w:rFonts w:cs="Times New Roman"/>
          <w:noProof/>
        </w:rPr>
      </w:r>
      <w:r>
        <w:rPr>
          <w:rFonts w:cs="Times New Roman"/>
          <w:noProof/>
        </w:rPr>
      </w:r>
      <w:r>
        <w:rPr>
          <w:rFonts w:cs="Times New Roman"/>
          <w:noProof/>
        </w:rPr>
        <w:drawing>
          <wp:inline distL="114300" distT="0" distB="0" distR="114300">
            <wp:extent cx="4572000" cy="2743200"/>
            <wp:effectExtent l="0" t="0" r="0" b="0"/>
            <wp:docPr id="1044"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Pr>
          <w:rFonts w:cs="Times New Roman"/>
          <w:noProof/>
        </w:rPr>
      </w:r>
    </w:p>
    <w:p>
      <w:pPr>
        <w:pStyle w:val="style34"/>
        <w:spacing w:before="240" w:after="240" w:lineRule="auto" w:line="360"/>
        <w:jc w:val="center"/>
        <w:rPr>
          <w:rFonts w:cs="Times New Roman"/>
        </w:rPr>
      </w:pPr>
      <w:r>
        <w:rPr>
          <w:rFonts w:cs="Times New Roman"/>
        </w:rPr>
        <w:t xml:space="preserve">Figure </w:t>
      </w: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noProof/>
        </w:rPr>
        <w:t>12</w:t>
      </w:r>
      <w:r>
        <w:rPr>
          <w:rFonts w:cs="Times New Roman"/>
        </w:rPr>
        <w:fldChar w:fldCharType="end"/>
      </w:r>
      <w:r>
        <w:rPr>
          <w:rFonts w:cs="Times New Roman"/>
        </w:rPr>
        <w:t>: EPS Growth</w:t>
      </w:r>
    </w:p>
    <w:p>
      <w:pPr>
        <w:pStyle w:val="style0"/>
        <w:spacing w:before="240" w:after="240"/>
        <w:rPr>
          <w:rFonts w:cs="Times New Roman"/>
        </w:rPr>
      </w:pPr>
      <w:r>
        <w:rPr>
          <w:rFonts w:cs="Times New Roman"/>
        </w:rPr>
        <w:t>EPS Growth shows significant volatility, with strong growth of 122.09% in 2022 and 18.78% in 2023, followed by sharp declines of -52.56% in 2024 and -47.06% in 2025 (referred to appendix). This reflects fluctuations in profitability and highlights earnings instability in recent years.</w:t>
      </w:r>
    </w:p>
    <w:p>
      <w:pPr>
        <w:pStyle w:val="style0"/>
        <w:spacing w:before="240" w:after="240"/>
        <w:jc w:val="left"/>
        <w:rPr>
          <w:rFonts w:cs="Times New Roman"/>
          <w:b/>
          <w:bCs/>
        </w:rPr>
      </w:pPr>
      <w:r>
        <w:rPr>
          <w:rFonts w:cs="Times New Roman"/>
          <w:b/>
          <w:bCs/>
        </w:rPr>
        <w:br w:type="page"/>
      </w:r>
    </w:p>
    <w:bookmarkStart w:id="2" w:name="_Toc227946706"/>
    <w:p>
      <w:pPr>
        <w:pStyle w:val="style1"/>
        <w:spacing w:before="240" w:after="240"/>
        <w:rPr>
          <w:rFonts w:cs="Times New Roman"/>
        </w:rPr>
      </w:pPr>
      <w:r>
        <w:rPr>
          <w:rFonts w:cs="Times New Roman"/>
        </w:rPr>
        <w:t>3. WORKING CAPITAL MANAGEMENT</w:t>
      </w:r>
      <w:bookmarkEnd w:id="2"/>
    </w:p>
    <w:p>
      <w:pPr>
        <w:pStyle w:val="style0"/>
        <w:spacing w:before="240" w:after="240"/>
        <w:rPr>
          <w:rFonts w:cs="Times New Roman"/>
          <w:b/>
          <w:bCs/>
        </w:rPr>
      </w:pPr>
      <w:r>
        <w:rPr>
          <w:rFonts w:cs="Times New Roman"/>
          <w:b/>
          <w:bCs/>
        </w:rPr>
        <w:t>3.1 Cash Operating Cycle Analysis</w:t>
      </w:r>
    </w:p>
    <w:p>
      <w:pPr>
        <w:pStyle w:val="style0"/>
        <w:spacing w:before="240" w:after="240"/>
        <w:rPr>
          <w:rFonts w:cs="Times New Roman"/>
          <w:b/>
          <w:bCs/>
        </w:rPr>
      </w:pPr>
      <w:r>
        <w:rPr>
          <w:rFonts w:cs="Times New Roman"/>
        </w:rPr>
        <w:t xml:space="preserve">As per, </w:t>
      </w:r>
      <w:r>
        <w:rPr>
          <w:rFonts w:cs="Times New Roman"/>
        </w:rPr>
        <w:t>Asman</w:t>
      </w:r>
      <w:r>
        <w:rPr>
          <w:rFonts w:cs="Times New Roman"/>
        </w:rPr>
        <w:t xml:space="preserve">, et al., (2022), </w:t>
      </w:r>
      <w:r>
        <w:rPr>
          <w:rFonts w:cs="Times New Roman"/>
        </w:rPr>
        <w:t>w</w:t>
      </w:r>
      <w:r>
        <w:rPr>
          <w:rFonts w:cs="Times New Roman"/>
        </w:rPr>
        <w:t xml:space="preserve">orking capital management evaluates a firm’s ability to efficiently manage short-term assets and liabilities and the </w:t>
      </w:r>
      <w:r>
        <w:rPr>
          <w:rFonts w:cs="Times New Roman"/>
          <w:b/>
          <w:bCs/>
        </w:rPr>
        <w:t>Operating Cycle framework</w:t>
      </w:r>
      <w:r>
        <w:rPr>
          <w:rFonts w:cs="Times New Roman"/>
        </w:rPr>
        <w:t xml:space="preserve"> provides a structured way to </w:t>
      </w:r>
      <w:r>
        <w:rPr>
          <w:rFonts w:cs="Times New Roman"/>
        </w:rPr>
        <w:t>analyse</w:t>
      </w:r>
      <w:r>
        <w:rPr>
          <w:rFonts w:cs="Times New Roman"/>
        </w:rPr>
        <w:t xml:space="preserve"> this through the Cash Conversion Cycle (CCC). </w:t>
      </w:r>
    </w:p>
    <w:p>
      <w:pPr>
        <w:pStyle w:val="style0"/>
        <w:keepNext/>
        <w:spacing w:before="240" w:after="240"/>
        <w:jc w:val="center"/>
        <w:rPr>
          <w:rFonts w:cs="Times New Roman"/>
        </w:rPr>
      </w:pPr>
      <w:r>
        <w:rPr>
          <w:rFonts w:cs="Times New Roman"/>
          <w:noProof/>
        </w:rPr>
        <w:object>
          <v:shape id="1045" type="#_x0000_t75" filled="f" stroked="f" alt="Operating cycle of an SME manufacturing company" style="margin-left:0.0pt;margin-top:0.0pt;width:468.0pt;height:386.7pt;mso-wrap-distance-left:0.0pt;mso-wrap-distance-right:0.0pt;visibility:visible;">
            <w10:anchorlock/>
            <v:imagedata r:id="rId18" embosscolor="white" o:title=""/>
            <v:stroke on="f"/>
            <v:fill/>
          </v:shape>
          <o:OLEObject Type="EMBED" ProgID="Excel.Chart.8" ShapeID="1045" DrawAspect="Content" ObjectID="0" r:id="rId19"/>
        </w:object>
      </w:r>
    </w:p>
    <w:p>
      <w:pPr>
        <w:pStyle w:val="style34"/>
        <w:spacing w:before="240" w:after="240" w:lineRule="auto" w:line="360"/>
        <w:jc w:val="center"/>
        <w:rPr>
          <w:rFonts w:cs="Times New Roman"/>
        </w:rPr>
      </w:pPr>
      <w:r>
        <w:rPr>
          <w:rFonts w:cs="Times New Roman"/>
        </w:rPr>
        <w:t xml:space="preserve">Figure </w:t>
      </w: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noProof/>
        </w:rPr>
        <w:t>13</w:t>
      </w:r>
      <w:r>
        <w:rPr>
          <w:rFonts w:cs="Times New Roman"/>
        </w:rPr>
        <w:fldChar w:fldCharType="end"/>
      </w:r>
      <w:r>
        <w:rPr>
          <w:rFonts w:cs="Times New Roman"/>
        </w:rPr>
        <w:t>: Operating cycle framework</w:t>
      </w:r>
    </w:p>
    <w:p>
      <w:pPr>
        <w:pStyle w:val="style0"/>
        <w:spacing w:before="240" w:after="240"/>
        <w:jc w:val="center"/>
        <w:rPr>
          <w:rFonts w:cs="Times New Roman"/>
        </w:rPr>
      </w:pPr>
      <w:r>
        <w:rPr>
          <w:rFonts w:cs="Times New Roman"/>
        </w:rPr>
        <w:t>(</w:t>
      </w:r>
      <w:r>
        <w:rPr>
          <w:rFonts w:cs="Times New Roman"/>
        </w:rPr>
        <w:t>Damnjanović</w:t>
      </w:r>
      <w:r>
        <w:rPr>
          <w:rFonts w:cs="Times New Roman"/>
        </w:rPr>
        <w:t>, et al., 2017)</w:t>
      </w:r>
    </w:p>
    <w:p>
      <w:pPr>
        <w:pStyle w:val="style0"/>
        <w:spacing w:before="240" w:after="240"/>
        <w:rPr>
          <w:rFonts w:cs="Times New Roman"/>
        </w:rPr>
      </w:pPr>
      <w:r>
        <w:rPr>
          <w:rFonts w:cs="Times New Roman"/>
        </w:rPr>
        <w:t xml:space="preserve">The CCC is the sum of Inventory Days, Receivable Days, and the subtraction of Payable Days. CCC is synonymous with the time spent in converting an operational investment to cash. For Tesla, </w:t>
      </w:r>
      <w:r>
        <w:rPr>
          <w:rFonts w:cs="Times New Roman"/>
        </w:rPr>
        <w:t xml:space="preserve">Inc. the CCC maintains a steady trend when analyzing the efficiency of working capital over a </w:t>
      </w:r>
      <w:r>
        <w:rPr>
          <w:rFonts w:cs="Times New Roman"/>
        </w:rPr>
        <w:t>five year</w:t>
      </w:r>
      <w:r>
        <w:rPr>
          <w:rFonts w:cs="Times New Roman"/>
        </w:rPr>
        <w:t xml:space="preserve"> time span. In 2021, Tesla’s CCC stood at -25.762 days, and in 2022, it improved to -1.323 days. Remaining in a </w:t>
      </w:r>
      <w:r>
        <w:rPr>
          <w:rFonts w:cs="Times New Roman"/>
        </w:rPr>
        <w:t>zero-sum</w:t>
      </w:r>
      <w:r>
        <w:rPr>
          <w:rFonts w:cs="Times New Roman"/>
        </w:rPr>
        <w:t xml:space="preserve"> environment, this indicates the firm’s working capital position is highly efficient, that the firm received the cash from customers prior to the company’s due payment to suppliers. (WSJ, 2026). This is a clear indication of an aggressive working capital strategy, wherein costs of financing operations are substantially reduced, and therefore, an efficient supplier’s credit, is a costless source of financing.</w:t>
      </w:r>
    </w:p>
    <w:p>
      <w:pPr>
        <w:pStyle w:val="style0"/>
        <w:keepNext/>
        <w:spacing w:before="240" w:after="240"/>
        <w:jc w:val="center"/>
        <w:rPr>
          <w:rFonts w:cs="Times New Roman"/>
        </w:rPr>
      </w:pPr>
      <w:r>
        <w:rPr>
          <w:rFonts w:cs="Times New Roman"/>
          <w:noProof/>
        </w:rPr>
      </w:r>
      <w:r>
        <w:rPr>
          <w:rFonts w:cs="Times New Roman"/>
          <w:noProof/>
        </w:rPr>
      </w:r>
      <w:r>
        <w:rPr>
          <w:rFonts w:cs="Times New Roman"/>
          <w:noProof/>
        </w:rPr>
      </w:r>
      <w:r>
        <w:rPr>
          <w:rFonts w:cs="Times New Roman"/>
          <w:noProof/>
        </w:rPr>
        <w:drawing>
          <wp:inline distL="114300" distT="0" distB="0" distR="114300">
            <wp:extent cx="4572000" cy="2743200"/>
            <wp:effectExtent l="0" t="0" r="0" b="0"/>
            <wp:docPr id="1047"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Pr>
          <w:rFonts w:cs="Times New Roman"/>
          <w:noProof/>
        </w:rPr>
      </w:r>
    </w:p>
    <w:p>
      <w:pPr>
        <w:pStyle w:val="style34"/>
        <w:spacing w:before="240" w:after="240" w:lineRule="auto" w:line="360"/>
        <w:jc w:val="center"/>
        <w:rPr>
          <w:rFonts w:cs="Times New Roman"/>
        </w:rPr>
      </w:pPr>
      <w:r>
        <w:rPr>
          <w:rFonts w:cs="Times New Roman"/>
        </w:rPr>
        <w:t xml:space="preserve">Figure </w:t>
      </w: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noProof/>
        </w:rPr>
        <w:t>14</w:t>
      </w:r>
      <w:r>
        <w:rPr>
          <w:rFonts w:cs="Times New Roman"/>
        </w:rPr>
        <w:fldChar w:fldCharType="end"/>
      </w:r>
      <w:r>
        <w:rPr>
          <w:rFonts w:cs="Times New Roman"/>
        </w:rPr>
        <w:t>; CCC</w:t>
      </w:r>
    </w:p>
    <w:p>
      <w:pPr>
        <w:pStyle w:val="style0"/>
        <w:spacing w:before="240" w:after="240"/>
        <w:rPr>
          <w:rFonts w:cs="Times New Roman"/>
        </w:rPr>
      </w:pPr>
      <w:r>
        <w:rPr>
          <w:rFonts w:cs="Times New Roman"/>
        </w:rPr>
        <w:t>Nevertheless, this stance was overturned in other years, as the CCC switched to positive values of 9.517 days in 2023, 14.428 days in 2024 and slightly to 13.017 days in 2025. This change implies that Tesla will take more time to turn its investments into cash, which means it will need more working capital. Movements of the CCC components drive the change. Inventory Days increased from 52.249 days in 2021 to 77.319 days in 2022, before improving to 62.866 days in 2023, 54.664 days in 2024, and rising again to 58.187 days in 2025. This pattern implies that there are early inefficiencies in the scaling of production and then recovery partially, but a slight increase in 2025 implies that the operations continue to change. Receivable Days increased from 12.973 days in 2021 to 13.227 days in 2022 and 2023, rising further to 16.507 days in 2024 and 17.614 days in 2025, indicating a gradual slowdown in cash collection (WSJ, 2026). Even though this is still quite low, it is a sign of the increasing complexity of operations and expanse.</w:t>
      </w:r>
    </w:p>
    <w:p>
      <w:pPr>
        <w:pStyle w:val="style0"/>
        <w:spacing w:before="240" w:after="240"/>
        <w:rPr>
          <w:rFonts w:cs="Times New Roman"/>
        </w:rPr>
      </w:pPr>
      <w:r>
        <w:rPr>
          <w:rFonts w:cs="Times New Roman"/>
        </w:rPr>
        <w:t>At the same time, Payable Days declined significantly from 90.985 days in 2021 and 91.869 days in 2022 to 66.580 days in 2023, 56.742 days in 2024, and 62.784 days in 2025. This decrease shows that Tesla is paying its suppliers faster, and it is not as dependent on trade credit. Theoretically, this is indicative of a change in aggressive policy in the working capital to a more corresponding (hedging) policy where the inflows and outflows are closer to each other (</w:t>
      </w:r>
      <w:r>
        <w:rPr>
          <w:rFonts w:cs="Times New Roman"/>
        </w:rPr>
        <w:t>Aduda</w:t>
      </w:r>
      <w:r>
        <w:rPr>
          <w:rFonts w:cs="Times New Roman"/>
        </w:rPr>
        <w:t xml:space="preserve"> and </w:t>
      </w:r>
      <w:r>
        <w:rPr>
          <w:rFonts w:cs="Times New Roman"/>
        </w:rPr>
        <w:t>Ongoro</w:t>
      </w:r>
      <w:r>
        <w:rPr>
          <w:rFonts w:cs="Times New Roman"/>
        </w:rPr>
        <w:t>, 2020). In spite of such depreciation, the CCC of 13.017 days in 2025 is much lower than industry standards, which means that Tesla is comparatively efficient. All in all, although working capital efficiency has declined relative to previous years, Tesla still has a successful operating cycle.</w:t>
      </w:r>
    </w:p>
    <w:p>
      <w:pPr>
        <w:pStyle w:val="style0"/>
        <w:spacing w:before="240" w:after="240"/>
        <w:rPr>
          <w:rFonts w:cs="Times New Roman"/>
          <w:b/>
          <w:bCs/>
        </w:rPr>
      </w:pPr>
      <w:r>
        <w:rPr>
          <w:rFonts w:cs="Times New Roman"/>
          <w:b/>
          <w:bCs/>
        </w:rPr>
        <w:t>3.2 Problems Identified</w:t>
      </w:r>
    </w:p>
    <w:p>
      <w:pPr>
        <w:pStyle w:val="style0"/>
        <w:spacing w:before="240" w:after="240"/>
        <w:rPr>
          <w:rFonts w:cs="Times New Roman"/>
        </w:rPr>
      </w:pPr>
      <w:r>
        <w:rPr>
          <w:rFonts w:cs="Times New Roman"/>
        </w:rPr>
        <w:t>Despite the fact that Tesla has comparatively efficient working capital, there are multiple problems that arise out of the analysis. The fact that Inventory Days have risen to 52.249 days (2021) and 58.187 days (2025), with the highest level of 77.319 days in 2022, indicates that there is a lack of efficiency in inventory management and may also imply that there are discrepancies in production and demand. An operating cycle viewpoint would show that the longer the inventory days the longer the time the company would have to have cash tied up in operations, and this translates into more working capital. This coincides with market trends in the recent times which have shown accumulation of inventories as a result of demand and delivery variances.</w:t>
      </w:r>
    </w:p>
    <w:p>
      <w:pPr>
        <w:pStyle w:val="style0"/>
        <w:spacing w:before="240" w:after="240"/>
        <w:rPr>
          <w:rFonts w:cs="Times New Roman"/>
        </w:rPr>
      </w:pPr>
      <w:r>
        <w:rPr>
          <w:rFonts w:cs="Times New Roman"/>
        </w:rPr>
        <w:t>The growth of Receivable Days 12.973 days in 2021 to 17.614 days in 2025 shows that there is a slow decrease in cash collection efficiency (WSJ, 2026). Although the absolute number is still low because of the direct-to-consumer approach of Tesla, the trend toward growth indicates the enhanced complexity of the operations and potential penetration of the markets with longer payment periods. Of greater concern is the reduction in Payable Days during 2021</w:t>
      </w:r>
      <w:r>
        <w:rPr>
          <w:rFonts w:cs="Times New Roman"/>
        </w:rPr>
        <w:t>-</w:t>
      </w:r>
      <w:r>
        <w:rPr>
          <w:rFonts w:cs="Times New Roman"/>
        </w:rPr>
        <w:t>2022 to 62.784 days during 2025. Financially speaking, the increased payable terms are a form of free financing. Thus, the decrease in the payable days means that Tesla is losing this leverage, which means that it has to depend on an internal cash base more. As much as this can be an indication of closer supplier relations and greater financial strength, it also puts strain on liquidity.</w:t>
      </w:r>
    </w:p>
    <w:p>
      <w:pPr>
        <w:pStyle w:val="style0"/>
        <w:spacing w:before="240" w:after="240"/>
        <w:rPr>
          <w:rFonts w:cs="Times New Roman"/>
        </w:rPr>
      </w:pPr>
      <w:r>
        <w:rPr>
          <w:rFonts w:cs="Times New Roman"/>
        </w:rPr>
        <w:t xml:space="preserve">Moreover, Tesla has a vigorous capital expenditure plan, which contributes to working capital strain. In 2025, the operating cash flow of the company was around 14.747 billion, but the company </w:t>
      </w:r>
      <w:r>
        <w:rPr>
          <w:rFonts w:cs="Times New Roman"/>
        </w:rPr>
        <w:t xml:space="preserve">is still spending a large amount on expansion, technology, and infrastructure. Financial theory explains that such a rapid growth may result in a gap in working capital, as the level of needed operational cash in the company begins to grow more rapidly than the amount of cash generated internally (Laghari and </w:t>
      </w:r>
      <w:r>
        <w:rPr>
          <w:rFonts w:cs="Times New Roman"/>
        </w:rPr>
        <w:t>Chengang</w:t>
      </w:r>
      <w:r>
        <w:rPr>
          <w:rFonts w:cs="Times New Roman"/>
        </w:rPr>
        <w:t>, 2019).</w:t>
      </w:r>
    </w:p>
    <w:p>
      <w:pPr>
        <w:pStyle w:val="style0"/>
        <w:spacing w:before="240" w:after="240"/>
        <w:rPr>
          <w:rFonts w:cs="Times New Roman"/>
        </w:rPr>
      </w:pPr>
      <w:r>
        <w:rPr>
          <w:rFonts w:cs="Times New Roman"/>
        </w:rPr>
        <w:t>All these problems point to a growing working capital demand, a decreased use of supplier financing and a growing pressure on short-term liquidity management.</w:t>
      </w:r>
    </w:p>
    <w:p>
      <w:pPr>
        <w:pStyle w:val="style0"/>
        <w:spacing w:before="240" w:after="240"/>
        <w:rPr>
          <w:rFonts w:cs="Times New Roman"/>
          <w:b/>
          <w:bCs/>
        </w:rPr>
      </w:pPr>
      <w:r>
        <w:rPr>
          <w:rFonts w:cs="Times New Roman"/>
          <w:b/>
          <w:bCs/>
        </w:rPr>
        <w:t>3.3 Recommendations</w:t>
      </w:r>
    </w:p>
    <w:p>
      <w:pPr>
        <w:pStyle w:val="style0"/>
        <w:spacing w:before="240" w:after="240"/>
        <w:rPr>
          <w:rFonts w:cs="Times New Roman"/>
        </w:rPr>
      </w:pPr>
      <w:r>
        <w:rPr>
          <w:rFonts w:cs="Times New Roman"/>
        </w:rPr>
        <w:t xml:space="preserve">In order to enhance the efficiency of the working capital, Tesla ought to implement specific strategies based on the principles of effective financial management. The company needs to concentrate on lowering Inventory Days that are already 58.187 days in 2025 by enhancing demands forecasting and alignment of production. Advanced analytics and artificial intelligence may be used to </w:t>
      </w:r>
      <w:r>
        <w:rPr>
          <w:rFonts w:cs="Times New Roman"/>
        </w:rPr>
        <w:t>optimise</w:t>
      </w:r>
      <w:r>
        <w:rPr>
          <w:rFonts w:cs="Times New Roman"/>
        </w:rPr>
        <w:t xml:space="preserve"> inventory levels, which leads to the decrease of excess stock and the increase of turnover. This would directly decrease the CCC and increase liquidity. Besides this, it must also focus on minimizing Receivable Days of 17.614 days in 2025 by promoting quicker customer payments. The company currently enjoys the direct sales model but more can be done by using digital payment systems and early payment incentives. Shortening receivable days would increase cash inflows and enhance the working capital efficiency.</w:t>
      </w:r>
    </w:p>
    <w:p>
      <w:pPr>
        <w:pStyle w:val="style0"/>
        <w:spacing w:before="240" w:after="240"/>
        <w:rPr>
          <w:rFonts w:cs="Times New Roman"/>
        </w:rPr>
      </w:pPr>
      <w:r>
        <w:rPr>
          <w:rFonts w:cs="Times New Roman"/>
        </w:rPr>
        <w:t xml:space="preserve">In addition, it ought to look into increasing Payable Days, which dropped to 62.784 days in 2025, towards the previous amounts. Theoretically, raising payable days will enable the firms to use supplier credit as a source of financing. As Tesla has a solid market standing, it might be capable of renegotiating supplier terms without impacting relationships adversely and, thus, alleviating pressure on working capital. Moreover, it needs to enhance its cash management. The company has good internal liquidity with operating cash flow is 14.747 billion in 2025 and free cash flow is 6.220 billion. By using the concepts of the </w:t>
      </w:r>
      <w:r>
        <w:rPr>
          <w:rFonts w:cs="Times New Roman"/>
        </w:rPr>
        <w:t>MillerOrr</w:t>
      </w:r>
      <w:r>
        <w:rPr>
          <w:rFonts w:cs="Times New Roman"/>
        </w:rPr>
        <w:t xml:space="preserve"> cash management model, Tesla will be able to manage cash balances to maintain adequate liquidity and reduce idle cash.</w:t>
      </w:r>
    </w:p>
    <w:p>
      <w:pPr>
        <w:pStyle w:val="style0"/>
        <w:keepNext/>
        <w:spacing w:before="240" w:after="240"/>
        <w:jc w:val="center"/>
        <w:rPr>
          <w:rFonts w:cs="Times New Roman"/>
        </w:rPr>
      </w:pPr>
      <w:r>
        <w:rPr>
          <w:rFonts w:cs="Times New Roman"/>
          <w:noProof/>
        </w:rPr>
        <w:object>
          <v:shape id="1048" type="#_x0000_t75" filled="f" stroked="f" alt="Cash Management Models" style="margin-left:0.0pt;margin-top:0.0pt;width:406.64pt;height:138.46pt;mso-wrap-distance-left:0.0pt;mso-wrap-distance-right:0.0pt;visibility:visible;">
            <w10:anchorlock/>
            <v:imagedata r:id="rId21" embosscolor="white" o:title=""/>
            <v:stroke on="f"/>
            <v:fill/>
          </v:shape>
          <o:OLEObject Type="EMBED" ProgID="Excel.Chart.8" ShapeID="1048" DrawAspect="Content" ObjectID="0" r:id="rId22"/>
        </w:object>
      </w:r>
    </w:p>
    <w:p>
      <w:pPr>
        <w:pStyle w:val="style0"/>
        <w:keepNext/>
        <w:spacing w:before="240" w:after="240"/>
        <w:jc w:val="center"/>
        <w:rPr>
          <w:rFonts w:cs="Times New Roman"/>
        </w:rPr>
      </w:pPr>
      <w:r>
        <w:rPr>
          <w:rFonts w:cs="Times New Roman"/>
          <w:noProof/>
        </w:rPr>
        <w:drawing>
          <wp:inline distL="0" distT="0" distB="0" distR="0">
            <wp:extent cx="5943600" cy="2294255"/>
            <wp:effectExtent l="0" t="0" r="0" b="0"/>
            <wp:docPr id="1049" name="Picture 25" descr="ariation of cash flows, adapted (Miller &amp; Orr, 1966). | Download Scientific  Diagram"/>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 name="Picture 25"/>
                    <pic:cNvPicPr/>
                  </pic:nvPicPr>
                  <pic:blipFill>
                    <a:blip r:embed="rId23" cstate="print"/>
                    <a:srcRect l="0" t="0" r="0" b="0"/>
                    <a:stretch/>
                  </pic:blipFill>
                  <pic:spPr>
                    <a:xfrm rot="0">
                      <a:off x="0" y="0"/>
                      <a:ext cx="5943600" cy="2294255"/>
                    </a:xfrm>
                    <a:prstGeom prst="rect"/>
                    <a:ln>
                      <a:noFill/>
                    </a:ln>
                  </pic:spPr>
                </pic:pic>
              </a:graphicData>
            </a:graphic>
          </wp:inline>
        </w:drawing>
      </w:r>
    </w:p>
    <w:p>
      <w:pPr>
        <w:pStyle w:val="style34"/>
        <w:spacing w:before="240" w:after="240" w:lineRule="auto" w:line="360"/>
        <w:jc w:val="center"/>
        <w:rPr>
          <w:rFonts w:cs="Times New Roman"/>
        </w:rPr>
      </w:pPr>
      <w:r>
        <w:rPr>
          <w:rFonts w:cs="Times New Roman"/>
        </w:rPr>
        <w:t xml:space="preserve">Figure </w:t>
      </w: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noProof/>
        </w:rPr>
        <w:t>15</w:t>
      </w:r>
      <w:r>
        <w:rPr>
          <w:rFonts w:cs="Times New Roman"/>
        </w:rPr>
        <w:fldChar w:fldCharType="end"/>
      </w:r>
      <w:r>
        <w:rPr>
          <w:rFonts w:cs="Times New Roman"/>
        </w:rPr>
        <w:t>: Miller–Orr cash management model</w:t>
      </w:r>
    </w:p>
    <w:p>
      <w:pPr>
        <w:pStyle w:val="style0"/>
        <w:spacing w:before="240" w:after="240"/>
        <w:jc w:val="center"/>
        <w:rPr>
          <w:rFonts w:cs="Times New Roman"/>
        </w:rPr>
      </w:pPr>
      <w:r>
        <w:rPr>
          <w:rFonts w:cs="Times New Roman"/>
        </w:rPr>
        <w:t>(</w:t>
      </w:r>
      <w:r>
        <w:rPr>
          <w:rFonts w:cs="Times New Roman"/>
        </w:rPr>
        <w:t>Moraes</w:t>
      </w:r>
      <w:r>
        <w:rPr>
          <w:rFonts w:cs="Times New Roman"/>
        </w:rPr>
        <w:t xml:space="preserve"> </w:t>
      </w:r>
      <w:r>
        <w:rPr>
          <w:rFonts w:cs="Times New Roman"/>
        </w:rPr>
        <w:t>and Nagano, 2013</w:t>
      </w:r>
      <w:r>
        <w:rPr>
          <w:rFonts w:cs="Times New Roman"/>
        </w:rPr>
        <w:t>)</w:t>
      </w:r>
    </w:p>
    <w:p>
      <w:pPr>
        <w:pStyle w:val="style0"/>
        <w:spacing w:before="240" w:after="240"/>
        <w:rPr>
          <w:rFonts w:cs="Times New Roman"/>
        </w:rPr>
      </w:pPr>
      <w:r>
        <w:rPr>
          <w:rFonts w:cs="Times New Roman"/>
        </w:rPr>
        <w:t>All in all, the following strategies will help minimize the CCC at its present state of 13.017 days, increase operational efficiency, and enhance the Tesla short-term financial situation.</w:t>
      </w:r>
    </w:p>
    <w:p>
      <w:pPr>
        <w:pStyle w:val="style0"/>
        <w:spacing w:before="240" w:after="240"/>
        <w:rPr>
          <w:rFonts w:cs="Times New Roman"/>
          <w:b/>
          <w:bCs/>
        </w:rPr>
      </w:pPr>
      <w:r>
        <w:rPr>
          <w:rFonts w:cs="Times New Roman"/>
          <w:b/>
          <w:bCs/>
        </w:rPr>
        <w:t>3.4 Financing Strategy</w:t>
      </w:r>
    </w:p>
    <w:p>
      <w:pPr>
        <w:pStyle w:val="style0"/>
        <w:spacing w:before="240" w:after="240"/>
        <w:rPr>
          <w:rFonts w:cs="Times New Roman"/>
        </w:rPr>
      </w:pPr>
      <w:r>
        <w:rPr>
          <w:rFonts w:cs="Times New Roman"/>
        </w:rPr>
        <w:t xml:space="preserve">Funding of working capital is directly related to the risk and return trade-off of a firm and can be studied with the aggressive, conservative and matching (hedging) financing policies. Historical data of Tesla indicate that the company has shifted its strategy away towards an aggressive approach to a strategy that is more balanced. The short-term funding sources are normally trade credits, bank overdrafts, short-term loans, among others, used to fund operational requirements. Tesla has been successfully using trade credit in previous years, which is observed in the high payable days of around 91 days in 20212022, which show an aggressive financing policy with the </w:t>
      </w:r>
      <w:r>
        <w:rPr>
          <w:rFonts w:cs="Times New Roman"/>
        </w:rPr>
        <w:t>majority of business operations being provided by suppliers. This method improves the internal funds requirement but enhances the external short-term liabilities.</w:t>
      </w:r>
    </w:p>
    <w:p>
      <w:pPr>
        <w:pStyle w:val="style0"/>
        <w:spacing w:before="240" w:after="240"/>
        <w:rPr>
          <w:rFonts w:cs="Times New Roman"/>
        </w:rPr>
      </w:pPr>
      <w:r>
        <w:rPr>
          <w:rFonts w:cs="Times New Roman"/>
        </w:rPr>
        <w:t>Conversely, the long-term sources of finance like equity and retained earnings are more stable financially. Tesla has low debt-equity ratio of 0.148 in 2025, which implies that Tesla has low debt dependency and is financially conservative. This minimizes the risk of finance, but can minimize the gains of leverage. With CCC rising to 13.017 days in 2025 and an escalating working capital requirement, Tesla ought to follow a comparable financing policy, i.e., short-term assets can be financed by short-term liabilities and long-term investments can be financed by long-term capital. The day-to-day liquidity can be addressed with the help of short-term financing, and expansion projects and capital expenditure can be supported with the help of long-term financing (Mustafina, et al., 2020).</w:t>
      </w:r>
    </w:p>
    <w:p>
      <w:pPr>
        <w:pStyle w:val="style0"/>
        <w:keepNext/>
        <w:spacing w:before="240" w:after="240"/>
        <w:jc w:val="center"/>
        <w:rPr>
          <w:rFonts w:cs="Times New Roman"/>
        </w:rPr>
      </w:pPr>
      <w:r>
        <w:rPr>
          <w:rFonts w:cs="Times New Roman"/>
          <w:noProof/>
        </w:rPr>
        <w:drawing>
          <wp:inline distL="0" distT="0" distB="0" distR="0">
            <wp:extent cx="5943600" cy="4211955"/>
            <wp:effectExtent l="0" t="0" r="0" b="0"/>
            <wp:docPr id="1050" name="Picture 26" descr="Maturity Matching or Hedging Approach | Rationale, Pros, Cons, Exampl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 name="Picture 26"/>
                    <pic:cNvPicPr/>
                  </pic:nvPicPr>
                  <pic:blipFill>
                    <a:blip r:embed="rId24" cstate="print"/>
                    <a:srcRect l="0" t="0" r="0" b="0"/>
                    <a:stretch/>
                  </pic:blipFill>
                  <pic:spPr>
                    <a:xfrm rot="0">
                      <a:off x="0" y="0"/>
                      <a:ext cx="5943600" cy="4211955"/>
                    </a:xfrm>
                    <a:prstGeom prst="rect"/>
                    <a:ln>
                      <a:noFill/>
                    </a:ln>
                  </pic:spPr>
                </pic:pic>
              </a:graphicData>
            </a:graphic>
          </wp:inline>
        </w:drawing>
      </w:r>
    </w:p>
    <w:p>
      <w:pPr>
        <w:pStyle w:val="style34"/>
        <w:spacing w:before="240" w:after="240" w:lineRule="auto" w:line="360"/>
        <w:jc w:val="center"/>
        <w:rPr>
          <w:rFonts w:cs="Times New Roman"/>
        </w:rPr>
      </w:pPr>
      <w:r>
        <w:rPr>
          <w:rFonts w:cs="Times New Roman"/>
        </w:rPr>
        <w:t xml:space="preserve">Figure </w:t>
      </w: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noProof/>
        </w:rPr>
        <w:t>16</w:t>
      </w:r>
      <w:r>
        <w:rPr>
          <w:rFonts w:cs="Times New Roman"/>
        </w:rPr>
        <w:fldChar w:fldCharType="end"/>
      </w:r>
      <w:r>
        <w:rPr>
          <w:rFonts w:cs="Times New Roman"/>
        </w:rPr>
        <w:t>: matching financing strategy</w:t>
      </w:r>
    </w:p>
    <w:p>
      <w:pPr>
        <w:pStyle w:val="style0"/>
        <w:spacing w:before="240" w:after="240"/>
        <w:jc w:val="center"/>
        <w:rPr>
          <w:rFonts w:cs="Times New Roman"/>
        </w:rPr>
      </w:pPr>
      <w:r>
        <w:rPr>
          <w:rFonts w:cs="Times New Roman"/>
        </w:rPr>
        <w:t>(Mustafina, et al., 2020)</w:t>
      </w:r>
    </w:p>
    <w:bookmarkStart w:id="3" w:name="_Toc227946707"/>
    <w:p>
      <w:pPr>
        <w:pStyle w:val="style1"/>
        <w:spacing w:before="240" w:after="240"/>
        <w:rPr>
          <w:rFonts w:cs="Times New Roman"/>
        </w:rPr>
      </w:pPr>
      <w:r>
        <w:rPr>
          <w:rFonts w:cs="Times New Roman"/>
        </w:rPr>
        <w:t>4. STRATEGIC FINANCIAL RESTRUCTURING</w:t>
      </w:r>
      <w:bookmarkEnd w:id="3"/>
    </w:p>
    <w:p>
      <w:pPr>
        <w:pStyle w:val="style0"/>
        <w:spacing w:before="240" w:after="240"/>
        <w:rPr>
          <w:rFonts w:cs="Times New Roman"/>
          <w:b/>
          <w:bCs/>
        </w:rPr>
      </w:pPr>
      <w:r>
        <w:rPr>
          <w:rFonts w:cs="Times New Roman"/>
          <w:b/>
          <w:bCs/>
        </w:rPr>
        <w:t>4.1 Current Financial Issues</w:t>
      </w:r>
    </w:p>
    <w:p>
      <w:pPr>
        <w:pStyle w:val="style0"/>
        <w:spacing w:before="240" w:after="240"/>
        <w:rPr>
          <w:rFonts w:cs="Times New Roman"/>
          <w:b/>
          <w:bCs/>
        </w:rPr>
      </w:pPr>
      <w:r>
        <w:rPr>
          <w:rFonts w:cs="Times New Roman"/>
          <w:b/>
          <w:bCs/>
        </w:rPr>
        <w:t>Table: Key Financial Issues Identified</w:t>
      </w:r>
    </w:p>
    <w:tbl>
      <w:tblPr>
        <w:tblStyle w:val="style4111"/>
        <w:tblW w:w="0" w:type="auto"/>
        <w:tblLook w:val="04A0" w:firstRow="1" w:lastRow="0" w:firstColumn="1" w:lastColumn="0" w:noHBand="0" w:noVBand="1"/>
      </w:tblPr>
      <w:tblGrid>
        <w:gridCol w:w="2184"/>
        <w:gridCol w:w="3039"/>
        <w:gridCol w:w="4136"/>
      </w:tblGrid>
      <w:tr>
        <w:trPr/>
        <w:tc>
          <w:tcPr>
            <w:tcW w:w="0" w:type="auto"/>
            <w:tcBorders/>
            <w:hideMark/>
          </w:tcPr>
          <w:p>
            <w:pPr>
              <w:pStyle w:val="style0"/>
              <w:spacing w:before="240" w:after="240"/>
              <w:rPr>
                <w:rFonts w:cs="Times New Roman"/>
              </w:rPr>
            </w:pPr>
            <w:r>
              <w:rPr>
                <w:rFonts w:cs="Times New Roman"/>
              </w:rPr>
              <w:t>Area</w:t>
            </w:r>
          </w:p>
        </w:tc>
        <w:tc>
          <w:tcPr>
            <w:tcW w:w="0" w:type="auto"/>
            <w:tcBorders/>
            <w:hideMark/>
          </w:tcPr>
          <w:p>
            <w:pPr>
              <w:pStyle w:val="style0"/>
              <w:spacing w:before="240" w:after="240"/>
              <w:rPr>
                <w:rFonts w:cs="Times New Roman"/>
              </w:rPr>
            </w:pPr>
            <w:r>
              <w:rPr>
                <w:rFonts w:cs="Times New Roman"/>
              </w:rPr>
              <w:t>Issue Identified</w:t>
            </w:r>
          </w:p>
        </w:tc>
        <w:tc>
          <w:tcPr>
            <w:tcW w:w="0" w:type="auto"/>
            <w:tcBorders/>
            <w:hideMark/>
          </w:tcPr>
          <w:p>
            <w:pPr>
              <w:pStyle w:val="style0"/>
              <w:spacing w:before="240" w:after="240"/>
              <w:rPr>
                <w:rFonts w:cs="Times New Roman"/>
              </w:rPr>
            </w:pPr>
            <w:r>
              <w:rPr>
                <w:rFonts w:cs="Times New Roman"/>
              </w:rPr>
              <w:t>Implication</w:t>
            </w:r>
          </w:p>
        </w:tc>
      </w:tr>
      <w:tr>
        <w:tblPrEx/>
        <w:trPr/>
        <w:tc>
          <w:tcPr>
            <w:tcW w:w="0" w:type="auto"/>
            <w:tcBorders/>
            <w:hideMark/>
          </w:tcPr>
          <w:p>
            <w:pPr>
              <w:pStyle w:val="style0"/>
              <w:spacing w:before="240" w:after="240"/>
              <w:rPr>
                <w:rFonts w:cs="Times New Roman"/>
              </w:rPr>
            </w:pPr>
            <w:r>
              <w:rPr>
                <w:rFonts w:cs="Times New Roman"/>
              </w:rPr>
              <w:t>Profitability</w:t>
            </w:r>
          </w:p>
        </w:tc>
        <w:tc>
          <w:tcPr>
            <w:tcW w:w="0" w:type="auto"/>
            <w:tcBorders/>
            <w:hideMark/>
          </w:tcPr>
          <w:p>
            <w:pPr>
              <w:pStyle w:val="style0"/>
              <w:spacing w:before="240" w:after="240"/>
              <w:rPr>
                <w:rFonts w:cs="Times New Roman"/>
              </w:rPr>
            </w:pPr>
            <w:r>
              <w:rPr>
                <w:rFonts w:cs="Times New Roman"/>
              </w:rPr>
              <w:t>Decline in Gross Margin, Net Margin, ROA, ROCE</w:t>
            </w:r>
          </w:p>
        </w:tc>
        <w:tc>
          <w:tcPr>
            <w:tcW w:w="0" w:type="auto"/>
            <w:tcBorders/>
            <w:hideMark/>
          </w:tcPr>
          <w:p>
            <w:pPr>
              <w:pStyle w:val="style0"/>
              <w:spacing w:before="240" w:after="240"/>
              <w:rPr>
                <w:rFonts w:cs="Times New Roman"/>
              </w:rPr>
            </w:pPr>
            <w:r>
              <w:rPr>
                <w:rFonts w:cs="Times New Roman"/>
              </w:rPr>
              <w:t>Margin compression due to aggressive pricing strategy and rising competition</w:t>
            </w:r>
          </w:p>
        </w:tc>
      </w:tr>
      <w:tr>
        <w:tblPrEx/>
        <w:trPr/>
        <w:tc>
          <w:tcPr>
            <w:tcW w:w="0" w:type="auto"/>
            <w:tcBorders/>
            <w:hideMark/>
          </w:tcPr>
          <w:p>
            <w:pPr>
              <w:pStyle w:val="style0"/>
              <w:spacing w:before="240" w:after="240"/>
              <w:rPr>
                <w:rFonts w:cs="Times New Roman"/>
              </w:rPr>
            </w:pPr>
            <w:r>
              <w:rPr>
                <w:rFonts w:cs="Times New Roman"/>
              </w:rPr>
              <w:t>Efficiency</w:t>
            </w:r>
          </w:p>
        </w:tc>
        <w:tc>
          <w:tcPr>
            <w:tcW w:w="0" w:type="auto"/>
            <w:tcBorders/>
            <w:hideMark/>
          </w:tcPr>
          <w:p>
            <w:pPr>
              <w:pStyle w:val="style0"/>
              <w:spacing w:before="240" w:after="240"/>
              <w:rPr>
                <w:rFonts w:cs="Times New Roman"/>
              </w:rPr>
            </w:pPr>
            <w:r>
              <w:rPr>
                <w:rFonts w:cs="Times New Roman"/>
              </w:rPr>
              <w:t>Declining asset turnover; rising cash conversion cycle</w:t>
            </w:r>
          </w:p>
        </w:tc>
        <w:tc>
          <w:tcPr>
            <w:tcW w:w="0" w:type="auto"/>
            <w:tcBorders/>
            <w:hideMark/>
          </w:tcPr>
          <w:p>
            <w:pPr>
              <w:pStyle w:val="style0"/>
              <w:spacing w:before="240" w:after="240"/>
              <w:rPr>
                <w:rFonts w:cs="Times New Roman"/>
              </w:rPr>
            </w:pPr>
            <w:r>
              <w:rPr>
                <w:rFonts w:cs="Times New Roman"/>
              </w:rPr>
              <w:t xml:space="preserve">Reduced asset </w:t>
            </w:r>
            <w:r>
              <w:rPr>
                <w:rFonts w:cs="Times New Roman"/>
              </w:rPr>
              <w:t>utilisation</w:t>
            </w:r>
            <w:r>
              <w:rPr>
                <w:rFonts w:cs="Times New Roman"/>
              </w:rPr>
              <w:t xml:space="preserve"> and higher working capital requirements</w:t>
            </w:r>
          </w:p>
        </w:tc>
      </w:tr>
      <w:tr>
        <w:tblPrEx/>
        <w:trPr/>
        <w:tc>
          <w:tcPr>
            <w:tcW w:w="0" w:type="auto"/>
            <w:tcBorders/>
            <w:hideMark/>
          </w:tcPr>
          <w:p>
            <w:pPr>
              <w:pStyle w:val="style0"/>
              <w:spacing w:before="240" w:after="240"/>
              <w:rPr>
                <w:rFonts w:cs="Times New Roman"/>
              </w:rPr>
            </w:pPr>
            <w:r>
              <w:rPr>
                <w:rFonts w:cs="Times New Roman"/>
              </w:rPr>
              <w:t>Cash Flow</w:t>
            </w:r>
          </w:p>
        </w:tc>
        <w:tc>
          <w:tcPr>
            <w:tcW w:w="0" w:type="auto"/>
            <w:tcBorders/>
            <w:hideMark/>
          </w:tcPr>
          <w:p>
            <w:pPr>
              <w:pStyle w:val="style0"/>
              <w:spacing w:before="240" w:after="240"/>
              <w:rPr>
                <w:rFonts w:cs="Times New Roman"/>
              </w:rPr>
            </w:pPr>
            <w:r>
              <w:rPr>
                <w:rFonts w:cs="Times New Roman"/>
              </w:rPr>
              <w:t>Declining operating cash flow coverage</w:t>
            </w:r>
          </w:p>
        </w:tc>
        <w:tc>
          <w:tcPr>
            <w:tcW w:w="0" w:type="auto"/>
            <w:tcBorders/>
            <w:hideMark/>
          </w:tcPr>
          <w:p>
            <w:pPr>
              <w:pStyle w:val="style0"/>
              <w:spacing w:before="240" w:after="240"/>
              <w:rPr>
                <w:rFonts w:cs="Times New Roman"/>
              </w:rPr>
            </w:pPr>
            <w:r>
              <w:rPr>
                <w:rFonts w:cs="Times New Roman"/>
              </w:rPr>
              <w:t>Reduced internal cash generation capacity</w:t>
            </w:r>
          </w:p>
        </w:tc>
      </w:tr>
      <w:tr>
        <w:tblPrEx/>
        <w:trPr/>
        <w:tc>
          <w:tcPr>
            <w:tcW w:w="0" w:type="auto"/>
            <w:tcBorders/>
            <w:hideMark/>
          </w:tcPr>
          <w:p>
            <w:pPr>
              <w:pStyle w:val="style0"/>
              <w:spacing w:before="240" w:after="240"/>
              <w:rPr>
                <w:rFonts w:cs="Times New Roman"/>
              </w:rPr>
            </w:pPr>
            <w:r>
              <w:rPr>
                <w:rFonts w:cs="Times New Roman"/>
              </w:rPr>
              <w:t>Financial Risk</w:t>
            </w:r>
          </w:p>
        </w:tc>
        <w:tc>
          <w:tcPr>
            <w:tcW w:w="0" w:type="auto"/>
            <w:tcBorders/>
            <w:hideMark/>
          </w:tcPr>
          <w:p>
            <w:pPr>
              <w:pStyle w:val="style0"/>
              <w:spacing w:before="240" w:after="240"/>
              <w:rPr>
                <w:rFonts w:cs="Times New Roman"/>
              </w:rPr>
            </w:pPr>
            <w:r>
              <w:rPr>
                <w:rFonts w:cs="Times New Roman"/>
              </w:rPr>
              <w:t>Falling interest coverage</w:t>
            </w:r>
          </w:p>
        </w:tc>
        <w:tc>
          <w:tcPr>
            <w:tcW w:w="0" w:type="auto"/>
            <w:tcBorders/>
            <w:hideMark/>
          </w:tcPr>
          <w:p>
            <w:pPr>
              <w:pStyle w:val="style0"/>
              <w:spacing w:before="240" w:after="240"/>
              <w:rPr>
                <w:rFonts w:cs="Times New Roman"/>
              </w:rPr>
            </w:pPr>
            <w:r>
              <w:rPr>
                <w:rFonts w:cs="Times New Roman"/>
              </w:rPr>
              <w:t>Earnings weakening relative to financial obligations</w:t>
            </w:r>
          </w:p>
        </w:tc>
      </w:tr>
      <w:tr>
        <w:tblPrEx/>
        <w:trPr/>
        <w:tc>
          <w:tcPr>
            <w:tcW w:w="0" w:type="auto"/>
            <w:tcBorders/>
            <w:hideMark/>
          </w:tcPr>
          <w:p>
            <w:pPr>
              <w:pStyle w:val="style0"/>
              <w:spacing w:before="240" w:after="240"/>
              <w:rPr>
                <w:rFonts w:cs="Times New Roman"/>
              </w:rPr>
            </w:pPr>
            <w:r>
              <w:rPr>
                <w:rFonts w:cs="Times New Roman"/>
              </w:rPr>
              <w:t>Liquidity/Leverage</w:t>
            </w:r>
          </w:p>
        </w:tc>
        <w:tc>
          <w:tcPr>
            <w:tcW w:w="0" w:type="auto"/>
            <w:tcBorders/>
            <w:hideMark/>
          </w:tcPr>
          <w:p>
            <w:pPr>
              <w:pStyle w:val="style0"/>
              <w:spacing w:before="240" w:after="240"/>
              <w:rPr>
                <w:rFonts w:cs="Times New Roman"/>
              </w:rPr>
            </w:pPr>
            <w:r>
              <w:rPr>
                <w:rFonts w:cs="Times New Roman"/>
              </w:rPr>
              <w:t>Strong liquidity and low debt maintained</w:t>
            </w:r>
          </w:p>
        </w:tc>
        <w:tc>
          <w:tcPr>
            <w:tcW w:w="0" w:type="auto"/>
            <w:tcBorders/>
            <w:hideMark/>
          </w:tcPr>
          <w:p>
            <w:pPr>
              <w:pStyle w:val="style0"/>
              <w:spacing w:before="240" w:after="240"/>
              <w:rPr>
                <w:rFonts w:cs="Times New Roman"/>
              </w:rPr>
            </w:pPr>
            <w:r>
              <w:rPr>
                <w:rFonts w:cs="Times New Roman"/>
              </w:rPr>
              <w:t>No immediate solvency risk</w:t>
            </w:r>
          </w:p>
        </w:tc>
      </w:tr>
    </w:tbl>
    <w:p>
      <w:pPr>
        <w:pStyle w:val="style0"/>
        <w:spacing w:before="240" w:after="240"/>
        <w:rPr>
          <w:rFonts w:cs="Times New Roman"/>
        </w:rPr>
      </w:pPr>
      <w:r>
        <w:rPr>
          <w:rFonts w:cs="Times New Roman"/>
        </w:rPr>
        <w:t>In general, the fundamental financial challenges are not connected to the solvency or liquidity risk but to the erosion of profits, efficiency, and strain on the quality of earnings. These issues underscore the necessity of a restructuring strategy aimed at enhancing margins, streamlining resource use and enhancing long-term financial sustainability.</w:t>
      </w:r>
    </w:p>
    <w:p>
      <w:pPr>
        <w:pStyle w:val="style0"/>
        <w:spacing w:before="240" w:after="240"/>
        <w:rPr>
          <w:rFonts w:cs="Times New Roman"/>
          <w:b/>
          <w:bCs/>
        </w:rPr>
      </w:pPr>
      <w:r>
        <w:rPr>
          <w:rFonts w:cs="Times New Roman"/>
          <w:b/>
          <w:bCs/>
        </w:rPr>
        <w:t>4.2 Restructuring Options</w:t>
      </w:r>
    </w:p>
    <w:p>
      <w:pPr>
        <w:pStyle w:val="style0"/>
        <w:spacing w:before="240" w:after="240"/>
        <w:rPr>
          <w:rFonts w:cs="Times New Roman"/>
        </w:rPr>
      </w:pPr>
      <w:r>
        <w:rPr>
          <w:rFonts w:cs="Times New Roman"/>
        </w:rPr>
        <w:t xml:space="preserve">To overcome the determined financial issues, Tesla might adopt multiple strategic reorganization solutions, such as divestment, equity injection, and debt reorganization. These strategies will </w:t>
      </w:r>
      <w:r>
        <w:rPr>
          <w:rFonts w:cs="Times New Roman"/>
        </w:rPr>
        <w:t xml:space="preserve">enhance financial performance and at the same time ensure that the </w:t>
      </w:r>
      <w:r>
        <w:rPr>
          <w:rFonts w:cs="Times New Roman"/>
        </w:rPr>
        <w:t>long term</w:t>
      </w:r>
      <w:r>
        <w:rPr>
          <w:rFonts w:cs="Times New Roman"/>
        </w:rPr>
        <w:t xml:space="preserve"> strategic alignment is in line with the sustainability mission of the company. Silva and Moreira, (2019) define divestment as selling </w:t>
      </w:r>
      <w:r>
        <w:rPr>
          <w:rFonts w:cs="Times New Roman"/>
        </w:rPr>
        <w:t>non core</w:t>
      </w:r>
      <w:r>
        <w:rPr>
          <w:rFonts w:cs="Times New Roman"/>
        </w:rPr>
        <w:t xml:space="preserve"> or underperforming assets to enhance efficiency and release capital. The growing range of products that Tesla has launched such as energy storage systems, solar products and new technologies like robotics poses a danger of over-diversification. Tesla can enhance profitability and operational concentration by targeting segments that are highly profitable like energy storage like Megapack and Powerwall. The Impact Report emphasizes that Tesla has a high growth potential and scalability of its energy solutions, including Virtual Power Plants that will provide 2.8 GWh of energy in 2024 (Tesla Impact Report, 2024). Diversification can thus improve returns by strategically selling off less profitable segments.</w:t>
      </w:r>
    </w:p>
    <w:p>
      <w:pPr>
        <w:pStyle w:val="style0"/>
        <w:spacing w:before="240" w:after="240"/>
        <w:rPr>
          <w:rFonts w:cs="Times New Roman"/>
        </w:rPr>
      </w:pPr>
      <w:r>
        <w:rPr>
          <w:rFonts w:cs="Times New Roman"/>
        </w:rPr>
        <w:t xml:space="preserve">Another restructuring strategy that can be used is equity injection. Since Tesla has a high market valuation, indicated by a high P/E ratio of 416.407 in 2025, the company can easily raise funds using its equity financing. This would allow investing in the area of innovation, like autonomous driving and AI technology, without raising the level of financial risk. Moreover, equity financing aids the long-term growth strategy of Tesla which is consistent with its mission of sustainable energy transition. It is also possible to restructure debt </w:t>
      </w:r>
      <w:r>
        <w:rPr>
          <w:rFonts w:cs="Times New Roman"/>
        </w:rPr>
        <w:t>optimising</w:t>
      </w:r>
      <w:r>
        <w:rPr>
          <w:rFonts w:cs="Times New Roman"/>
        </w:rPr>
        <w:t xml:space="preserve"> the capital structure (Mielcarz, et al., 2018). Even though Tesla is at present having low leverage, the selective application of debt might offer tax benefits and increase returns on equity. Nonetheless, due to the decrease in the Interest Coverage Ratio to 14.346, the growth in the debt should be cautiously handled so as not to take too much financial risk. The extension of maturities or refinancing of existing debt at </w:t>
      </w:r>
      <w:r>
        <w:rPr>
          <w:rFonts w:cs="Times New Roman"/>
        </w:rPr>
        <w:t>favourable</w:t>
      </w:r>
      <w:r>
        <w:rPr>
          <w:rFonts w:cs="Times New Roman"/>
        </w:rPr>
        <w:t xml:space="preserve"> rates may enhance financial flexibility without a marked rise in risk (</w:t>
      </w:r>
      <w:r>
        <w:rPr>
          <w:rFonts w:cs="Times New Roman"/>
        </w:rPr>
        <w:t>Atere</w:t>
      </w:r>
      <w:r>
        <w:rPr>
          <w:rFonts w:cs="Times New Roman"/>
        </w:rPr>
        <w:t>, et al., 2019).</w:t>
      </w:r>
    </w:p>
    <w:p>
      <w:pPr>
        <w:pStyle w:val="style0"/>
        <w:spacing w:before="240" w:after="240"/>
        <w:rPr>
          <w:rFonts w:cs="Times New Roman"/>
        </w:rPr>
      </w:pPr>
      <w:r>
        <w:rPr>
          <w:rFonts w:cs="Times New Roman"/>
        </w:rPr>
        <w:t xml:space="preserve">Restructuring of operations is also crucial. Efficiency can be improved by Tesla through </w:t>
      </w:r>
      <w:r>
        <w:rPr>
          <w:rFonts w:cs="Times New Roman"/>
        </w:rPr>
        <w:t>optimisation</w:t>
      </w:r>
      <w:r>
        <w:rPr>
          <w:rFonts w:cs="Times New Roman"/>
        </w:rPr>
        <w:t xml:space="preserve"> of supply chain management, </w:t>
      </w:r>
      <w:r>
        <w:rPr>
          <w:rFonts w:cs="Times New Roman"/>
        </w:rPr>
        <w:t>minimisation</w:t>
      </w:r>
      <w:r>
        <w:rPr>
          <w:rFonts w:cs="Times New Roman"/>
        </w:rPr>
        <w:t xml:space="preserve"> of production costs and increased inventory turnover. The vertically integrated manufacturing model of the company offers the possibilities of cost control, but needs constant </w:t>
      </w:r>
      <w:r>
        <w:rPr>
          <w:rFonts w:cs="Times New Roman"/>
        </w:rPr>
        <w:t>optimisation</w:t>
      </w:r>
      <w:r>
        <w:rPr>
          <w:rFonts w:cs="Times New Roman"/>
        </w:rPr>
        <w:t xml:space="preserve"> to preserve the efficiency at the large scale.</w:t>
      </w:r>
    </w:p>
    <w:p>
      <w:pPr>
        <w:pStyle w:val="style0"/>
        <w:spacing w:before="240" w:after="240"/>
        <w:rPr>
          <w:rFonts w:cs="Times New Roman"/>
          <w:b/>
          <w:bCs/>
        </w:rPr>
      </w:pPr>
      <w:r>
        <w:rPr>
          <w:rFonts w:cs="Times New Roman"/>
          <w:b/>
          <w:bCs/>
        </w:rPr>
        <w:t>4.3 Impact Analysis</w:t>
      </w:r>
    </w:p>
    <w:p>
      <w:pPr>
        <w:pStyle w:val="style0"/>
        <w:spacing w:before="240" w:after="240"/>
        <w:rPr>
          <w:rFonts w:cs="Times New Roman"/>
        </w:rPr>
      </w:pPr>
      <w:r>
        <w:rPr>
          <w:rFonts w:cs="Times New Roman"/>
        </w:rPr>
        <w:t xml:space="preserve">These restructuring will have huge implication on the shareholder value, capital structure and operational flexibility. In terms of shareholder value, an increase in profitability and efficiency will </w:t>
      </w:r>
      <w:r>
        <w:rPr>
          <w:rFonts w:cs="Times New Roman"/>
        </w:rPr>
        <w:t xml:space="preserve">increase earnings and contribute to the long-term value creation. Though the high valuation of Tesla nowadays indicates high growth prospects, decreasing profitability may negatively affect investor confidence unless it is dealt with. Profitability can be regained through strategic restructuring, especially by concentrating on high-margin segments and cost </w:t>
      </w:r>
      <w:r>
        <w:rPr>
          <w:rFonts w:cs="Times New Roman"/>
        </w:rPr>
        <w:t>optimisation</w:t>
      </w:r>
      <w:r>
        <w:rPr>
          <w:rFonts w:cs="Times New Roman"/>
        </w:rPr>
        <w:t xml:space="preserve"> to keep the investors on board (</w:t>
      </w:r>
      <w:r>
        <w:rPr>
          <w:rFonts w:cs="Times New Roman"/>
        </w:rPr>
        <w:t>Potharla</w:t>
      </w:r>
      <w:r>
        <w:rPr>
          <w:rFonts w:cs="Times New Roman"/>
        </w:rPr>
        <w:t>, 2025).</w:t>
      </w:r>
    </w:p>
    <w:p>
      <w:pPr>
        <w:pStyle w:val="style0"/>
        <w:spacing w:before="240" w:after="240"/>
        <w:rPr>
          <w:rFonts w:cs="Times New Roman"/>
        </w:rPr>
      </w:pPr>
      <w:r>
        <w:rPr>
          <w:rFonts w:cs="Times New Roman"/>
        </w:rPr>
        <w:t xml:space="preserve">Regarding the capital structure, equity investment would enhance balance sheet by trimming the debt dependence, and would decrease the financial risk (Kapan and Minoiu, 2018). It can also be done in or after pecking order theory wherein, moderate debt financing may boost returns by leveraging on debt, as long as the earnings are adequate to meet the interest payments (Martinez, et al., 2019). </w:t>
      </w:r>
      <w:r>
        <w:rPr>
          <w:rFonts w:cs="Times New Roman"/>
        </w:rPr>
        <w:t xml:space="preserve"> </w:t>
      </w:r>
    </w:p>
    <w:p>
      <w:pPr>
        <w:pStyle w:val="style0"/>
        <w:keepNext/>
        <w:spacing w:before="240" w:after="240"/>
        <w:jc w:val="center"/>
        <w:rPr>
          <w:rFonts w:cs="Times New Roman"/>
        </w:rPr>
      </w:pPr>
      <w:r>
        <w:rPr>
          <w:rFonts w:cs="Times New Roman"/>
          <w:noProof/>
        </w:rPr>
        <w:drawing>
          <wp:inline distL="0" distT="0" distB="0" distR="0">
            <wp:extent cx="3507484" cy="2478768"/>
            <wp:effectExtent l="0" t="0" r="0" b="0"/>
            <wp:docPr id="1051" name="Picture 3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 name="Picture 31"/>
                    <pic:cNvPicPr/>
                  </pic:nvPicPr>
                  <pic:blipFill>
                    <a:blip r:embed="rId25" cstate="print"/>
                    <a:srcRect l="0" t="0" r="0" b="0"/>
                    <a:stretch/>
                  </pic:blipFill>
                  <pic:spPr>
                    <a:xfrm rot="0">
                      <a:off x="0" y="0"/>
                      <a:ext cx="3507484" cy="2478768"/>
                    </a:xfrm>
                    <a:prstGeom prst="rect"/>
                  </pic:spPr>
                </pic:pic>
              </a:graphicData>
            </a:graphic>
          </wp:inline>
        </w:drawing>
      </w:r>
    </w:p>
    <w:p>
      <w:pPr>
        <w:pStyle w:val="style34"/>
        <w:spacing w:before="240" w:after="240" w:lineRule="auto" w:line="360"/>
        <w:jc w:val="center"/>
        <w:rPr>
          <w:rFonts w:cs="Times New Roman"/>
        </w:rPr>
      </w:pPr>
      <w:r>
        <w:rPr>
          <w:rFonts w:cs="Times New Roman"/>
        </w:rPr>
        <w:t xml:space="preserve">Figure </w:t>
      </w: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noProof/>
        </w:rPr>
        <w:t>17</w:t>
      </w:r>
      <w:r>
        <w:rPr>
          <w:rFonts w:cs="Times New Roman"/>
        </w:rPr>
        <w:fldChar w:fldCharType="end"/>
      </w:r>
      <w:r>
        <w:rPr>
          <w:rFonts w:cs="Times New Roman"/>
        </w:rPr>
        <w:t>: Pecking order theory</w:t>
      </w:r>
    </w:p>
    <w:p>
      <w:pPr>
        <w:pStyle w:val="style0"/>
        <w:spacing w:before="240" w:after="240"/>
        <w:jc w:val="center"/>
        <w:rPr>
          <w:rFonts w:cs="Times New Roman"/>
        </w:rPr>
      </w:pPr>
      <w:r>
        <w:rPr>
          <w:rFonts w:cs="Times New Roman"/>
        </w:rPr>
        <w:t>(</w:t>
      </w:r>
      <w:r>
        <w:rPr>
          <w:rFonts w:cs="Times New Roman"/>
        </w:rPr>
        <w:t>Martinez, et al., 2019</w:t>
      </w:r>
      <w:r>
        <w:rPr>
          <w:rFonts w:cs="Times New Roman"/>
        </w:rPr>
        <w:t>)</w:t>
      </w:r>
    </w:p>
    <w:p>
      <w:pPr>
        <w:pStyle w:val="style0"/>
        <w:spacing w:before="240" w:after="240"/>
        <w:rPr>
          <w:rFonts w:cs="Times New Roman"/>
        </w:rPr>
      </w:pPr>
      <w:r>
        <w:rPr>
          <w:rFonts w:cs="Times New Roman"/>
        </w:rPr>
        <w:t xml:space="preserve">A good debt/equity mix is thus very essential. Restructuring will also enhance operational flexibility. Selling non-core operations and working capital </w:t>
      </w:r>
      <w:r>
        <w:rPr>
          <w:rFonts w:cs="Times New Roman"/>
        </w:rPr>
        <w:t>optimisation</w:t>
      </w:r>
      <w:r>
        <w:rPr>
          <w:rFonts w:cs="Times New Roman"/>
        </w:rPr>
        <w:t xml:space="preserve"> will help Tesla to spend its resources more efficiently and react to the changes in the market more effectively. Moreover, Tesla will improve its competitive edge by investing in scalable technologies, including energy storage and autonomous systems. The fact that sustainability is introduced in the restructuring decisions goes further to position Tesla well in the long term. According to the Impact Report, Tesla customers prevented almost 32 million metric tons of CO 2 emissions in 2024, which proves </w:t>
      </w:r>
      <w:r>
        <w:rPr>
          <w:rFonts w:cs="Times New Roman"/>
        </w:rPr>
        <w:t xml:space="preserve">the ecological value of Tesla products </w:t>
      </w:r>
      <w:r>
        <w:rPr>
          <w:rFonts w:cs="Times New Roman"/>
        </w:rPr>
        <w:t>( Tesla</w:t>
      </w:r>
      <w:r>
        <w:rPr>
          <w:rFonts w:cs="Times New Roman"/>
        </w:rPr>
        <w:t xml:space="preserve"> Impact Report, 2024). By endorsing such initiatives, financial restructuring can be in line with the more strategic objectives.</w:t>
      </w:r>
    </w:p>
    <w:p>
      <w:pPr>
        <w:pStyle w:val="style0"/>
        <w:spacing w:before="240" w:after="240"/>
        <w:rPr>
          <w:rFonts w:cs="Times New Roman"/>
          <w:b/>
          <w:bCs/>
        </w:rPr>
      </w:pPr>
      <w:r>
        <w:rPr>
          <w:rFonts w:cs="Times New Roman"/>
          <w:b/>
          <w:bCs/>
        </w:rPr>
        <w:t>4.4 International and Ethical Considerations</w:t>
      </w:r>
    </w:p>
    <w:p>
      <w:pPr>
        <w:pStyle w:val="style0"/>
        <w:spacing w:before="240" w:after="240"/>
        <w:rPr>
          <w:rFonts w:cs="Times New Roman"/>
        </w:rPr>
      </w:pPr>
      <w:r>
        <w:rPr>
          <w:rFonts w:cs="Times New Roman"/>
        </w:rPr>
        <w:t xml:space="preserve">The Tesla business is in a very </w:t>
      </w:r>
      <w:r>
        <w:rPr>
          <w:rFonts w:cs="Times New Roman"/>
        </w:rPr>
        <w:t>globalised</w:t>
      </w:r>
      <w:r>
        <w:rPr>
          <w:rFonts w:cs="Times New Roman"/>
        </w:rPr>
        <w:t xml:space="preserve"> and sustainable business environment and its financial restructuring decisions should be made with international and ethical considerations such as currency risk, inflation, corporate social responsibility (CSR) and taxation. These are not only regulatory factors, but a core of the long-term strategic positioning of Tesla.</w:t>
      </w:r>
    </w:p>
    <w:p>
      <w:pPr>
        <w:pStyle w:val="style0"/>
        <w:spacing w:before="240" w:after="240"/>
        <w:rPr>
          <w:rFonts w:cs="Times New Roman"/>
        </w:rPr>
      </w:pPr>
      <w:r>
        <w:rPr>
          <w:rFonts w:cs="Times New Roman"/>
        </w:rPr>
        <w:t xml:space="preserve">As a company with operations in North America, Europe, and Asia, currency risk is still high. The exchange rate changes may impact on the revenues and cost structures, especially considering the vertically integrated global manufacturing model that Tesla has. This exposes the </w:t>
      </w:r>
      <w:r>
        <w:rPr>
          <w:rFonts w:cs="Times New Roman"/>
        </w:rPr>
        <w:t>organisation</w:t>
      </w:r>
      <w:r>
        <w:rPr>
          <w:rFonts w:cs="Times New Roman"/>
        </w:rPr>
        <w:t xml:space="preserve"> to the risks of currency fluctuations, and financial hedging practice is necessary to </w:t>
      </w:r>
      <w:r>
        <w:rPr>
          <w:rFonts w:cs="Times New Roman"/>
        </w:rPr>
        <w:t>stabilise</w:t>
      </w:r>
      <w:r>
        <w:rPr>
          <w:rFonts w:cs="Times New Roman"/>
        </w:rPr>
        <w:t xml:space="preserve"> the earnings and guard the margin.</w:t>
      </w:r>
    </w:p>
    <w:p>
      <w:pPr>
        <w:pStyle w:val="style0"/>
        <w:spacing w:before="240" w:after="240"/>
        <w:rPr>
          <w:rFonts w:cs="Times New Roman"/>
        </w:rPr>
      </w:pPr>
      <w:r>
        <w:rPr>
          <w:rFonts w:cs="Times New Roman"/>
        </w:rPr>
        <w:t>Inflation also shapes the outcomes financially when rising input costs such as battery components like lithium. This indicates margin compression demonstrated by Declining Gross Profit Margins (2022 – 25.60%, 2025 – 18.03%) and Declining Net Profit Margins (2022 – 15.45%, 2025 – 4.00%). This illustrates cost optimization like supply chain efficiencies and securing long-term pacts with suppliers.</w:t>
      </w:r>
    </w:p>
    <w:p>
      <w:pPr>
        <w:pStyle w:val="style0"/>
        <w:spacing w:before="240" w:after="240"/>
        <w:rPr>
          <w:rFonts w:cs="Times New Roman"/>
        </w:rPr>
      </w:pPr>
      <w:r>
        <w:rPr>
          <w:rFonts w:cs="Times New Roman"/>
        </w:rPr>
        <w:t xml:space="preserve">Tesla’s holistic strategy deeply ties with Corporate Social Responsibility (CSR). The mission statement reflected in the Tesla Impact Report 2024 is that the company aims to “accelerate the world’s transition to sustainable energy” (Tesla Impact Report, 2024). The Tesla customers’ usage has shown a 2024 impact of avoiding 31.8 million metric tons of CO₂, illustrating 60% improvement vis a vis 2023 (Tesla Impact Report, 2024). </w:t>
      </w:r>
      <w:r>
        <w:rPr>
          <w:rFonts w:cs="Times New Roman"/>
        </w:rPr>
        <w:t>This outcomes</w:t>
      </w:r>
      <w:r>
        <w:rPr>
          <w:rFonts w:cs="Times New Roman"/>
        </w:rPr>
        <w:t xml:space="preserve"> illustrates the impact that financial restructuring having a sustainability focus will have.</w:t>
      </w:r>
    </w:p>
    <w:p>
      <w:pPr>
        <w:pStyle w:val="style0"/>
        <w:spacing w:before="240" w:after="240"/>
        <w:rPr>
          <w:rFonts w:cs="Times New Roman"/>
        </w:rPr>
      </w:pPr>
      <w:r>
        <w:rPr>
          <w:rFonts w:cs="Times New Roman"/>
        </w:rPr>
        <w:t xml:space="preserve">Lastly, the operations of Tesla show the company has a strong alignment with ESG initiatives. One major initiative is the fact the company’s Supercharger network has been powered by 100% renewable energy for the last four years. Additionally, major facilities such as Gigafactory Berlin operate on 100% renewable electricity and simultaneously leverage opportunities to impact brand </w:t>
      </w:r>
      <w:r>
        <w:rPr>
          <w:rFonts w:cs="Times New Roman"/>
        </w:rPr>
        <w:t>equity while solidifying Stakeholder trust. This is also seen with the elevated P/E ratio of 2025 (416.407).</w:t>
      </w:r>
    </w:p>
    <w:p>
      <w:pPr>
        <w:pStyle w:val="style0"/>
        <w:keepNext/>
        <w:spacing w:before="240" w:after="240"/>
        <w:jc w:val="center"/>
        <w:rPr>
          <w:rFonts w:cs="Times New Roman"/>
        </w:rPr>
      </w:pPr>
      <w:r>
        <w:rPr>
          <w:rFonts w:cs="Times New Roman"/>
          <w:noProof/>
        </w:rPr>
        <w:drawing>
          <wp:inline distL="0" distT="0" distB="0" distR="0">
            <wp:extent cx="3839028" cy="3839028"/>
            <wp:effectExtent l="0" t="0" r="9525" b="9525"/>
            <wp:docPr id="1052" name="Picture 27" descr="Tesla Supercharger Network 2025: 74,000 Chargers Across 54 Countries"/>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 name="Picture 27"/>
                    <pic:cNvPicPr/>
                  </pic:nvPicPr>
                  <pic:blipFill>
                    <a:blip r:embed="rId26" cstate="print"/>
                    <a:srcRect l="0" t="0" r="0" b="0"/>
                    <a:stretch/>
                  </pic:blipFill>
                  <pic:spPr>
                    <a:xfrm rot="0">
                      <a:off x="0" y="0"/>
                      <a:ext cx="3839028" cy="3839028"/>
                    </a:xfrm>
                    <a:prstGeom prst="rect"/>
                    <a:ln>
                      <a:noFill/>
                    </a:ln>
                  </pic:spPr>
                </pic:pic>
              </a:graphicData>
            </a:graphic>
          </wp:inline>
        </w:drawing>
      </w:r>
    </w:p>
    <w:p>
      <w:pPr>
        <w:pStyle w:val="style34"/>
        <w:spacing w:before="240" w:after="240" w:lineRule="auto" w:line="360"/>
        <w:jc w:val="center"/>
        <w:rPr>
          <w:rFonts w:cs="Times New Roman"/>
        </w:rPr>
      </w:pPr>
      <w:r>
        <w:rPr>
          <w:rFonts w:cs="Times New Roman"/>
        </w:rPr>
        <w:t xml:space="preserve">Figure </w:t>
      </w: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noProof/>
        </w:rPr>
        <w:t>18</w:t>
      </w:r>
      <w:r>
        <w:rPr>
          <w:rFonts w:cs="Times New Roman"/>
        </w:rPr>
        <w:fldChar w:fldCharType="end"/>
      </w:r>
      <w:r>
        <w:rPr>
          <w:rFonts w:cs="Times New Roman"/>
        </w:rPr>
        <w:t>: Supercharger network</w:t>
      </w:r>
    </w:p>
    <w:p>
      <w:pPr>
        <w:pStyle w:val="style0"/>
        <w:spacing w:before="240" w:after="240"/>
        <w:jc w:val="center"/>
        <w:rPr>
          <w:rFonts w:cs="Times New Roman"/>
        </w:rPr>
      </w:pPr>
      <w:r>
        <w:rPr>
          <w:rFonts w:cs="Times New Roman"/>
        </w:rPr>
        <w:t>(</w:t>
      </w:r>
      <w:r>
        <w:rPr>
          <w:rFonts w:cs="Times New Roman"/>
        </w:rPr>
        <w:t xml:space="preserve">e </w:t>
      </w:r>
      <w:r>
        <w:rPr>
          <w:rFonts w:cs="Times New Roman"/>
        </w:rPr>
        <w:t>T</w:t>
      </w:r>
      <w:r>
        <w:rPr>
          <w:rFonts w:cs="Times New Roman"/>
        </w:rPr>
        <w:t>echvolution</w:t>
      </w:r>
      <w:r>
        <w:rPr>
          <w:rFonts w:cs="Times New Roman"/>
        </w:rPr>
        <w:t>, 2025)</w:t>
      </w:r>
    </w:p>
    <w:p>
      <w:pPr>
        <w:pStyle w:val="style0"/>
        <w:spacing w:before="240" w:after="240"/>
        <w:rPr>
          <w:rFonts w:cs="Times New Roman"/>
        </w:rPr>
      </w:pPr>
      <w:r>
        <w:rPr>
          <w:rFonts w:cs="Times New Roman"/>
        </w:rPr>
        <w:t xml:space="preserve">Tesla's Autopilot safety tech shines the brightest when it comes to Ethics in Tech. Autopilot tech claims it to be 10 times safer compared to a human driver. </w:t>
      </w:r>
      <w:r>
        <w:rPr>
          <w:rFonts w:cs="Times New Roman"/>
        </w:rPr>
        <w:t>Teslas'</w:t>
      </w:r>
      <w:r>
        <w:rPr>
          <w:rFonts w:cs="Times New Roman"/>
        </w:rPr>
        <w:t xml:space="preserve"> Autopilot technology crash claims that it takes roughly 6.77 million miles for a crash to occur whereas the US average is 0.70 million miles. (Tesla Impact Report, 2024). Autopilot tech with increased safety compared to a human driver becomes a consumer trust magnet while simultaneously, due long-term liability decreases, a saving tech for the company.</w:t>
      </w:r>
    </w:p>
    <w:p>
      <w:pPr>
        <w:pStyle w:val="style0"/>
        <w:spacing w:before="240" w:after="240"/>
        <w:rPr>
          <w:rFonts w:cs="Times New Roman"/>
        </w:rPr>
      </w:pPr>
      <w:r>
        <w:rPr>
          <w:rFonts w:cs="Times New Roman"/>
        </w:rPr>
        <w:t xml:space="preserve">This is true for Tesla's sustainability both when it comes to energy systems and the Circular Economy. In 2024, Tesla delivered 2.8 GWh via Virtual Power Plants with the assistance of more than 100,000 Powerwall. Battery recycling removal operations processed units equal to over 2,000 </w:t>
      </w:r>
      <w:r>
        <w:rPr>
          <w:rFonts w:cs="Times New Roman"/>
        </w:rPr>
        <w:t>Model Y per year (Tesla Impact Report, 2024). Combined, they allow in a cost saving manner, resource efficiency and sustainability with a promise to last, once again, to sustain the operations.</w:t>
      </w:r>
    </w:p>
    <w:p>
      <w:pPr>
        <w:pStyle w:val="style0"/>
        <w:spacing w:before="240" w:after="240"/>
        <w:rPr>
          <w:rFonts w:cs="Times New Roman"/>
        </w:rPr>
      </w:pPr>
      <w:r>
        <w:rPr>
          <w:rFonts w:cs="Times New Roman"/>
        </w:rPr>
        <w:t>In the end, when it comes to restructuring the impact of taxes is substantial. On one end with the use of debt financing, tax breaks via interest becomes applicable and on the other, Tesla being global, assistance with international tax obligations becomes mandatory. Proper use of taxes (i.e., planning) becomes an enhancement to a company’s bottom line while remaining in the boundaries of law and (morally) ethics.</w:t>
      </w:r>
    </w:p>
    <w:p>
      <w:pPr>
        <w:pStyle w:val="style0"/>
        <w:spacing w:before="240" w:after="240"/>
        <w:rPr>
          <w:rFonts w:cs="Times New Roman"/>
        </w:rPr>
      </w:pPr>
    </w:p>
    <w:p>
      <w:pPr>
        <w:pStyle w:val="style0"/>
        <w:spacing w:before="240" w:after="240"/>
        <w:rPr>
          <w:rFonts w:cs="Times New Roman"/>
        </w:rPr>
      </w:pPr>
    </w:p>
    <w:p>
      <w:pPr>
        <w:pStyle w:val="style0"/>
        <w:spacing w:before="240" w:after="240"/>
        <w:rPr>
          <w:rFonts w:cs="Times New Roman"/>
        </w:rPr>
      </w:pPr>
    </w:p>
    <w:p>
      <w:pPr>
        <w:pStyle w:val="style0"/>
        <w:spacing w:before="240" w:after="240"/>
        <w:jc w:val="left"/>
        <w:rPr>
          <w:rFonts w:cs="Times New Roman"/>
        </w:rPr>
      </w:pPr>
      <w:r>
        <w:rPr>
          <w:rFonts w:cs="Times New Roman"/>
        </w:rPr>
        <w:br w:type="page"/>
      </w:r>
    </w:p>
    <w:bookmarkStart w:id="4" w:name="_Toc227946708"/>
    <w:p>
      <w:pPr>
        <w:pStyle w:val="style1"/>
        <w:spacing w:before="240" w:after="240"/>
        <w:rPr>
          <w:rFonts w:cs="Times New Roman"/>
        </w:rPr>
      </w:pPr>
      <w:r>
        <w:rPr>
          <w:rFonts w:cs="Times New Roman"/>
        </w:rPr>
        <w:t>5. INVESTMENT APPRAISAL</w:t>
      </w:r>
      <w:bookmarkEnd w:id="4"/>
    </w:p>
    <w:p>
      <w:pPr>
        <w:pStyle w:val="style0"/>
        <w:spacing w:before="240" w:after="240"/>
        <w:rPr>
          <w:rFonts w:cs="Times New Roman"/>
          <w:b/>
          <w:bCs/>
        </w:rPr>
      </w:pPr>
      <w:r>
        <w:rPr>
          <w:rFonts w:cs="Times New Roman"/>
          <w:b/>
          <w:bCs/>
        </w:rPr>
        <w:t>5.1 Introduction to Projects</w:t>
      </w:r>
    </w:p>
    <w:p>
      <w:pPr>
        <w:pStyle w:val="style0"/>
        <w:spacing w:before="240" w:after="240"/>
        <w:rPr>
          <w:rFonts w:cs="Times New Roman"/>
        </w:rPr>
      </w:pPr>
      <w:r>
        <w:rPr>
          <w:rFonts w:cs="Times New Roman"/>
        </w:rPr>
        <w:t>In the context of Tesla's growth strategy and investment management, three alternative investment projects - Project A, Project B and Project C - have been considered. All projects have the same initial investment of £50 million and produce cash returns over five years, but vary in their cash flows.</w:t>
      </w:r>
    </w:p>
    <w:p>
      <w:pPr>
        <w:pStyle w:val="style0"/>
        <w:spacing w:before="240" w:after="240"/>
        <w:rPr>
          <w:rFonts w:cs="Times New Roman"/>
        </w:rPr>
      </w:pPr>
      <w:r>
        <w:rPr>
          <w:rFonts w:cs="Times New Roman"/>
        </w:rPr>
        <w:t>Project A has an erratic but consistent cash flow (£10m, £12m, £14m, £10m, £8m), Project B is stable and has constant returns (£11m per annum) and Project C has a high growth cash flow (£5m, £10m, £20m, £25m, £5m) with higher cash inflows in the latter years. This is important because it affects the timing of cash flows, risk, and overall return on investment.</w:t>
      </w:r>
    </w:p>
    <w:p>
      <w:pPr>
        <w:pStyle w:val="style0"/>
        <w:keepNext/>
        <w:spacing w:before="240" w:after="240"/>
        <w:jc w:val="center"/>
        <w:rPr>
          <w:rFonts w:cs="Times New Roman"/>
        </w:rPr>
      </w:pPr>
      <w:r>
        <w:rPr>
          <w:rFonts w:cs="Times New Roman"/>
        </w:rPr>
        <w:drawing>
          <wp:inline distL="0" distT="0" distB="0" distR="0">
            <wp:extent cx="5109210" cy="1299210"/>
            <wp:effectExtent l="0" t="0" r="0" b="0"/>
            <wp:docPr id="1053" name="Picture 2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 name="Picture 28"/>
                    <pic:cNvPicPr/>
                  </pic:nvPicPr>
                  <pic:blipFill>
                    <a:blip r:embed="rId27" cstate="print"/>
                    <a:srcRect l="0" t="0" r="0" b="0"/>
                    <a:stretch/>
                  </pic:blipFill>
                  <pic:spPr>
                    <a:xfrm rot="0">
                      <a:off x="0" y="0"/>
                      <a:ext cx="5109210" cy="1299210"/>
                    </a:xfrm>
                    <a:prstGeom prst="rect"/>
                    <a:ln>
                      <a:noFill/>
                    </a:ln>
                  </pic:spPr>
                </pic:pic>
              </a:graphicData>
            </a:graphic>
          </wp:inline>
        </w:drawing>
      </w:r>
    </w:p>
    <w:p>
      <w:pPr>
        <w:pStyle w:val="style34"/>
        <w:spacing w:before="240" w:after="240" w:lineRule="auto" w:line="360"/>
        <w:jc w:val="center"/>
        <w:rPr>
          <w:rFonts w:cs="Times New Roman"/>
        </w:rPr>
      </w:pPr>
      <w:r>
        <w:rPr>
          <w:rFonts w:cs="Times New Roman"/>
        </w:rPr>
        <w:t xml:space="preserve">Figure </w:t>
      </w: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noProof/>
        </w:rPr>
        <w:t>19</w:t>
      </w:r>
      <w:r>
        <w:rPr>
          <w:rFonts w:cs="Times New Roman"/>
        </w:rPr>
        <w:fldChar w:fldCharType="end"/>
      </w:r>
      <w:r>
        <w:rPr>
          <w:rFonts w:cs="Times New Roman"/>
        </w:rPr>
        <w:t>: Cashflows for all projects</w:t>
      </w:r>
    </w:p>
    <w:p>
      <w:pPr>
        <w:pStyle w:val="style0"/>
        <w:spacing w:before="240" w:after="240"/>
        <w:rPr>
          <w:rFonts w:cs="Times New Roman"/>
        </w:rPr>
      </w:pPr>
      <w:r>
        <w:rPr>
          <w:rFonts w:cs="Times New Roman"/>
        </w:rPr>
        <w:t>As Tesla's current financials (decreasing profitability and moderate liquidity as per the previous analysis) indicate, the investment decisions must be based on value creation, cash flow and risk-adjusted returns. As such, the following five main evaluation techniques have been used: Net Present Value (NPV), Internal Rate of Return (IRR), Profitability Index (PI), Payback Period (PBP) and Accounting Rate of Return (ARR).</w:t>
      </w:r>
    </w:p>
    <w:p>
      <w:pPr>
        <w:pStyle w:val="style0"/>
        <w:spacing w:before="240" w:after="240"/>
        <w:rPr>
          <w:rFonts w:cs="Times New Roman"/>
          <w:b/>
          <w:bCs/>
        </w:rPr>
      </w:pPr>
      <w:r>
        <w:rPr>
          <w:rFonts w:cs="Times New Roman"/>
          <w:b/>
          <w:bCs/>
        </w:rPr>
        <w:t>5.2 Evaluation Techniques</w:t>
      </w:r>
    </w:p>
    <w:p>
      <w:pPr>
        <w:pStyle w:val="style0"/>
        <w:spacing w:before="240" w:after="240"/>
        <w:rPr>
          <w:rFonts w:cs="Times New Roman"/>
        </w:rPr>
      </w:pPr>
      <w:r>
        <w:rPr>
          <w:rFonts w:cs="Times New Roman"/>
        </w:rPr>
        <w:t xml:space="preserve">NPV is the difference between the present value of future cash flows and the initial cost, using the required rate of return (10%). It is considered the best technique as it measures the value created for shareholders (Wangchuk, 2022). As you can see below, NPVs of all projects are negative, meaning that none of the projects achieve the required 10% return. But Project C is significantly </w:t>
      </w:r>
      <w:r>
        <w:rPr>
          <w:rFonts w:cs="Times New Roman"/>
        </w:rPr>
        <w:t>better in terms of the least loss in value. Hence, while none of the projects meet the NPV hurdle rate, Project C is best and closest to being viable.</w:t>
      </w:r>
    </w:p>
    <w:p>
      <w:pPr>
        <w:pStyle w:val="style0"/>
        <w:spacing w:before="240" w:after="240"/>
        <w:jc w:val="center"/>
        <w:rPr>
          <w:rFonts w:cs="Times New Roman"/>
        </w:rPr>
      </w:pPr>
      <w:r>
        <w:rPr>
          <w:rFonts w:cs="Times New Roman"/>
        </w:rPr>
        <w:drawing>
          <wp:inline distL="0" distT="0" distB="0" distR="0">
            <wp:extent cx="1647190" cy="3737610"/>
            <wp:effectExtent l="0" t="0" r="0" b="0"/>
            <wp:docPr id="1054" name="Picture 2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 name="Picture 29"/>
                    <pic:cNvPicPr/>
                  </pic:nvPicPr>
                  <pic:blipFill>
                    <a:blip r:embed="rId28" cstate="print"/>
                    <a:srcRect l="0" t="0" r="0" b="0"/>
                    <a:stretch/>
                  </pic:blipFill>
                  <pic:spPr>
                    <a:xfrm rot="0">
                      <a:off x="0" y="0"/>
                      <a:ext cx="1647190" cy="3737610"/>
                    </a:xfrm>
                    <a:prstGeom prst="rect"/>
                    <a:ln>
                      <a:noFill/>
                    </a:ln>
                  </pic:spPr>
                </pic:pic>
              </a:graphicData>
            </a:graphic>
          </wp:inline>
        </w:drawing>
      </w:r>
    </w:p>
    <w:p>
      <w:pPr>
        <w:pStyle w:val="style0"/>
        <w:spacing w:before="240" w:after="240"/>
        <w:rPr>
          <w:rFonts w:cs="Times New Roman"/>
        </w:rPr>
      </w:pPr>
      <w:r>
        <w:rPr>
          <w:rFonts w:cs="Times New Roman"/>
        </w:rPr>
        <w:t>However, IRR is the discount rate that equates the NPV to zero. It shows the return on a project (Sinaga, et al., 2023). All IRRs are less than the benchmark of 10%, confirming the NPV result that the projects are not economically viable. But again, Project C has the highest return and Project A the lowest. Project B is second best due to the stable cash flows, with Project A worst. In addition, the PI is the value created per dollar invested and is useful in capital rationing and A PI below 1 means value destruction. Likewise, all projects are below 1, but Project C is closest to 1, implying it creates most value per unit of investment. Project B is average and Project A the least efficient.</w:t>
      </w:r>
    </w:p>
    <w:p>
      <w:pPr>
        <w:pStyle w:val="style0"/>
        <w:spacing w:before="240" w:after="240"/>
        <w:rPr>
          <w:rFonts w:cs="Times New Roman"/>
        </w:rPr>
      </w:pPr>
      <w:r>
        <w:rPr>
          <w:rFonts w:cs="Times New Roman"/>
        </w:rPr>
        <w:t xml:space="preserve">Additionally, the payback period is the time it takes to recover the investment from cash inflows (Gul, et al., 2018). Project A offers the shortest recovery time, being preferred in terms of liquidity. Project C has a longer payback period due to the nature of the cash flows, while Project B does not recover the investment within five years, suggesting greater cash flow risk. With Tesla having moderate cash flow issues as discussed above, payback is an important metric. On the other hand, ARR is a measure of average accounting profits as a percentage of initial investment. And as we </w:t>
      </w:r>
      <w:r>
        <w:rPr>
          <w:rFonts w:cs="Times New Roman"/>
        </w:rPr>
        <w:t>can see, Project C clearly delivers the highest, with higher profitability. Project B has average returns while Project A has the least. But ARR does not take into account the time value of money, therefore, should not be used alone (</w:t>
      </w:r>
      <w:r>
        <w:rPr>
          <w:rFonts w:cs="Times New Roman"/>
        </w:rPr>
        <w:t>Kengatharan</w:t>
      </w:r>
      <w:r>
        <w:rPr>
          <w:rFonts w:cs="Times New Roman"/>
        </w:rPr>
        <w:t>, 2018).</w:t>
      </w:r>
    </w:p>
    <w:p>
      <w:pPr>
        <w:pStyle w:val="style0"/>
        <w:spacing w:before="240" w:after="240"/>
        <w:rPr>
          <w:rFonts w:cs="Times New Roman"/>
          <w:b/>
          <w:bCs/>
        </w:rPr>
      </w:pPr>
      <w:r>
        <w:rPr>
          <w:rFonts w:cs="Times New Roman"/>
          <w:b/>
          <w:bCs/>
        </w:rPr>
        <w:t>5.3 Comparison of Projects</w:t>
      </w:r>
    </w:p>
    <w:p>
      <w:pPr>
        <w:pStyle w:val="style0"/>
        <w:spacing w:before="240" w:after="240"/>
        <w:rPr>
          <w:rFonts w:cs="Times New Roman"/>
        </w:rPr>
      </w:pPr>
      <w:r>
        <w:rPr>
          <w:rFonts w:cs="Times New Roman"/>
        </w:rPr>
        <w:t>The comparison of projects is as follows:</w:t>
      </w:r>
    </w:p>
    <w:tbl>
      <w:tblPr>
        <w:tblStyle w:val="style4112"/>
        <w:tblW w:w="0" w:type="auto"/>
        <w:jc w:val="center"/>
        <w:tblLook w:val="04A0" w:firstRow="1" w:lastRow="0" w:firstColumn="1" w:lastColumn="0" w:noHBand="0" w:noVBand="1"/>
      </w:tblPr>
      <w:tblGrid>
        <w:gridCol w:w="974"/>
        <w:gridCol w:w="1267"/>
        <w:gridCol w:w="816"/>
        <w:gridCol w:w="722"/>
        <w:gridCol w:w="1718"/>
        <w:gridCol w:w="857"/>
      </w:tblGrid>
      <w:tr>
        <w:trPr>
          <w:jc w:val="center"/>
        </w:trPr>
        <w:tc>
          <w:tcPr>
            <w:tcW w:w="0" w:type="auto"/>
            <w:tcBorders/>
            <w:hideMark/>
          </w:tcPr>
          <w:p>
            <w:pPr>
              <w:pStyle w:val="style0"/>
              <w:spacing w:before="240" w:after="240"/>
              <w:rPr>
                <w:rFonts w:cs="Times New Roman"/>
              </w:rPr>
            </w:pPr>
            <w:r>
              <w:rPr>
                <w:rFonts w:cs="Times New Roman"/>
              </w:rPr>
              <w:t>Project</w:t>
            </w:r>
          </w:p>
        </w:tc>
        <w:tc>
          <w:tcPr>
            <w:tcW w:w="0" w:type="auto"/>
            <w:tcBorders/>
            <w:hideMark/>
          </w:tcPr>
          <w:p>
            <w:pPr>
              <w:pStyle w:val="style0"/>
              <w:spacing w:before="240" w:after="240"/>
              <w:rPr>
                <w:rFonts w:cs="Times New Roman"/>
              </w:rPr>
            </w:pPr>
            <w:r>
              <w:rPr>
                <w:rFonts w:cs="Times New Roman"/>
              </w:rPr>
              <w:t>NPV (£m)</w:t>
            </w:r>
          </w:p>
        </w:tc>
        <w:tc>
          <w:tcPr>
            <w:tcW w:w="0" w:type="auto"/>
            <w:tcBorders/>
            <w:hideMark/>
          </w:tcPr>
          <w:p>
            <w:pPr>
              <w:pStyle w:val="style0"/>
              <w:spacing w:before="240" w:after="240"/>
              <w:rPr>
                <w:rFonts w:cs="Times New Roman"/>
              </w:rPr>
            </w:pPr>
            <w:r>
              <w:rPr>
                <w:rFonts w:cs="Times New Roman"/>
              </w:rPr>
              <w:t>PI</w:t>
            </w:r>
          </w:p>
        </w:tc>
        <w:tc>
          <w:tcPr>
            <w:tcW w:w="0" w:type="auto"/>
            <w:tcBorders/>
            <w:hideMark/>
          </w:tcPr>
          <w:p>
            <w:pPr>
              <w:pStyle w:val="style0"/>
              <w:spacing w:before="240" w:after="240"/>
              <w:rPr>
                <w:rFonts w:cs="Times New Roman"/>
              </w:rPr>
            </w:pPr>
            <w:r>
              <w:rPr>
                <w:rFonts w:cs="Times New Roman"/>
              </w:rPr>
              <w:t>IRR</w:t>
            </w:r>
          </w:p>
        </w:tc>
        <w:tc>
          <w:tcPr>
            <w:tcW w:w="0" w:type="auto"/>
            <w:tcBorders/>
            <w:hideMark/>
          </w:tcPr>
          <w:p>
            <w:pPr>
              <w:pStyle w:val="style0"/>
              <w:spacing w:before="240" w:after="240"/>
              <w:rPr>
                <w:rFonts w:cs="Times New Roman"/>
              </w:rPr>
            </w:pPr>
            <w:r>
              <w:rPr>
                <w:rFonts w:cs="Times New Roman"/>
              </w:rPr>
              <w:t>Payback</w:t>
            </w:r>
          </w:p>
        </w:tc>
        <w:tc>
          <w:tcPr>
            <w:tcW w:w="0" w:type="auto"/>
            <w:tcBorders/>
            <w:hideMark/>
          </w:tcPr>
          <w:p>
            <w:pPr>
              <w:pStyle w:val="style0"/>
              <w:spacing w:before="240" w:after="240"/>
              <w:rPr>
                <w:rFonts w:cs="Times New Roman"/>
              </w:rPr>
            </w:pPr>
            <w:r>
              <w:rPr>
                <w:rFonts w:cs="Times New Roman"/>
              </w:rPr>
              <w:t>ARR</w:t>
            </w:r>
          </w:p>
        </w:tc>
      </w:tr>
      <w:tr>
        <w:tblPrEx/>
        <w:trPr>
          <w:jc w:val="center"/>
        </w:trPr>
        <w:tc>
          <w:tcPr>
            <w:tcW w:w="0" w:type="auto"/>
            <w:tcBorders/>
            <w:hideMark/>
          </w:tcPr>
          <w:p>
            <w:pPr>
              <w:pStyle w:val="style0"/>
              <w:spacing w:before="240" w:after="240"/>
              <w:rPr>
                <w:rFonts w:cs="Times New Roman"/>
              </w:rPr>
            </w:pPr>
            <w:r>
              <w:rPr>
                <w:rFonts w:cs="Times New Roman"/>
              </w:rPr>
              <w:t>A</w:t>
            </w:r>
          </w:p>
        </w:tc>
        <w:tc>
          <w:tcPr>
            <w:tcW w:w="0" w:type="auto"/>
            <w:tcBorders/>
            <w:hideMark/>
          </w:tcPr>
          <w:p>
            <w:pPr>
              <w:pStyle w:val="style0"/>
              <w:spacing w:before="240" w:after="240"/>
              <w:rPr>
                <w:rFonts w:cs="Times New Roman"/>
              </w:rPr>
            </w:pPr>
            <w:r>
              <w:rPr>
                <w:rFonts w:cs="Times New Roman"/>
              </w:rPr>
              <w:t>-8.68</w:t>
            </w:r>
          </w:p>
        </w:tc>
        <w:tc>
          <w:tcPr>
            <w:tcW w:w="0" w:type="auto"/>
            <w:tcBorders/>
            <w:hideMark/>
          </w:tcPr>
          <w:p>
            <w:pPr>
              <w:pStyle w:val="style0"/>
              <w:spacing w:before="240" w:after="240"/>
              <w:rPr>
                <w:rFonts w:cs="Times New Roman"/>
              </w:rPr>
            </w:pPr>
            <w:r>
              <w:rPr>
                <w:rFonts w:cs="Times New Roman"/>
              </w:rPr>
              <w:t>0.826</w:t>
            </w:r>
          </w:p>
        </w:tc>
        <w:tc>
          <w:tcPr>
            <w:tcW w:w="0" w:type="auto"/>
            <w:tcBorders/>
            <w:hideMark/>
          </w:tcPr>
          <w:p>
            <w:pPr>
              <w:pStyle w:val="style0"/>
              <w:spacing w:before="240" w:after="240"/>
              <w:rPr>
                <w:rFonts w:cs="Times New Roman"/>
              </w:rPr>
            </w:pPr>
            <w:r>
              <w:rPr>
                <w:rFonts w:cs="Times New Roman"/>
              </w:rPr>
              <w:t>2.7%</w:t>
            </w:r>
          </w:p>
        </w:tc>
        <w:tc>
          <w:tcPr>
            <w:tcW w:w="0" w:type="auto"/>
            <w:tcBorders/>
            <w:hideMark/>
          </w:tcPr>
          <w:p>
            <w:pPr>
              <w:pStyle w:val="style0"/>
              <w:spacing w:before="240" w:after="240"/>
              <w:rPr>
                <w:rFonts w:cs="Times New Roman"/>
              </w:rPr>
            </w:pPr>
            <w:r>
              <w:rPr>
                <w:rFonts w:cs="Times New Roman"/>
              </w:rPr>
              <w:t>4.36</w:t>
            </w:r>
          </w:p>
        </w:tc>
        <w:tc>
          <w:tcPr>
            <w:tcW w:w="0" w:type="auto"/>
            <w:tcBorders/>
            <w:hideMark/>
          </w:tcPr>
          <w:p>
            <w:pPr>
              <w:pStyle w:val="style0"/>
              <w:spacing w:before="240" w:after="240"/>
              <w:rPr>
                <w:rFonts w:cs="Times New Roman"/>
              </w:rPr>
            </w:pPr>
            <w:r>
              <w:rPr>
                <w:rFonts w:cs="Times New Roman"/>
              </w:rPr>
              <w:t>1.60%</w:t>
            </w:r>
          </w:p>
        </w:tc>
      </w:tr>
      <w:tr>
        <w:tblPrEx/>
        <w:trPr>
          <w:jc w:val="center"/>
        </w:trPr>
        <w:tc>
          <w:tcPr>
            <w:tcW w:w="0" w:type="auto"/>
            <w:tcBorders/>
            <w:hideMark/>
          </w:tcPr>
          <w:p>
            <w:pPr>
              <w:pStyle w:val="style0"/>
              <w:spacing w:before="240" w:after="240"/>
              <w:rPr>
                <w:rFonts w:cs="Times New Roman"/>
              </w:rPr>
            </w:pPr>
            <w:r>
              <w:rPr>
                <w:rFonts w:cs="Times New Roman"/>
              </w:rPr>
              <w:t>B</w:t>
            </w:r>
          </w:p>
        </w:tc>
        <w:tc>
          <w:tcPr>
            <w:tcW w:w="0" w:type="auto"/>
            <w:tcBorders/>
            <w:hideMark/>
          </w:tcPr>
          <w:p>
            <w:pPr>
              <w:pStyle w:val="style0"/>
              <w:spacing w:before="240" w:after="240"/>
              <w:rPr>
                <w:rFonts w:cs="Times New Roman"/>
              </w:rPr>
            </w:pPr>
            <w:r>
              <w:rPr>
                <w:rFonts w:cs="Times New Roman"/>
              </w:rPr>
              <w:t>-8.30</w:t>
            </w:r>
          </w:p>
        </w:tc>
        <w:tc>
          <w:tcPr>
            <w:tcW w:w="0" w:type="auto"/>
            <w:tcBorders/>
            <w:hideMark/>
          </w:tcPr>
          <w:p>
            <w:pPr>
              <w:pStyle w:val="style0"/>
              <w:spacing w:before="240" w:after="240"/>
              <w:rPr>
                <w:rFonts w:cs="Times New Roman"/>
              </w:rPr>
            </w:pPr>
            <w:r>
              <w:rPr>
                <w:rFonts w:cs="Times New Roman"/>
              </w:rPr>
              <w:t>0.834</w:t>
            </w:r>
          </w:p>
        </w:tc>
        <w:tc>
          <w:tcPr>
            <w:tcW w:w="0" w:type="auto"/>
            <w:tcBorders/>
            <w:hideMark/>
          </w:tcPr>
          <w:p>
            <w:pPr>
              <w:pStyle w:val="style0"/>
              <w:spacing w:before="240" w:after="240"/>
              <w:rPr>
                <w:rFonts w:cs="Times New Roman"/>
              </w:rPr>
            </w:pPr>
            <w:r>
              <w:rPr>
                <w:rFonts w:cs="Times New Roman"/>
              </w:rPr>
              <w:t>3.3%</w:t>
            </w:r>
          </w:p>
        </w:tc>
        <w:tc>
          <w:tcPr>
            <w:tcW w:w="0" w:type="auto"/>
            <w:tcBorders/>
            <w:hideMark/>
          </w:tcPr>
          <w:p>
            <w:pPr>
              <w:pStyle w:val="style0"/>
              <w:spacing w:before="240" w:after="240"/>
              <w:rPr>
                <w:rFonts w:cs="Times New Roman"/>
              </w:rPr>
            </w:pPr>
            <w:r>
              <w:rPr>
                <w:rFonts w:cs="Times New Roman"/>
              </w:rPr>
              <w:t>Not recovered</w:t>
            </w:r>
          </w:p>
        </w:tc>
        <w:tc>
          <w:tcPr>
            <w:tcW w:w="0" w:type="auto"/>
            <w:tcBorders/>
            <w:hideMark/>
          </w:tcPr>
          <w:p>
            <w:pPr>
              <w:pStyle w:val="style0"/>
              <w:spacing w:before="240" w:after="240"/>
              <w:rPr>
                <w:rFonts w:cs="Times New Roman"/>
              </w:rPr>
            </w:pPr>
            <w:r>
              <w:rPr>
                <w:rFonts w:cs="Times New Roman"/>
              </w:rPr>
              <w:t>2.00%</w:t>
            </w:r>
          </w:p>
        </w:tc>
      </w:tr>
      <w:tr>
        <w:tblPrEx/>
        <w:trPr>
          <w:jc w:val="center"/>
        </w:trPr>
        <w:tc>
          <w:tcPr>
            <w:tcW w:w="0" w:type="auto"/>
            <w:tcBorders/>
            <w:hideMark/>
          </w:tcPr>
          <w:p>
            <w:pPr>
              <w:pStyle w:val="style0"/>
              <w:spacing w:before="240" w:after="240"/>
              <w:rPr>
                <w:rFonts w:cs="Times New Roman"/>
              </w:rPr>
            </w:pPr>
            <w:r>
              <w:rPr>
                <w:rFonts w:cs="Times New Roman"/>
              </w:rPr>
              <w:t>C</w:t>
            </w:r>
          </w:p>
        </w:tc>
        <w:tc>
          <w:tcPr>
            <w:tcW w:w="0" w:type="auto"/>
            <w:tcBorders/>
            <w:hideMark/>
          </w:tcPr>
          <w:p>
            <w:pPr>
              <w:pStyle w:val="style0"/>
              <w:spacing w:before="240" w:after="240"/>
              <w:rPr>
                <w:rFonts w:cs="Times New Roman"/>
              </w:rPr>
            </w:pPr>
            <w:r>
              <w:rPr>
                <w:rFonts w:cs="Times New Roman"/>
              </w:rPr>
              <w:t>-1.98</w:t>
            </w:r>
          </w:p>
        </w:tc>
        <w:tc>
          <w:tcPr>
            <w:tcW w:w="0" w:type="auto"/>
            <w:tcBorders/>
            <w:hideMark/>
          </w:tcPr>
          <w:p>
            <w:pPr>
              <w:pStyle w:val="style0"/>
              <w:spacing w:before="240" w:after="240"/>
              <w:rPr>
                <w:rFonts w:cs="Times New Roman"/>
              </w:rPr>
            </w:pPr>
            <w:r>
              <w:rPr>
                <w:rFonts w:cs="Times New Roman"/>
              </w:rPr>
              <w:t>0.960</w:t>
            </w:r>
          </w:p>
        </w:tc>
        <w:tc>
          <w:tcPr>
            <w:tcW w:w="0" w:type="auto"/>
            <w:tcBorders/>
            <w:hideMark/>
          </w:tcPr>
          <w:p>
            <w:pPr>
              <w:pStyle w:val="style0"/>
              <w:spacing w:before="240" w:after="240"/>
              <w:rPr>
                <w:rFonts w:cs="Times New Roman"/>
              </w:rPr>
            </w:pPr>
            <w:r>
              <w:rPr>
                <w:rFonts w:cs="Times New Roman"/>
              </w:rPr>
              <w:t>8.6%</w:t>
            </w:r>
          </w:p>
        </w:tc>
        <w:tc>
          <w:tcPr>
            <w:tcW w:w="0" w:type="auto"/>
            <w:tcBorders/>
            <w:hideMark/>
          </w:tcPr>
          <w:p>
            <w:pPr>
              <w:pStyle w:val="style0"/>
              <w:spacing w:before="240" w:after="240"/>
              <w:rPr>
                <w:rFonts w:cs="Times New Roman"/>
              </w:rPr>
            </w:pPr>
            <w:r>
              <w:rPr>
                <w:rFonts w:cs="Times New Roman"/>
              </w:rPr>
              <w:t>5.2</w:t>
            </w:r>
          </w:p>
        </w:tc>
        <w:tc>
          <w:tcPr>
            <w:tcW w:w="0" w:type="auto"/>
            <w:tcBorders/>
            <w:hideMark/>
          </w:tcPr>
          <w:p>
            <w:pPr>
              <w:pStyle w:val="style0"/>
              <w:spacing w:before="240" w:after="240"/>
              <w:rPr>
                <w:rFonts w:cs="Times New Roman"/>
              </w:rPr>
            </w:pPr>
            <w:r>
              <w:rPr>
                <w:rFonts w:cs="Times New Roman"/>
              </w:rPr>
              <w:t>6.00%</w:t>
            </w:r>
          </w:p>
        </w:tc>
      </w:tr>
    </w:tbl>
    <w:p>
      <w:pPr>
        <w:pStyle w:val="style0"/>
        <w:spacing w:before="240" w:after="240"/>
        <w:rPr>
          <w:rFonts w:cs="Times New Roman"/>
        </w:rPr>
      </w:pPr>
      <w:r>
        <w:rPr>
          <w:rFonts w:cs="Times New Roman"/>
        </w:rPr>
        <w:t>From the above comparison it is clear that:</w:t>
      </w:r>
    </w:p>
    <w:p>
      <w:pPr>
        <w:pStyle w:val="style0"/>
        <w:spacing w:before="240" w:after="240"/>
        <w:rPr>
          <w:rFonts w:cs="Times New Roman"/>
        </w:rPr>
      </w:pPr>
      <w:r>
        <w:rPr>
          <w:rFonts w:cs="Times New Roman"/>
        </w:rPr>
        <w:t>•</w:t>
      </w:r>
      <w:r>
        <w:rPr>
          <w:rFonts w:cs="Times New Roman"/>
        </w:rPr>
        <w:tab/>
      </w:r>
      <w:r>
        <w:rPr>
          <w:rFonts w:cs="Times New Roman"/>
        </w:rPr>
        <w:t xml:space="preserve">Project C is superior in value (NPV, IRR, PI, ARR) </w:t>
      </w:r>
    </w:p>
    <w:p>
      <w:pPr>
        <w:pStyle w:val="style0"/>
        <w:spacing w:before="240" w:after="240"/>
        <w:rPr>
          <w:rFonts w:cs="Times New Roman"/>
        </w:rPr>
      </w:pPr>
      <w:r>
        <w:rPr>
          <w:rFonts w:cs="Times New Roman"/>
        </w:rPr>
        <w:t>•</w:t>
      </w:r>
      <w:r>
        <w:rPr>
          <w:rFonts w:cs="Times New Roman"/>
        </w:rPr>
        <w:tab/>
      </w:r>
      <w:r>
        <w:rPr>
          <w:rFonts w:cs="Times New Roman"/>
        </w:rPr>
        <w:t xml:space="preserve">Project A dominates in payback (liquidity) </w:t>
      </w:r>
    </w:p>
    <w:p>
      <w:pPr>
        <w:pStyle w:val="style0"/>
        <w:spacing w:before="240" w:after="240"/>
        <w:rPr>
          <w:rFonts w:cs="Times New Roman"/>
        </w:rPr>
      </w:pPr>
      <w:r>
        <w:rPr>
          <w:rFonts w:cs="Times New Roman"/>
        </w:rPr>
        <w:t>•</w:t>
      </w:r>
      <w:r>
        <w:rPr>
          <w:rFonts w:cs="Times New Roman"/>
        </w:rPr>
        <w:tab/>
      </w:r>
      <w:r>
        <w:rPr>
          <w:rFonts w:cs="Times New Roman"/>
        </w:rPr>
        <w:t xml:space="preserve">Project B is safe, but fails most measures </w:t>
      </w:r>
    </w:p>
    <w:p>
      <w:pPr>
        <w:pStyle w:val="style0"/>
        <w:spacing w:before="240" w:after="240"/>
        <w:rPr>
          <w:rFonts w:cs="Times New Roman"/>
        </w:rPr>
      </w:pPr>
      <w:r>
        <w:rPr>
          <w:rFonts w:cs="Times New Roman"/>
        </w:rPr>
        <w:t xml:space="preserve">In conclusion, Project C, although it has a longer payback period, is the best project due to its superior fit with value </w:t>
      </w:r>
      <w:r>
        <w:rPr>
          <w:rFonts w:cs="Times New Roman"/>
        </w:rPr>
        <w:t>maximisation</w:t>
      </w:r>
      <w:r>
        <w:rPr>
          <w:rFonts w:cs="Times New Roman"/>
        </w:rPr>
        <w:t xml:space="preserve"> goals.</w:t>
      </w:r>
    </w:p>
    <w:p>
      <w:pPr>
        <w:pStyle w:val="style0"/>
        <w:spacing w:before="240" w:after="240"/>
        <w:rPr>
          <w:rFonts w:cs="Times New Roman"/>
          <w:b/>
          <w:bCs/>
        </w:rPr>
      </w:pPr>
      <w:r>
        <w:rPr>
          <w:rFonts w:cs="Times New Roman"/>
          <w:b/>
          <w:bCs/>
        </w:rPr>
        <w:t>5.4 Capital Rationing</w:t>
      </w:r>
    </w:p>
    <w:p>
      <w:pPr>
        <w:pStyle w:val="style0"/>
        <w:spacing w:before="240" w:after="240"/>
        <w:rPr>
          <w:rFonts w:cs="Times New Roman"/>
          <w:b/>
          <w:bCs/>
        </w:rPr>
      </w:pPr>
      <w:r>
        <w:rPr>
          <w:rFonts w:cs="Times New Roman"/>
        </w:rPr>
        <w:t xml:space="preserve">In the case of capital rationing, Tesla can only invest up to £100 million, which means the company can choose two projects. </w:t>
      </w:r>
      <w:r>
        <w:rPr>
          <w:rFonts w:cs="Times New Roman"/>
        </w:rPr>
        <w:t>But,</w:t>
      </w:r>
      <w:r>
        <w:rPr>
          <w:rFonts w:cs="Times New Roman"/>
        </w:rPr>
        <w:t xml:space="preserve"> some combinations can be:</w:t>
      </w:r>
    </w:p>
    <w:p>
      <w:pPr>
        <w:pStyle w:val="style0"/>
        <w:numPr>
          <w:ilvl w:val="0"/>
          <w:numId w:val="1"/>
        </w:numPr>
        <w:spacing w:before="240" w:after="240"/>
        <w:rPr>
          <w:rFonts w:cs="Times New Roman"/>
        </w:rPr>
      </w:pPr>
      <w:r>
        <w:rPr>
          <w:rFonts w:cs="Times New Roman"/>
        </w:rPr>
        <w:t xml:space="preserve">A + B → Total NPV = </w:t>
      </w:r>
      <w:r>
        <w:rPr>
          <w:rFonts w:cs="Times New Roman"/>
          <w:b/>
          <w:bCs/>
        </w:rPr>
        <w:t>-16.98m</w:t>
      </w:r>
      <w:r>
        <w:rPr>
          <w:rFonts w:cs="Times New Roman"/>
        </w:rPr>
        <w:t xml:space="preserve"> </w:t>
      </w:r>
    </w:p>
    <w:p>
      <w:pPr>
        <w:pStyle w:val="style0"/>
        <w:numPr>
          <w:ilvl w:val="0"/>
          <w:numId w:val="1"/>
        </w:numPr>
        <w:spacing w:before="240" w:after="240"/>
        <w:rPr>
          <w:rFonts w:cs="Times New Roman"/>
        </w:rPr>
      </w:pPr>
      <w:r>
        <w:rPr>
          <w:rFonts w:cs="Times New Roman"/>
        </w:rPr>
        <w:t xml:space="preserve">A + C → Total NPV = </w:t>
      </w:r>
      <w:r>
        <w:rPr>
          <w:rFonts w:cs="Times New Roman"/>
          <w:b/>
          <w:bCs/>
        </w:rPr>
        <w:t>-10.66m</w:t>
      </w:r>
      <w:r>
        <w:rPr>
          <w:rFonts w:cs="Times New Roman"/>
        </w:rPr>
        <w:t xml:space="preserve"> </w:t>
      </w:r>
    </w:p>
    <w:p>
      <w:pPr>
        <w:pStyle w:val="style0"/>
        <w:numPr>
          <w:ilvl w:val="0"/>
          <w:numId w:val="1"/>
        </w:numPr>
        <w:spacing w:before="240" w:after="240"/>
        <w:rPr>
          <w:rFonts w:cs="Times New Roman"/>
        </w:rPr>
      </w:pPr>
      <w:r>
        <w:rPr>
          <w:rFonts w:cs="Times New Roman"/>
        </w:rPr>
        <w:t xml:space="preserve">B + C → Total NPV = </w:t>
      </w:r>
      <w:r>
        <w:rPr>
          <w:rFonts w:cs="Times New Roman"/>
          <w:b/>
          <w:bCs/>
        </w:rPr>
        <w:t>-10.28m</w:t>
      </w:r>
      <w:r>
        <w:rPr>
          <w:rFonts w:cs="Times New Roman"/>
        </w:rPr>
        <w:t xml:space="preserve"> </w:t>
      </w:r>
    </w:p>
    <w:p>
      <w:pPr>
        <w:pStyle w:val="style0"/>
        <w:spacing w:before="240" w:after="240"/>
        <w:rPr>
          <w:rFonts w:cs="Times New Roman"/>
        </w:rPr>
      </w:pPr>
      <w:r>
        <w:rPr>
          <w:rFonts w:cs="Times New Roman"/>
        </w:rPr>
        <w:t xml:space="preserve">Hence, the combination of Project B and Project C has the highest (negative) NPV of -10.28m and is hence the best decision under capital constraints. While all combinations lead to value loss, B + C has the highest return. Project C brings profitability and growth opportunities while Project B brings stability in cash flows. This portfolio offers better risk and </w:t>
      </w:r>
      <w:r>
        <w:rPr>
          <w:rFonts w:cs="Times New Roman"/>
        </w:rPr>
        <w:t>return</w:t>
      </w:r>
      <w:r>
        <w:rPr>
          <w:rFonts w:cs="Times New Roman"/>
        </w:rPr>
        <w:t xml:space="preserve"> characteristics than other combinations.</w:t>
      </w:r>
    </w:p>
    <w:p>
      <w:pPr>
        <w:pStyle w:val="style0"/>
        <w:spacing w:before="240" w:after="240"/>
        <w:rPr>
          <w:rFonts w:cs="Times New Roman"/>
          <w:b/>
          <w:bCs/>
        </w:rPr>
      </w:pPr>
      <w:r>
        <w:rPr>
          <w:rFonts w:cs="Times New Roman"/>
          <w:b/>
          <w:bCs/>
        </w:rPr>
        <w:t>5.5 Final Recommendation</w:t>
      </w:r>
    </w:p>
    <w:p>
      <w:pPr>
        <w:pStyle w:val="style0"/>
        <w:spacing w:before="240" w:after="240"/>
        <w:rPr>
          <w:rFonts w:cs="Times New Roman"/>
        </w:rPr>
      </w:pPr>
      <w:r>
        <w:rPr>
          <w:rFonts w:cs="Times New Roman"/>
        </w:rPr>
        <w:t>From the analysis it is clear that the projects do not meet the return target of 10% as shown by negative NPVs and IRRs that are less than the cost of capital. But absolute rejection criteria are not the only relevant factors for strategic investment decisions, especially for Tesla. As previously discussed, Tesla is facing profitability issues and margin pressures due to costs and price competition. In this case, despite reduced profitability, investments to maintain growth, innovation and market share would be appropriate.</w:t>
      </w:r>
    </w:p>
    <w:p>
      <w:pPr>
        <w:pStyle w:val="style0"/>
        <w:spacing w:before="240" w:after="240"/>
        <w:rPr>
          <w:rFonts w:cs="Times New Roman"/>
        </w:rPr>
      </w:pPr>
      <w:r>
        <w:rPr>
          <w:rFonts w:cs="Times New Roman"/>
        </w:rPr>
        <w:t>R</w:t>
      </w:r>
      <w:r>
        <w:rPr>
          <w:rFonts w:cs="Times New Roman"/>
        </w:rPr>
        <w:t>ecommendation:</w:t>
      </w:r>
    </w:p>
    <w:p>
      <w:pPr>
        <w:pStyle w:val="style0"/>
        <w:spacing w:before="240" w:after="240"/>
        <w:rPr>
          <w:rFonts w:cs="Times New Roman"/>
        </w:rPr>
      </w:pPr>
      <w:r>
        <w:rPr>
          <w:rFonts w:cs="Times New Roman"/>
        </w:rPr>
        <w:t>•</w:t>
      </w:r>
      <w:r>
        <w:rPr>
          <w:rFonts w:cs="Times New Roman"/>
        </w:rPr>
        <w:tab/>
      </w:r>
      <w:r>
        <w:rPr>
          <w:rFonts w:cs="Times New Roman"/>
        </w:rPr>
        <w:t xml:space="preserve">First choice: Project C (best value across criteria) </w:t>
      </w:r>
    </w:p>
    <w:p>
      <w:pPr>
        <w:pStyle w:val="style0"/>
        <w:spacing w:before="240" w:after="240"/>
        <w:rPr>
          <w:rFonts w:cs="Times New Roman"/>
        </w:rPr>
      </w:pPr>
      <w:r>
        <w:rPr>
          <w:rFonts w:cs="Times New Roman"/>
        </w:rPr>
        <w:t>•</w:t>
      </w:r>
      <w:r>
        <w:rPr>
          <w:rFonts w:cs="Times New Roman"/>
        </w:rPr>
        <w:tab/>
      </w:r>
      <w:r>
        <w:rPr>
          <w:rFonts w:cs="Times New Roman"/>
        </w:rPr>
        <w:t xml:space="preserve">Under capital rationing: Project B + Project C </w:t>
      </w:r>
    </w:p>
    <w:p>
      <w:pPr>
        <w:pStyle w:val="style0"/>
        <w:spacing w:before="240" w:after="240"/>
        <w:rPr>
          <w:rFonts w:cs="Times New Roman"/>
        </w:rPr>
      </w:pPr>
      <w:r>
        <w:rPr>
          <w:rFonts w:cs="Times New Roman"/>
        </w:rPr>
        <w:t>Justification:</w:t>
      </w:r>
    </w:p>
    <w:p>
      <w:pPr>
        <w:pStyle w:val="style0"/>
        <w:spacing w:before="240" w:after="240"/>
        <w:rPr>
          <w:rFonts w:cs="Times New Roman"/>
        </w:rPr>
      </w:pPr>
      <w:r>
        <w:rPr>
          <w:rFonts w:cs="Times New Roman"/>
        </w:rPr>
        <w:t>•</w:t>
      </w:r>
      <w:r>
        <w:rPr>
          <w:rFonts w:cs="Times New Roman"/>
        </w:rPr>
        <w:tab/>
      </w:r>
      <w:r>
        <w:rPr>
          <w:rFonts w:cs="Times New Roman"/>
        </w:rPr>
        <w:t xml:space="preserve">Project C has the greatest IRR (8.6%), PI (0.960) and smallest NPV loss (-1.98m), and is the most value creating. </w:t>
      </w:r>
    </w:p>
    <w:p>
      <w:pPr>
        <w:pStyle w:val="style0"/>
        <w:spacing w:before="240" w:after="240"/>
        <w:rPr>
          <w:rFonts w:cs="Times New Roman"/>
        </w:rPr>
      </w:pPr>
      <w:r>
        <w:rPr>
          <w:rFonts w:cs="Times New Roman"/>
        </w:rPr>
        <w:t>•</w:t>
      </w:r>
      <w:r>
        <w:rPr>
          <w:rFonts w:cs="Times New Roman"/>
        </w:rPr>
        <w:tab/>
      </w:r>
      <w:r>
        <w:rPr>
          <w:rFonts w:cs="Times New Roman"/>
        </w:rPr>
        <w:t xml:space="preserve">Project B has consistent cash flows, which lowers the risk of the combination. </w:t>
      </w:r>
    </w:p>
    <w:p>
      <w:pPr>
        <w:pStyle w:val="style0"/>
        <w:spacing w:before="240" w:after="240"/>
        <w:rPr>
          <w:rFonts w:cs="Times New Roman"/>
        </w:rPr>
      </w:pPr>
      <w:r>
        <w:rPr>
          <w:rFonts w:cs="Times New Roman"/>
        </w:rPr>
        <w:t>•</w:t>
      </w:r>
      <w:r>
        <w:rPr>
          <w:rFonts w:cs="Times New Roman"/>
        </w:rPr>
        <w:tab/>
      </w:r>
      <w:r>
        <w:rPr>
          <w:rFonts w:cs="Times New Roman"/>
        </w:rPr>
        <w:t>This combination reflects Tesla’s strategic priorities of growth (Project C) and stability (Project B).</w:t>
      </w:r>
    </w:p>
    <w:p>
      <w:pPr>
        <w:pStyle w:val="style0"/>
        <w:spacing w:before="240" w:after="240"/>
        <w:rPr>
          <w:rFonts w:cs="Times New Roman"/>
        </w:rPr>
      </w:pPr>
      <w:r>
        <w:rPr>
          <w:rFonts w:cs="Times New Roman"/>
        </w:rPr>
        <w:t>In terms of strategy, the cash flows from Project C could represent investments in R&amp;D or expansion - in line with Tesla's growth strategy. Project B provides cash flow support and stability, which is necessary due to the company's moderately limited cash flows.</w:t>
      </w:r>
    </w:p>
    <w:p>
      <w:pPr>
        <w:pStyle w:val="style0"/>
        <w:spacing w:before="240" w:after="240"/>
        <w:rPr>
          <w:rFonts w:cs="Times New Roman"/>
        </w:rPr>
      </w:pPr>
      <w:r>
        <w:rPr>
          <w:rFonts w:cs="Times New Roman"/>
        </w:rPr>
        <w:t>So, while Project C (and B + C under capital rationing) does not meet the stringent financial tests, it is the most rational and sensible investment alternative strategically.</w:t>
      </w:r>
    </w:p>
    <w:p>
      <w:pPr>
        <w:pStyle w:val="style0"/>
        <w:spacing w:before="240" w:after="240"/>
        <w:rPr>
          <w:rFonts w:cs="Times New Roman"/>
        </w:rPr>
      </w:pPr>
    </w:p>
    <w:p>
      <w:pPr>
        <w:pStyle w:val="style0"/>
        <w:spacing w:before="240" w:after="240"/>
        <w:rPr>
          <w:rFonts w:cs="Times New Roman"/>
          <w:b/>
          <w:bCs/>
        </w:rPr>
      </w:pPr>
    </w:p>
    <w:p>
      <w:pPr>
        <w:pStyle w:val="style0"/>
        <w:spacing w:before="240" w:after="240"/>
        <w:jc w:val="left"/>
        <w:rPr>
          <w:rFonts w:cs="Times New Roman"/>
          <w:b/>
          <w:bCs/>
        </w:rPr>
      </w:pPr>
      <w:r>
        <w:rPr>
          <w:rFonts w:cs="Times New Roman"/>
          <w:b/>
          <w:bCs/>
        </w:rPr>
        <w:br w:type="page"/>
      </w:r>
    </w:p>
    <w:bookmarkStart w:id="5" w:name="_Toc227946709"/>
    <w:p>
      <w:pPr>
        <w:pStyle w:val="style1"/>
        <w:spacing w:before="240" w:after="240"/>
        <w:rPr>
          <w:rFonts w:cs="Times New Roman"/>
        </w:rPr>
      </w:pPr>
      <w:r>
        <w:rPr>
          <w:rFonts w:cs="Times New Roman"/>
        </w:rPr>
        <w:t>6. CONCLUSION</w:t>
      </w:r>
      <w:bookmarkEnd w:id="5"/>
    </w:p>
    <w:p>
      <w:pPr>
        <w:pStyle w:val="style0"/>
        <w:spacing w:before="240" w:after="240"/>
        <w:rPr>
          <w:rFonts w:cs="Times New Roman"/>
        </w:rPr>
      </w:pPr>
      <w:r>
        <w:rPr>
          <w:rFonts w:cs="Times New Roman"/>
        </w:rPr>
        <w:t xml:space="preserve">Tesla’s assessment of its financial performance and working capital, as well as possible required restructuring and suitable investment – from the CFO perspective. Despite its strong current ratio (2.04–2.16) and low leverage (debt-to-equity 0.148), Tesla has been experiencing declining profitability since 2022, with the Gross Profit Margin dropping from 25.60% (2022) to 18.03% (2025) and Net Profit Margin of 15.45% declining to 4.00%. Returns have weakened too, with ROA down to 2.75% and ROCE to 4.57%. We believe the lower ROA/ROCE printed by the company reflects margin compression as it cuts prices aggressively to defend share loss to BYD and VW. Deterioration in working capital efficiency is highlighted by the </w:t>
      </w:r>
      <w:r>
        <w:rPr>
          <w:rFonts w:cs="Times New Roman"/>
        </w:rPr>
        <w:t>Cash  Conversion</w:t>
      </w:r>
      <w:r>
        <w:rPr>
          <w:rFonts w:cs="Times New Roman"/>
        </w:rPr>
        <w:t xml:space="preserve"> Cycle that changed from - 25.76 days (2021) to 13.02 days (2025). Thus, </w:t>
      </w:r>
      <w:r>
        <w:rPr>
          <w:rFonts w:cs="Times New Roman"/>
        </w:rPr>
        <w:t>thereis</w:t>
      </w:r>
      <w:r>
        <w:rPr>
          <w:rFonts w:cs="Times New Roman"/>
        </w:rPr>
        <w:t xml:space="preserve"> an increase in cash required. We then recommend restructuring to improve margins, efficiency and earnings quality. The investment appraisal shows that all projects have negative NPVs such as project C with a negative £1.98 million and IRRs below 10% However project C has the highest IRR at 8.6</w:t>
      </w:r>
      <w:r>
        <w:rPr>
          <w:rFonts w:cs="Times New Roman"/>
        </w:rPr>
        <w:t>%  The</w:t>
      </w:r>
      <w:r>
        <w:rPr>
          <w:rFonts w:cs="Times New Roman"/>
        </w:rPr>
        <w:t xml:space="preserve"> best choice under capital rationing is project B + C (NPV – £10.28m).</w:t>
      </w:r>
    </w:p>
    <w:p>
      <w:pPr>
        <w:pStyle w:val="style0"/>
        <w:spacing w:before="240" w:after="240"/>
        <w:rPr>
          <w:rFonts w:cs="Times New Roman"/>
        </w:rPr>
      </w:pPr>
      <w:r>
        <w:rPr>
          <w:rFonts w:cs="Times New Roman"/>
        </w:rPr>
        <w:t>Ultimately, Tesla should focus on improving profitability and efficiency while pursuing strategically.</w:t>
      </w:r>
    </w:p>
    <w:p>
      <w:pPr>
        <w:pStyle w:val="style0"/>
        <w:spacing w:before="240" w:after="240"/>
        <w:jc w:val="left"/>
        <w:rPr>
          <w:rFonts w:cs="Times New Roman"/>
        </w:rPr>
      </w:pPr>
      <w:r>
        <w:rPr>
          <w:rFonts w:cs="Times New Roman"/>
        </w:rPr>
        <w:br w:type="page"/>
      </w:r>
    </w:p>
    <w:bookmarkStart w:id="6" w:name="_Toc227946710"/>
    <w:p>
      <w:pPr>
        <w:pStyle w:val="style1"/>
        <w:spacing w:before="240" w:after="240"/>
        <w:rPr>
          <w:rFonts w:cs="Times New Roman"/>
        </w:rPr>
      </w:pPr>
      <w:r>
        <w:rPr>
          <w:rFonts w:cs="Times New Roman"/>
        </w:rPr>
        <w:t>References</w:t>
      </w:r>
      <w:bookmarkEnd w:id="6"/>
    </w:p>
    <w:p>
      <w:pPr>
        <w:pStyle w:val="style0"/>
        <w:spacing w:before="240" w:after="240"/>
        <w:rPr>
          <w:rFonts w:cs="Times New Roman"/>
        </w:rPr>
      </w:pPr>
      <w:r>
        <w:rPr>
          <w:rFonts w:cs="Times New Roman"/>
        </w:rPr>
        <w:t>Aduda</w:t>
      </w:r>
      <w:r>
        <w:rPr>
          <w:rFonts w:cs="Times New Roman"/>
        </w:rPr>
        <w:t xml:space="preserve">, J. and </w:t>
      </w:r>
      <w:r>
        <w:rPr>
          <w:rFonts w:cs="Times New Roman"/>
        </w:rPr>
        <w:t>Ongoro</w:t>
      </w:r>
      <w:r>
        <w:rPr>
          <w:rFonts w:cs="Times New Roman"/>
        </w:rPr>
        <w:t>, M., 2020. Working capital and earnings management among manufacturing firms: A review of literature. </w:t>
      </w:r>
      <w:r>
        <w:rPr>
          <w:rFonts w:cs="Times New Roman"/>
          <w:i/>
          <w:iCs/>
        </w:rPr>
        <w:t>Journal of Finance and Investment Analysis</w:t>
      </w:r>
      <w:r>
        <w:rPr>
          <w:rFonts w:cs="Times New Roman"/>
        </w:rPr>
        <w:t>, </w:t>
      </w:r>
      <w:r>
        <w:rPr>
          <w:rFonts w:cs="Times New Roman"/>
          <w:i/>
          <w:iCs/>
        </w:rPr>
        <w:t>9</w:t>
      </w:r>
      <w:r>
        <w:rPr>
          <w:rFonts w:cs="Times New Roman"/>
        </w:rPr>
        <w:t>(3), pp.1-5.</w:t>
      </w:r>
    </w:p>
    <w:p>
      <w:pPr>
        <w:pStyle w:val="style0"/>
        <w:spacing w:before="240" w:after="240"/>
        <w:rPr>
          <w:rFonts w:cs="Times New Roman"/>
        </w:rPr>
      </w:pPr>
      <w:r>
        <w:rPr>
          <w:rFonts w:cs="Times New Roman"/>
        </w:rPr>
        <w:t>Asman, F.N., Fernandez, D., Jamaludin, N.A., Omar Zaki, H. and Ghazali, A.W., 2022. Cash conversion cycle and firm’s performance. </w:t>
      </w:r>
      <w:r>
        <w:rPr>
          <w:rFonts w:cs="Times New Roman"/>
          <w:i/>
          <w:iCs/>
        </w:rPr>
        <w:t>International Journal of Academic Research in Business and Social Sciences</w:t>
      </w:r>
      <w:r>
        <w:rPr>
          <w:rFonts w:cs="Times New Roman"/>
        </w:rPr>
        <w:t>, </w:t>
      </w:r>
      <w:r>
        <w:rPr>
          <w:rFonts w:cs="Times New Roman"/>
          <w:i/>
          <w:iCs/>
        </w:rPr>
        <w:t>12</w:t>
      </w:r>
      <w:r>
        <w:rPr>
          <w:rFonts w:cs="Times New Roman"/>
        </w:rPr>
        <w:t>(11), pp.2682-2692.</w:t>
      </w:r>
    </w:p>
    <w:p>
      <w:pPr>
        <w:pStyle w:val="style0"/>
        <w:spacing w:before="240" w:after="240"/>
        <w:rPr>
          <w:rFonts w:cs="Times New Roman"/>
        </w:rPr>
      </w:pPr>
      <w:r>
        <w:rPr>
          <w:rFonts w:cs="Times New Roman"/>
        </w:rPr>
        <w:t>Asman, F.N., Fernandez, D., Jamaludin, N.A., Omar Zaki, H. and Ghazali, A.W., 2022. Cash conversion cycle and firm’s performance. </w:t>
      </w:r>
      <w:r>
        <w:rPr>
          <w:rFonts w:cs="Times New Roman"/>
          <w:i/>
          <w:iCs/>
        </w:rPr>
        <w:t>International Journal of Academic Research in Business and Social Sciences</w:t>
      </w:r>
      <w:r>
        <w:rPr>
          <w:rFonts w:cs="Times New Roman"/>
        </w:rPr>
        <w:t>, </w:t>
      </w:r>
      <w:r>
        <w:rPr>
          <w:rFonts w:cs="Times New Roman"/>
          <w:i/>
          <w:iCs/>
        </w:rPr>
        <w:t>12</w:t>
      </w:r>
      <w:r>
        <w:rPr>
          <w:rFonts w:cs="Times New Roman"/>
        </w:rPr>
        <w:t>(11), pp.2682-2692.</w:t>
      </w:r>
    </w:p>
    <w:p>
      <w:pPr>
        <w:pStyle w:val="style0"/>
        <w:spacing w:before="240" w:after="240"/>
        <w:rPr>
          <w:rFonts w:cs="Times New Roman"/>
        </w:rPr>
      </w:pPr>
      <w:r>
        <w:rPr>
          <w:rFonts w:cs="Times New Roman"/>
        </w:rPr>
        <w:t>Atere</w:t>
      </w:r>
      <w:r>
        <w:rPr>
          <w:rFonts w:cs="Times New Roman"/>
        </w:rPr>
        <w:t xml:space="preserve">, D.E.B.O.R.A.H., </w:t>
      </w:r>
      <w:r>
        <w:rPr>
          <w:rFonts w:cs="Times New Roman"/>
        </w:rPr>
        <w:t>Shobande</w:t>
      </w:r>
      <w:r>
        <w:rPr>
          <w:rFonts w:cs="Times New Roman"/>
        </w:rPr>
        <w:t xml:space="preserve">, A.O. and </w:t>
      </w:r>
      <w:r>
        <w:rPr>
          <w:rFonts w:cs="Times New Roman"/>
        </w:rPr>
        <w:t>Toluwase</w:t>
      </w:r>
      <w:r>
        <w:rPr>
          <w:rFonts w:cs="Times New Roman"/>
        </w:rPr>
        <w:t>, I.H., 2019. Framework for designing effective corporate restructuring strategies to optimize liquidity and working capital. </w:t>
      </w:r>
      <w:r>
        <w:rPr>
          <w:rFonts w:cs="Times New Roman"/>
          <w:i/>
          <w:iCs/>
        </w:rPr>
        <w:t>IRE Journals</w:t>
      </w:r>
      <w:r>
        <w:rPr>
          <w:rFonts w:cs="Times New Roman"/>
        </w:rPr>
        <w:t>, </w:t>
      </w:r>
      <w:r>
        <w:rPr>
          <w:rFonts w:cs="Times New Roman"/>
          <w:i/>
          <w:iCs/>
        </w:rPr>
        <w:t>2</w:t>
      </w:r>
      <w:r>
        <w:rPr>
          <w:rFonts w:cs="Times New Roman"/>
        </w:rPr>
        <w:t>(10), pp.555-562.</w:t>
      </w:r>
    </w:p>
    <w:p>
      <w:pPr>
        <w:pStyle w:val="style0"/>
        <w:spacing w:before="240" w:after="240"/>
        <w:rPr>
          <w:rFonts w:cs="Times New Roman"/>
        </w:rPr>
      </w:pPr>
      <w:r>
        <w:rPr>
          <w:rFonts w:cs="Times New Roman"/>
        </w:rPr>
        <w:t xml:space="preserve">Damnjanović, A., Dimitrijević, V., Mujanović, E. and </w:t>
      </w:r>
      <w:r>
        <w:rPr>
          <w:rFonts w:cs="Times New Roman"/>
        </w:rPr>
        <w:t>Ðurašković</w:t>
      </w:r>
      <w:r>
        <w:rPr>
          <w:rFonts w:cs="Times New Roman"/>
        </w:rPr>
        <w:t xml:space="preserve">, J., 2017. Managing liquid current assets within organization. </w:t>
      </w:r>
      <w:r>
        <w:rPr/>
        <w:fldChar w:fldCharType="begin"/>
      </w:r>
      <w:r>
        <w:instrText xml:space="preserve"> HYPERLINK "https://www.researchgate.net/profile/Phd-Aleksandar-Damnjanovic/publication/315481342_MANAGING_LIQUID_CURRENT_ASSETS_WITHIN_ORGANIZATION/links/58d1936d458515b8d285db68/MANAGING-LIQUID-CURRENT-ASSETS-WITHIN-ORGANIZATION.pdf" </w:instrText>
      </w:r>
      <w:r>
        <w:rPr/>
        <w:fldChar w:fldCharType="separate"/>
      </w:r>
      <w:r>
        <w:rPr>
          <w:rStyle w:val="style85"/>
          <w:rFonts w:cs="Times New Roman"/>
        </w:rPr>
        <w:t>https://www.researchgate.net/profile/Phd-Aleksandar-Damnjanovic/publication/315481342_MANAGING_LIQUID_CURRENT_ASSETS_WITHIN_ORGANIZATION/links/58d1936d458515b8d285db68/MANAGING-LIQUID-CURRENT-ASSETS-WITHIN-ORGANIZATION.pdf</w:t>
      </w:r>
      <w:r>
        <w:rPr/>
        <w:fldChar w:fldCharType="end"/>
      </w:r>
      <w:r>
        <w:rPr>
          <w:rFonts w:cs="Times New Roman"/>
        </w:rPr>
        <w:t xml:space="preserve">. </w:t>
      </w:r>
    </w:p>
    <w:p>
      <w:pPr>
        <w:pStyle w:val="style0"/>
        <w:spacing w:before="240" w:after="240"/>
        <w:rPr>
          <w:rFonts w:cs="Times New Roman"/>
        </w:rPr>
      </w:pPr>
      <w:r>
        <w:rPr>
          <w:rFonts w:cs="Times New Roman"/>
        </w:rPr>
        <w:t xml:space="preserve">E </w:t>
      </w:r>
      <w:r>
        <w:rPr>
          <w:rFonts w:cs="Times New Roman"/>
        </w:rPr>
        <w:t>Techvolution</w:t>
      </w:r>
      <w:r>
        <w:rPr>
          <w:rFonts w:cs="Times New Roman"/>
        </w:rPr>
        <w:t xml:space="preserve">., 2025. </w:t>
      </w:r>
      <w:r>
        <w:rPr>
          <w:rFonts w:cs="Times New Roman"/>
          <w:i/>
          <w:iCs/>
        </w:rPr>
        <w:t>Tesla’s Global Supercharger Network: 74,000 Chargers Across 54 Countries</w:t>
      </w:r>
      <w:r>
        <w:rPr>
          <w:rFonts w:cs="Times New Roman"/>
        </w:rPr>
        <w:t xml:space="preserve">. [online] Available at: </w:t>
      </w:r>
      <w:r>
        <w:rPr/>
        <w:fldChar w:fldCharType="begin"/>
      </w:r>
      <w:r>
        <w:instrText xml:space="preserve"> HYPERLINK "https://www.etechvolution.com/p/tesla-s-global-supercharger-network-74-000-chargers-across-54-countries" \t "_new" </w:instrText>
      </w:r>
      <w:r>
        <w:rPr/>
        <w:fldChar w:fldCharType="separate"/>
      </w:r>
      <w:r>
        <w:rPr>
          <w:rStyle w:val="style85"/>
          <w:rFonts w:cs="Times New Roman"/>
        </w:rPr>
        <w:t>https://www.etechvolution.com/p/tesla-s-global-supercharger-network-74-000-chargers-across-54-countries</w:t>
      </w:r>
      <w:r>
        <w:rPr/>
        <w:fldChar w:fldCharType="end"/>
      </w:r>
      <w:r>
        <w:rPr>
          <w:rFonts w:cs="Times New Roman"/>
        </w:rPr>
        <w:t xml:space="preserve"> [Accessed 24 Apr. 2026].</w:t>
      </w:r>
    </w:p>
    <w:p>
      <w:pPr>
        <w:pStyle w:val="style0"/>
        <w:spacing w:before="240" w:after="240"/>
        <w:rPr>
          <w:rFonts w:cs="Times New Roman"/>
        </w:rPr>
      </w:pPr>
      <w:r>
        <w:rPr>
          <w:rFonts w:cs="Times New Roman"/>
        </w:rPr>
        <w:t xml:space="preserve">Finance </w:t>
      </w:r>
      <w:r>
        <w:rPr>
          <w:rFonts w:cs="Times New Roman"/>
        </w:rPr>
        <w:t>Biggo</w:t>
      </w:r>
      <w:r>
        <w:rPr>
          <w:rFonts w:cs="Times New Roman"/>
        </w:rPr>
        <w:t xml:space="preserve">., 2026. </w:t>
      </w:r>
      <w:r>
        <w:rPr>
          <w:rFonts w:cs="Times New Roman"/>
          <w:i/>
          <w:iCs/>
        </w:rPr>
        <w:t>Tesla Expands Investment into AI, Robotics and Semiconductor Business</w:t>
      </w:r>
      <w:r>
        <w:rPr>
          <w:rFonts w:cs="Times New Roman"/>
        </w:rPr>
        <w:t xml:space="preserve">. [online] Available at: </w:t>
      </w:r>
      <w:r>
        <w:rPr/>
        <w:fldChar w:fldCharType="begin"/>
      </w:r>
      <w:r>
        <w:instrText xml:space="preserve"> HYPERLINK "https://finance.biggo.com/news/dDqUuJ0BOIb5XxavjLU9" \t "_new" </w:instrText>
      </w:r>
      <w:r>
        <w:rPr/>
        <w:fldChar w:fldCharType="separate"/>
      </w:r>
      <w:r>
        <w:rPr>
          <w:rStyle w:val="style85"/>
          <w:rFonts w:cs="Times New Roman"/>
        </w:rPr>
        <w:t>https://finance.biggo.com/news/dDqUuJ0BOIb5XxavjLU9</w:t>
      </w:r>
      <w:r>
        <w:rPr/>
        <w:fldChar w:fldCharType="end"/>
      </w:r>
      <w:r>
        <w:rPr>
          <w:rFonts w:cs="Times New Roman"/>
        </w:rPr>
        <w:t xml:space="preserve"> [Accessed 24 Apr. 2026].</w:t>
      </w:r>
    </w:p>
    <w:p>
      <w:pPr>
        <w:pStyle w:val="style0"/>
        <w:spacing w:before="240" w:after="240"/>
        <w:rPr>
          <w:rFonts w:cs="Times New Roman"/>
        </w:rPr>
      </w:pPr>
      <w:r>
        <w:rPr>
          <w:rFonts w:cs="Times New Roman"/>
        </w:rPr>
        <w:t>Gul, S., Gul, H. and Haider, M., 2018. The review and use of capital budgeting investment techniques in evaluating investment projects: Evidence from manufacturing companies listed on Pakistan Stock Exchange (PSE). </w:t>
      </w:r>
      <w:r>
        <w:rPr>
          <w:rFonts w:cs="Times New Roman"/>
          <w:i/>
          <w:iCs/>
        </w:rPr>
        <w:t>City University Research Journal</w:t>
      </w:r>
      <w:r>
        <w:rPr>
          <w:rFonts w:cs="Times New Roman"/>
        </w:rPr>
        <w:t>, </w:t>
      </w:r>
      <w:r>
        <w:rPr>
          <w:rFonts w:cs="Times New Roman"/>
          <w:i/>
          <w:iCs/>
        </w:rPr>
        <w:t>8</w:t>
      </w:r>
      <w:r>
        <w:rPr>
          <w:rFonts w:cs="Times New Roman"/>
        </w:rPr>
        <w:t>(2), pp.247-260.</w:t>
      </w:r>
    </w:p>
    <w:p>
      <w:pPr>
        <w:pStyle w:val="style0"/>
        <w:spacing w:before="240" w:after="240"/>
        <w:rPr>
          <w:rFonts w:cs="Times New Roman"/>
        </w:rPr>
      </w:pPr>
      <w:r>
        <w:rPr>
          <w:rFonts w:cs="Times New Roman"/>
        </w:rPr>
        <w:t xml:space="preserve">Harryson, S. and Lorange, P., 2024. Vertical Integration versus Open Innovation? From Winner Takes </w:t>
      </w:r>
      <w:r>
        <w:rPr>
          <w:rFonts w:cs="Times New Roman"/>
        </w:rPr>
        <w:t>it</w:t>
      </w:r>
      <w:r>
        <w:rPr>
          <w:rFonts w:cs="Times New Roman"/>
        </w:rPr>
        <w:t xml:space="preserve"> All to Winners Make it All. </w:t>
      </w:r>
      <w:r>
        <w:rPr>
          <w:rFonts w:cs="Times New Roman"/>
          <w:i/>
          <w:iCs/>
        </w:rPr>
        <w:t>California Management Review</w:t>
      </w:r>
      <w:r>
        <w:rPr>
          <w:rFonts w:cs="Times New Roman"/>
        </w:rPr>
        <w:t>, </w:t>
      </w:r>
      <w:r>
        <w:rPr>
          <w:rFonts w:cs="Times New Roman"/>
          <w:i/>
          <w:iCs/>
        </w:rPr>
        <w:t>67</w:t>
      </w:r>
      <w:r>
        <w:rPr>
          <w:rFonts w:cs="Times New Roman"/>
        </w:rPr>
        <w:t>(1), pp.138-163.</w:t>
      </w:r>
    </w:p>
    <w:p>
      <w:pPr>
        <w:pStyle w:val="style0"/>
        <w:spacing w:before="240" w:after="240"/>
        <w:rPr>
          <w:rFonts w:cs="Times New Roman"/>
        </w:rPr>
      </w:pPr>
      <w:r>
        <w:rPr>
          <w:rFonts w:cs="Times New Roman"/>
        </w:rPr>
        <w:t>Hasidi</w:t>
      </w:r>
      <w:r>
        <w:rPr>
          <w:rFonts w:cs="Times New Roman"/>
        </w:rPr>
        <w:t xml:space="preserve">, M.H., </w:t>
      </w:r>
      <w:r>
        <w:rPr>
          <w:rFonts w:cs="Times New Roman"/>
        </w:rPr>
        <w:t>Baheri</w:t>
      </w:r>
      <w:r>
        <w:rPr>
          <w:rFonts w:cs="Times New Roman"/>
        </w:rPr>
        <w:t>, J. and Hajar, K.I., 2024. Financial performance evaluation using profitability and liquidity ratio analysis. </w:t>
      </w:r>
      <w:r>
        <w:rPr>
          <w:rFonts w:cs="Times New Roman"/>
          <w:i/>
          <w:iCs/>
        </w:rPr>
        <w:t>Jurnal</w:t>
      </w:r>
      <w:r>
        <w:rPr>
          <w:rFonts w:cs="Times New Roman"/>
          <w:i/>
          <w:iCs/>
        </w:rPr>
        <w:t xml:space="preserve"> </w:t>
      </w:r>
      <w:r>
        <w:rPr>
          <w:rFonts w:cs="Times New Roman"/>
          <w:i/>
          <w:iCs/>
        </w:rPr>
        <w:t>Ilmiah</w:t>
      </w:r>
      <w:r>
        <w:rPr>
          <w:rFonts w:cs="Times New Roman"/>
          <w:i/>
          <w:iCs/>
        </w:rPr>
        <w:t xml:space="preserve"> </w:t>
      </w:r>
      <w:r>
        <w:rPr>
          <w:rFonts w:cs="Times New Roman"/>
          <w:i/>
          <w:iCs/>
        </w:rPr>
        <w:t>Manajemen</w:t>
      </w:r>
      <w:r>
        <w:rPr>
          <w:rFonts w:cs="Times New Roman"/>
          <w:i/>
          <w:iCs/>
        </w:rPr>
        <w:t xml:space="preserve"> Kesatuan</w:t>
      </w:r>
      <w:r>
        <w:rPr>
          <w:rFonts w:cs="Times New Roman"/>
        </w:rPr>
        <w:t>, </w:t>
      </w:r>
      <w:r>
        <w:rPr>
          <w:rFonts w:cs="Times New Roman"/>
          <w:i/>
          <w:iCs/>
        </w:rPr>
        <w:t>12</w:t>
      </w:r>
      <w:r>
        <w:rPr>
          <w:rFonts w:cs="Times New Roman"/>
        </w:rPr>
        <w:t>(4), pp.1347-1358.</w:t>
      </w:r>
    </w:p>
    <w:p>
      <w:pPr>
        <w:pStyle w:val="style0"/>
        <w:spacing w:before="240" w:after="240"/>
        <w:rPr>
          <w:rFonts w:cs="Times New Roman"/>
        </w:rPr>
      </w:pPr>
      <w:r>
        <w:rPr>
          <w:rFonts w:cs="Times New Roman"/>
        </w:rPr>
        <w:t>Iliemena</w:t>
      </w:r>
      <w:r>
        <w:rPr>
          <w:rFonts w:cs="Times New Roman"/>
        </w:rPr>
        <w:t xml:space="preserve">, R.O., </w:t>
      </w:r>
      <w:r>
        <w:rPr>
          <w:rFonts w:cs="Times New Roman"/>
        </w:rPr>
        <w:t>Amedu</w:t>
      </w:r>
      <w:r>
        <w:rPr>
          <w:rFonts w:cs="Times New Roman"/>
        </w:rPr>
        <w:t>, M.J.A. and Uagbale-</w:t>
      </w:r>
      <w:r>
        <w:rPr>
          <w:rFonts w:cs="Times New Roman"/>
        </w:rPr>
        <w:t>Ekatah</w:t>
      </w:r>
      <w:r>
        <w:rPr>
          <w:rFonts w:cs="Times New Roman"/>
        </w:rPr>
        <w:t>, R.E., 2023. Empirical examination of sustainability reporting, return on capital employed and gross profit margin. </w:t>
      </w:r>
      <w:r>
        <w:rPr>
          <w:rFonts w:cs="Times New Roman"/>
          <w:i/>
          <w:iCs/>
        </w:rPr>
        <w:t>European Journal of Sustainable Development Research</w:t>
      </w:r>
      <w:r>
        <w:rPr>
          <w:rFonts w:cs="Times New Roman"/>
        </w:rPr>
        <w:t>, </w:t>
      </w:r>
      <w:r>
        <w:rPr>
          <w:rFonts w:cs="Times New Roman"/>
          <w:i/>
          <w:iCs/>
        </w:rPr>
        <w:t>7</w:t>
      </w:r>
      <w:r>
        <w:rPr>
          <w:rFonts w:cs="Times New Roman"/>
        </w:rPr>
        <w:t xml:space="preserve">(1), </w:t>
      </w:r>
      <w:r>
        <w:rPr>
          <w:rFonts w:cs="Times New Roman"/>
        </w:rPr>
        <w:t>p.em</w:t>
      </w:r>
      <w:r>
        <w:rPr>
          <w:rFonts w:cs="Times New Roman"/>
        </w:rPr>
        <w:t>0204.</w:t>
      </w:r>
    </w:p>
    <w:p>
      <w:pPr>
        <w:pStyle w:val="style0"/>
        <w:spacing w:before="240" w:after="240"/>
        <w:rPr>
          <w:rFonts w:cs="Times New Roman"/>
        </w:rPr>
      </w:pPr>
      <w:r>
        <w:rPr>
          <w:rFonts w:cs="Times New Roman"/>
        </w:rPr>
        <w:t>Kapan, T. and Minoiu, C., 2018. Balance sheet strength and bank lending: Evidence from the global financial crisis. </w:t>
      </w:r>
      <w:r>
        <w:rPr>
          <w:rFonts w:cs="Times New Roman"/>
          <w:i/>
          <w:iCs/>
        </w:rPr>
        <w:t>Journal of Banking &amp; Finance</w:t>
      </w:r>
      <w:r>
        <w:rPr>
          <w:rFonts w:cs="Times New Roman"/>
        </w:rPr>
        <w:t>, </w:t>
      </w:r>
      <w:r>
        <w:rPr>
          <w:rFonts w:cs="Times New Roman"/>
          <w:i/>
          <w:iCs/>
        </w:rPr>
        <w:t>92</w:t>
      </w:r>
      <w:r>
        <w:rPr>
          <w:rFonts w:cs="Times New Roman"/>
        </w:rPr>
        <w:t>, pp.35-50.</w:t>
      </w:r>
    </w:p>
    <w:p>
      <w:pPr>
        <w:pStyle w:val="style0"/>
        <w:spacing w:before="240" w:after="240"/>
        <w:rPr>
          <w:rFonts w:cs="Times New Roman"/>
        </w:rPr>
      </w:pPr>
      <w:r>
        <w:rPr>
          <w:rFonts w:cs="Times New Roman"/>
        </w:rPr>
        <w:t>Kengatharan</w:t>
      </w:r>
      <w:r>
        <w:rPr>
          <w:rFonts w:cs="Times New Roman"/>
        </w:rPr>
        <w:t>, L., 2018. Capital Investment Appraisal Practices in the Emerging Market Economy of Sri Lanka. </w:t>
      </w:r>
      <w:r>
        <w:rPr>
          <w:rFonts w:cs="Times New Roman"/>
          <w:i/>
          <w:iCs/>
        </w:rPr>
        <w:t>Asian Journal of Business and Accounting</w:t>
      </w:r>
      <w:r>
        <w:rPr>
          <w:rFonts w:cs="Times New Roman"/>
        </w:rPr>
        <w:t>.</w:t>
      </w:r>
    </w:p>
    <w:p>
      <w:pPr>
        <w:pStyle w:val="style0"/>
        <w:spacing w:before="240" w:after="240"/>
        <w:rPr>
          <w:rFonts w:cs="Times New Roman"/>
        </w:rPr>
      </w:pPr>
      <w:r>
        <w:rPr>
          <w:rFonts w:cs="Times New Roman"/>
        </w:rPr>
        <w:t xml:space="preserve">Laghari, F. and </w:t>
      </w:r>
      <w:r>
        <w:rPr>
          <w:rFonts w:cs="Times New Roman"/>
        </w:rPr>
        <w:t>Chengang</w:t>
      </w:r>
      <w:r>
        <w:rPr>
          <w:rFonts w:cs="Times New Roman"/>
        </w:rPr>
        <w:t>, Y., 2019. Investment in working capital and financial constraints: Empirical evidence on corporate performance. </w:t>
      </w:r>
      <w:r>
        <w:rPr>
          <w:rFonts w:cs="Times New Roman"/>
          <w:i/>
          <w:iCs/>
        </w:rPr>
        <w:t>International Journal of Managerial Finance</w:t>
      </w:r>
      <w:r>
        <w:rPr>
          <w:rFonts w:cs="Times New Roman"/>
        </w:rPr>
        <w:t>, </w:t>
      </w:r>
      <w:r>
        <w:rPr>
          <w:rFonts w:cs="Times New Roman"/>
          <w:i/>
          <w:iCs/>
        </w:rPr>
        <w:t>15</w:t>
      </w:r>
      <w:r>
        <w:rPr>
          <w:rFonts w:cs="Times New Roman"/>
        </w:rPr>
        <w:t>(2), pp.164-190.</w:t>
      </w:r>
    </w:p>
    <w:p>
      <w:pPr>
        <w:pStyle w:val="style0"/>
        <w:spacing w:before="240" w:after="240"/>
        <w:rPr>
          <w:rFonts w:cs="Times New Roman"/>
        </w:rPr>
      </w:pPr>
      <w:r>
        <w:rPr>
          <w:rFonts w:cs="Times New Roman"/>
        </w:rPr>
        <w:t xml:space="preserve">Majka, M., 2024. Understanding Profit Margin. </w:t>
      </w:r>
      <w:r>
        <w:rPr/>
        <w:fldChar w:fldCharType="begin"/>
      </w:r>
      <w:r>
        <w:instrText xml:space="preserve"> HYPERLINK "https://www.researchgate.net/profile/Marcin-Majka-2/publication/381402426_Understanding_Profit_Margin/links/666b659685a4ee7261c0e00d/Understanding-Profit-Margin.pdf" </w:instrText>
      </w:r>
      <w:r>
        <w:rPr/>
        <w:fldChar w:fldCharType="separate"/>
      </w:r>
      <w:r>
        <w:rPr>
          <w:rStyle w:val="style85"/>
          <w:rFonts w:cs="Times New Roman"/>
        </w:rPr>
        <w:t>https://www.researchgate.net/profile/Marcin-Majka-2/publication/381402426_Understanding_Profit_Margin/links/666b659685a4ee7261c0e00d/Understanding-Profit-Margin.pdf</w:t>
      </w:r>
      <w:r>
        <w:rPr/>
        <w:fldChar w:fldCharType="end"/>
      </w:r>
      <w:r>
        <w:rPr>
          <w:rFonts w:cs="Times New Roman"/>
        </w:rPr>
        <w:t xml:space="preserve">. </w:t>
      </w:r>
    </w:p>
    <w:p>
      <w:pPr>
        <w:pStyle w:val="style0"/>
        <w:spacing w:before="240" w:after="240"/>
        <w:rPr>
          <w:rFonts w:cs="Times New Roman"/>
        </w:rPr>
      </w:pPr>
      <w:r>
        <w:rPr>
          <w:rFonts w:cs="Times New Roman"/>
        </w:rPr>
        <w:t>Martinez, L.B., Scherger, V. and Guercio, M.B., 2019. SMEs capital structure: trade-off or pecking order theory: a systematic review. </w:t>
      </w:r>
      <w:r>
        <w:rPr>
          <w:rFonts w:cs="Times New Roman"/>
          <w:i/>
          <w:iCs/>
        </w:rPr>
        <w:t>Journal of Small Business and Enterprise Development</w:t>
      </w:r>
      <w:r>
        <w:rPr>
          <w:rFonts w:cs="Times New Roman"/>
        </w:rPr>
        <w:t>, </w:t>
      </w:r>
      <w:r>
        <w:rPr>
          <w:rFonts w:cs="Times New Roman"/>
          <w:i/>
          <w:iCs/>
        </w:rPr>
        <w:t>26</w:t>
      </w:r>
      <w:r>
        <w:rPr>
          <w:rFonts w:cs="Times New Roman"/>
        </w:rPr>
        <w:t>(1), pp.105-132.</w:t>
      </w:r>
    </w:p>
    <w:p>
      <w:pPr>
        <w:pStyle w:val="style0"/>
        <w:spacing w:before="240" w:after="240"/>
        <w:rPr>
          <w:rFonts w:cs="Times New Roman"/>
        </w:rPr>
      </w:pPr>
      <w:r>
        <w:rPr>
          <w:rFonts w:cs="Times New Roman"/>
        </w:rPr>
        <w:t xml:space="preserve">Mielcarz, P., Osiichuk, D. and </w:t>
      </w:r>
      <w:r>
        <w:rPr>
          <w:rFonts w:cs="Times New Roman"/>
        </w:rPr>
        <w:t>Owczarkowski</w:t>
      </w:r>
      <w:r>
        <w:rPr>
          <w:rFonts w:cs="Times New Roman"/>
        </w:rPr>
        <w:t>, R., 2018. Financial restructuring and target capital structure: An iterative algorithm for shareholder value maximization. </w:t>
      </w:r>
      <w:r>
        <w:rPr>
          <w:rFonts w:cs="Times New Roman"/>
          <w:i/>
          <w:iCs/>
        </w:rPr>
        <w:t>Review of Accounting and Finance</w:t>
      </w:r>
      <w:r>
        <w:rPr>
          <w:rFonts w:cs="Times New Roman"/>
        </w:rPr>
        <w:t>, </w:t>
      </w:r>
      <w:r>
        <w:rPr>
          <w:rFonts w:cs="Times New Roman"/>
          <w:i/>
          <w:iCs/>
        </w:rPr>
        <w:t>17</w:t>
      </w:r>
      <w:r>
        <w:rPr>
          <w:rFonts w:cs="Times New Roman"/>
        </w:rPr>
        <w:t>(2), pp.280-294.</w:t>
      </w:r>
    </w:p>
    <w:p>
      <w:pPr>
        <w:pStyle w:val="style0"/>
        <w:spacing w:before="240" w:after="240"/>
        <w:rPr>
          <w:rFonts w:cs="Times New Roman"/>
        </w:rPr>
      </w:pPr>
      <w:r>
        <w:rPr>
          <w:rFonts w:cs="Times New Roman"/>
        </w:rPr>
        <w:t>Moraes, M.B.D.C. and Nagano, M.S., 2013. Cash management policies by evolutionary models: a comparison using the Miller-Orr model. </w:t>
      </w:r>
      <w:r>
        <w:rPr>
          <w:rFonts w:cs="Times New Roman"/>
          <w:i/>
          <w:iCs/>
        </w:rPr>
        <w:t>JISTEM-Journal of Information Systems and Technology Management</w:t>
      </w:r>
      <w:r>
        <w:rPr>
          <w:rFonts w:cs="Times New Roman"/>
        </w:rPr>
        <w:t>, </w:t>
      </w:r>
      <w:r>
        <w:rPr>
          <w:rFonts w:cs="Times New Roman"/>
          <w:i/>
          <w:iCs/>
        </w:rPr>
        <w:t>10</w:t>
      </w:r>
      <w:r>
        <w:rPr>
          <w:rFonts w:cs="Times New Roman"/>
        </w:rPr>
        <w:t>(3), pp.561-576.</w:t>
      </w:r>
    </w:p>
    <w:p>
      <w:pPr>
        <w:pStyle w:val="style0"/>
        <w:spacing w:before="240" w:after="240"/>
        <w:rPr>
          <w:rFonts w:cs="Times New Roman"/>
        </w:rPr>
      </w:pPr>
      <w:r>
        <w:rPr>
          <w:rFonts w:cs="Times New Roman"/>
        </w:rPr>
        <w:t xml:space="preserve">Motor Trade News., 2025. </w:t>
      </w:r>
      <w:r>
        <w:rPr>
          <w:rFonts w:cs="Times New Roman"/>
          <w:i/>
          <w:iCs/>
        </w:rPr>
        <w:t>BYD Due to Surpass Tesla as Global BEV Leader in 2025</w:t>
      </w:r>
      <w:r>
        <w:rPr>
          <w:rFonts w:cs="Times New Roman"/>
        </w:rPr>
        <w:t xml:space="preserve">. [online] Available at: </w:t>
      </w:r>
      <w:r>
        <w:rPr/>
        <w:fldChar w:fldCharType="begin"/>
      </w:r>
      <w:r>
        <w:instrText xml:space="preserve"> HYPERLINK "https://www.motortradenews.com/industry-market-news/byd-due-to-surpass-tesla-as-global-bev-leader-in-2025/" \t "_new" </w:instrText>
      </w:r>
      <w:r>
        <w:rPr/>
        <w:fldChar w:fldCharType="separate"/>
      </w:r>
      <w:r>
        <w:rPr>
          <w:rStyle w:val="style85"/>
          <w:rFonts w:cs="Times New Roman"/>
        </w:rPr>
        <w:t>https://www.motortradenews.com/industry-market-news/byd-due-to-surpass-tesla-as-global-bev-leader-in-2025/</w:t>
      </w:r>
      <w:r>
        <w:rPr/>
        <w:fldChar w:fldCharType="end"/>
      </w:r>
      <w:r>
        <w:rPr>
          <w:rFonts w:cs="Times New Roman"/>
        </w:rPr>
        <w:t xml:space="preserve"> [Accessed 24 Apr. 2026].</w:t>
      </w:r>
    </w:p>
    <w:p>
      <w:pPr>
        <w:pStyle w:val="style0"/>
        <w:spacing w:before="240" w:after="240"/>
        <w:rPr>
          <w:rFonts w:cs="Times New Roman"/>
        </w:rPr>
      </w:pPr>
      <w:r>
        <w:rPr>
          <w:rFonts w:cs="Times New Roman"/>
        </w:rPr>
        <w:t xml:space="preserve">Mustafina, A.A., </w:t>
      </w:r>
      <w:r>
        <w:rPr>
          <w:rFonts w:cs="Times New Roman"/>
        </w:rPr>
        <w:t>Kaigorodova</w:t>
      </w:r>
      <w:r>
        <w:rPr>
          <w:rFonts w:cs="Times New Roman"/>
        </w:rPr>
        <w:t xml:space="preserve">, G.N., </w:t>
      </w:r>
      <w:r>
        <w:rPr>
          <w:rFonts w:cs="Times New Roman"/>
        </w:rPr>
        <w:t>Pyrkova</w:t>
      </w:r>
      <w:r>
        <w:rPr>
          <w:rFonts w:cs="Times New Roman"/>
        </w:rPr>
        <w:t xml:space="preserve">, G.K., </w:t>
      </w:r>
      <w:r>
        <w:rPr>
          <w:rFonts w:cs="Times New Roman"/>
        </w:rPr>
        <w:t>Alyakina</w:t>
      </w:r>
      <w:r>
        <w:rPr>
          <w:rFonts w:cs="Times New Roman"/>
        </w:rPr>
        <w:t>, D.P. and Kamalova, A.A., 2020. Management of long-term financing in a company. </w:t>
      </w:r>
      <w:r>
        <w:rPr>
          <w:rFonts w:cs="Times New Roman"/>
          <w:i/>
          <w:iCs/>
        </w:rPr>
        <w:t xml:space="preserve">Revista Turismo </w:t>
      </w:r>
      <w:r>
        <w:rPr>
          <w:rFonts w:cs="Times New Roman"/>
          <w:i/>
          <w:iCs/>
        </w:rPr>
        <w:t>Estudos</w:t>
      </w:r>
      <w:r>
        <w:rPr>
          <w:rFonts w:cs="Times New Roman"/>
          <w:i/>
          <w:iCs/>
        </w:rPr>
        <w:t xml:space="preserve"> e </w:t>
      </w:r>
      <w:r>
        <w:rPr>
          <w:rFonts w:cs="Times New Roman"/>
          <w:i/>
          <w:iCs/>
        </w:rPr>
        <w:t>Práticas</w:t>
      </w:r>
      <w:r>
        <w:rPr>
          <w:rFonts w:cs="Times New Roman"/>
          <w:i/>
          <w:iCs/>
        </w:rPr>
        <w:t>-RTEP/GEPLAT/UERN</w:t>
      </w:r>
      <w:r>
        <w:rPr>
          <w:rFonts w:cs="Times New Roman"/>
        </w:rPr>
        <w:t>, (5), pp.1-8.</w:t>
      </w:r>
    </w:p>
    <w:p>
      <w:pPr>
        <w:pStyle w:val="style0"/>
        <w:spacing w:before="240" w:after="240"/>
        <w:rPr>
          <w:rFonts w:cs="Times New Roman"/>
        </w:rPr>
      </w:pPr>
      <w:r>
        <w:rPr>
          <w:rFonts w:cs="Times New Roman"/>
        </w:rPr>
        <w:t>Nukala, V.B. and Prasada Rao, S.S., 2021. Role of debt-to-equity ratio in project investment valuation, assessing risk and return in capital markets. </w:t>
      </w:r>
      <w:r>
        <w:rPr>
          <w:rFonts w:cs="Times New Roman"/>
          <w:i/>
          <w:iCs/>
        </w:rPr>
        <w:t>Future Business Journal</w:t>
      </w:r>
      <w:r>
        <w:rPr>
          <w:rFonts w:cs="Times New Roman"/>
        </w:rPr>
        <w:t>, </w:t>
      </w:r>
      <w:r>
        <w:rPr>
          <w:rFonts w:cs="Times New Roman"/>
          <w:i/>
          <w:iCs/>
        </w:rPr>
        <w:t>7</w:t>
      </w:r>
      <w:r>
        <w:rPr>
          <w:rFonts w:cs="Times New Roman"/>
        </w:rPr>
        <w:t>(1), p.13.</w:t>
      </w:r>
    </w:p>
    <w:p>
      <w:pPr>
        <w:pStyle w:val="style0"/>
        <w:spacing w:before="240" w:after="240"/>
        <w:rPr>
          <w:rFonts w:cs="Times New Roman"/>
        </w:rPr>
      </w:pPr>
      <w:r>
        <w:rPr>
          <w:rFonts w:cs="Times New Roman"/>
        </w:rPr>
        <w:t>Potharla</w:t>
      </w:r>
      <w:r>
        <w:rPr>
          <w:rFonts w:cs="Times New Roman"/>
        </w:rPr>
        <w:t>, S., 2025. From Debt to Divestiture: How Indian and Global Firms Reshaped through Corporate Restructuring. </w:t>
      </w:r>
      <w:r>
        <w:rPr>
          <w:rFonts w:cs="Times New Roman"/>
          <w:i/>
          <w:iCs/>
        </w:rPr>
        <w:t>Available at SSRN 5348941</w:t>
      </w:r>
      <w:r>
        <w:rPr>
          <w:rFonts w:cs="Times New Roman"/>
        </w:rPr>
        <w:t>.</w:t>
      </w:r>
    </w:p>
    <w:p>
      <w:pPr>
        <w:pStyle w:val="style0"/>
        <w:spacing w:before="240" w:after="240"/>
        <w:rPr>
          <w:rFonts w:cs="Times New Roman"/>
        </w:rPr>
      </w:pPr>
      <w:r>
        <w:rPr>
          <w:rFonts w:cs="Times New Roman"/>
        </w:rPr>
        <w:t xml:space="preserve">Rest of World., 2026. </w:t>
      </w:r>
      <w:r>
        <w:rPr>
          <w:rFonts w:cs="Times New Roman"/>
          <w:i/>
          <w:iCs/>
        </w:rPr>
        <w:t>Tesla Pricing Strategy and Market Dynamics</w:t>
      </w:r>
      <w:r>
        <w:rPr>
          <w:rFonts w:cs="Times New Roman"/>
        </w:rPr>
        <w:t xml:space="preserve">. [online] Available at: </w:t>
      </w:r>
      <w:r>
        <w:rPr/>
        <w:fldChar w:fldCharType="begin"/>
      </w:r>
      <w:r>
        <w:instrText xml:space="preserve"> HYPERLINK "https://restofworld.org/2026/edtech-funding-collapse-k12-startups-ai-workforce/" \t "_new" </w:instrText>
      </w:r>
      <w:r>
        <w:rPr/>
        <w:fldChar w:fldCharType="separate"/>
      </w:r>
      <w:r>
        <w:rPr>
          <w:rStyle w:val="style85"/>
          <w:rFonts w:cs="Times New Roman"/>
        </w:rPr>
        <w:t>https://restofworld.org/2026/edtech-funding-collapse-k12-startups-ai-workforce/</w:t>
      </w:r>
      <w:r>
        <w:rPr/>
        <w:fldChar w:fldCharType="end"/>
      </w:r>
      <w:r>
        <w:rPr>
          <w:rFonts w:cs="Times New Roman"/>
        </w:rPr>
        <w:t xml:space="preserve"> [Accessed 24 Apr. 2026].</w:t>
      </w:r>
    </w:p>
    <w:p>
      <w:pPr>
        <w:pStyle w:val="style0"/>
        <w:spacing w:before="240" w:after="240"/>
        <w:rPr>
          <w:rFonts w:cs="Times New Roman"/>
        </w:rPr>
      </w:pPr>
      <w:r>
        <w:rPr>
          <w:rFonts w:cs="Times New Roman"/>
        </w:rPr>
        <w:t>Silva, P. and Moreira, A.C., 2019. A systematic review of the literature on industrial divestment. </w:t>
      </w:r>
      <w:r>
        <w:rPr>
          <w:rFonts w:cs="Times New Roman"/>
          <w:i/>
          <w:iCs/>
        </w:rPr>
        <w:t>Baltic Journal of Management</w:t>
      </w:r>
      <w:r>
        <w:rPr>
          <w:rFonts w:cs="Times New Roman"/>
        </w:rPr>
        <w:t>, </w:t>
      </w:r>
      <w:r>
        <w:rPr>
          <w:rFonts w:cs="Times New Roman"/>
          <w:i/>
          <w:iCs/>
        </w:rPr>
        <w:t>14</w:t>
      </w:r>
      <w:r>
        <w:rPr>
          <w:rFonts w:cs="Times New Roman"/>
        </w:rPr>
        <w:t>(3), pp.443-461.</w:t>
      </w:r>
    </w:p>
    <w:p>
      <w:pPr>
        <w:pStyle w:val="style0"/>
        <w:spacing w:before="240" w:after="240"/>
        <w:rPr>
          <w:rFonts w:cs="Times New Roman"/>
        </w:rPr>
      </w:pPr>
      <w:r>
        <w:rPr>
          <w:rFonts w:cs="Times New Roman"/>
        </w:rPr>
        <w:t xml:space="preserve">Sinaga, A.S., Sari, M.M., </w:t>
      </w:r>
      <w:r>
        <w:rPr>
          <w:rFonts w:cs="Times New Roman"/>
        </w:rPr>
        <w:t>Hutasuhut</w:t>
      </w:r>
      <w:r>
        <w:rPr>
          <w:rFonts w:cs="Times New Roman"/>
        </w:rPr>
        <w:t>, A.A., Zahara, S.T., Amanda, A., Fitri, A. and Caesario, M.A., 2023. Comparison of capital budgeting methods: NPV, IRR, PAYBACK PERIOD. </w:t>
      </w:r>
      <w:r>
        <w:rPr>
          <w:rFonts w:cs="Times New Roman"/>
          <w:i/>
          <w:iCs/>
        </w:rPr>
        <w:t>World Journal of Advanced Research and Reviews</w:t>
      </w:r>
      <w:r>
        <w:rPr>
          <w:rFonts w:cs="Times New Roman"/>
        </w:rPr>
        <w:t>, </w:t>
      </w:r>
      <w:r>
        <w:rPr>
          <w:rFonts w:cs="Times New Roman"/>
          <w:i/>
          <w:iCs/>
        </w:rPr>
        <w:t>19</w:t>
      </w:r>
      <w:r>
        <w:rPr>
          <w:rFonts w:cs="Times New Roman"/>
        </w:rPr>
        <w:t>(2), pp.1078-1081.</w:t>
      </w:r>
    </w:p>
    <w:p>
      <w:pPr>
        <w:pStyle w:val="style0"/>
        <w:spacing w:before="240" w:after="240"/>
        <w:rPr>
          <w:rFonts w:cs="Times New Roman"/>
        </w:rPr>
      </w:pPr>
      <w:r>
        <w:rPr>
          <w:rFonts w:cs="Times New Roman"/>
        </w:rPr>
        <w:t xml:space="preserve">Supply Chain Brain., 2024. </w:t>
      </w:r>
      <w:r>
        <w:rPr>
          <w:rFonts w:cs="Times New Roman"/>
          <w:i/>
          <w:iCs/>
        </w:rPr>
        <w:t>Tesla Faces Stiff Headwinds to Start 2024 After Months of Challenges</w:t>
      </w:r>
      <w:r>
        <w:rPr>
          <w:rFonts w:cs="Times New Roman"/>
        </w:rPr>
        <w:t xml:space="preserve">. [online] Available at: </w:t>
      </w:r>
      <w:r>
        <w:rPr/>
        <w:fldChar w:fldCharType="begin"/>
      </w:r>
      <w:r>
        <w:instrText xml:space="preserve"> HYPERLINK "https://www.supplychainbrain.com/articles/39426-tesla-faces-stiff-headwinds-to-start-2024-after-months-of-challenges" \t "_new" </w:instrText>
      </w:r>
      <w:r>
        <w:rPr/>
        <w:fldChar w:fldCharType="separate"/>
      </w:r>
      <w:r>
        <w:rPr>
          <w:rStyle w:val="style85"/>
          <w:rFonts w:cs="Times New Roman"/>
        </w:rPr>
        <w:t>https://www.supplychainbrain.com/articles/39426-tesla-faces-stiff-headwinds-to-start-2024-after-months-of-challenges</w:t>
      </w:r>
      <w:r>
        <w:rPr/>
        <w:fldChar w:fldCharType="end"/>
      </w:r>
      <w:r>
        <w:rPr>
          <w:rFonts w:cs="Times New Roman"/>
        </w:rPr>
        <w:t xml:space="preserve"> [Accessed 24 Apr. 2026].</w:t>
      </w:r>
    </w:p>
    <w:p>
      <w:pPr>
        <w:pStyle w:val="style0"/>
        <w:spacing w:before="240" w:after="240"/>
        <w:rPr>
          <w:rFonts w:cs="Times New Roman"/>
        </w:rPr>
      </w:pPr>
      <w:r>
        <w:rPr>
          <w:rFonts w:cs="Times New Roman"/>
        </w:rPr>
        <w:t xml:space="preserve">Tesla., 2024. </w:t>
      </w:r>
      <w:r>
        <w:rPr>
          <w:rFonts w:cs="Times New Roman"/>
          <w:i/>
          <w:iCs/>
        </w:rPr>
        <w:t>Tesla Impact Report 2024 Highlights</w:t>
      </w:r>
      <w:r>
        <w:rPr>
          <w:rFonts w:cs="Times New Roman"/>
        </w:rPr>
        <w:t xml:space="preserve">. [online] Available at: </w:t>
      </w:r>
      <w:r>
        <w:rPr/>
        <w:fldChar w:fldCharType="begin"/>
      </w:r>
      <w:r>
        <w:instrText xml:space="preserve"> HYPERLINK "https://www.tesla.com/ns_videos/2024-tesla-impact-report-highlights.pdf" \t "_new" </w:instrText>
      </w:r>
      <w:r>
        <w:rPr/>
        <w:fldChar w:fldCharType="separate"/>
      </w:r>
      <w:r>
        <w:rPr>
          <w:rStyle w:val="style85"/>
          <w:rFonts w:cs="Times New Roman"/>
        </w:rPr>
        <w:t>https://www.tesla.com/ns_videos/2024-tesla-impact-report-highlights.pdf</w:t>
      </w:r>
      <w:r>
        <w:rPr/>
        <w:fldChar w:fldCharType="end"/>
      </w:r>
      <w:r>
        <w:rPr>
          <w:rFonts w:cs="Times New Roman"/>
        </w:rPr>
        <w:t xml:space="preserve"> [Accessed 24 Apr. 2026].</w:t>
      </w:r>
    </w:p>
    <w:p>
      <w:pPr>
        <w:pStyle w:val="style0"/>
        <w:spacing w:before="240" w:after="240"/>
        <w:rPr>
          <w:rFonts w:cs="Times New Roman"/>
        </w:rPr>
      </w:pPr>
      <w:r>
        <w:rPr>
          <w:rFonts w:cs="Times New Roman"/>
        </w:rPr>
        <w:t xml:space="preserve">Tesla., 2025. </w:t>
      </w:r>
      <w:r>
        <w:rPr>
          <w:rFonts w:cs="Times New Roman"/>
          <w:i/>
          <w:iCs/>
        </w:rPr>
        <w:t>Annual Report 2024 (Form 10-K)</w:t>
      </w:r>
      <w:r>
        <w:rPr>
          <w:rFonts w:cs="Times New Roman"/>
        </w:rPr>
        <w:t xml:space="preserve">. [online] Available at: </w:t>
      </w:r>
      <w:r>
        <w:rPr/>
        <w:fldChar w:fldCharType="begin"/>
      </w:r>
      <w:r>
        <w:instrText xml:space="preserve"> HYPERLINK "https://ir.tesla.com/_flysystem/s3/sec/000162828025003063/tsla-20241231-gen.pdf" \t "_new" </w:instrText>
      </w:r>
      <w:r>
        <w:rPr/>
        <w:fldChar w:fldCharType="separate"/>
      </w:r>
      <w:r>
        <w:rPr>
          <w:rStyle w:val="style85"/>
          <w:rFonts w:cs="Times New Roman"/>
        </w:rPr>
        <w:t>https://ir.tesla.com/_flysystem/s3/sec/000162828025003063/tsla-20241231-gen.pdf</w:t>
      </w:r>
      <w:r>
        <w:rPr/>
        <w:fldChar w:fldCharType="end"/>
      </w:r>
      <w:r>
        <w:rPr>
          <w:rFonts w:cs="Times New Roman"/>
        </w:rPr>
        <w:t xml:space="preserve"> [Accessed 24 Apr. 2026].</w:t>
      </w:r>
    </w:p>
    <w:p>
      <w:pPr>
        <w:pStyle w:val="style0"/>
        <w:spacing w:before="240" w:after="240"/>
        <w:rPr>
          <w:rFonts w:cs="Times New Roman"/>
        </w:rPr>
      </w:pPr>
      <w:r>
        <w:rPr>
          <w:rFonts w:cs="Times New Roman"/>
        </w:rPr>
        <w:t xml:space="preserve">Tesla., 2026. </w:t>
      </w:r>
      <w:r>
        <w:rPr>
          <w:rFonts w:cs="Times New Roman"/>
          <w:i/>
          <w:iCs/>
        </w:rPr>
        <w:t>About Tesla</w:t>
      </w:r>
      <w:r>
        <w:rPr>
          <w:rFonts w:cs="Times New Roman"/>
        </w:rPr>
        <w:t xml:space="preserve">. [online] Available at: </w:t>
      </w:r>
      <w:r>
        <w:rPr/>
        <w:fldChar w:fldCharType="begin"/>
      </w:r>
      <w:r>
        <w:instrText xml:space="preserve"> HYPERLINK "https://www.tesla.com/about" \t "_new" </w:instrText>
      </w:r>
      <w:r>
        <w:rPr/>
        <w:fldChar w:fldCharType="separate"/>
      </w:r>
      <w:r>
        <w:rPr>
          <w:rStyle w:val="style85"/>
          <w:rFonts w:cs="Times New Roman"/>
        </w:rPr>
        <w:t>https://www.tesla.com/about</w:t>
      </w:r>
      <w:r>
        <w:rPr/>
        <w:fldChar w:fldCharType="end"/>
      </w:r>
      <w:r>
        <w:rPr>
          <w:rFonts w:cs="Times New Roman"/>
        </w:rPr>
        <w:t xml:space="preserve"> [Accessed 24 Apr. 2026].</w:t>
      </w:r>
    </w:p>
    <w:p>
      <w:pPr>
        <w:pStyle w:val="style0"/>
        <w:spacing w:before="240" w:after="240"/>
        <w:rPr>
          <w:rFonts w:cs="Times New Roman"/>
        </w:rPr>
      </w:pPr>
      <w:r>
        <w:rPr>
          <w:rFonts w:cs="Times New Roman"/>
        </w:rPr>
        <w:t xml:space="preserve">Tesla., 2026. </w:t>
      </w:r>
      <w:r>
        <w:rPr>
          <w:rFonts w:cs="Times New Roman"/>
          <w:i/>
          <w:iCs/>
        </w:rPr>
        <w:t>Annual Report 2025 (Form 10-K)</w:t>
      </w:r>
      <w:r>
        <w:rPr>
          <w:rFonts w:cs="Times New Roman"/>
        </w:rPr>
        <w:t xml:space="preserve">. [online] Available at: </w:t>
      </w:r>
      <w:r>
        <w:rPr/>
        <w:fldChar w:fldCharType="begin"/>
      </w:r>
      <w:r>
        <w:instrText xml:space="preserve"> HYPERLINK "https://ir.tesla.com/_flysystem/s3/sec/000162828026003952/tsla-20251231-gen.pdf" \t "_new" </w:instrText>
      </w:r>
      <w:r>
        <w:rPr/>
        <w:fldChar w:fldCharType="separate"/>
      </w:r>
      <w:r>
        <w:rPr>
          <w:rStyle w:val="style85"/>
          <w:rFonts w:cs="Times New Roman"/>
        </w:rPr>
        <w:t>https://ir.tesla.com/_flysystem/s3/sec/000162828026003952/tsla-20251231-gen.pdf</w:t>
      </w:r>
      <w:r>
        <w:rPr/>
        <w:fldChar w:fldCharType="end"/>
      </w:r>
      <w:r>
        <w:rPr>
          <w:rFonts w:cs="Times New Roman"/>
        </w:rPr>
        <w:t xml:space="preserve"> [Accessed 24 Apr. 2026].</w:t>
      </w:r>
    </w:p>
    <w:p>
      <w:pPr>
        <w:pStyle w:val="style0"/>
        <w:spacing w:before="240" w:after="240"/>
        <w:rPr>
          <w:rFonts w:cs="Times New Roman"/>
        </w:rPr>
      </w:pPr>
      <w:r>
        <w:rPr>
          <w:rFonts w:cs="Times New Roman"/>
        </w:rPr>
        <w:t xml:space="preserve">Tesla., 2026. </w:t>
      </w:r>
      <w:r>
        <w:rPr>
          <w:rFonts w:cs="Times New Roman"/>
          <w:i/>
          <w:iCs/>
        </w:rPr>
        <w:t>Quarterly Report 2026 (Form 10-Q)</w:t>
      </w:r>
      <w:r>
        <w:rPr>
          <w:rFonts w:cs="Times New Roman"/>
        </w:rPr>
        <w:t xml:space="preserve">. [online] Available at: </w:t>
      </w:r>
      <w:r>
        <w:rPr/>
        <w:fldChar w:fldCharType="begin"/>
      </w:r>
      <w:r>
        <w:instrText xml:space="preserve"> HYPERLINK "https://ir.tesla.com/_flysystem/s3/sec/000162828026026551/tsla-20260422-gen.pdf" \t "_new" </w:instrText>
      </w:r>
      <w:r>
        <w:rPr/>
        <w:fldChar w:fldCharType="separate"/>
      </w:r>
      <w:r>
        <w:rPr>
          <w:rStyle w:val="style85"/>
          <w:rFonts w:cs="Times New Roman"/>
        </w:rPr>
        <w:t>https://ir.tesla.com/_flysystem/s3/sec/000162828026026551/tsla-20260422-gen.pdf</w:t>
      </w:r>
      <w:r>
        <w:rPr/>
        <w:fldChar w:fldCharType="end"/>
      </w:r>
      <w:r>
        <w:rPr>
          <w:rFonts w:cs="Times New Roman"/>
        </w:rPr>
        <w:t xml:space="preserve"> [Accessed 24 Apr. 2026].</w:t>
      </w:r>
    </w:p>
    <w:p>
      <w:pPr>
        <w:pStyle w:val="style0"/>
        <w:spacing w:before="240" w:after="240"/>
        <w:rPr>
          <w:rFonts w:cs="Times New Roman"/>
        </w:rPr>
      </w:pPr>
      <w:r>
        <w:rPr>
          <w:rFonts w:cs="Times New Roman"/>
        </w:rPr>
        <w:t xml:space="preserve">Wall Street Journal., 2026. </w:t>
      </w:r>
      <w:r>
        <w:rPr>
          <w:rFonts w:cs="Times New Roman"/>
          <w:i/>
          <w:iCs/>
        </w:rPr>
        <w:t>Tesla Inc. Financial Statements</w:t>
      </w:r>
      <w:r>
        <w:rPr>
          <w:rFonts w:cs="Times New Roman"/>
        </w:rPr>
        <w:t xml:space="preserve">. [online] Available at: </w:t>
      </w:r>
      <w:r>
        <w:rPr/>
        <w:fldChar w:fldCharType="begin"/>
      </w:r>
      <w:r>
        <w:instrText xml:space="preserve"> HYPERLINK "https://www.wsj.com/market-data/quotes/TSLA/financials/annual/income-statement" \t "_new" </w:instrText>
      </w:r>
      <w:r>
        <w:rPr/>
        <w:fldChar w:fldCharType="separate"/>
      </w:r>
      <w:r>
        <w:rPr>
          <w:rStyle w:val="style85"/>
          <w:rFonts w:cs="Times New Roman"/>
        </w:rPr>
        <w:t>https://www.wsj.com/market-data/quotes/TSLA/financials/annual/income-statement</w:t>
      </w:r>
      <w:r>
        <w:rPr/>
        <w:fldChar w:fldCharType="end"/>
      </w:r>
      <w:r>
        <w:rPr>
          <w:rFonts w:cs="Times New Roman"/>
        </w:rPr>
        <w:t xml:space="preserve"> [Accessed 24 Apr. 2026].</w:t>
      </w:r>
    </w:p>
    <w:p>
      <w:pPr>
        <w:pStyle w:val="style0"/>
        <w:spacing w:before="240" w:after="240"/>
        <w:rPr>
          <w:rFonts w:cs="Times New Roman"/>
        </w:rPr>
      </w:pPr>
      <w:r>
        <w:rPr>
          <w:rFonts w:cs="Times New Roman"/>
        </w:rPr>
        <w:t>Wangchuk, P., 2022. Application of depreciation net present value and internal rate of return in engineering projects a brief literature review. </w:t>
      </w:r>
      <w:r>
        <w:rPr>
          <w:rFonts w:cs="Times New Roman"/>
          <w:i/>
          <w:iCs/>
        </w:rPr>
        <w:t>Journal of Applied Engineering, Technology and Management</w:t>
      </w:r>
      <w:r>
        <w:rPr>
          <w:rFonts w:cs="Times New Roman"/>
        </w:rPr>
        <w:t>, </w:t>
      </w:r>
      <w:r>
        <w:rPr>
          <w:rFonts w:cs="Times New Roman"/>
          <w:i/>
          <w:iCs/>
        </w:rPr>
        <w:t>2</w:t>
      </w:r>
      <w:r>
        <w:rPr>
          <w:rFonts w:cs="Times New Roman"/>
        </w:rPr>
        <w:t>(1), pp.25-30.</w:t>
      </w:r>
    </w:p>
    <w:p>
      <w:pPr>
        <w:pStyle w:val="style0"/>
        <w:spacing w:before="240" w:after="240"/>
        <w:rPr>
          <w:rFonts w:cs="Times New Roman"/>
        </w:rPr>
      </w:pPr>
      <w:r>
        <w:rPr>
          <w:rFonts w:cs="Times New Roman"/>
        </w:rPr>
        <w:t xml:space="preserve">Yahoo Finance., 2026. </w:t>
      </w:r>
      <w:r>
        <w:rPr>
          <w:rFonts w:cs="Times New Roman"/>
          <w:i/>
          <w:iCs/>
        </w:rPr>
        <w:t>Tesla, Inc. (TSLA) Financials</w:t>
      </w:r>
      <w:r>
        <w:rPr>
          <w:rFonts w:cs="Times New Roman"/>
        </w:rPr>
        <w:t xml:space="preserve">. [online] Available at: </w:t>
      </w:r>
      <w:r>
        <w:rPr/>
        <w:fldChar w:fldCharType="begin"/>
      </w:r>
      <w:r>
        <w:instrText xml:space="preserve"> HYPERLINK "https://finance.yahoo.com/quote/TSLA/financials/" \t "_new" </w:instrText>
      </w:r>
      <w:r>
        <w:rPr/>
        <w:fldChar w:fldCharType="separate"/>
      </w:r>
      <w:r>
        <w:rPr>
          <w:rStyle w:val="style85"/>
          <w:rFonts w:cs="Times New Roman"/>
        </w:rPr>
        <w:t>https://finance.yahoo.com/quote/TSLA/financials/</w:t>
      </w:r>
      <w:r>
        <w:rPr/>
        <w:fldChar w:fldCharType="end"/>
      </w:r>
      <w:r>
        <w:rPr>
          <w:rFonts w:cs="Times New Roman"/>
        </w:rPr>
        <w:t xml:space="preserve"> [Accessed 24 Apr. 2026].</w:t>
      </w:r>
    </w:p>
    <w:p>
      <w:pPr>
        <w:pStyle w:val="style0"/>
        <w:spacing w:before="240" w:after="240"/>
        <w:rPr>
          <w:rFonts w:cs="Times New Roman"/>
        </w:rPr>
      </w:pPr>
      <w:r>
        <w:rPr>
          <w:rFonts w:cs="Times New Roman"/>
        </w:rPr>
        <w:t xml:space="preserve">Yahoo Finance., 2026. </w:t>
      </w:r>
      <w:r>
        <w:rPr>
          <w:rFonts w:cs="Times New Roman"/>
          <w:i/>
          <w:iCs/>
        </w:rPr>
        <w:t>Tesla, Inc. (TSLA) Key Statistics</w:t>
      </w:r>
      <w:r>
        <w:rPr>
          <w:rFonts w:cs="Times New Roman"/>
        </w:rPr>
        <w:t xml:space="preserve">. [online] Available at: </w:t>
      </w:r>
      <w:r>
        <w:rPr/>
        <w:fldChar w:fldCharType="begin"/>
      </w:r>
      <w:r>
        <w:instrText xml:space="preserve"> HYPERLINK "https://finance.yahoo.com/quote/TSLA/key-statistics/" \t "_new" </w:instrText>
      </w:r>
      <w:r>
        <w:rPr/>
        <w:fldChar w:fldCharType="separate"/>
      </w:r>
      <w:r>
        <w:rPr>
          <w:rStyle w:val="style85"/>
          <w:rFonts w:cs="Times New Roman"/>
        </w:rPr>
        <w:t>https://finance.yahoo.com/quote/TSLA/key-statistics/</w:t>
      </w:r>
      <w:r>
        <w:rPr/>
        <w:fldChar w:fldCharType="end"/>
      </w:r>
      <w:r>
        <w:rPr>
          <w:rFonts w:cs="Times New Roman"/>
        </w:rPr>
        <w:t xml:space="preserve"> [Accessed 24 Apr. 2026].</w:t>
      </w:r>
    </w:p>
    <w:p>
      <w:pPr>
        <w:pStyle w:val="style0"/>
        <w:spacing w:before="240" w:after="240"/>
        <w:jc w:val="left"/>
        <w:rPr>
          <w:rFonts w:cs="Times New Roman"/>
        </w:rPr>
      </w:pPr>
      <w:r>
        <w:rPr>
          <w:rFonts w:cs="Times New Roman"/>
        </w:rPr>
        <w:br w:type="page"/>
      </w:r>
    </w:p>
    <w:bookmarkStart w:id="7" w:name="_Toc227946711"/>
    <w:p>
      <w:pPr>
        <w:pStyle w:val="style1"/>
        <w:spacing w:before="240" w:after="240"/>
        <w:rPr>
          <w:rFonts w:cs="Times New Roman"/>
        </w:rPr>
      </w:pPr>
      <w:r>
        <w:rPr>
          <w:rFonts w:cs="Times New Roman"/>
        </w:rPr>
        <w:t>Appendix</w:t>
      </w:r>
      <w:bookmarkEnd w:id="7"/>
    </w:p>
    <w:p>
      <w:pPr>
        <w:pStyle w:val="style0"/>
        <w:spacing w:before="240" w:after="240"/>
        <w:rPr>
          <w:rFonts w:cs="Times New Roman"/>
        </w:rPr>
      </w:pPr>
      <w:r>
        <w:rPr>
          <w:rFonts w:cs="Times New Roman"/>
        </w:rPr>
        <w:t>Proposal evaluation</w:t>
      </w:r>
    </w:p>
    <w:p>
      <w:pPr>
        <w:pStyle w:val="style0"/>
        <w:spacing w:before="240" w:after="240"/>
        <w:rPr>
          <w:rFonts w:cs="Times New Roman"/>
        </w:rPr>
      </w:pPr>
      <w:r>
        <w:rPr>
          <w:rFonts w:cs="Times New Roman"/>
        </w:rPr>
        <w:drawing>
          <wp:inline distL="0" distT="0" distB="0" distR="0">
            <wp:extent cx="5943600" cy="3533140"/>
            <wp:effectExtent l="0" t="0" r="0" b="0"/>
            <wp:docPr id="1055"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 name="Picture 1"/>
                    <pic:cNvPicPr/>
                  </pic:nvPicPr>
                  <pic:blipFill>
                    <a:blip r:embed="rId29" cstate="print"/>
                    <a:srcRect l="0" t="0" r="0" b="0"/>
                    <a:stretch/>
                  </pic:blipFill>
                  <pic:spPr>
                    <a:xfrm rot="0">
                      <a:off x="0" y="0"/>
                      <a:ext cx="5943600" cy="3533140"/>
                    </a:xfrm>
                    <a:prstGeom prst="rect"/>
                  </pic:spPr>
                </pic:pic>
              </a:graphicData>
            </a:graphic>
          </wp:inline>
        </w:drawing>
      </w:r>
    </w:p>
    <w:p>
      <w:pPr>
        <w:pStyle w:val="style0"/>
        <w:spacing w:before="240" w:after="240"/>
        <w:rPr>
          <w:rFonts w:cs="Times New Roman"/>
        </w:rPr>
      </w:pPr>
      <w:r>
        <w:rPr>
          <w:rFonts w:cs="Times New Roman"/>
        </w:rPr>
        <w:t>Financial evaluation</w:t>
      </w:r>
    </w:p>
    <w:p>
      <w:pPr>
        <w:pStyle w:val="style0"/>
        <w:spacing w:before="240" w:after="240"/>
        <w:rPr>
          <w:rFonts w:cs="Times New Roman"/>
        </w:rPr>
      </w:pPr>
      <w:r>
        <w:rPr>
          <w:rFonts w:cs="Times New Roman"/>
        </w:rPr>
        <w:drawing>
          <wp:inline distL="0" distT="0" distB="0" distR="0">
            <wp:extent cx="3242310" cy="8229600"/>
            <wp:effectExtent l="0" t="0" r="0" b="0"/>
            <wp:docPr id="1056" name="Picture 3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 name="Picture 32"/>
                    <pic:cNvPicPr/>
                  </pic:nvPicPr>
                  <pic:blipFill>
                    <a:blip r:embed="rId30" cstate="print"/>
                    <a:srcRect l="0" t="0" r="0" b="0"/>
                    <a:stretch/>
                  </pic:blipFill>
                  <pic:spPr>
                    <a:xfrm rot="0">
                      <a:off x="0" y="0"/>
                      <a:ext cx="3242310" cy="8229600"/>
                    </a:xfrm>
                    <a:prstGeom prst="rect"/>
                    <a:ln>
                      <a:noFill/>
                    </a:ln>
                  </pic:spPr>
                </pic:pic>
              </a:graphicData>
            </a:graphic>
          </wp:inline>
        </w:drawing>
      </w:r>
    </w:p>
    <w:p>
      <w:pPr>
        <w:pStyle w:val="style0"/>
        <w:spacing w:before="240" w:after="240"/>
        <w:rPr>
          <w:rFonts w:cs="Times New Roman"/>
        </w:rPr>
      </w:pPr>
      <w:r>
        <w:rPr>
          <w:rFonts w:cs="Times New Roman"/>
        </w:rPr>
        <w:drawing>
          <wp:inline distL="0" distT="0" distB="0" distR="0">
            <wp:extent cx="5943600" cy="5305425"/>
            <wp:effectExtent l="0" t="0" r="0" b="9525"/>
            <wp:docPr id="1057" name="Picture 3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 name="Picture 33"/>
                    <pic:cNvPicPr/>
                  </pic:nvPicPr>
                  <pic:blipFill>
                    <a:blip r:embed="rId31" cstate="print"/>
                    <a:srcRect l="0" t="0" r="0" b="0"/>
                    <a:stretch/>
                  </pic:blipFill>
                  <pic:spPr>
                    <a:xfrm rot="0">
                      <a:off x="0" y="0"/>
                      <a:ext cx="5943600" cy="5305425"/>
                    </a:xfrm>
                    <a:prstGeom prst="rect"/>
                    <a:ln>
                      <a:noFill/>
                    </a:ln>
                  </pic:spPr>
                </pic:pic>
              </a:graphicData>
            </a:graphic>
          </wp:inline>
        </w:drawing>
      </w:r>
    </w:p>
    <w:p>
      <w:pPr>
        <w:pStyle w:val="style0"/>
        <w:spacing w:before="240" w:after="240"/>
        <w:rPr>
          <w:rFonts w:cs="Times New Roman"/>
        </w:rPr>
      </w:pPr>
      <w:r>
        <w:rPr>
          <w:rFonts w:cs="Times New Roman"/>
        </w:rPr>
        <w:drawing>
          <wp:inline distL="0" distT="0" distB="0" distR="0">
            <wp:extent cx="4578985" cy="7344410"/>
            <wp:effectExtent l="0" t="0" r="0" b="8890"/>
            <wp:docPr id="1058" name="Picture 3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 name="Picture 34"/>
                    <pic:cNvPicPr/>
                  </pic:nvPicPr>
                  <pic:blipFill>
                    <a:blip r:embed="rId32" cstate="print"/>
                    <a:srcRect l="0" t="0" r="0" b="0"/>
                    <a:stretch/>
                  </pic:blipFill>
                  <pic:spPr>
                    <a:xfrm rot="0">
                      <a:off x="0" y="0"/>
                      <a:ext cx="4578985" cy="7344410"/>
                    </a:xfrm>
                    <a:prstGeom prst="rect"/>
                    <a:ln>
                      <a:noFill/>
                    </a:ln>
                  </pic:spPr>
                </pic:pic>
              </a:graphicData>
            </a:graphic>
          </wp:inline>
        </w:drawing>
      </w:r>
    </w:p>
    <w:p>
      <w:pPr>
        <w:pStyle w:val="style0"/>
        <w:spacing w:before="240" w:after="240"/>
        <w:rPr>
          <w:rFonts w:cs="Times New Roman"/>
        </w:rPr>
      </w:pPr>
    </w:p>
    <w:p>
      <w:pPr>
        <w:pStyle w:val="style0"/>
        <w:spacing w:before="240" w:after="240"/>
        <w:rPr>
          <w:rFonts w:cs="Times New Roman"/>
        </w:rPr>
      </w:pPr>
    </w:p>
    <w:sectPr>
      <w:footerReference w:type="default" r:id="rId33"/>
      <w:pgSz w:w="12240" w:h="15840" w:orient="portrait"/>
      <w:pgMar w:top="1440" w:right="1440" w:bottom="1440" w:left="1440" w:header="720" w:footer="720" w:gutter="0"/>
      <w:pgBorders w:zOrder="front" w:display="allPages" w:offsetFrom="page">
        <w:top w:val="thickThinLargeGap" w:sz="24" w:space="24" w:color="auto"/>
        <w:left w:val="thickThinLargeGap" w:sz="24" w:space="24" w:color="auto"/>
        <w:bottom w:val="thinThickLargeGap" w:sz="24" w:space="24" w:color="auto"/>
        <w:right w:val="thinThickLarge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ptos">
    <w:altName w:val="Aptos"/>
    <w:panose1 w:val="00000000000000000000"/>
    <w:charset w:val="00"/>
    <w:family w:val="swiss"/>
    <w:pitch w:val="variable"/>
    <w:sig w:usb0="20000287" w:usb1="00000003" w:usb2="00000000" w:usb3="00000000" w:csb0="0000019F" w:csb1="00000000"/>
  </w:font>
  <w:font w:name="Aptos Display">
    <w:altName w:val="Aptos Display"/>
    <w:panose1 w:val="00000000000000000000"/>
    <w:charset w:val="00"/>
    <w:family w:val="swiss"/>
    <w:pitch w:val="variable"/>
    <w:sig w:usb0="20000287" w:usb1="00000003" w:usb2="00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lang w:val="en-GB"/>
      </w:rPr>
      <w:t xml:space="preserve">Page | </w:t>
    </w:r>
    <w:r>
      <w:rPr/>
      <w:fldChar w:fldCharType="begin"/>
    </w:r>
    <w:r>
      <w:instrText>PAGE   \* MERGEFORMAT</w:instrText>
    </w:r>
    <w:r>
      <w:rPr/>
      <w:fldChar w:fldCharType="separate"/>
    </w:r>
    <w:r>
      <w:rPr>
        <w:lang w:val="en-GB"/>
      </w:rPr>
      <w:t>2</w:t>
    </w:r>
    <w:r>
      <w:rPr/>
      <w:fldChar w:fldCharType="end"/>
    </w:r>
    <w:r>
      <w:rPr>
        <w:lang w:val="en-GB"/>
      </w:rPr>
      <w:t xml:space="preserve"> </w:t>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D09EBEC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
    <w:nsid w:val="00000001"/>
    <w:multiLevelType w:val="multilevel"/>
    <w:tmpl w:val="2960BA7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
    <w:nsid w:val="00000002"/>
    <w:multiLevelType w:val="multilevel"/>
    <w:tmpl w:val="A1EC53A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
    <w:nsid w:val="00000003"/>
    <w:multiLevelType w:val="multilevel"/>
    <w:tmpl w:val="22D80A5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
    <w:nsid w:val="00000004"/>
    <w:multiLevelType w:val="multilevel"/>
    <w:tmpl w:val="EA6CEC5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multilevel"/>
    <w:tmpl w:val="B008BE6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
    <w:nsid w:val="00000006"/>
    <w:multiLevelType w:val="multilevel"/>
    <w:tmpl w:val="7E62D9B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
    <w:nsid w:val="00000007"/>
    <w:multiLevelType w:val="multilevel"/>
    <w:tmpl w:val="9B4EA24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
    <w:nsid w:val="00000008"/>
    <w:multiLevelType w:val="multilevel"/>
    <w:tmpl w:val="01E0515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7"/>
  </w:num>
  <w:num w:numId="2">
    <w:abstractNumId w:val="4"/>
  </w:num>
  <w:num w:numId="3">
    <w:abstractNumId w:val="5"/>
  </w:num>
  <w:num w:numId="4">
    <w:abstractNumId w:val="8"/>
  </w:num>
  <w:num w:numId="5">
    <w:abstractNumId w:val="1"/>
  </w:num>
  <w:num w:numId="6">
    <w:abstractNumId w:val="3"/>
  </w:num>
  <w:num w:numId="7">
    <w:abstractNumId w:val="0"/>
  </w:num>
  <w:num w:numId="8">
    <w:abstractNumId w:val="2"/>
  </w:num>
  <w:num w:numId="9">
    <w:abstractNumId w:val="6"/>
  </w:num>
</w:numbering>
</file>

<file path=word/settings.xml><?xml version="1.0" encoding="utf-8"?>
<w:settings xmlns:w="http://schemas.openxmlformats.org/wordprocessingml/2006/main" xmlns:r="http://schemas.openxmlformats.org/officeDocument/2006/relationships" xmlns:m="http://schemas.openxmlformats.org/officeDocument/2006/math">
  <w:zoom w:percent="82"/>
  <w:removePersonalInformation/>
  <w:removeDateAndTime/>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宋体" w:eastAsia="Aptos" w:hAnsi="Aptos"/>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spacing w:lineRule="auto" w:line="360"/>
      <w:jc w:val="both"/>
    </w:pPr>
    <w:rPr>
      <w:rFonts w:ascii="Times New Roman" w:hAnsi="Times New Roman"/>
    </w:rPr>
  </w:style>
  <w:style w:type="paragraph" w:styleId="style1">
    <w:name w:val="heading 1"/>
    <w:basedOn w:val="style0"/>
    <w:next w:val="style0"/>
    <w:link w:val="style4097"/>
    <w:qFormat/>
    <w:uiPriority w:val="9"/>
    <w:pPr>
      <w:keepNext/>
      <w:keepLines/>
      <w:spacing w:before="360" w:after="80"/>
      <w:outlineLvl w:val="0"/>
    </w:pPr>
    <w:rPr>
      <w:rFonts w:cs="宋体" w:eastAsia="宋体"/>
      <w:b/>
      <w:color w:val="00000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宋体" w:eastAsia="宋体"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ascii="Aptos" w:cs="宋体" w:eastAsia="宋体" w:hAnsi="Aptos"/>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ascii="Aptos" w:cs="宋体" w:eastAsia="宋体" w:hAnsi="Aptos"/>
      <w:i/>
      <w:iCs/>
      <w:color w:val="0f4761"/>
    </w:rPr>
  </w:style>
  <w:style w:type="paragraph" w:styleId="style5">
    <w:name w:val="heading 5"/>
    <w:basedOn w:val="style0"/>
    <w:next w:val="style0"/>
    <w:link w:val="style4101"/>
    <w:qFormat/>
    <w:uiPriority w:val="9"/>
    <w:pPr>
      <w:keepNext/>
      <w:keepLines/>
      <w:spacing w:before="80" w:after="40"/>
      <w:outlineLvl w:val="4"/>
    </w:pPr>
    <w:rPr>
      <w:rFonts w:ascii="Aptos" w:cs="宋体" w:eastAsia="宋体" w:hAnsi="Aptos"/>
      <w:color w:val="0f4761"/>
    </w:rPr>
  </w:style>
  <w:style w:type="paragraph" w:styleId="style6">
    <w:name w:val="heading 6"/>
    <w:basedOn w:val="style0"/>
    <w:next w:val="style0"/>
    <w:link w:val="style4102"/>
    <w:qFormat/>
    <w:uiPriority w:val="9"/>
    <w:pPr>
      <w:keepNext/>
      <w:keepLines/>
      <w:spacing w:before="40" w:after="0"/>
      <w:outlineLvl w:val="5"/>
    </w:pPr>
    <w:rPr>
      <w:rFonts w:ascii="Aptos" w:cs="宋体" w:eastAsia="宋体" w:hAnsi="Aptos"/>
      <w:i/>
      <w:iCs/>
      <w:color w:val="595959"/>
    </w:rPr>
  </w:style>
  <w:style w:type="paragraph" w:styleId="style7">
    <w:name w:val="heading 7"/>
    <w:basedOn w:val="style0"/>
    <w:next w:val="style0"/>
    <w:link w:val="style4103"/>
    <w:qFormat/>
    <w:uiPriority w:val="9"/>
    <w:pPr>
      <w:keepNext/>
      <w:keepLines/>
      <w:spacing w:before="40" w:after="0"/>
      <w:outlineLvl w:val="6"/>
    </w:pPr>
    <w:rPr>
      <w:rFonts w:ascii="Aptos" w:cs="宋体" w:eastAsia="宋体" w:hAnsi="Aptos"/>
      <w:color w:val="595959"/>
    </w:rPr>
  </w:style>
  <w:style w:type="paragraph" w:styleId="style8">
    <w:name w:val="heading 8"/>
    <w:basedOn w:val="style0"/>
    <w:next w:val="style0"/>
    <w:link w:val="style4104"/>
    <w:qFormat/>
    <w:uiPriority w:val="9"/>
    <w:pPr>
      <w:keepNext/>
      <w:keepLines/>
      <w:spacing w:after="0"/>
      <w:outlineLvl w:val="7"/>
    </w:pPr>
    <w:rPr>
      <w:rFonts w:ascii="Aptos" w:cs="宋体" w:eastAsia="宋体" w:hAnsi="Aptos"/>
      <w:i/>
      <w:iCs/>
      <w:color w:val="272727"/>
    </w:rPr>
  </w:style>
  <w:style w:type="paragraph" w:styleId="style9">
    <w:name w:val="heading 9"/>
    <w:basedOn w:val="style0"/>
    <w:next w:val="style0"/>
    <w:link w:val="style4105"/>
    <w:qFormat/>
    <w:uiPriority w:val="9"/>
    <w:pPr>
      <w:keepNext/>
      <w:keepLines/>
      <w:spacing w:after="0"/>
      <w:outlineLvl w:val="8"/>
    </w:pPr>
    <w:rPr>
      <w:rFonts w:ascii="Aptos" w:cs="宋体" w:eastAsia="宋体" w:hAnsi="Aptos"/>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47bf21f3-7c99-4f2a-b3f4-577c921a6035"/>
    <w:basedOn w:val="style65"/>
    <w:next w:val="style4097"/>
    <w:link w:val="style1"/>
    <w:uiPriority w:val="9"/>
    <w:rPr>
      <w:rFonts w:ascii="Times New Roman" w:cs="宋体" w:eastAsia="宋体" w:hAnsi="Times New Roman"/>
      <w:b/>
      <w:color w:val="000000"/>
      <w:szCs w:val="40"/>
    </w:rPr>
  </w:style>
  <w:style w:type="character" w:customStyle="1" w:styleId="style4098">
    <w:name w:val="Heading 2 Char_9de34b4f-5c18-454c-a8ed-1dfac5b7481e"/>
    <w:basedOn w:val="style65"/>
    <w:next w:val="style4098"/>
    <w:link w:val="style2"/>
    <w:uiPriority w:val="9"/>
    <w:rPr>
      <w:rFonts w:ascii="Aptos Display" w:cs="宋体" w:eastAsia="宋体" w:hAnsi="Aptos Display"/>
      <w:color w:val="0f4761"/>
      <w:sz w:val="32"/>
      <w:szCs w:val="32"/>
    </w:rPr>
  </w:style>
  <w:style w:type="character" w:customStyle="1" w:styleId="style4099">
    <w:name w:val="Heading 3 Char_7c9bfd83-1e2d-43e7-b5dd-8acdcdd3aa19"/>
    <w:basedOn w:val="style65"/>
    <w:next w:val="style4099"/>
    <w:link w:val="style3"/>
    <w:uiPriority w:val="9"/>
    <w:rPr>
      <w:rFonts w:cs="宋体" w:eastAsia="宋体"/>
      <w:color w:val="0f4761"/>
      <w:sz w:val="28"/>
      <w:szCs w:val="28"/>
    </w:rPr>
  </w:style>
  <w:style w:type="character" w:customStyle="1" w:styleId="style4100">
    <w:name w:val="Heading 4 Char_9772b8bf-e765-4a12-ae41-0f4e07b33605"/>
    <w:basedOn w:val="style65"/>
    <w:next w:val="style4100"/>
    <w:link w:val="style4"/>
    <w:uiPriority w:val="9"/>
    <w:rPr>
      <w:rFonts w:cs="宋体" w:eastAsia="宋体"/>
      <w:i/>
      <w:iCs/>
      <w:color w:val="0f4761"/>
    </w:rPr>
  </w:style>
  <w:style w:type="character" w:customStyle="1" w:styleId="style4101">
    <w:name w:val="Heading 5 Char_6aeaee53-4584-4708-9c1b-c8a91677d551"/>
    <w:basedOn w:val="style65"/>
    <w:next w:val="style4101"/>
    <w:link w:val="style5"/>
    <w:uiPriority w:val="9"/>
    <w:rPr>
      <w:rFonts w:cs="宋体" w:eastAsia="宋体"/>
      <w:color w:val="0f4761"/>
    </w:rPr>
  </w:style>
  <w:style w:type="character" w:customStyle="1" w:styleId="style4102">
    <w:name w:val="Heading 6 Char_0df08b6c-bc95-4c4c-8e1b-8da05e29146a"/>
    <w:basedOn w:val="style65"/>
    <w:next w:val="style4102"/>
    <w:link w:val="style6"/>
    <w:uiPriority w:val="9"/>
    <w:rPr>
      <w:rFonts w:cs="宋体" w:eastAsia="宋体"/>
      <w:i/>
      <w:iCs/>
      <w:color w:val="595959"/>
    </w:rPr>
  </w:style>
  <w:style w:type="character" w:customStyle="1" w:styleId="style4103">
    <w:name w:val="Heading 7 Char_abfd9cb6-585e-4671-ac6f-e68e10eb768e"/>
    <w:basedOn w:val="style65"/>
    <w:next w:val="style4103"/>
    <w:link w:val="style7"/>
    <w:uiPriority w:val="9"/>
    <w:rPr>
      <w:rFonts w:cs="宋体" w:eastAsia="宋体"/>
      <w:color w:val="595959"/>
    </w:rPr>
  </w:style>
  <w:style w:type="character" w:customStyle="1" w:styleId="style4104">
    <w:name w:val="Heading 8 Char_20717292-e54f-4c07-af41-d08ec3b1ac5a"/>
    <w:basedOn w:val="style65"/>
    <w:next w:val="style4104"/>
    <w:link w:val="style8"/>
    <w:uiPriority w:val="9"/>
    <w:rPr>
      <w:rFonts w:cs="宋体" w:eastAsia="宋体"/>
      <w:i/>
      <w:iCs/>
      <w:color w:val="272727"/>
    </w:rPr>
  </w:style>
  <w:style w:type="character" w:customStyle="1" w:styleId="style4105">
    <w:name w:val="Heading 9 Char_e4fb40ad-970c-409b-b9e8-399b7664a81e"/>
    <w:basedOn w:val="style65"/>
    <w:next w:val="style4105"/>
    <w:link w:val="style9"/>
    <w:uiPriority w:val="9"/>
    <w:rPr>
      <w:rFonts w:cs="宋体" w:eastAsia="宋体"/>
      <w:color w:val="272727"/>
    </w:rPr>
  </w:style>
  <w:style w:type="paragraph" w:styleId="style62">
    <w:name w:val="Title"/>
    <w:basedOn w:val="style0"/>
    <w:next w:val="style0"/>
    <w:link w:val="style4106"/>
    <w:qFormat/>
    <w:uiPriority w:val="10"/>
    <w:pPr>
      <w:spacing w:after="80" w:lineRule="auto" w:line="240"/>
      <w:contextualSpacing/>
    </w:pPr>
    <w:rPr>
      <w:rFonts w:ascii="Aptos Display" w:cs="宋体" w:eastAsia="宋体" w:hAnsi="Aptos Display"/>
      <w:spacing w:val="-10"/>
      <w:kern w:val="28"/>
      <w:sz w:val="56"/>
      <w:szCs w:val="56"/>
    </w:rPr>
  </w:style>
  <w:style w:type="character" w:customStyle="1" w:styleId="style4106">
    <w:name w:val="Title Char_909562f7-5180-48f5-bf38-305cf8d3a2ef"/>
    <w:basedOn w:val="style65"/>
    <w:next w:val="style4106"/>
    <w:link w:val="style62"/>
    <w:uiPriority w:val="10"/>
    <w:rPr>
      <w:rFonts w:ascii="Aptos Display" w:cs="宋体"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ascii="Aptos" w:cs="宋体" w:eastAsia="宋体" w:hAnsi="Aptos"/>
      <w:color w:val="595959"/>
      <w:spacing w:val="15"/>
      <w:sz w:val="28"/>
      <w:szCs w:val="28"/>
    </w:rPr>
  </w:style>
  <w:style w:type="character" w:customStyle="1" w:styleId="style4107">
    <w:name w:val="Subtitle Char"/>
    <w:basedOn w:val="style65"/>
    <w:next w:val="style4107"/>
    <w:link w:val="style74"/>
    <w:uiPriority w:val="11"/>
    <w:rPr>
      <w:rFonts w:cs="宋体"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1307489e-3cb3-4e48-81f3-9a9c71323f4c"/>
    <w:basedOn w:val="style65"/>
    <w:next w:val="style4108"/>
    <w:link w:val="style180"/>
    <w:uiPriority w:val="29"/>
    <w:rPr>
      <w:rFonts w:ascii="Times New Roman" w:hAnsi="Times New Roman"/>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93d4fc9a-4954-4927-92f4-b29357831c9d"/>
    <w:basedOn w:val="style65"/>
    <w:next w:val="style4109"/>
    <w:link w:val="style181"/>
    <w:uiPriority w:val="30"/>
    <w:rPr>
      <w:rFonts w:ascii="Times New Roman" w:hAnsi="Times New Roman"/>
      <w:i/>
      <w:iCs/>
      <w:color w:val="0f4761"/>
    </w:rPr>
  </w:style>
  <w:style w:type="character" w:styleId="style263">
    <w:name w:val="Intense Reference"/>
    <w:basedOn w:val="style65"/>
    <w:next w:val="style263"/>
    <w:qFormat/>
    <w:uiPriority w:val="32"/>
    <w:rPr>
      <w:b/>
      <w:bCs/>
      <w:smallCaps/>
      <w:color w:val="0f4761"/>
      <w:spacing w:val="5"/>
    </w:rPr>
  </w:style>
  <w:style w:type="paragraph" w:styleId="style34">
    <w:name w:val="caption"/>
    <w:basedOn w:val="style0"/>
    <w:next w:val="style0"/>
    <w:qFormat/>
    <w:uiPriority w:val="35"/>
    <w:pPr>
      <w:spacing w:after="200" w:lineRule="auto" w:line="240"/>
    </w:pPr>
    <w:rPr>
      <w:i/>
      <w:iCs/>
      <w:color w:val="0e2841"/>
      <w:sz w:val="18"/>
      <w:szCs w:val="18"/>
    </w:rPr>
  </w:style>
  <w:style w:type="table" w:customStyle="1" w:styleId="style4110">
    <w:name w:val="Plain Table 4"/>
    <w:basedOn w:val="style105"/>
    <w:next w:val="style4110"/>
    <w:uiPriority w:val="44"/>
    <w:pPr>
      <w:spacing w:after="0" w:lineRule="auto" w:line="240"/>
    </w:pPr>
    <w:rPr/>
    <w:tblPr>
      <w:tblStyleRowBandSize w:val="1"/>
      <w:tblStyleColBandSize w:val="1"/>
    </w:tblPr>
    <w:tblStylePr w:type="firstRow">
      <w:pPr/>
      <w:rPr>
        <w:b/>
        <w:bCs/>
      </w:rPr>
      <w:tcPr>
        <w:tcBorders/>
      </w:tcPr>
    </w:tblStylePr>
    <w:tblStylePr w:type="lastRow">
      <w:pPr/>
      <w:rPr>
        <w:b/>
        <w:bCs/>
      </w:rPr>
      <w:tcPr>
        <w:tcBorders/>
      </w:tcPr>
    </w:tblStylePr>
    <w:tblStylePr w:type="band1Horz">
      <w:pPr/>
      <w:tblPr/>
      <w:tcPr>
        <w:tcBorders/>
        <w:shd w:val="clear" w:color="auto" w:fill="f2f2f2"/>
      </w:tcPr>
    </w:tblStylePr>
    <w:tblStylePr w:type="firstCol">
      <w:pPr/>
      <w:rPr>
        <w:b/>
        <w:bCs/>
      </w:rPr>
      <w:tcPr>
        <w:tcBorders/>
      </w:tcPr>
    </w:tblStylePr>
    <w:tblStylePr w:type="lastCol">
      <w:pPr/>
      <w:rPr>
        <w:b/>
        <w:bCs/>
      </w:rPr>
      <w:tcPr>
        <w:tcBorders/>
      </w:tcPr>
    </w:tblStylePr>
    <w:tblStylePr w:type="band1Vert">
      <w:pPr/>
      <w:tblPr/>
      <w:tcPr>
        <w:tcBorders/>
        <w:shd w:val="clear" w:color="auto" w:fill="f2f2f2"/>
      </w:tcPr>
    </w:tblStylePr>
    <w:tcPr>
      <w:tcBorders/>
    </w:tcPr>
  </w:style>
  <w:style w:type="table" w:customStyle="1" w:styleId="style4111">
    <w:name w:val="Plain Table 2"/>
    <w:basedOn w:val="style105"/>
    <w:next w:val="style4111"/>
    <w:uiPriority w:val="42"/>
    <w:pPr>
      <w:spacing w:after="0" w:lineRule="auto" w:line="240"/>
    </w:pPr>
    <w:rPr/>
    <w:tblPr>
      <w:tblStyleRowBandSize w:val="1"/>
      <w:tblStyleColBandSize w:val="1"/>
      <w:tblBorders>
        <w:top w:val="single" w:sz="4" w:space="0" w:color="7f7f7f"/>
        <w:bottom w:val="single" w:sz="4" w:space="0" w:color="7f7f7f"/>
      </w:tblBorders>
    </w:tblPr>
    <w:tblStylePr w:type="firstRow">
      <w:pPr/>
      <w:rPr>
        <w:b/>
        <w:bCs/>
      </w:rPr>
      <w:tblPr/>
      <w:tcPr>
        <w:tcBorders>
          <w:bottom w:val="single" w:sz="4" w:space="0" w:color="7f7f7f"/>
        </w:tcBorders>
      </w:tcPr>
    </w:tblStylePr>
    <w:tblStylePr w:type="lastRow">
      <w:pPr/>
      <w:rPr>
        <w:b/>
        <w:bCs/>
      </w:rPr>
      <w:tblPr/>
      <w:tcPr>
        <w:tcBorders>
          <w:top w:val="single" w:sz="4" w:space="0" w:color="7f7f7f"/>
        </w:tcBorders>
      </w:tcPr>
    </w:tblStylePr>
    <w:tblStylePr w:type="band1Horz">
      <w:pPr/>
      <w:tblPr/>
      <w:tcPr>
        <w:tcBorders>
          <w:top w:val="single" w:sz="4" w:space="0" w:color="7f7f7f"/>
          <w:bottom w:val="single" w:sz="4" w:space="0" w:color="7f7f7f"/>
        </w:tcBorders>
      </w:tcPr>
    </w:tblStylePr>
    <w:tblStylePr w:type="firstCol">
      <w:pPr/>
      <w:rPr>
        <w:b/>
        <w:bCs/>
      </w:rPr>
      <w:tcPr>
        <w:tcBorders/>
      </w:tcPr>
    </w:tblStylePr>
    <w:tblStylePr w:type="lastCol">
      <w:pPr/>
      <w:rPr>
        <w:b/>
        <w:bCs/>
      </w:rPr>
      <w:tcPr>
        <w:tcBorders/>
      </w:tcPr>
    </w:tblStylePr>
    <w:tblStylePr w:type="band1Vert">
      <w:pPr/>
      <w:tblPr/>
      <w:tcPr>
        <w:tcBorders>
          <w:left w:val="single" w:sz="4" w:space="0" w:color="7f7f7f"/>
          <w:right w:val="single" w:sz="4" w:space="0" w:color="7f7f7f"/>
        </w:tcBorders>
      </w:tcPr>
    </w:tblStylePr>
    <w:tblStylePr w:type="band2Vert">
      <w:pPr/>
      <w:tblPr/>
      <w:tcPr>
        <w:tcBorders>
          <w:left w:val="single" w:sz="4" w:space="0" w:color="7f7f7f"/>
          <w:right w:val="single" w:sz="4" w:space="0" w:color="7f7f7f"/>
        </w:tcBorders>
      </w:tcPr>
    </w:tblStylePr>
    <w:tcPr>
      <w:tcBorders/>
    </w:tcPr>
  </w:style>
  <w:style w:type="table" w:customStyle="1" w:styleId="style4112">
    <w:name w:val="Plain Table 3"/>
    <w:basedOn w:val="style105"/>
    <w:next w:val="style4112"/>
    <w:uiPriority w:val="43"/>
    <w:pPr>
      <w:spacing w:after="0" w:lineRule="auto" w:line="240"/>
    </w:pPr>
    <w:rPr/>
    <w:tblPr>
      <w:tblStyleRowBandSize w:val="1"/>
      <w:tblStyleColBandSize w:val="1"/>
    </w:tblPr>
    <w:tblStylePr w:type="firstRow">
      <w:pPr/>
      <w:rPr>
        <w:b/>
        <w:bCs/>
        <w:caps/>
      </w:rPr>
      <w:tblPr/>
      <w:tcPr>
        <w:tcBorders>
          <w:bottom w:val="single" w:sz="4" w:space="0" w:color="7f7f7f"/>
        </w:tcBorders>
      </w:tcPr>
    </w:tblStylePr>
    <w:tblStylePr w:type="lastRow">
      <w:pPr/>
      <w:rPr>
        <w:b/>
        <w:bCs/>
        <w:caps/>
      </w:rPr>
      <w:tblPr/>
      <w:tcPr>
        <w:tcBorders>
          <w:top w:val="nil"/>
        </w:tcBorders>
      </w:tcPr>
    </w:tblStylePr>
    <w:tblStylePr w:type="band1Horz">
      <w:pPr/>
      <w:tblPr/>
      <w:tcPr>
        <w:tcBorders/>
        <w:shd w:val="clear" w:color="auto" w:fill="f2f2f2"/>
      </w:tcPr>
    </w:tblStylePr>
    <w:tblStylePr w:type="firstCol">
      <w:pPr/>
      <w:rPr>
        <w:b/>
        <w:bCs/>
        <w:caps/>
      </w:rPr>
      <w:tblPr/>
      <w:tcPr>
        <w:tcBorders>
          <w:right w:val="single" w:sz="4" w:space="0" w:color="7f7f7f"/>
        </w:tcBorders>
      </w:tcPr>
    </w:tblStylePr>
    <w:tblStylePr w:type="lastCol">
      <w:pPr/>
      <w:rPr>
        <w:b/>
        <w:bCs/>
        <w:caps/>
      </w:rPr>
      <w:tblPr/>
      <w:tcPr>
        <w:tcBorders>
          <w:left w:val="nil"/>
        </w:tcBorders>
      </w:tcPr>
    </w:tblStylePr>
    <w:tblStylePr w:type="band1Vert">
      <w:pPr/>
      <w:tblPr/>
      <w:tcPr>
        <w:tcBorders/>
        <w:shd w:val="clear" w:color="auto" w:fill="f2f2f2"/>
      </w:tcPr>
    </w:tblStylePr>
    <w:tblStylePr w:type="neCell">
      <w:pPr/>
      <w:tblPr/>
      <w:tcPr>
        <w:tcBorders>
          <w:left w:val="nil"/>
        </w:tcBorders>
      </w:tcPr>
    </w:tblStylePr>
    <w:tblStylePr w:type="nwCell">
      <w:pPr/>
      <w:tblPr/>
      <w:tcPr>
        <w:tcBorders>
          <w:right w:val="nil"/>
        </w:tcBorders>
      </w:tcPr>
    </w:tblStylePr>
    <w:tcPr>
      <w:tcBorders/>
    </w:tcPr>
  </w:style>
  <w:style w:type="character" w:styleId="style85">
    <w:name w:val="Hyperlink"/>
    <w:basedOn w:val="style65"/>
    <w:next w:val="style85"/>
    <w:uiPriority w:val="99"/>
    <w:rPr>
      <w:color w:val="467886"/>
      <w:u w:val="single"/>
    </w:rPr>
  </w:style>
  <w:style w:type="paragraph" w:styleId="style43">
    <w:name w:val="endnote text"/>
    <w:basedOn w:val="style0"/>
    <w:next w:val="style43"/>
    <w:link w:val="style4113"/>
    <w:uiPriority w:val="99"/>
    <w:pPr>
      <w:spacing w:after="0" w:lineRule="auto" w:line="240"/>
    </w:pPr>
    <w:rPr>
      <w:sz w:val="20"/>
      <w:szCs w:val="20"/>
    </w:rPr>
  </w:style>
  <w:style w:type="character" w:customStyle="1" w:styleId="style4113">
    <w:name w:val="Endnote Text Char"/>
    <w:basedOn w:val="style65"/>
    <w:next w:val="style4113"/>
    <w:link w:val="style43"/>
    <w:uiPriority w:val="99"/>
    <w:rPr>
      <w:rFonts w:ascii="Times New Roman" w:hAnsi="Times New Roman"/>
      <w:sz w:val="20"/>
      <w:szCs w:val="20"/>
    </w:rPr>
  </w:style>
  <w:style w:type="character" w:styleId="style42">
    <w:name w:val="endnote reference"/>
    <w:basedOn w:val="style65"/>
    <w:next w:val="style42"/>
    <w:uiPriority w:val="99"/>
    <w:rPr>
      <w:vertAlign w:val="superscript"/>
    </w:rPr>
  </w:style>
  <w:style w:type="paragraph" w:styleId="style31">
    <w:name w:val="header"/>
    <w:basedOn w:val="style0"/>
    <w:next w:val="style31"/>
    <w:link w:val="style4114"/>
    <w:uiPriority w:val="99"/>
    <w:pPr>
      <w:tabs>
        <w:tab w:val="center" w:leader="none" w:pos="4680"/>
        <w:tab w:val="right" w:leader="none" w:pos="9360"/>
      </w:tabs>
      <w:spacing w:after="0" w:lineRule="auto" w:line="240"/>
    </w:pPr>
    <w:rPr/>
  </w:style>
  <w:style w:type="character" w:customStyle="1" w:styleId="style4114">
    <w:name w:val="Header Char_8ea79c50-0771-4485-8145-c18a36aaff28"/>
    <w:basedOn w:val="style65"/>
    <w:next w:val="style4114"/>
    <w:link w:val="style31"/>
    <w:uiPriority w:val="99"/>
    <w:rPr>
      <w:rFonts w:ascii="Times New Roman" w:hAnsi="Times New Roman"/>
    </w:rPr>
  </w:style>
  <w:style w:type="paragraph" w:styleId="style32">
    <w:name w:val="footer"/>
    <w:basedOn w:val="style0"/>
    <w:next w:val="style32"/>
    <w:link w:val="style4115"/>
    <w:uiPriority w:val="99"/>
    <w:pPr>
      <w:tabs>
        <w:tab w:val="center" w:leader="none" w:pos="4680"/>
        <w:tab w:val="right" w:leader="none" w:pos="9360"/>
      </w:tabs>
      <w:spacing w:after="0" w:lineRule="auto" w:line="240"/>
    </w:pPr>
    <w:rPr/>
  </w:style>
  <w:style w:type="character" w:customStyle="1" w:styleId="style4115">
    <w:name w:val="Footer Char_ca7358c0-1fdc-47df-acee-7e7de37754da"/>
    <w:basedOn w:val="style65"/>
    <w:next w:val="style4115"/>
    <w:link w:val="style32"/>
    <w:uiPriority w:val="99"/>
    <w:rPr>
      <w:rFonts w:ascii="Times New Roman" w:hAnsi="Times New Roman"/>
    </w:rPr>
  </w:style>
  <w:style w:type="paragraph" w:styleId="style266">
    <w:name w:val="TOC Heading"/>
    <w:basedOn w:val="style1"/>
    <w:next w:val="style0"/>
    <w:qFormat/>
    <w:uiPriority w:val="39"/>
    <w:pPr>
      <w:spacing w:before="240" w:after="0" w:lineRule="auto" w:line="259"/>
      <w:jc w:val="left"/>
      <w:outlineLvl w:val="9"/>
    </w:pPr>
    <w:rPr>
      <w:rFonts w:ascii="Aptos Display" w:hAnsi="Aptos Display"/>
      <w:b w:val="false"/>
      <w:color w:val="0f4761"/>
      <w:kern w:val="0"/>
      <w:sz w:val="32"/>
      <w:szCs w:val="32"/>
      <w14:ligatures xmlns:w14="http://schemas.microsoft.com/office/word/2010/wordml" w14:val="none"/>
    </w:rPr>
  </w:style>
  <w:style w:type="paragraph" w:styleId="style19">
    <w:name w:val="toc 1"/>
    <w:basedOn w:val="style0"/>
    <w:next w:val="style0"/>
    <w:uiPriority w:val="39"/>
    <w:pPr>
      <w:spacing w:after="100"/>
    </w:pPr>
    <w:rPr/>
  </w:style>
</w:styles>
</file>

<file path=word/_rels/document.xml.rels><?xml version="1.0" encoding="UTF-8"?>
<Relationships xmlns="http://schemas.openxmlformats.org/package/2006/relationships"><Relationship Id="rId20" Type="http://schemas.openxmlformats.org/officeDocument/2006/relationships/chart" Target="charts/chart6.xml"/><Relationship Id="rId22" Type="http://schemas.openxmlformats.org/officeDocument/2006/relationships/oleObject" Target="embeddings/oleObject4.bin"/><Relationship Id="rId21" Type="http://schemas.openxmlformats.org/officeDocument/2006/relationships/image" Target="media/image3.jpeg"/><Relationship Id="rId24" Type="http://schemas.openxmlformats.org/officeDocument/2006/relationships/image" Target="media/image4.jpeg"/><Relationship Id="rId23" Type="http://schemas.openxmlformats.org/officeDocument/2006/relationships/image" Target="media/image10.png"/><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image" Target="media/image6.png"/><Relationship Id="rId26" Type="http://schemas.openxmlformats.org/officeDocument/2006/relationships/image" Target="media/image5.jpeg"/><Relationship Id="rId25" Type="http://schemas.openxmlformats.org/officeDocument/2006/relationships/image" Target="media/image11.png"/><Relationship Id="rId28" Type="http://schemas.openxmlformats.org/officeDocument/2006/relationships/image" Target="media/image3.emf"/><Relationship Id="rId27" Type="http://schemas.openxmlformats.org/officeDocument/2006/relationships/image" Target="media/image2.emf"/><Relationship Id="rId5" Type="http://schemas.openxmlformats.org/officeDocument/2006/relationships/chart" Target="charts/chart1.xml"/><Relationship Id="rId6" Type="http://schemas.openxmlformats.org/officeDocument/2006/relationships/image" Target="media/image4.png"/><Relationship Id="rId29" Type="http://schemas.openxmlformats.org/officeDocument/2006/relationships/image" Target="media/image12.png"/><Relationship Id="rId7" Type="http://schemas.openxmlformats.org/officeDocument/2006/relationships/oleObject" Target="embeddings/oleObject1.bin"/><Relationship Id="rId8" Type="http://schemas.openxmlformats.org/officeDocument/2006/relationships/image" Target="media/image5.png"/><Relationship Id="rId31" Type="http://schemas.openxmlformats.org/officeDocument/2006/relationships/image" Target="media/image5.emf"/><Relationship Id="rId30" Type="http://schemas.openxmlformats.org/officeDocument/2006/relationships/image" Target="media/image4.emf"/><Relationship Id="rId11" Type="http://schemas.openxmlformats.org/officeDocument/2006/relationships/chart" Target="charts/chart2.xml"/><Relationship Id="rId33" Type="http://schemas.openxmlformats.org/officeDocument/2006/relationships/footer" Target="footer1.xml"/><Relationship Id="rId10" Type="http://schemas.openxmlformats.org/officeDocument/2006/relationships/image" Target="media/image2.jpeg"/><Relationship Id="rId32" Type="http://schemas.openxmlformats.org/officeDocument/2006/relationships/image" Target="media/image6.emf"/><Relationship Id="rId13" Type="http://schemas.openxmlformats.org/officeDocument/2006/relationships/image" Target="media/image7.png"/><Relationship Id="rId35" Type="http://schemas.openxmlformats.org/officeDocument/2006/relationships/fontTable" Target="fontTable.xml"/><Relationship Id="rId12" Type="http://schemas.openxmlformats.org/officeDocument/2006/relationships/chart" Target="charts/chart3.xml"/><Relationship Id="rId34" Type="http://schemas.openxmlformats.org/officeDocument/2006/relationships/styles" Target="styles.xml"/><Relationship Id="rId15" Type="http://schemas.openxmlformats.org/officeDocument/2006/relationships/image" Target="media/image8.png"/><Relationship Id="rId37" Type="http://schemas.openxmlformats.org/officeDocument/2006/relationships/theme" Target="theme/theme1.xml"/><Relationship Id="rId14" Type="http://schemas.openxmlformats.org/officeDocument/2006/relationships/oleObject" Target="embeddings/oleObject2.bin"/><Relationship Id="rId36" Type="http://schemas.openxmlformats.org/officeDocument/2006/relationships/settings" Target="settings.xml"/><Relationship Id="rId17" Type="http://schemas.openxmlformats.org/officeDocument/2006/relationships/chart" Target="charts/chart5.xml"/><Relationship Id="rId16" Type="http://schemas.openxmlformats.org/officeDocument/2006/relationships/chart" Target="charts/chart4.xml"/><Relationship Id="rId38" Type="http://schemas.openxmlformats.org/officeDocument/2006/relationships/customXml" Target="../customXml/item1.xml"/><Relationship Id="rId19" Type="http://schemas.openxmlformats.org/officeDocument/2006/relationships/oleObject" Target="embeddings/oleObject3.bin"/><Relationship Id="rId18" Type="http://schemas.openxmlformats.org/officeDocument/2006/relationships/image" Target="media/image9.png"/></Relationships>
</file>

<file path=word/charts/_rels/chart1.xml.rels><?xml version="1.0" encoding="UTF-8"?>
<Relationships xmlns="http://schemas.openxmlformats.org/package/2006/relationships"><Relationship Id="rId1" Type="http://schemas.openxmlformats.org/officeDocument/2006/relationships/oleObject" TargetMode="External" Target="Book1"/><Relationship Id="rId2" Type="http://schemas.microsoft.com/office/2011/relationships/chartStyle" Target="style2.xml"/><Relationship Id="rId3" Type="http://schemas.microsoft.com/office/2011/relationships/chartColorStyle" Target="colors2.xml"/></Relationships>
</file>

<file path=word/charts/_rels/chart2.xml.rels><?xml version="1.0" encoding="UTF-8"?>
<Relationships xmlns="http://schemas.openxmlformats.org/package/2006/relationships"><Relationship Id="rId1" Type="http://schemas.openxmlformats.org/officeDocument/2006/relationships/oleObject" TargetMode="External" Target="Book1"/><Relationship Id="rId2" Type="http://schemas.microsoft.com/office/2011/relationships/chartStyle" Target="style3.xml"/><Relationship Id="rId3" Type="http://schemas.microsoft.com/office/2011/relationships/chartColorStyle" Target="colors3.xml"/></Relationships>
</file>

<file path=word/charts/_rels/chart3.xml.rels><?xml version="1.0" encoding="UTF-8"?>
<Relationships xmlns="http://schemas.openxmlformats.org/package/2006/relationships"><Relationship Id="rId1" Type="http://schemas.openxmlformats.org/officeDocument/2006/relationships/oleObject" TargetMode="External" Target="Book1"/><Relationship Id="rId2" Type="http://schemas.microsoft.com/office/2011/relationships/chartStyle" Target="style4.xml"/><Relationship Id="rId3" Type="http://schemas.microsoft.com/office/2011/relationships/chartColorStyle" Target="colors4.xml"/></Relationships>
</file>

<file path=word/charts/_rels/chart4.xml.rels><?xml version="1.0" encoding="UTF-8"?>
<Relationships xmlns="http://schemas.openxmlformats.org/package/2006/relationships"><Relationship Id="rId1" Type="http://schemas.openxmlformats.org/officeDocument/2006/relationships/oleObject" TargetMode="External" Target="Book1"/><Relationship Id="rId2" Type="http://schemas.microsoft.com/office/2011/relationships/chartStyle" Target="style5.xml"/><Relationship Id="rId3" Type="http://schemas.microsoft.com/office/2011/relationships/chartColorStyle" Target="colors5.xml"/></Relationships>
</file>

<file path=word/charts/_rels/chart5.xml.rels><?xml version="1.0" encoding="UTF-8"?>
<Relationships xmlns="http://schemas.openxmlformats.org/package/2006/relationships"><Relationship Id="rId1" Type="http://schemas.openxmlformats.org/officeDocument/2006/relationships/oleObject" TargetMode="External" Target="Book1"/><Relationship Id="rId2" Type="http://schemas.microsoft.com/office/2011/relationships/chartStyle" Target="style6.xml"/><Relationship Id="rId3" Type="http://schemas.microsoft.com/office/2011/relationships/chartColorStyle" Target="colors6.xml"/></Relationships>
</file>

<file path=word/charts/_rels/chart6.xml.rels><?xml version="1.0" encoding="UTF-8"?>
<Relationships xmlns="http://schemas.openxmlformats.org/package/2006/relationships"><Relationship Id="rId1" Type="http://schemas.openxmlformats.org/officeDocument/2006/relationships/oleObject" TargetMode="External" Target="Book1"/><Relationship Id="rId2" Type="http://schemas.microsoft.com/office/2011/relationships/chartStyle" Target="style1.xml"/><Relationship Id="rId3" Type="http://schemas.microsoft.com/office/2011/relationships/chartColorStyle" Target="colors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Ratios!$I$3</c:f>
              <c:strCache>
                <c:ptCount val="1"/>
                <c:pt idx="0">
                  <c:v>Gross Profit Margin</c:v>
                </c:pt>
              </c:strCache>
            </c:strRef>
          </c:tx>
          <c:spPr>
            <a:ln w="22225" cap="rnd">
              <a:solidFill>
                <a:schemeClr val="accent1"/>
              </a:solidFill>
              <a:round/>
            </a:ln>
            <a:effectLst/>
          </c:spPr>
          <c:marker>
            <c:symbol val="circle"/>
            <c:size val="6"/>
            <c:spPr>
              <a:solidFill>
                <a:schemeClr val="lt1"/>
              </a:solidFill>
              <a:ln w="15875">
                <a:solidFill>
                  <a:schemeClr val="accent1"/>
                </a:solidFill>
                <a:round/>
              </a:ln>
              <a:effectLst/>
            </c:spPr>
          </c:marker>
          <c:cat>
            <c:numRef>
              <c:f>Ratios!$K$2:$O$2</c:f>
              <c:numCache>
                <c:formatCode>General</c:formatCode>
                <c:ptCount val="5"/>
                <c:pt idx="0">
                  <c:v>2025.0</c:v>
                </c:pt>
                <c:pt idx="1">
                  <c:v>2024.0</c:v>
                </c:pt>
                <c:pt idx="2">
                  <c:v>2023.0</c:v>
                </c:pt>
                <c:pt idx="3">
                  <c:v>2022.0</c:v>
                </c:pt>
                <c:pt idx="4">
                  <c:v>2021.0</c:v>
                </c:pt>
              </c:numCache>
            </c:numRef>
          </c:cat>
          <c:val>
            <c:numRef>
              <c:f>Ratios!$K$3:$O$3</c:f>
              <c:numCache>
                <c:formatCode>0.00%</c:formatCode>
                <c:ptCount val="5"/>
                <c:pt idx="0">
                  <c:v>0.180265114366162</c:v>
                </c:pt>
                <c:pt idx="1">
                  <c:v>0.178626266762207</c:v>
                </c:pt>
                <c:pt idx="2">
                  <c:v>0.182488917363314</c:v>
                </c:pt>
                <c:pt idx="3">
                  <c:v>0.255984385357590</c:v>
                </c:pt>
                <c:pt idx="4">
                  <c:v>0.252791557512588</c:v>
                </c:pt>
              </c:numCache>
            </c:numRef>
          </c:val>
          <c:smooth val="0"/>
        </c:ser>
        <c:ser>
          <c:idx val="1"/>
          <c:order val="1"/>
          <c:tx>
            <c:strRef>
              <c:f>Ratios!$I$4</c:f>
              <c:strCache>
                <c:ptCount val="1"/>
                <c:pt idx="0">
                  <c:v>Net Profit Margin</c:v>
                </c:pt>
              </c:strCache>
            </c:strRef>
          </c:tx>
          <c:spPr>
            <a:ln w="22225" cap="rnd">
              <a:solidFill>
                <a:schemeClr val="accent2"/>
              </a:solidFill>
              <a:round/>
            </a:ln>
            <a:effectLst/>
          </c:spPr>
          <c:marker>
            <c:symbol val="circle"/>
            <c:size val="6"/>
            <c:spPr>
              <a:solidFill>
                <a:schemeClr val="lt1"/>
              </a:solidFill>
              <a:ln w="15875">
                <a:solidFill>
                  <a:schemeClr val="accent2"/>
                </a:solidFill>
                <a:round/>
              </a:ln>
              <a:effectLst/>
            </c:spPr>
          </c:marker>
          <c:cat>
            <c:numRef>
              <c:f>Ratios!$K$2:$O$2</c:f>
              <c:numCache>
                <c:formatCode>General</c:formatCode>
                <c:ptCount val="5"/>
                <c:pt idx="0">
                  <c:v>2025.0</c:v>
                </c:pt>
                <c:pt idx="1">
                  <c:v>2024.0</c:v>
                </c:pt>
                <c:pt idx="2">
                  <c:v>2023.0</c:v>
                </c:pt>
                <c:pt idx="3">
                  <c:v>2022.0</c:v>
                </c:pt>
                <c:pt idx="4">
                  <c:v>2021.0</c:v>
                </c:pt>
              </c:numCache>
            </c:numRef>
          </c:cat>
          <c:val>
            <c:numRef>
              <c:f>Ratios!$K$4:$O$4</c:f>
              <c:numCache>
                <c:formatCode>0.00%</c:formatCode>
                <c:ptCount val="5"/>
                <c:pt idx="0">
                  <c:v>0.0400097018781571</c:v>
                </c:pt>
                <c:pt idx="1">
                  <c:v>0.0729859760466783</c:v>
                </c:pt>
                <c:pt idx="2">
                  <c:v>0.154991578229465</c:v>
                </c:pt>
                <c:pt idx="3">
                  <c:v>0.154464658368319</c:v>
                </c:pt>
                <c:pt idx="4">
                  <c:v>0.102632703491073</c:v>
                </c:pt>
              </c:numCache>
            </c:numRef>
          </c:val>
          <c:smooth val="0"/>
        </c:ser>
        <c:ser>
          <c:idx val="2"/>
          <c:order val="2"/>
          <c:tx>
            <c:strRef>
              <c:f>Ratios!$I$5</c:f>
              <c:strCache>
                <c:ptCount val="1"/>
                <c:pt idx="0">
                  <c:v>Return on Assets (ROA)</c:v>
                </c:pt>
              </c:strCache>
            </c:strRef>
          </c:tx>
          <c:spPr>
            <a:ln w="22225" cap="rnd">
              <a:solidFill>
                <a:schemeClr val="accent3"/>
              </a:solidFill>
              <a:round/>
            </a:ln>
            <a:effectLst/>
          </c:spPr>
          <c:marker>
            <c:symbol val="circle"/>
            <c:size val="6"/>
            <c:spPr>
              <a:solidFill>
                <a:schemeClr val="lt1"/>
              </a:solidFill>
              <a:ln w="15875">
                <a:solidFill>
                  <a:schemeClr val="accent3"/>
                </a:solidFill>
                <a:round/>
              </a:ln>
              <a:effectLst/>
            </c:spPr>
          </c:marker>
          <c:cat>
            <c:numRef>
              <c:f>Ratios!$K$2:$O$2</c:f>
              <c:numCache>
                <c:formatCode>General</c:formatCode>
                <c:ptCount val="5"/>
                <c:pt idx="0">
                  <c:v>2025.0</c:v>
                </c:pt>
                <c:pt idx="1">
                  <c:v>2024.0</c:v>
                </c:pt>
                <c:pt idx="2">
                  <c:v>2023.0</c:v>
                </c:pt>
                <c:pt idx="3">
                  <c:v>2022.0</c:v>
                </c:pt>
                <c:pt idx="4">
                  <c:v>2021.0</c:v>
                </c:pt>
              </c:numCache>
            </c:numRef>
          </c:cat>
          <c:val>
            <c:numRef>
              <c:f>Ratios!$K$5:$O$5</c:f>
              <c:numCache>
                <c:formatCode>0.00%</c:formatCode>
                <c:ptCount val="5"/>
                <c:pt idx="0">
                  <c:v>0.0275314572660116</c:v>
                </c:pt>
                <c:pt idx="1">
                  <c:v>0.0584091095273204</c:v>
                </c:pt>
                <c:pt idx="2">
                  <c:v>0.140679810163387</c:v>
                </c:pt>
                <c:pt idx="3">
                  <c:v>0.152821297578275</c:v>
                </c:pt>
                <c:pt idx="4">
                  <c:v>0.0889089182533679</c:v>
                </c:pt>
              </c:numCache>
            </c:numRef>
          </c:val>
          <c:smooth val="0"/>
        </c:ser>
        <c:ser>
          <c:idx val="3"/>
          <c:order val="3"/>
          <c:tx>
            <c:strRef>
              <c:f>Ratios!$I$6</c:f>
              <c:strCache>
                <c:ptCount val="1"/>
                <c:pt idx="0">
                  <c:v>Return on Capital Employed (ROCE)</c:v>
                </c:pt>
              </c:strCache>
            </c:strRef>
          </c:tx>
          <c:spPr>
            <a:ln w="22225" cap="rnd">
              <a:solidFill>
                <a:schemeClr val="accent4"/>
              </a:solidFill>
              <a:round/>
            </a:ln>
            <a:effectLst/>
          </c:spPr>
          <c:marker>
            <c:symbol val="circle"/>
            <c:size val="6"/>
            <c:spPr>
              <a:solidFill>
                <a:schemeClr val="lt1"/>
              </a:solidFill>
              <a:ln w="15875">
                <a:solidFill>
                  <a:schemeClr val="accent4"/>
                </a:solidFill>
                <a:round/>
              </a:ln>
              <a:effectLst/>
            </c:spPr>
          </c:marker>
          <c:cat>
            <c:numRef>
              <c:f>Ratios!$K$2:$O$2</c:f>
              <c:numCache>
                <c:formatCode>General</c:formatCode>
                <c:ptCount val="5"/>
                <c:pt idx="0">
                  <c:v>2025.0</c:v>
                </c:pt>
                <c:pt idx="1">
                  <c:v>2024.0</c:v>
                </c:pt>
                <c:pt idx="2">
                  <c:v>2023.0</c:v>
                </c:pt>
                <c:pt idx="3">
                  <c:v>2022.0</c:v>
                </c:pt>
                <c:pt idx="4">
                  <c:v>2021.0</c:v>
                </c:pt>
              </c:numCache>
            </c:numRef>
          </c:cat>
          <c:val>
            <c:numRef>
              <c:f>Ratios!$K$6:$O$6</c:f>
              <c:numCache>
                <c:formatCode>0.00%</c:formatCode>
                <c:ptCount val="5"/>
                <c:pt idx="0">
                  <c:v>0.0457056139954002</c:v>
                </c:pt>
                <c:pt idx="1">
                  <c:v>0.0832180505957168</c:v>
                </c:pt>
                <c:pt idx="2">
                  <c:v>0.114177475279312</c:v>
                </c:pt>
                <c:pt idx="3">
                  <c:v>0.248647288284887</c:v>
                </c:pt>
                <c:pt idx="4">
                  <c:v>0.153113656719936</c:v>
                </c:pt>
              </c:numCache>
            </c:numRef>
          </c:val>
          <c:smooth val="0"/>
        </c:ser>
        <c:dLbls>
          <c:showLegendKey val="0"/>
          <c:showVal val="0"/>
          <c:showCatName val="0"/>
          <c:showSerName val="0"/>
          <c:showPercent val="0"/>
          <c:showBubbleSize val="0"/>
        </c:dLbls>
        <c:marker val="1"/>
        <c:smooth val="0"/>
        <c:axId val="1163949856"/>
        <c:axId val="1163945056"/>
      </c:lineChart>
      <c:catAx>
        <c:axId val="1163949856"/>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163945056"/>
        <c:crosses val="autoZero"/>
        <c:auto val="1"/>
        <c:lblAlgn val="ctr"/>
        <c:lblOffset val="100"/>
        <c:noMultiLvlLbl val="0"/>
      </c:catAx>
      <c:valAx>
        <c:axId val="1163945056"/>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163949856"/>
        <c:crosses val="autoZero"/>
        <c:crossBetween val="between"/>
      </c:valAx>
      <c:dTable>
        <c:showHorzBorder val="1"/>
        <c:showVertBorder val="1"/>
        <c:showOutline val="1"/>
        <c:showKeys val="1"/>
        <c:spPr>
          <a:noFill/>
          <a:ln w="9525" cap="flat" cmpd="sng" algn="ctr">
            <a:solidFill>
              <a:schemeClr val="dk1">
                <a:lumMod val="15000"/>
                <a:lumOff val="85000"/>
              </a:schemeClr>
            </a:solidFill>
            <a:round/>
          </a:ln>
          <a:effectLst/>
        </c:spPr>
        <c:txPr>
          <a:bodyPr rot="0" spcFirstLastPara="1" vertOverflow="ellipsis" vert="horz" wrap="square" anchor="ctr" anchorCtr="1"/>
          <a:lstStyle/>
          <a:p>
            <a:pPr rtl="0">
              <a:defRPr sz="800" b="0" i="0" u="none" strike="noStrike" kern="1200" baseline="0">
                <a:solidFill>
                  <a:schemeClr val="dk1">
                    <a:lumMod val="65000"/>
                    <a:lumOff val="35000"/>
                  </a:schemeClr>
                </a:solidFill>
                <a:latin typeface="+mn-lt"/>
                <a:ea typeface="+mn-ea"/>
                <a:cs typeface="+mn-cs"/>
              </a:defRPr>
            </a:pPr>
            <a:endParaRPr lang="en-US"/>
          </a:p>
        </c:txPr>
      </c:dTable>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Ratios!$B$3</c:f>
              <c:strCache>
                <c:ptCount val="1"/>
                <c:pt idx="0">
                  <c:v>Revenue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Ratios!$C$2:$G$2</c:f>
              <c:numCache>
                <c:formatCode>General</c:formatCode>
                <c:ptCount val="5"/>
                <c:pt idx="0">
                  <c:v>2025.0</c:v>
                </c:pt>
                <c:pt idx="1">
                  <c:v>2024.0</c:v>
                </c:pt>
                <c:pt idx="2">
                  <c:v>2023.0</c:v>
                </c:pt>
                <c:pt idx="3">
                  <c:v>2022.0</c:v>
                </c:pt>
                <c:pt idx="4">
                  <c:v>2021.0</c:v>
                </c:pt>
              </c:numCache>
            </c:numRef>
          </c:cat>
          <c:val>
            <c:numRef>
              <c:f>Ratios!$C$3:$G$3</c:f>
              <c:numCache>
                <c:formatCode>#,##0</c:formatCode>
                <c:ptCount val="5"/>
                <c:pt idx="0">
                  <c:v>94827.0</c:v>
                </c:pt>
                <c:pt idx="1">
                  <c:v>97690.0</c:v>
                </c:pt>
                <c:pt idx="2">
                  <c:v>96773.0</c:v>
                </c:pt>
                <c:pt idx="3">
                  <c:v>81462.0</c:v>
                </c:pt>
                <c:pt idx="4">
                  <c:v>53823.0</c:v>
                </c:pt>
              </c:numCache>
            </c:numRef>
          </c:val>
        </c:ser>
        <c:dLbls>
          <c:dLblPos val="outEnd"/>
          <c:showLegendKey val="0"/>
          <c:showVal val="1"/>
          <c:showCatName val="0"/>
          <c:showSerName val="0"/>
          <c:showPercent val="0"/>
          <c:showBubbleSize val="0"/>
        </c:dLbls>
        <c:gapWidth val="219"/>
        <c:overlap val="-27"/>
        <c:axId val="1163852416"/>
        <c:axId val="1163856736"/>
      </c:barChart>
      <c:catAx>
        <c:axId val="1163852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3856736"/>
        <c:crosses val="autoZero"/>
        <c:auto val="1"/>
        <c:lblAlgn val="ctr"/>
        <c:lblOffset val="100"/>
        <c:noMultiLvlLbl val="0"/>
      </c:catAx>
      <c:valAx>
        <c:axId val="116385673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3852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Ratios!$I$7:$J$7</c:f>
              <c:strCache>
                <c:ptCount val="2"/>
                <c:pt idx="0">
                  <c:v>Current Ratio</c:v>
                </c:pt>
                <c:pt idx="1">
                  <c:v>Current Assets / Current Liabilities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Ratios!$K$2:$O$2</c:f>
              <c:numCache>
                <c:formatCode>General</c:formatCode>
                <c:ptCount val="5"/>
                <c:pt idx="0">
                  <c:v>2025.0</c:v>
                </c:pt>
                <c:pt idx="1">
                  <c:v>2024.0</c:v>
                </c:pt>
                <c:pt idx="2">
                  <c:v>2023.0</c:v>
                </c:pt>
                <c:pt idx="3">
                  <c:v>2022.0</c:v>
                </c:pt>
                <c:pt idx="4">
                  <c:v>2021.0</c:v>
                </c:pt>
              </c:numCache>
            </c:numRef>
          </c:cat>
          <c:val>
            <c:numRef>
              <c:f>Ratios!$K$7:$O$7</c:f>
              <c:numCache>
                <c:formatCode>0.000</c:formatCode>
                <c:ptCount val="5"/>
                <c:pt idx="0">
                  <c:v>2.16440688654853</c:v>
                </c:pt>
                <c:pt idx="1">
                  <c:v>2.02491239027098</c:v>
                </c:pt>
                <c:pt idx="2">
                  <c:v>1.72589397523306</c:v>
                </c:pt>
                <c:pt idx="3">
                  <c:v>1.53195552061103</c:v>
                </c:pt>
                <c:pt idx="4">
                  <c:v>1.37528546054301</c:v>
                </c:pt>
              </c:numCache>
            </c:numRef>
          </c:val>
        </c:ser>
        <c:ser>
          <c:idx val="1"/>
          <c:order val="1"/>
          <c:tx>
            <c:strRef>
              <c:f>Ratios!$I$8:$J$8</c:f>
              <c:strCache>
                <c:ptCount val="2"/>
                <c:pt idx="0">
                  <c:v>Quick Ratio</c:v>
                </c:pt>
                <c:pt idx="1">
                  <c:v>(Current Assets – Inventory) / Current Liabilities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Ratios!$K$2:$O$2</c:f>
              <c:numCache>
                <c:formatCode>General</c:formatCode>
                <c:ptCount val="5"/>
                <c:pt idx="0">
                  <c:v>2025.0</c:v>
                </c:pt>
                <c:pt idx="1">
                  <c:v>2024.0</c:v>
                </c:pt>
                <c:pt idx="2">
                  <c:v>2023.0</c:v>
                </c:pt>
                <c:pt idx="3">
                  <c:v>2022.0</c:v>
                </c:pt>
                <c:pt idx="4">
                  <c:v>2021.0</c:v>
                </c:pt>
              </c:numCache>
            </c:numRef>
          </c:cat>
          <c:val>
            <c:numRef>
              <c:f>Ratios!$K$8:$O$8</c:f>
              <c:numCache>
                <c:formatCode>0.000</c:formatCode>
                <c:ptCount val="5"/>
                <c:pt idx="0">
                  <c:v>1.77366462760926</c:v>
                </c:pt>
                <c:pt idx="1">
                  <c:v>1.60795947399466</c:v>
                </c:pt>
                <c:pt idx="2">
                  <c:v>1.25191317656880</c:v>
                </c:pt>
                <c:pt idx="3">
                  <c:v>1.05125613089221</c:v>
                </c:pt>
                <c:pt idx="4">
                  <c:v>1.08312611012433</c:v>
                </c:pt>
              </c:numCache>
            </c:numRef>
          </c:val>
        </c:ser>
        <c:dLbls>
          <c:dLblPos val="outEnd"/>
          <c:showLegendKey val="0"/>
          <c:showVal val="1"/>
          <c:showCatName val="0"/>
          <c:showSerName val="0"/>
          <c:showPercent val="0"/>
          <c:showBubbleSize val="0"/>
        </c:dLbls>
        <c:gapWidth val="219"/>
        <c:overlap val="-27"/>
        <c:axId val="1163854816"/>
        <c:axId val="1163851456"/>
      </c:barChart>
      <c:catAx>
        <c:axId val="1163854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3851456"/>
        <c:crosses val="autoZero"/>
        <c:auto val="1"/>
        <c:lblAlgn val="ctr"/>
        <c:lblOffset val="100"/>
        <c:noMultiLvlLbl val="0"/>
      </c:catAx>
      <c:valAx>
        <c:axId val="1163851456"/>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3854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Ratios!$I$13:$J$13</c:f>
              <c:strCache>
                <c:ptCount val="2"/>
                <c:pt idx="0">
                  <c:v>Debt-to-Equity Ratio</c:v>
                </c:pt>
                <c:pt idx="1">
                  <c:v>Long-Term Debt / Equity</c:v>
                </c:pt>
              </c:strCache>
            </c:strRef>
          </c:tx>
          <c:spPr>
            <a:ln w="28575" cap="rnd">
              <a:solidFill>
                <a:schemeClr val="accent1"/>
              </a:solidFill>
              <a:round/>
            </a:ln>
            <a:effectLst/>
          </c:spPr>
          <c:marker>
            <c:symbol val="none"/>
          </c:marker>
          <c:cat>
            <c:numRef>
              <c:f>Ratios!$K$2:$O$2</c:f>
              <c:numCache>
                <c:formatCode>General</c:formatCode>
                <c:ptCount val="5"/>
                <c:pt idx="0">
                  <c:v>2025.0</c:v>
                </c:pt>
                <c:pt idx="1">
                  <c:v>2024.0</c:v>
                </c:pt>
                <c:pt idx="2">
                  <c:v>2023.0</c:v>
                </c:pt>
                <c:pt idx="3">
                  <c:v>2022.0</c:v>
                </c:pt>
                <c:pt idx="4">
                  <c:v>2021.0</c:v>
                </c:pt>
              </c:numCache>
            </c:numRef>
          </c:cat>
          <c:val>
            <c:numRef>
              <c:f>Ratios!$K$13:$O$13</c:f>
              <c:numCache>
                <c:formatCode>0.000</c:formatCode>
                <c:ptCount val="5"/>
                <c:pt idx="0">
                  <c:v>0.147619221544493</c:v>
                </c:pt>
                <c:pt idx="1">
                  <c:v>0.142087144953575</c:v>
                </c:pt>
                <c:pt idx="2">
                  <c:v>0.104224542580707</c:v>
                </c:pt>
                <c:pt idx="3">
                  <c:v>0.0841311739441661</c:v>
                </c:pt>
                <c:pt idx="4">
                  <c:v>0.229090065918050</c:v>
                </c:pt>
              </c:numCache>
            </c:numRef>
          </c:val>
          <c:smooth val="0"/>
        </c:ser>
        <c:ser>
          <c:idx val="1"/>
          <c:order val="1"/>
          <c:tx>
            <c:strRef>
              <c:f>Ratios!$I$14:$J$14</c:f>
              <c:strCache>
                <c:ptCount val="2"/>
                <c:pt idx="0">
                  <c:v>Interest Coverage Ratio</c:v>
                </c:pt>
                <c:pt idx="1">
                  <c:v>EBIT / Interest Expense</c:v>
                </c:pt>
              </c:strCache>
            </c:strRef>
          </c:tx>
          <c:spPr>
            <a:ln w="28575" cap="rnd">
              <a:solidFill>
                <a:schemeClr val="accent2"/>
              </a:solidFill>
              <a:round/>
            </a:ln>
            <a:effectLst/>
          </c:spPr>
          <c:marker>
            <c:symbol val="none"/>
          </c:marker>
          <c:cat>
            <c:numRef>
              <c:f>Ratios!$K$2:$O$2</c:f>
              <c:numCache>
                <c:formatCode>General</c:formatCode>
                <c:ptCount val="5"/>
                <c:pt idx="0">
                  <c:v>2025.0</c:v>
                </c:pt>
                <c:pt idx="1">
                  <c:v>2024.0</c:v>
                </c:pt>
                <c:pt idx="2">
                  <c:v>2023.0</c:v>
                </c:pt>
                <c:pt idx="3">
                  <c:v>2022.0</c:v>
                </c:pt>
                <c:pt idx="4">
                  <c:v>2021.0</c:v>
                </c:pt>
              </c:numCache>
            </c:numRef>
          </c:cat>
          <c:val>
            <c:numRef>
              <c:f>Ratios!$K$14:$O$14</c:f>
              <c:numCache>
                <c:formatCode>0.000</c:formatCode>
                <c:ptCount val="5"/>
                <c:pt idx="0">
                  <c:v>14.3461538461538</c:v>
                </c:pt>
                <c:pt idx="1">
                  <c:v>22.1714285714286</c:v>
                </c:pt>
                <c:pt idx="2">
                  <c:v>56.9935897435897</c:v>
                </c:pt>
                <c:pt idx="3">
                  <c:v>72.4188481675393</c:v>
                </c:pt>
                <c:pt idx="4">
                  <c:v>17.5094339622642</c:v>
                </c:pt>
              </c:numCache>
            </c:numRef>
          </c:val>
          <c:smooth val="0"/>
        </c:ser>
        <c:dLbls>
          <c:showLegendKey val="0"/>
          <c:showVal val="0"/>
          <c:showCatName val="0"/>
          <c:showSerName val="0"/>
          <c:showPercent val="0"/>
          <c:showBubbleSize val="0"/>
        </c:dLbls>
        <c:smooth val="0"/>
        <c:axId val="1163845696"/>
        <c:axId val="1163853856"/>
      </c:lineChart>
      <c:catAx>
        <c:axId val="1163845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3853856"/>
        <c:crosses val="autoZero"/>
        <c:auto val="1"/>
        <c:lblAlgn val="ctr"/>
        <c:lblOffset val="100"/>
        <c:noMultiLvlLbl val="0"/>
      </c:catAx>
      <c:valAx>
        <c:axId val="1163853856"/>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384569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Ratios!$Q$21</c:f>
              <c:strCache>
                <c:ptCount val="1"/>
                <c:pt idx="0">
                  <c:v>EPS Growth (Year-on-Year)</c:v>
                </c:pt>
              </c:strCache>
            </c:strRef>
          </c:tx>
          <c:spPr>
            <a:solidFill>
              <a:schemeClr val="accent1"/>
            </a:solidFill>
            <a:ln>
              <a:noFill/>
            </a:ln>
            <a:effectLst/>
          </c:spPr>
          <c:invertIfNegative val="0"/>
          <c:cat>
            <c:numRef>
              <c:f>Ratios!$R$2:$U$2</c:f>
              <c:numCache>
                <c:formatCode>General</c:formatCode>
                <c:ptCount val="4"/>
                <c:pt idx="0">
                  <c:v>2025.0</c:v>
                </c:pt>
                <c:pt idx="1">
                  <c:v>2024.0</c:v>
                </c:pt>
                <c:pt idx="2">
                  <c:v>2023.0</c:v>
                </c:pt>
                <c:pt idx="3">
                  <c:v>2022.0</c:v>
                </c:pt>
              </c:numCache>
            </c:numRef>
          </c:cat>
          <c:val>
            <c:numRef>
              <c:f>Ratios!$R$21:$U$21</c:f>
              <c:numCache>
                <c:formatCode>0.00%</c:formatCode>
                <c:ptCount val="4"/>
                <c:pt idx="0">
                  <c:v>-0.470588235294118</c:v>
                </c:pt>
                <c:pt idx="1">
                  <c:v>-0.525581395348837</c:v>
                </c:pt>
                <c:pt idx="2">
                  <c:v>0.187845303867403</c:v>
                </c:pt>
                <c:pt idx="3">
                  <c:v>1.22085889570552</c:v>
                </c:pt>
              </c:numCache>
            </c:numRef>
          </c:val>
        </c:ser>
        <c:dLbls>
          <c:showLegendKey val="0"/>
          <c:showVal val="0"/>
          <c:showCatName val="0"/>
          <c:showSerName val="0"/>
          <c:showPercent val="0"/>
          <c:showBubbleSize val="0"/>
        </c:dLbls>
        <c:gapWidth val="219"/>
        <c:overlap val="-27"/>
        <c:axId val="1163881216"/>
        <c:axId val="1163885536"/>
      </c:barChart>
      <c:catAx>
        <c:axId val="1163881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3885536"/>
        <c:crosses val="autoZero"/>
        <c:auto val="1"/>
        <c:lblAlgn val="ctr"/>
        <c:lblOffset val="100"/>
        <c:noMultiLvlLbl val="0"/>
      </c:catAx>
      <c:valAx>
        <c:axId val="11638855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38812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roundedCorners val="0"/>
  <c:chart>
    <c:view3D>
      <c:rotX val="15"/>
      <c:rotY val="20"/>
      <c:rAngAx val="0"/>
    </c:view3D>
    <c:plotArea/>
  </c:char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95">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1347B-3045-4296-BF2C-48CA733AD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6714</Words>
  <Pages>41</Pages>
  <Characters>38076</Characters>
  <Application>WPS Office</Application>
  <DocSecurity>0</DocSecurity>
  <Paragraphs>291</Paragraphs>
  <ScaleCrop>false</ScaleCrop>
  <LinksUpToDate>false</LinksUpToDate>
  <CharactersWithSpaces>44601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2026-04-24T12:43:00Z</dcterms:created>
  <dc:creator>WPS Office</dc:creator>
  <lastModifiedBy>Redmi Note 8 Pro</lastModifiedBy>
  <dcterms:modified xsi:type="dcterms:W3CDTF">2026-04-24T12:52:50Z</dcterms:modified>
  <revision>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c150b56249d84e398d97e03f8eae0d98</vt:lpwstr>
  </property>
</Properties>
</file>