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336" w:lineRule="auto"/>
        <w:rPr/>
      </w:pPr>
      <w:r w:rsidDel="00000000" w:rsidR="00000000" w:rsidRPr="00000000">
        <w:rPr>
          <w:rFonts w:ascii="Canva Sans Bold" w:cs="Canva Sans Bold" w:eastAsia="Canva Sans Bold" w:hAnsi="Canva Sans Bold"/>
          <w:b w:val="1"/>
          <w:bCs w:val="1"/>
          <w:color w:val="000000"/>
          <w:sz w:val="42"/>
          <w:szCs w:val="42"/>
          <w:rtl w:val="0"/>
        </w:rPr>
        <w:t xml:space="preserve"> </w:t>
      </w:r>
      <w:r w:rsidDel="00000000" w:rsidR="00000000" w:rsidRPr="00000000">
        <w:rPr>
          <w:rtl w:val="0"/>
        </w:rPr>
      </w:r>
    </w:p>
    <w:p w:rsidR="00000000" w:rsidDel="00000000" w:rsidP="00000000" w:rsidRDefault="00000000" w:rsidRPr="00000000" w14:paraId="00000002">
      <w:pPr>
        <w:spacing w:after="120" w:before="120" w:line="336" w:lineRule="auto"/>
        <w:jc w:val="center"/>
        <w:rPr/>
      </w:pPr>
      <w:r w:rsidDel="00000000" w:rsidR="00000000" w:rsidRPr="00000000">
        <w:rPr>
          <w:rFonts w:ascii="Canva Sans Bold" w:cs="Canva Sans Bold" w:eastAsia="Canva Sans Bold" w:hAnsi="Canva Sans Bold"/>
          <w:b w:val="1"/>
          <w:bCs w:val="1"/>
          <w:color w:val="000000"/>
          <w:sz w:val="42"/>
          <w:szCs w:val="42"/>
          <w:u w:val="single"/>
          <w:rtl w:val="0"/>
        </w:rPr>
        <w:t xml:space="preserve">Gene Modifying Drugs and their Significance in the Longevity of a Person with Cystic Fibrosis </w:t>
      </w:r>
      <w:r w:rsidDel="00000000" w:rsidR="00000000" w:rsidRPr="00000000">
        <w:rPr>
          <w:rtl w:val="0"/>
        </w:rPr>
      </w:r>
    </w:p>
    <w:p w:rsidR="00000000" w:rsidDel="00000000" w:rsidP="00000000" w:rsidRDefault="00000000" w:rsidRPr="00000000" w14:paraId="00000003">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04">
      <w:pPr>
        <w:spacing w:after="120" w:before="120" w:line="336" w:lineRule="auto"/>
        <w:rPr/>
      </w:pPr>
      <w:r w:rsidDel="00000000" w:rsidR="00000000" w:rsidRPr="00000000">
        <w:rPr>
          <w:rFonts w:ascii="Canva Sans" w:cs="Canva Sans" w:eastAsia="Canva Sans" w:hAnsi="Canva Sans"/>
          <w:color w:val="000000"/>
          <w:rtl w:val="0"/>
        </w:rPr>
        <w:t xml:space="preserve">By Vicki Angulatta (2519004) </w:t>
      </w:r>
      <w:r w:rsidDel="00000000" w:rsidR="00000000" w:rsidRPr="00000000">
        <w:rPr>
          <w:rtl w:val="0"/>
        </w:rPr>
      </w:r>
    </w:p>
    <w:p w:rsidR="00000000" w:rsidDel="00000000" w:rsidP="00000000" w:rsidRDefault="00000000" w:rsidRPr="00000000" w14:paraId="00000005">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06">
      <w:pPr>
        <w:spacing w:after="120" w:before="120" w:lineRule="auto"/>
        <w:jc w:val="center"/>
        <w:rPr/>
      </w:pPr>
      <w:r w:rsidDel="00000000" w:rsidR="00000000" w:rsidRPr="00000000">
        <w:rPr/>
        <w:drawing>
          <wp:inline distB="0" distT="0" distL="0" distR="0">
            <wp:extent cx="5734050" cy="3899997"/>
            <wp:effectExtent b="0" l="0" r="0" t="0"/>
            <wp:docPr descr="4f3e2d762d7c285f9cb7376478d39c81.png" id="1" name="image2.png"/>
            <a:graphic>
              <a:graphicData uri="http://schemas.openxmlformats.org/drawingml/2006/picture">
                <pic:pic>
                  <pic:nvPicPr>
                    <pic:cNvPr descr="4f3e2d762d7c285f9cb7376478d39c81.png" id="0" name="image2.png"/>
                    <pic:cNvPicPr preferRelativeResize="0"/>
                  </pic:nvPicPr>
                  <pic:blipFill>
                    <a:blip r:embed="rId7"/>
                    <a:srcRect b="0" l="0" r="0" t="0"/>
                    <a:stretch>
                      <a:fillRect/>
                    </a:stretch>
                  </pic:blipFill>
                  <pic:spPr>
                    <a:xfrm>
                      <a:off x="0" y="0"/>
                      <a:ext cx="5734050" cy="3899997"/>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08">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09">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0A">
      <w:pPr>
        <w:spacing w:after="120" w:before="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after="120" w:before="120" w:line="336" w:lineRule="auto"/>
        <w:jc w:val="center"/>
        <w:rPr/>
      </w:pPr>
      <w:r w:rsidDel="00000000" w:rsidR="00000000" w:rsidRPr="00000000">
        <w:rPr>
          <w:rFonts w:ascii="Canva Sans Bold" w:cs="Canva Sans Bold" w:eastAsia="Canva Sans Bold" w:hAnsi="Canva Sans Bold"/>
          <w:b w:val="1"/>
          <w:bCs w:val="1"/>
          <w:color w:val="000000"/>
          <w:sz w:val="64"/>
          <w:szCs w:val="64"/>
          <w:u w:val="single"/>
          <w:rtl w:val="0"/>
        </w:rPr>
        <w:t xml:space="preserve">Contents  </w:t>
      </w:r>
      <w:r w:rsidDel="00000000" w:rsidR="00000000" w:rsidRPr="00000000">
        <w:rPr>
          <w:rtl w:val="0"/>
        </w:rPr>
      </w:r>
    </w:p>
    <w:p w:rsidR="00000000" w:rsidDel="00000000" w:rsidP="00000000" w:rsidRDefault="00000000" w:rsidRPr="00000000" w14:paraId="0000000C">
      <w:pPr>
        <w:spacing w:after="120" w:before="120" w:line="480"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0D">
      <w:pPr>
        <w:numPr>
          <w:ilvl w:val="0"/>
          <w:numId w:val="1"/>
        </w:numPr>
        <w:spacing w:after="0" w:line="480" w:lineRule="auto"/>
        <w:ind w:left="1120" w:hanging="360"/>
        <w:rPr/>
      </w:pPr>
      <w:r w:rsidDel="00000000" w:rsidR="00000000" w:rsidRPr="00000000">
        <w:rPr>
          <w:rFonts w:ascii="Canva Sans" w:cs="Canva Sans" w:eastAsia="Canva Sans" w:hAnsi="Canva Sans"/>
          <w:color w:val="000000"/>
          <w:rtl w:val="0"/>
        </w:rPr>
        <w:t xml:space="preserve">Introduction  </w:t>
        <w:tab/>
        <w:tab/>
        <w:tab/>
        <w:tab/>
        <w:tab/>
        <w:tab/>
        <w:tab/>
        <w:tab/>
      </w:r>
      <w:r w:rsidDel="00000000" w:rsidR="00000000" w:rsidRPr="00000000">
        <w:rPr>
          <w:rFonts w:ascii="Canva Sans" w:cs="Canva Sans" w:eastAsia="Canva Sans" w:hAnsi="Canva Sans"/>
          <w:rtl w:val="0"/>
        </w:rPr>
        <w:t xml:space="preserve">P3</w:t>
      </w:r>
      <w:r w:rsidDel="00000000" w:rsidR="00000000" w:rsidRPr="00000000">
        <w:rPr>
          <w:rtl w:val="0"/>
        </w:rPr>
      </w:r>
    </w:p>
    <w:p w:rsidR="00000000" w:rsidDel="00000000" w:rsidP="00000000" w:rsidRDefault="00000000" w:rsidRPr="00000000" w14:paraId="0000000E">
      <w:pPr>
        <w:numPr>
          <w:ilvl w:val="0"/>
          <w:numId w:val="1"/>
        </w:numPr>
        <w:spacing w:after="0" w:line="480" w:lineRule="auto"/>
        <w:ind w:left="1120" w:hanging="360"/>
        <w:rPr/>
      </w:pPr>
      <w:r w:rsidDel="00000000" w:rsidR="00000000" w:rsidRPr="00000000">
        <w:rPr>
          <w:rFonts w:ascii="Canva Sans" w:cs="Canva Sans" w:eastAsia="Canva Sans" w:hAnsi="Canva Sans"/>
          <w:color w:val="000000"/>
          <w:rtl w:val="0"/>
        </w:rPr>
        <w:t xml:space="preserve">Case study </w:t>
        <w:tab/>
        <w:tab/>
        <w:tab/>
        <w:tab/>
        <w:tab/>
        <w:tab/>
        <w:tab/>
        <w:tab/>
        <w:t xml:space="preserve">P4</w:t>
      </w:r>
    </w:p>
    <w:p w:rsidR="00000000" w:rsidDel="00000000" w:rsidP="00000000" w:rsidRDefault="00000000" w:rsidRPr="00000000" w14:paraId="0000000F">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Overview of the condition</w:t>
        <w:tab/>
        <w:tab/>
        <w:tab/>
        <w:tab/>
        <w:tab/>
        <w:tab/>
        <w:t xml:space="preserve">P5</w:t>
      </w:r>
    </w:p>
    <w:p w:rsidR="00000000" w:rsidDel="00000000" w:rsidP="00000000" w:rsidRDefault="00000000" w:rsidRPr="00000000" w14:paraId="00000010">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Previous approaches to the condition</w:t>
        <w:tab/>
        <w:tab/>
        <w:tab/>
        <w:tab/>
        <w:t xml:space="preserve">P6</w:t>
      </w:r>
    </w:p>
    <w:p w:rsidR="00000000" w:rsidDel="00000000" w:rsidP="00000000" w:rsidRDefault="00000000" w:rsidRPr="00000000" w14:paraId="00000011">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Current approaches to the condition</w:t>
        <w:tab/>
        <w:tab/>
        <w:tab/>
        <w:tab/>
        <w:tab/>
        <w:t xml:space="preserve">P8</w:t>
      </w:r>
    </w:p>
    <w:p w:rsidR="00000000" w:rsidDel="00000000" w:rsidP="00000000" w:rsidRDefault="00000000" w:rsidRPr="00000000" w14:paraId="00000012">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Co-Production</w:t>
        <w:tab/>
        <w:tab/>
        <w:tab/>
        <w:tab/>
        <w:tab/>
        <w:tab/>
        <w:tab/>
        <w:tab/>
        <w:t xml:space="preserve">P9</w:t>
      </w:r>
    </w:p>
    <w:p w:rsidR="00000000" w:rsidDel="00000000" w:rsidP="00000000" w:rsidRDefault="00000000" w:rsidRPr="00000000" w14:paraId="00000013">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Clinical Governance and Supervision Framework</w:t>
        <w:tab/>
        <w:tab/>
        <w:tab/>
        <w:t xml:space="preserve">P10</w:t>
      </w:r>
    </w:p>
    <w:p w:rsidR="00000000" w:rsidDel="00000000" w:rsidP="00000000" w:rsidRDefault="00000000" w:rsidRPr="00000000" w14:paraId="00000014">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Conclusion and recommendations</w:t>
        <w:tab/>
        <w:tab/>
        <w:tab/>
        <w:tab/>
        <w:tab/>
        <w:t xml:space="preserve">P11</w:t>
      </w:r>
    </w:p>
    <w:p w:rsidR="00000000" w:rsidDel="00000000" w:rsidP="00000000" w:rsidRDefault="00000000" w:rsidRPr="00000000" w14:paraId="00000015">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Reference list</w:t>
        <w:tab/>
        <w:tab/>
        <w:tab/>
        <w:tab/>
        <w:tab/>
        <w:tab/>
        <w:tab/>
        <w:tab/>
        <w:t xml:space="preserve">P13</w:t>
      </w:r>
    </w:p>
    <w:p w:rsidR="00000000" w:rsidDel="00000000" w:rsidP="00000000" w:rsidRDefault="00000000" w:rsidRPr="00000000" w14:paraId="00000016">
      <w:pPr>
        <w:numPr>
          <w:ilvl w:val="0"/>
          <w:numId w:val="1"/>
        </w:numPr>
        <w:spacing w:after="0" w:line="480" w:lineRule="auto"/>
        <w:ind w:left="1120" w:hanging="360"/>
        <w:rPr>
          <w:rFonts w:ascii="Canva Sans" w:cs="Canva Sans" w:eastAsia="Canva Sans" w:hAnsi="Canva Sans"/>
          <w:u w:val="none"/>
        </w:rPr>
      </w:pPr>
      <w:r w:rsidDel="00000000" w:rsidR="00000000" w:rsidRPr="00000000">
        <w:rPr>
          <w:rFonts w:ascii="Canva Sans" w:cs="Canva Sans" w:eastAsia="Canva Sans" w:hAnsi="Canva Sans"/>
          <w:rtl w:val="0"/>
        </w:rPr>
        <w:t xml:space="preserve">Appendices</w:t>
        <w:tab/>
        <w:tab/>
        <w:tab/>
        <w:tab/>
        <w:tab/>
        <w:tab/>
        <w:tab/>
        <w:tab/>
        <w:t xml:space="preserve">P15</w:t>
      </w:r>
    </w:p>
    <w:p w:rsidR="00000000" w:rsidDel="00000000" w:rsidP="00000000" w:rsidRDefault="00000000" w:rsidRPr="00000000" w14:paraId="00000017">
      <w:pPr>
        <w:spacing w:after="120" w:before="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18">
      <w:pPr>
        <w:spacing w:after="120" w:before="120" w:line="336" w:lineRule="auto"/>
        <w:jc w:val="center"/>
        <w:rPr>
          <w:rFonts w:ascii="Arial" w:cs="Arial" w:eastAsia="Arial" w:hAnsi="Arial"/>
        </w:rPr>
      </w:pPr>
      <w:r w:rsidDel="00000000" w:rsidR="00000000" w:rsidRPr="00000000">
        <w:rPr>
          <w:rFonts w:ascii="Arial" w:cs="Arial" w:eastAsia="Arial" w:hAnsi="Arial"/>
          <w:b w:val="1"/>
          <w:bCs w:val="1"/>
          <w:color w:val="000000"/>
          <w:sz w:val="40"/>
          <w:szCs w:val="40"/>
          <w:u w:val="single"/>
          <w:rtl w:val="0"/>
        </w:rPr>
        <w:t xml:space="preserve">Introduction  </w:t>
      </w:r>
      <w:r w:rsidDel="00000000" w:rsidR="00000000" w:rsidRPr="00000000">
        <w:rPr>
          <w:rtl w:val="0"/>
        </w:rPr>
      </w:r>
    </w:p>
    <w:p w:rsidR="00000000" w:rsidDel="00000000" w:rsidP="00000000" w:rsidRDefault="00000000" w:rsidRPr="00000000" w14:paraId="00000019">
      <w:pPr>
        <w:spacing w:after="120" w:before="120" w:line="336" w:lineRule="auto"/>
        <w:rPr>
          <w:rFonts w:ascii="Arial" w:cs="Arial" w:eastAsia="Arial" w:hAnsi="Arial"/>
        </w:rPr>
      </w:pPr>
      <w:r w:rsidDel="00000000" w:rsidR="00000000" w:rsidRPr="00000000">
        <w:rPr>
          <w:rFonts w:ascii="Arial" w:cs="Arial" w:eastAsia="Arial" w:hAnsi="Arial"/>
          <w:color w:val="000000"/>
          <w:rtl w:val="0"/>
        </w:rPr>
        <w:t xml:space="preserve">The development of gene modifying drugs in 2012 has markedly changed the landscape of Cystic Fibrosis (CF) and the lives of people born with the disease. Since the discovery of the Cystic Fibrosis Transmembrane Conductance Regulator (CFTR) gene in 1989 (Elborn, S. 2018), a tremendous effort has been made trying to correct the dysfunction of the gene.</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000000"/>
          <w:rtl w:val="0"/>
        </w:rPr>
        <w:t xml:space="preserve">This report will look </w:t>
      </w:r>
      <w:r w:rsidDel="00000000" w:rsidR="00000000" w:rsidRPr="00000000">
        <w:rPr>
          <w:rFonts w:ascii="Arial" w:cs="Arial" w:eastAsia="Arial" w:hAnsi="Arial"/>
          <w:rtl w:val="0"/>
        </w:rPr>
        <w:t xml:space="preserve">at the</w:t>
      </w:r>
      <w:r w:rsidDel="00000000" w:rsidR="00000000" w:rsidRPr="00000000">
        <w:rPr>
          <w:rFonts w:ascii="Arial" w:cs="Arial" w:eastAsia="Arial" w:hAnsi="Arial"/>
          <w:color w:val="000000"/>
          <w:rtl w:val="0"/>
        </w:rPr>
        <w:t xml:space="preserve"> real-world effects of the modulators from an individual perspective</w:t>
      </w:r>
      <w:r w:rsidDel="00000000" w:rsidR="00000000" w:rsidRPr="00000000">
        <w:rPr>
          <w:rFonts w:ascii="Arial" w:cs="Arial" w:eastAsia="Arial" w:hAnsi="Arial"/>
          <w:rtl w:val="0"/>
        </w:rPr>
        <w:t xml:space="preserve"> and all that a new lease of life entails, and a new set of challenges that these drugs bring. </w:t>
      </w:r>
    </w:p>
    <w:p w:rsidR="00000000" w:rsidDel="00000000" w:rsidP="00000000" w:rsidRDefault="00000000" w:rsidRPr="00000000" w14:paraId="0000001A">
      <w:pPr>
        <w:spacing w:after="120" w:before="120" w:line="336" w:lineRule="auto"/>
        <w:rPr>
          <w:rFonts w:ascii="Arial" w:cs="Arial" w:eastAsia="Arial" w:hAnsi="Arial"/>
        </w:rPr>
      </w:pPr>
      <w:r w:rsidDel="00000000" w:rsidR="00000000" w:rsidRPr="00000000">
        <w:rPr>
          <w:rFonts w:ascii="Arial" w:cs="Arial" w:eastAsia="Arial" w:hAnsi="Arial"/>
          <w:rtl w:val="0"/>
        </w:rPr>
        <w:t xml:space="preserve">The changing role of the CF Therapies Assistant Practitioner (TAP) will be reviewed, and what the role now entails to effectively support CF patients now that their needs are changing but still remain complex, and also the frameworks that are in place to guide us through this ever changing landscape. </w:t>
      </w:r>
    </w:p>
    <w:p w:rsidR="00000000" w:rsidDel="00000000" w:rsidP="00000000" w:rsidRDefault="00000000" w:rsidRPr="00000000" w14:paraId="0000001B">
      <w:pPr>
        <w:spacing w:after="120" w:before="120" w:line="336" w:lineRule="auto"/>
        <w:rPr>
          <w:rFonts w:ascii="Arial" w:cs="Arial" w:eastAsia="Arial" w:hAnsi="Arial"/>
        </w:rPr>
      </w:pPr>
      <w:r w:rsidDel="00000000" w:rsidR="00000000" w:rsidRPr="00000000">
        <w:rPr>
          <w:rFonts w:ascii="Arial" w:cs="Arial" w:eastAsia="Arial" w:hAnsi="Arial"/>
          <w:rtl w:val="0"/>
        </w:rPr>
        <w:t xml:space="preserve">Additionally, this report will touch briefly on the missing patients in less industrialised countries and the misdiagnosed patients, due to a lack of testing or the assumption that the disease does not exist in certain cultures, alongside the rudimentary testing that is carried out in these countries. </w:t>
      </w:r>
    </w:p>
    <w:p w:rsidR="00000000" w:rsidDel="00000000" w:rsidP="00000000" w:rsidRDefault="00000000" w:rsidRPr="00000000" w14:paraId="0000001C">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1D">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1E">
      <w:pPr>
        <w:spacing w:after="120" w:before="120" w:line="336" w:lineRule="auto"/>
        <w:rPr/>
      </w:pPr>
      <w:r w:rsidDel="00000000" w:rsidR="00000000" w:rsidRPr="00000000">
        <w:rPr>
          <w:rFonts w:ascii="Canva Sans" w:cs="Canva Sans" w:eastAsia="Canva Sans" w:hAnsi="Canva Sans"/>
          <w:color w:val="000000"/>
          <w:rtl w:val="0"/>
        </w:rPr>
        <w:t xml:space="preserve"> </w:t>
      </w:r>
      <w:r w:rsidDel="00000000" w:rsidR="00000000" w:rsidRPr="00000000">
        <w:rPr>
          <w:rtl w:val="0"/>
        </w:rPr>
      </w:r>
    </w:p>
    <w:p w:rsidR="00000000" w:rsidDel="00000000" w:rsidP="00000000" w:rsidRDefault="00000000" w:rsidRPr="00000000" w14:paraId="0000001F">
      <w:pPr>
        <w:spacing w:after="120" w:before="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20">
      <w:pPr>
        <w:spacing w:after="120" w:before="120" w:line="336" w:lineRule="auto"/>
        <w:jc w:val="center"/>
        <w:rPr>
          <w:rFonts w:ascii="Arial" w:cs="Arial" w:eastAsia="Arial" w:hAnsi="Arial"/>
        </w:rPr>
      </w:pPr>
      <w:r w:rsidDel="00000000" w:rsidR="00000000" w:rsidRPr="00000000">
        <w:rPr>
          <w:rFonts w:ascii="Arial" w:cs="Arial" w:eastAsia="Arial" w:hAnsi="Arial"/>
          <w:b w:val="1"/>
          <w:bCs w:val="1"/>
          <w:color w:val="000000"/>
          <w:sz w:val="40"/>
          <w:szCs w:val="40"/>
          <w:u w:val="single"/>
          <w:rtl w:val="0"/>
        </w:rPr>
        <w:t xml:space="preserve">Case Study </w:t>
      </w:r>
      <w:r w:rsidDel="00000000" w:rsidR="00000000" w:rsidRPr="00000000">
        <w:rPr>
          <w:rtl w:val="0"/>
        </w:rPr>
      </w:r>
    </w:p>
    <w:p w:rsidR="00000000" w:rsidDel="00000000" w:rsidP="00000000" w:rsidRDefault="00000000" w:rsidRPr="00000000" w14:paraId="00000021">
      <w:pPr>
        <w:tabs>
          <w:tab w:val="left" w:leader="none" w:pos="5025"/>
        </w:tabs>
        <w:spacing w:after="0" w:line="360" w:lineRule="auto"/>
        <w:rPr>
          <w:rFonts w:ascii="Arial" w:cs="Arial" w:eastAsia="Arial" w:hAnsi="Arial"/>
          <w:color w:val="000000"/>
          <w:sz w:val="22"/>
          <w:szCs w:val="22"/>
        </w:rPr>
      </w:pPr>
      <w:r w:rsidDel="00000000" w:rsidR="00000000" w:rsidRPr="00000000">
        <w:rPr>
          <w:rFonts w:ascii="Arial" w:cs="Arial" w:eastAsia="Arial" w:hAnsi="Arial"/>
          <w:color w:val="000000"/>
          <w:rtl w:val="0"/>
        </w:rPr>
        <w:t xml:space="preserve">SheRa is a 47 year old, unemployed woman with CF who lives with her mother and brother. At age 18 she was unable to maintain her weight and was severely malnourished. She was diagnosed with pancreatic insufficiency (PI), and a positive sweat test revealed a diagnosis of CF. Subsequent genetic testing showed </w:t>
      </w:r>
      <w:r w:rsidDel="00000000" w:rsidR="00000000" w:rsidRPr="00000000">
        <w:rPr>
          <w:rFonts w:ascii="Arial" w:cs="Arial" w:eastAsia="Arial" w:hAnsi="Arial"/>
          <w:color w:val="000000"/>
          <w:sz w:val="22"/>
          <w:szCs w:val="22"/>
          <w:rtl w:val="0"/>
        </w:rPr>
        <w:t xml:space="preserve">F508del/G551D variants</w:t>
      </w:r>
      <w:r w:rsidDel="00000000" w:rsidR="00000000" w:rsidRPr="00000000">
        <w:rPr>
          <w:rFonts w:ascii="Arial" w:cs="Arial" w:eastAsia="Arial" w:hAnsi="Arial"/>
          <w:b w:val="1"/>
          <w:bCs w:val="1"/>
          <w:color w:val="000000"/>
          <w:sz w:val="22"/>
          <w:szCs w:val="22"/>
          <w:rtl w:val="0"/>
        </w:rPr>
        <w:t xml:space="preserve">. </w:t>
      </w:r>
      <w:r w:rsidDel="00000000" w:rsidR="00000000" w:rsidRPr="00000000">
        <w:rPr>
          <w:rtl w:val="0"/>
        </w:rPr>
      </w:r>
    </w:p>
    <w:p w:rsidR="00000000" w:rsidDel="00000000" w:rsidP="00000000" w:rsidRDefault="00000000" w:rsidRPr="00000000" w14:paraId="00000022">
      <w:pPr>
        <w:spacing w:after="120" w:before="120" w:line="336" w:lineRule="auto"/>
        <w:rPr>
          <w:rFonts w:ascii="Arial" w:cs="Arial" w:eastAsia="Arial" w:hAnsi="Arial"/>
        </w:rPr>
      </w:pPr>
      <w:r w:rsidDel="00000000" w:rsidR="00000000" w:rsidRPr="00000000">
        <w:rPr>
          <w:rFonts w:ascii="Arial" w:cs="Arial" w:eastAsia="Arial" w:hAnsi="Arial"/>
          <w:rtl w:val="0"/>
        </w:rPr>
        <w:t xml:space="preserve">SheRa started attending the CF gym as an outpatient in 2012. By this time she had been diagnosed with CF related diabetes, Type II respiratory failure requiring non-invasive ventilation (NIV) overnight, long term oxygen (O</w:t>
      </w:r>
      <w:r w:rsidDel="00000000" w:rsidR="00000000" w:rsidRPr="00000000">
        <w:rPr>
          <w:rFonts w:ascii="Arial" w:cs="Arial" w:eastAsia="Arial" w:hAnsi="Arial"/>
          <w:vertAlign w:val="subscript"/>
          <w:rtl w:val="0"/>
        </w:rPr>
        <w:t xml:space="preserve">2</w:t>
      </w:r>
      <w:r w:rsidDel="00000000" w:rsidR="00000000" w:rsidRPr="00000000">
        <w:rPr>
          <w:rFonts w:ascii="Arial" w:cs="Arial" w:eastAsia="Arial" w:hAnsi="Arial"/>
          <w:rtl w:val="0"/>
        </w:rPr>
        <w:t xml:space="preserve">) therapy at rest and ambulatory oxygen when active, with lung function of 0.45L (14%). In the year prior to this, SheRa had 3 hospital admissions for intravenous (IV) antibiotics and had 3-4 courses of oral antibiotics. SheRa attended the gym 3 times a week and used the treadmill, static bike, rower and multi resistance machine. She achieved 180metres on a six minute walk test (6MWT) using O</w:t>
      </w:r>
      <w:r w:rsidDel="00000000" w:rsidR="00000000" w:rsidRPr="00000000">
        <w:rPr>
          <w:rFonts w:ascii="Arial" w:cs="Arial" w:eastAsia="Arial" w:hAnsi="Arial"/>
          <w:vertAlign w:val="subscript"/>
          <w:rtl w:val="0"/>
        </w:rPr>
        <w:t xml:space="preserve">2,</w:t>
      </w:r>
      <w:r w:rsidDel="00000000" w:rsidR="00000000" w:rsidRPr="00000000">
        <w:rPr>
          <w:rFonts w:ascii="Arial" w:cs="Arial" w:eastAsia="Arial" w:hAnsi="Arial"/>
          <w:rtl w:val="0"/>
        </w:rPr>
        <w:t xml:space="preserve"> with her SpO</w:t>
      </w:r>
      <w:r w:rsidDel="00000000" w:rsidR="00000000" w:rsidRPr="00000000">
        <w:rPr>
          <w:rFonts w:ascii="Arial" w:cs="Arial" w:eastAsia="Arial" w:hAnsi="Arial"/>
          <w:vertAlign w:val="subscript"/>
          <w:rtl w:val="0"/>
        </w:rPr>
        <w:t xml:space="preserve">2</w:t>
      </w:r>
      <w:r w:rsidDel="00000000" w:rsidR="00000000" w:rsidRPr="00000000">
        <w:rPr>
          <w:rFonts w:ascii="Arial" w:cs="Arial" w:eastAsia="Arial" w:hAnsi="Arial"/>
          <w:rtl w:val="0"/>
        </w:rPr>
        <w:t xml:space="preserve"> dropping to 79%.  </w:t>
      </w:r>
    </w:p>
    <w:p w:rsidR="00000000" w:rsidDel="00000000" w:rsidP="00000000" w:rsidRDefault="00000000" w:rsidRPr="00000000" w14:paraId="00000023">
      <w:pPr>
        <w:spacing w:after="120" w:before="120" w:line="336" w:lineRule="auto"/>
        <w:rPr>
          <w:rFonts w:ascii="Arial" w:cs="Arial" w:eastAsia="Arial" w:hAnsi="Arial"/>
        </w:rPr>
      </w:pPr>
      <w:r w:rsidDel="00000000" w:rsidR="00000000" w:rsidRPr="00000000">
        <w:rPr>
          <w:rFonts w:ascii="Arial" w:cs="Arial" w:eastAsia="Arial" w:hAnsi="Arial"/>
          <w:rtl w:val="0"/>
        </w:rPr>
        <w:t xml:space="preserve">Presence of the G551D gene meant SheRa was eligible for first generation genetic modulator therapy, and she commenced Ivacaftor in August 2013. (Barry, P, J. et al. 2014) </w:t>
      </w:r>
      <w:r w:rsidDel="00000000" w:rsidR="00000000" w:rsidRPr="00000000">
        <w:rPr>
          <w:rtl w:val="0"/>
        </w:rPr>
      </w:r>
    </w:p>
    <w:p w:rsidR="00000000" w:rsidDel="00000000" w:rsidP="00000000" w:rsidRDefault="00000000" w:rsidRPr="00000000" w14:paraId="00000024">
      <w:pPr>
        <w:spacing w:after="120" w:before="120" w:line="336" w:lineRule="auto"/>
        <w:rPr>
          <w:rFonts w:ascii="Arial" w:cs="Arial" w:eastAsia="Arial" w:hAnsi="Arial"/>
        </w:rPr>
      </w:pPr>
      <w:r w:rsidDel="00000000" w:rsidR="00000000" w:rsidRPr="00000000">
        <w:rPr>
          <w:rFonts w:ascii="Arial" w:cs="Arial" w:eastAsia="Arial" w:hAnsi="Arial"/>
          <w:rtl w:val="0"/>
        </w:rPr>
        <w:t xml:space="preserve">At annual review in July 2014, SheRa had improved lung function of 0.58L (18%), a 6MWT distance of 310m with a drop in SpO</w:t>
      </w:r>
      <w:r w:rsidDel="00000000" w:rsidR="00000000" w:rsidRPr="00000000">
        <w:rPr>
          <w:rFonts w:ascii="Arial" w:cs="Arial" w:eastAsia="Arial" w:hAnsi="Arial"/>
          <w:vertAlign w:val="subscript"/>
          <w:rtl w:val="0"/>
        </w:rPr>
        <w:t xml:space="preserve">2</w:t>
      </w:r>
      <w:r w:rsidDel="00000000" w:rsidR="00000000" w:rsidRPr="00000000">
        <w:rPr>
          <w:rFonts w:ascii="Arial" w:cs="Arial" w:eastAsia="Arial" w:hAnsi="Arial"/>
          <w:rtl w:val="0"/>
        </w:rPr>
        <w:t xml:space="preserve"> to 80%. At the gym SheRa increased the intensity of her programme, adding the cross trainer into her regimen. In this year, SheRa had no hospital admissions for IVs and no courses of oral antibiotics and there was an improvement across all monitored health markers. Despite this, she was placed on a lung transplantation waiting list. The mortality rate for a CF patient on a lung transplant list in 2014 was 29% within 3 years (Kourliouros et al. 2018).</w:t>
      </w:r>
      <w:r w:rsidDel="00000000" w:rsidR="00000000" w:rsidRPr="00000000">
        <w:rPr>
          <w:rFonts w:ascii="Arial" w:cs="Arial" w:eastAsia="Arial" w:hAnsi="Arial"/>
          <w:color w:val="ff0000"/>
          <w:rtl w:val="0"/>
        </w:rPr>
        <w:t xml:space="preserve"> </w:t>
      </w:r>
      <w:r w:rsidDel="00000000" w:rsidR="00000000" w:rsidRPr="00000000">
        <w:rPr>
          <w:rtl w:val="0"/>
        </w:rPr>
      </w:r>
    </w:p>
    <w:p w:rsidR="00000000" w:rsidDel="00000000" w:rsidP="00000000" w:rsidRDefault="00000000" w:rsidRPr="00000000" w14:paraId="00000025">
      <w:pPr>
        <w:spacing w:after="120" w:before="120" w:line="336" w:lineRule="auto"/>
        <w:rPr>
          <w:rFonts w:ascii="Arial" w:cs="Arial" w:eastAsia="Arial" w:hAnsi="Arial"/>
        </w:rPr>
      </w:pPr>
      <w:r w:rsidDel="00000000" w:rsidR="00000000" w:rsidRPr="00000000">
        <w:rPr>
          <w:rFonts w:ascii="Arial" w:cs="Arial" w:eastAsia="Arial" w:hAnsi="Arial"/>
          <w:rtl w:val="0"/>
        </w:rPr>
        <w:t xml:space="preserve">In 2015, SheRa had no hospital admissions, 5 courses of oral antibiotics, and a lung function of 0.6L (19%). From 2016 – 2021, SheRa had just two hospital admissions for IVs and no oral antibiotics at all.</w:t>
      </w:r>
    </w:p>
    <w:p w:rsidR="00000000" w:rsidDel="00000000" w:rsidP="00000000" w:rsidRDefault="00000000" w:rsidRPr="00000000" w14:paraId="00000026">
      <w:pPr>
        <w:spacing w:after="120" w:before="120" w:line="336" w:lineRule="auto"/>
        <w:rPr>
          <w:rFonts w:ascii="Arial" w:cs="Arial" w:eastAsia="Arial" w:hAnsi="Arial"/>
        </w:rPr>
      </w:pPr>
      <w:r w:rsidDel="00000000" w:rsidR="00000000" w:rsidRPr="00000000">
        <w:rPr>
          <w:rFonts w:ascii="Arial" w:cs="Arial" w:eastAsia="Arial" w:hAnsi="Arial"/>
          <w:rtl w:val="0"/>
        </w:rPr>
        <w:t xml:space="preserve">In 2016 SheRa decided to remove herself from the lung transplant list, feeling that her quality of life had improved, her health was stable, and the risk of surgery too great, given her perceived improvement on Ivacaftor. She remained under yearly review with the transplant team at Harefield Hospital.</w:t>
      </w:r>
    </w:p>
    <w:p w:rsidR="00000000" w:rsidDel="00000000" w:rsidP="00000000" w:rsidRDefault="00000000" w:rsidRPr="00000000" w14:paraId="00000027">
      <w:pPr>
        <w:spacing w:after="120" w:before="120" w:line="336" w:lineRule="auto"/>
        <w:rPr>
          <w:rFonts w:ascii="Arial" w:cs="Arial" w:eastAsia="Arial" w:hAnsi="Arial"/>
        </w:rPr>
      </w:pPr>
      <w:r w:rsidDel="00000000" w:rsidR="00000000" w:rsidRPr="00000000">
        <w:rPr>
          <w:rFonts w:ascii="Arial" w:cs="Arial" w:eastAsia="Arial" w:hAnsi="Arial"/>
          <w:rtl w:val="0"/>
        </w:rPr>
        <w:t xml:space="preserve">In January 2021, SheRa was switched to Kaftrio, a ‘triple therapy’ genetic modulator to treat both F508del and G551D </w:t>
      </w:r>
      <w:r w:rsidDel="00000000" w:rsidR="00000000" w:rsidRPr="00000000">
        <w:rPr>
          <w:rtl w:val="0"/>
        </w:rPr>
        <w:t xml:space="preserve">(Donaldson, S, H. et al, 2017)</w:t>
      </w:r>
      <w:r w:rsidDel="00000000" w:rsidR="00000000" w:rsidRPr="00000000">
        <w:rPr>
          <w:rFonts w:ascii="Arial" w:cs="Arial" w:eastAsia="Arial" w:hAnsi="Arial"/>
          <w:rtl w:val="0"/>
        </w:rPr>
        <w:t xml:space="preserve"> When SheRa was commenced on Kaftrio, her lung function was 0.51L (17%) but due to the pandemic her exercise tolerance had decreased considerably, and gym sessions were replaced with virtual exercise sessions. SheRa never recovered her pre-pandemic fitness levels.</w:t>
      </w:r>
    </w:p>
    <w:p w:rsidR="00000000" w:rsidDel="00000000" w:rsidP="00000000" w:rsidRDefault="00000000" w:rsidRPr="00000000" w14:paraId="00000028">
      <w:pPr>
        <w:spacing w:after="120" w:before="120" w:line="336" w:lineRule="auto"/>
        <w:rPr>
          <w:rFonts w:ascii="Arial" w:cs="Arial" w:eastAsia="Arial" w:hAnsi="Arial"/>
        </w:rPr>
      </w:pPr>
      <w:r w:rsidDel="00000000" w:rsidR="00000000" w:rsidRPr="00000000">
        <w:rPr>
          <w:rFonts w:ascii="Arial" w:cs="Arial" w:eastAsia="Arial" w:hAnsi="Arial"/>
          <w:rtl w:val="0"/>
        </w:rPr>
        <w:t xml:space="preserve">In her 2022 annual review, SheRa had a lung function of 0.42L (13%). She managed 197m on a 6MWT and her oxygen levels dropped to 85%, but by now SheRa’s O</w:t>
      </w:r>
      <w:r w:rsidDel="00000000" w:rsidR="00000000" w:rsidRPr="00000000">
        <w:rPr>
          <w:rFonts w:ascii="Arial" w:cs="Arial" w:eastAsia="Arial" w:hAnsi="Arial"/>
          <w:vertAlign w:val="subscript"/>
          <w:rtl w:val="0"/>
        </w:rPr>
        <w:t xml:space="preserve">2</w:t>
      </w:r>
      <w:r w:rsidDel="00000000" w:rsidR="00000000" w:rsidRPr="00000000">
        <w:rPr>
          <w:rFonts w:ascii="Arial" w:cs="Arial" w:eastAsia="Arial" w:hAnsi="Arial"/>
          <w:rtl w:val="0"/>
        </w:rPr>
        <w:t xml:space="preserve"> requirement and NIV settings had increased due to deterioration of her respiratory failure. She had also developed right sided heart failure.</w:t>
      </w:r>
    </w:p>
    <w:p w:rsidR="00000000" w:rsidDel="00000000" w:rsidP="00000000" w:rsidRDefault="00000000" w:rsidRPr="00000000" w14:paraId="00000029">
      <w:pPr>
        <w:spacing w:after="120" w:before="120" w:line="336" w:lineRule="auto"/>
        <w:rPr>
          <w:rFonts w:ascii="Arial" w:cs="Arial" w:eastAsia="Arial" w:hAnsi="Arial"/>
        </w:rPr>
      </w:pPr>
      <w:r w:rsidDel="00000000" w:rsidR="00000000" w:rsidRPr="00000000">
        <w:rPr>
          <w:rFonts w:ascii="Arial" w:cs="Arial" w:eastAsia="Arial" w:hAnsi="Arial"/>
          <w:rtl w:val="0"/>
        </w:rPr>
        <w:t xml:space="preserve">Since 2023, SheRa has had 2 inpatient admissions. In 2025 tracking of lung function and SpO</w:t>
      </w:r>
      <w:r w:rsidDel="00000000" w:rsidR="00000000" w:rsidRPr="00000000">
        <w:rPr>
          <w:rFonts w:ascii="Arial" w:cs="Arial" w:eastAsia="Arial" w:hAnsi="Arial"/>
          <w:vertAlign w:val="subscript"/>
          <w:rtl w:val="0"/>
        </w:rPr>
        <w:t xml:space="preserve">2 </w:t>
      </w:r>
      <w:r w:rsidDel="00000000" w:rsidR="00000000" w:rsidRPr="00000000">
        <w:rPr>
          <w:rFonts w:ascii="Arial" w:cs="Arial" w:eastAsia="Arial" w:hAnsi="Arial"/>
          <w:rtl w:val="0"/>
        </w:rPr>
        <w:t xml:space="preserve">ceased as this was starting to cause her distress due to them reaching pre-modulator levels. These are only checked if there is a change in symptoms as SheRa has now reached her ceiling of care. Whilst SheRa’s health has deteriorated, she has exceeded her expected mortality, from the time of joining the transplant list, by 12 years. As SheRa has decided against a transplant, a maintenance approach to her care has been adopted. Without genetic modulators, SheRa’s mortality would have been greatly reduced, with the possibility of her passing away whilst awaiting transplant. SheRa still attends the gym once a week and manages to use the stairmaster, treadmill, cross trainer and static bike.</w:t>
      </w:r>
    </w:p>
    <w:p w:rsidR="00000000" w:rsidDel="00000000" w:rsidP="00000000" w:rsidRDefault="00000000" w:rsidRPr="00000000" w14:paraId="0000002A">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2B">
      <w:pPr>
        <w:spacing w:after="120" w:before="120" w:line="336" w:lineRule="auto"/>
        <w:jc w:val="center"/>
        <w:rPr>
          <w:rFonts w:ascii="Arial" w:cs="Arial" w:eastAsia="Arial" w:hAnsi="Arial"/>
        </w:rPr>
      </w:pPr>
      <w:r w:rsidDel="00000000" w:rsidR="00000000" w:rsidRPr="00000000">
        <w:rPr>
          <w:rFonts w:ascii="Arial" w:cs="Arial" w:eastAsia="Arial" w:hAnsi="Arial"/>
          <w:b w:val="1"/>
          <w:bCs w:val="1"/>
          <w:sz w:val="40"/>
          <w:szCs w:val="40"/>
          <w:u w:val="single"/>
          <w:rtl w:val="0"/>
        </w:rPr>
        <w:t xml:space="preserve">Overview of Condition</w:t>
      </w:r>
      <w:r w:rsidDel="00000000" w:rsidR="00000000" w:rsidRPr="00000000">
        <w:rPr>
          <w:rtl w:val="0"/>
        </w:rPr>
      </w:r>
    </w:p>
    <w:p w:rsidR="00000000" w:rsidDel="00000000" w:rsidP="00000000" w:rsidRDefault="00000000" w:rsidRPr="00000000" w14:paraId="0000002C">
      <w:pPr>
        <w:spacing w:after="120" w:before="120" w:line="336" w:lineRule="auto"/>
        <w:rPr>
          <w:rFonts w:ascii="Arial" w:cs="Arial" w:eastAsia="Arial" w:hAnsi="Arial"/>
        </w:rPr>
      </w:pPr>
      <w:r w:rsidDel="00000000" w:rsidR="00000000" w:rsidRPr="00000000">
        <w:rPr>
          <w:rFonts w:ascii="Arial" w:cs="Arial" w:eastAsia="Arial" w:hAnsi="Arial"/>
          <w:rtl w:val="0"/>
        </w:rPr>
        <w:t xml:space="preserve">According to the CF Registry, which is the UK’s primary national database used in the study and research of CF, 11,381 people in the UK are currently living with the disease (</w:t>
      </w:r>
      <w:r w:rsidDel="00000000" w:rsidR="00000000" w:rsidRPr="00000000">
        <w:rPr>
          <w:rtl w:val="0"/>
        </w:rPr>
        <w:t xml:space="preserve">UK Cystic Fibrosis Registry 2024 Annual Data Report, 2024)</w:t>
      </w:r>
      <w:r w:rsidDel="00000000" w:rsidR="00000000" w:rsidRPr="00000000">
        <w:rPr>
          <w:rFonts w:ascii="Arial" w:cs="Arial" w:eastAsia="Arial" w:hAnsi="Arial"/>
          <w:rtl w:val="0"/>
        </w:rPr>
        <w:t xml:space="preserve">. </w:t>
      </w:r>
    </w:p>
    <w:p w:rsidR="00000000" w:rsidDel="00000000" w:rsidP="00000000" w:rsidRDefault="00000000" w:rsidRPr="00000000" w14:paraId="0000002D">
      <w:pPr>
        <w:spacing w:after="120" w:before="120" w:line="336" w:lineRule="auto"/>
        <w:rPr>
          <w:rFonts w:ascii="Arial" w:cs="Arial" w:eastAsia="Arial" w:hAnsi="Arial"/>
        </w:rPr>
      </w:pPr>
      <w:r w:rsidDel="00000000" w:rsidR="00000000" w:rsidRPr="00000000">
        <w:rPr>
          <w:rFonts w:ascii="Arial" w:cs="Arial" w:eastAsia="Arial" w:hAnsi="Arial"/>
          <w:rtl w:val="0"/>
        </w:rPr>
        <w:t xml:space="preserve">Caucasian people are predominantly affected; the gene most prevalent in the UK is F508Del.  This is categorised as a severe mutation, with 90% of the CF population having at least one of these genes and 50% of the population having two (Sheppard, D, et al. 2026). </w:t>
      </w:r>
    </w:p>
    <w:p w:rsidR="00000000" w:rsidDel="00000000" w:rsidP="00000000" w:rsidRDefault="00000000" w:rsidRPr="00000000" w14:paraId="0000002E">
      <w:pPr>
        <w:spacing w:after="120" w:before="120" w:line="336" w:lineRule="auto"/>
        <w:rPr>
          <w:rFonts w:ascii="Arial" w:cs="Arial" w:eastAsia="Arial" w:hAnsi="Arial"/>
        </w:rPr>
      </w:pPr>
      <w:r w:rsidDel="00000000" w:rsidR="00000000" w:rsidRPr="00000000">
        <w:rPr>
          <w:rFonts w:ascii="Arial" w:cs="Arial" w:eastAsia="Arial" w:hAnsi="Arial"/>
          <w:rtl w:val="0"/>
        </w:rPr>
        <w:t xml:space="preserve">CF is an inherited autosomal recessive gene condition caused by mutations in the CFTR gene.  The severity of the disease is determined by the mutations that have been inherited, of which 1400 have been discovered.  The table below shows how some of the mutations determine classification.</w:t>
      </w:r>
    </w:p>
    <w:p w:rsidR="00000000" w:rsidDel="00000000" w:rsidP="00000000" w:rsidRDefault="00000000" w:rsidRPr="00000000" w14:paraId="0000002F">
      <w:pPr>
        <w:spacing w:after="120" w:before="120" w:line="336" w:lineRule="auto"/>
        <w:rPr>
          <w:rFonts w:ascii="Arial" w:cs="Arial" w:eastAsia="Arial" w:hAnsi="Arial"/>
        </w:rPr>
      </w:pPr>
      <w:r w:rsidDel="00000000" w:rsidR="00000000" w:rsidRPr="00000000">
        <w:rPr>
          <w:rFonts w:ascii="Canva Sans" w:cs="Canva Sans" w:eastAsia="Canva Sans" w:hAnsi="Canva Sans"/>
        </w:rPr>
        <w:drawing>
          <wp:inline distB="114300" distT="114300" distL="114300" distR="114300">
            <wp:extent cx="5731200" cy="407670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40767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after="120" w:before="120" w:line="336" w:lineRule="auto"/>
        <w:rPr>
          <w:rFonts w:ascii="Arial" w:cs="Arial" w:eastAsia="Arial" w:hAnsi="Arial"/>
        </w:rPr>
      </w:pPr>
      <w:r w:rsidDel="00000000" w:rsidR="00000000" w:rsidRPr="00000000">
        <w:rPr>
          <w:rFonts w:ascii="Arial" w:cs="Arial" w:eastAsia="Arial" w:hAnsi="Arial"/>
          <w:rtl w:val="0"/>
        </w:rPr>
        <w:t xml:space="preserve">CFTR controls the movement of sodium and chloride across cells, and mutations of the gene will result in an adverse effect on the secretory organs (respiratory tract, pancreas, liver, intestines, and reproductive tract), but have a profound effect on the respiratory and digestive systems, particularly. </w:t>
      </w:r>
    </w:p>
    <w:p w:rsidR="00000000" w:rsidDel="00000000" w:rsidP="00000000" w:rsidRDefault="00000000" w:rsidRPr="00000000" w14:paraId="00000032">
      <w:pPr>
        <w:spacing w:after="120" w:before="120" w:line="336" w:lineRule="auto"/>
        <w:rPr>
          <w:rFonts w:ascii="Arial" w:cs="Arial" w:eastAsia="Arial" w:hAnsi="Arial"/>
        </w:rPr>
      </w:pPr>
      <w:r w:rsidDel="00000000" w:rsidR="00000000" w:rsidRPr="00000000">
        <w:rPr>
          <w:rFonts w:ascii="Arial" w:cs="Arial" w:eastAsia="Arial" w:hAnsi="Arial"/>
          <w:rtl w:val="0"/>
        </w:rPr>
        <w:t xml:space="preserve">Reihill, J, A. et al (2021)</w:t>
      </w:r>
      <w:r w:rsidDel="00000000" w:rsidR="00000000" w:rsidRPr="00000000">
        <w:rPr>
          <w:rtl w:val="0"/>
        </w:rPr>
        <w:t xml:space="preserve"> </w:t>
      </w:r>
      <w:r w:rsidDel="00000000" w:rsidR="00000000" w:rsidRPr="00000000">
        <w:rPr>
          <w:rFonts w:ascii="Arial" w:cs="Arial" w:eastAsia="Arial" w:hAnsi="Arial"/>
          <w:rtl w:val="0"/>
        </w:rPr>
        <w:t xml:space="preserve">explain how the CFTR dysfunction leads to dehydration of the cell surface liquid and decreased mucociliary clearance. </w:t>
      </w:r>
    </w:p>
    <w:p w:rsidR="00000000" w:rsidDel="00000000" w:rsidP="00000000" w:rsidRDefault="00000000" w:rsidRPr="00000000" w14:paraId="00000033">
      <w:pPr>
        <w:spacing w:after="120" w:before="120" w:line="336" w:lineRule="auto"/>
        <w:rPr>
          <w:rFonts w:ascii="Arial" w:cs="Arial" w:eastAsia="Arial" w:hAnsi="Arial"/>
        </w:rPr>
      </w:pPr>
      <w:r w:rsidDel="00000000" w:rsidR="00000000" w:rsidRPr="00000000">
        <w:rPr>
          <w:rFonts w:ascii="Arial" w:cs="Arial" w:eastAsia="Arial" w:hAnsi="Arial"/>
          <w:rtl w:val="0"/>
        </w:rPr>
        <w:t xml:space="preserve">Thick mucus accumulates in the organs, creating a cycle of chronic infection and inflammation.  This leads to progressive damage to the organs and ultimately to respiratory failure and death.  The disease is progressive, incurable and life limiting. </w:t>
      </w:r>
    </w:p>
    <w:p w:rsidR="00000000" w:rsidDel="00000000" w:rsidP="00000000" w:rsidRDefault="00000000" w:rsidRPr="00000000" w14:paraId="00000034">
      <w:pPr>
        <w:spacing w:after="120" w:before="120" w:line="336" w:lineRule="auto"/>
        <w:rPr>
          <w:rFonts w:ascii="Canva Sans" w:cs="Canva Sans" w:eastAsia="Canva Sans" w:hAnsi="Canva Sans"/>
          <w:sz w:val="22"/>
          <w:szCs w:val="22"/>
        </w:rPr>
      </w:pPr>
      <w:r w:rsidDel="00000000" w:rsidR="00000000" w:rsidRPr="00000000">
        <w:rPr>
          <w:rtl w:val="0"/>
        </w:rPr>
      </w:r>
    </w:p>
    <w:p w:rsidR="00000000" w:rsidDel="00000000" w:rsidP="00000000" w:rsidRDefault="00000000" w:rsidRPr="00000000" w14:paraId="00000035">
      <w:pPr>
        <w:spacing w:after="120" w:before="120" w:line="336" w:lineRule="auto"/>
        <w:jc w:val="center"/>
        <w:rPr>
          <w:rFonts w:ascii="Arial" w:cs="Arial" w:eastAsia="Arial" w:hAnsi="Arial"/>
          <w:b w:val="1"/>
          <w:bCs w:val="1"/>
          <w:sz w:val="42"/>
          <w:szCs w:val="42"/>
          <w:u w:val="single"/>
        </w:rPr>
      </w:pPr>
      <w:r w:rsidDel="00000000" w:rsidR="00000000" w:rsidRPr="00000000">
        <w:rPr>
          <w:rFonts w:ascii="Arial" w:cs="Arial" w:eastAsia="Arial" w:hAnsi="Arial"/>
          <w:b w:val="1"/>
          <w:bCs w:val="1"/>
          <w:sz w:val="40"/>
          <w:szCs w:val="40"/>
          <w:u w:val="single"/>
          <w:rtl w:val="0"/>
        </w:rPr>
        <w:t xml:space="preserve">Previous Approaches to the Condition </w:t>
      </w:r>
      <w:r w:rsidDel="00000000" w:rsidR="00000000" w:rsidRPr="00000000">
        <w:rPr>
          <w:rtl w:val="0"/>
        </w:rPr>
      </w:r>
    </w:p>
    <w:p w:rsidR="00000000" w:rsidDel="00000000" w:rsidP="00000000" w:rsidRDefault="00000000" w:rsidRPr="00000000" w14:paraId="00000036">
      <w:pPr>
        <w:spacing w:after="120" w:before="120" w:line="336" w:lineRule="auto"/>
        <w:rPr>
          <w:rFonts w:ascii="Arial" w:cs="Arial" w:eastAsia="Arial" w:hAnsi="Arial"/>
        </w:rPr>
      </w:pPr>
      <w:r w:rsidDel="00000000" w:rsidR="00000000" w:rsidRPr="00000000">
        <w:rPr>
          <w:rFonts w:ascii="Arial" w:cs="Arial" w:eastAsia="Arial" w:hAnsi="Arial"/>
          <w:rtl w:val="0"/>
        </w:rPr>
        <w:t xml:space="preserve">Wales has been screening for CF using the heel prick test since 1996 (Doull, I. 2018). Screening subsequently became mandatory in Scotland in 2003, and 2007 in the rest of the UK. The CF Trust somewhat contradicts the introduction of screening in Wales first, by not mentioning this, but this assertion is supported by Pillai, A. et al (2022).  </w:t>
      </w:r>
    </w:p>
    <w:p w:rsidR="00000000" w:rsidDel="00000000" w:rsidP="00000000" w:rsidRDefault="00000000" w:rsidRPr="00000000" w14:paraId="00000037">
      <w:pPr>
        <w:spacing w:after="120" w:before="120" w:line="336" w:lineRule="auto"/>
        <w:rPr>
          <w:rFonts w:ascii="Arial" w:cs="Arial" w:eastAsia="Arial" w:hAnsi="Arial"/>
        </w:rPr>
      </w:pPr>
      <w:r w:rsidDel="00000000" w:rsidR="00000000" w:rsidRPr="00000000">
        <w:rPr>
          <w:rFonts w:ascii="Arial" w:cs="Arial" w:eastAsia="Arial" w:hAnsi="Arial"/>
          <w:rtl w:val="0"/>
        </w:rPr>
        <w:t xml:space="preserve">In poorer parts of the world, Aquagenic Wrinkling (AW) is still used today to determine the possibility of CF, though further investigations would be required before a diagnosis of CF is confirmed.  AW is a validated test whereby the hands are submerged in water for 2 minutes, and the time to wrinkling is less than that of healthy people. This is thought to be due to higher sweat chloride levels (Paul, G, S. 2021). </w:t>
      </w:r>
      <w:r w:rsidDel="00000000" w:rsidR="00000000" w:rsidRPr="00000000">
        <w:rPr>
          <w:rtl w:val="0"/>
        </w:rPr>
      </w:r>
    </w:p>
    <w:p w:rsidR="00000000" w:rsidDel="00000000" w:rsidP="00000000" w:rsidRDefault="00000000" w:rsidRPr="00000000" w14:paraId="00000038">
      <w:pPr>
        <w:spacing w:after="120" w:before="120" w:line="336" w:lineRule="auto"/>
        <w:rPr>
          <w:rFonts w:ascii="Arial" w:cs="Arial" w:eastAsia="Arial" w:hAnsi="Arial"/>
        </w:rPr>
      </w:pPr>
      <w:r w:rsidDel="00000000" w:rsidR="00000000" w:rsidRPr="00000000">
        <w:rPr>
          <w:rFonts w:ascii="Arial" w:cs="Arial" w:eastAsia="Arial" w:hAnsi="Arial"/>
          <w:rtl w:val="0"/>
        </w:rPr>
        <w:t xml:space="preserve">Early diagnosis helps to increase life expectancy in those with severe mutations, as early interventions reduce the number of recurring infections, thus delaying the spiral of infection and inflammation.</w:t>
      </w:r>
    </w:p>
    <w:p w:rsidR="00000000" w:rsidDel="00000000" w:rsidP="00000000" w:rsidRDefault="00000000" w:rsidRPr="00000000" w14:paraId="00000039">
      <w:pPr>
        <w:spacing w:after="120" w:before="120" w:line="336" w:lineRule="auto"/>
        <w:rPr>
          <w:rFonts w:ascii="Arial" w:cs="Arial" w:eastAsia="Arial" w:hAnsi="Arial"/>
        </w:rPr>
      </w:pPr>
      <w:r w:rsidDel="00000000" w:rsidR="00000000" w:rsidRPr="00000000">
        <w:rPr>
          <w:rFonts w:ascii="Arial" w:cs="Arial" w:eastAsia="Arial" w:hAnsi="Arial"/>
          <w:rtl w:val="0"/>
        </w:rPr>
        <w:t xml:space="preserve">Physiotherapy interventions have evolved throughout the years to stave off the rapid onset of disease progression. Below is a list of airway clearance techniques (ACT) and devices that were used, sometimes in conjunction with each other, to clear mucus from the chest. These practices were and still are, used alongside medications (mucolytics, antibiotics and bronchodilators) to optimise chest clearance and to delay the progression of the disease.</w:t>
      </w:r>
    </w:p>
    <w:p w:rsidR="00000000" w:rsidDel="00000000" w:rsidP="00000000" w:rsidRDefault="00000000" w:rsidRPr="00000000" w14:paraId="0000003A">
      <w:pPr>
        <w:spacing w:after="0" w:line="276" w:lineRule="auto"/>
        <w:rPr>
          <w:rFonts w:ascii="Arial" w:cs="Arial" w:eastAsia="Arial" w:hAnsi="Arial"/>
          <w:sz w:val="22"/>
          <w:szCs w:val="22"/>
        </w:rPr>
      </w:pPr>
      <w:r w:rsidDel="00000000" w:rsidR="00000000" w:rsidRPr="00000000">
        <w:rPr>
          <w:rtl w:val="0"/>
        </w:rPr>
      </w:r>
    </w:p>
    <w:sdt>
      <w:sdtPr>
        <w:lock w:val="contentLocked"/>
        <w:id w:val="1525867786"/>
        <w:tag w:val="goog_rdk_0"/>
      </w:sdtPr>
      <w:sdtContent>
        <w:tbl>
          <w:tblPr>
            <w:tblStyle w:val="Table1"/>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15"/>
            <w:gridCol w:w="5985"/>
            <w:tblGridChange w:id="0">
              <w:tblGrid>
                <w:gridCol w:w="3015"/>
                <w:gridCol w:w="5985"/>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3B">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Technique / Device</w:t>
                </w:r>
              </w:p>
            </w:tc>
            <w:tc>
              <w:tcPr>
                <w:tcMar>
                  <w:top w:w="100.0" w:type="dxa"/>
                  <w:left w:w="100.0" w:type="dxa"/>
                  <w:bottom w:w="100.0" w:type="dxa"/>
                  <w:right w:w="100.0" w:type="dxa"/>
                </w:tcMar>
              </w:tcPr>
              <w:p w:rsidR="00000000" w:rsidDel="00000000" w:rsidP="00000000" w:rsidRDefault="00000000" w:rsidRPr="00000000" w14:paraId="0000003C">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Description</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D">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Active Cycle of Breathing Technique (ACBT)</w:t>
                </w:r>
              </w:p>
            </w:tc>
            <w:tc>
              <w:tcPr>
                <w:tcMar>
                  <w:top w:w="100.0" w:type="dxa"/>
                  <w:left w:w="100.0" w:type="dxa"/>
                  <w:bottom w:w="100.0" w:type="dxa"/>
                  <w:right w:w="100.0" w:type="dxa"/>
                </w:tcMar>
              </w:tcPr>
              <w:p w:rsidR="00000000" w:rsidDel="00000000" w:rsidP="00000000" w:rsidRDefault="00000000" w:rsidRPr="00000000" w14:paraId="0000003E">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breathing technique that uses alternating cycles of breathing control (relaxed breathing), thoracic expansion (deep breathing) and forced expiration (huff) to move secretions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F">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Autogenic Drainage (AD)</w:t>
                </w:r>
              </w:p>
            </w:tc>
            <w:tc>
              <w:tcPr>
                <w:tcMar>
                  <w:top w:w="100.0" w:type="dxa"/>
                  <w:left w:w="100.0" w:type="dxa"/>
                  <w:bottom w:w="100.0" w:type="dxa"/>
                  <w:right w:w="100.0" w:type="dxa"/>
                </w:tcMar>
              </w:tcPr>
              <w:p w:rsidR="00000000" w:rsidDel="00000000" w:rsidP="00000000" w:rsidRDefault="00000000" w:rsidRPr="00000000" w14:paraId="00000040">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Uses breathing at varying lung volumes to move secretions progressively upwards to larger airways so they can then be expectorated</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1">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Postural Drainage </w:t>
                </w:r>
              </w:p>
            </w:tc>
            <w:tc>
              <w:tcPr>
                <w:tcMar>
                  <w:top w:w="100.0" w:type="dxa"/>
                  <w:left w:w="100.0" w:type="dxa"/>
                  <w:bottom w:w="100.0" w:type="dxa"/>
                  <w:right w:w="100.0" w:type="dxa"/>
                </w:tcMar>
              </w:tcPr>
              <w:p w:rsidR="00000000" w:rsidDel="00000000" w:rsidP="00000000" w:rsidRDefault="00000000" w:rsidRPr="00000000" w14:paraId="00000042">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Using a variety of positions so gravity can facilitate the movement of secretions from peripheral airways to more central airways so it can be expectorated. Can be used in conjunction with percussion and vibrations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3">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Percussion and vibrations </w:t>
                </w:r>
              </w:p>
            </w:tc>
            <w:tc>
              <w:tcPr>
                <w:tcMar>
                  <w:top w:w="100.0" w:type="dxa"/>
                  <w:left w:w="100.0" w:type="dxa"/>
                  <w:bottom w:w="100.0" w:type="dxa"/>
                  <w:right w:w="100.0" w:type="dxa"/>
                </w:tcMar>
              </w:tcPr>
              <w:p w:rsidR="00000000" w:rsidDel="00000000" w:rsidP="00000000" w:rsidRDefault="00000000" w:rsidRPr="00000000" w14:paraId="00000044">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Using a cupped hand and a relaxed wrist to beat the chest wall to loosen secretions then placing both hands on the chest wall and applying a downward, vibrating shake whilst the patient exhales.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5">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Positive Expiratory Pressure (PEP)</w:t>
                </w:r>
              </w:p>
            </w:tc>
            <w:tc>
              <w:tcPr>
                <w:tcMar>
                  <w:top w:w="100.0" w:type="dxa"/>
                  <w:left w:w="100.0" w:type="dxa"/>
                  <w:bottom w:w="100.0" w:type="dxa"/>
                  <w:right w:w="100.0" w:type="dxa"/>
                </w:tcMar>
              </w:tcPr>
              <w:p w:rsidR="00000000" w:rsidDel="00000000" w:rsidP="00000000" w:rsidRDefault="00000000" w:rsidRPr="00000000" w14:paraId="00000046">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face mask with a one way valve and an expiratory resistor is used to create back pressure when exhaling which splints airways open and helps move sputum into larger airways for expectoration.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7">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Oscillating Positive Expiratory Pressure (OPEP)</w:t>
                </w:r>
              </w:p>
            </w:tc>
            <w:tc>
              <w:tcPr>
                <w:tcMar>
                  <w:top w:w="100.0" w:type="dxa"/>
                  <w:left w:w="100.0" w:type="dxa"/>
                  <w:bottom w:w="100.0" w:type="dxa"/>
                  <w:right w:w="100.0" w:type="dxa"/>
                </w:tcMar>
              </w:tcPr>
              <w:p w:rsidR="00000000" w:rsidDel="00000000" w:rsidP="00000000" w:rsidRDefault="00000000" w:rsidRPr="00000000" w14:paraId="00000048">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device which uses PEP and oscillations during exhalations which creates resistance, which keeps airways  open and the high frequency vibrations thins and moves the sputum allowing it to be expectorated (Acapella / Flutter)</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9">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 Frequency Chest Wall Compression</w:t>
                </w:r>
              </w:p>
            </w:tc>
            <w:tc>
              <w:tcPr>
                <w:tcMar>
                  <w:top w:w="100.0" w:type="dxa"/>
                  <w:left w:w="100.0" w:type="dxa"/>
                  <w:bottom w:w="100.0" w:type="dxa"/>
                  <w:right w:w="100.0" w:type="dxa"/>
                </w:tcMar>
              </w:tcPr>
              <w:p w:rsidR="00000000" w:rsidDel="00000000" w:rsidP="00000000" w:rsidRDefault="00000000" w:rsidRPr="00000000" w14:paraId="0000004A">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device which uses a garment that is worn, which is then attached to a machine that sends high frequency vibrations to the external chest wall. This loosens and mobilises phlegm to central airways so that it can be expectorated (VEST)</w:t>
                </w:r>
              </w:p>
            </w:tc>
          </w:tr>
        </w:tbl>
      </w:sdtContent>
    </w:sdt>
    <w:p w:rsidR="00000000" w:rsidDel="00000000" w:rsidP="00000000" w:rsidRDefault="00000000" w:rsidRPr="00000000" w14:paraId="0000004B">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after="120" w:before="120" w:line="336" w:lineRule="auto"/>
        <w:rPr>
          <w:rFonts w:ascii="Arial" w:cs="Arial" w:eastAsia="Arial" w:hAnsi="Arial"/>
        </w:rPr>
      </w:pPr>
      <w:r w:rsidDel="00000000" w:rsidR="00000000" w:rsidRPr="00000000">
        <w:rPr>
          <w:rFonts w:ascii="Arial" w:cs="Arial" w:eastAsia="Arial" w:hAnsi="Arial"/>
          <w:rtl w:val="0"/>
        </w:rPr>
        <w:t xml:space="preserve">It is worth noting that exercise was used alongside these treatments as both an ACT and to try to keep the muscles as fit as possible, to help alleviate pressure put on the respiratory system. This was not always formal exercise by the standards of a healthy individual, but anything that helped to aid dyspnoea on exertion (DOE), thus helping to deepen their breathing and help move secretions, was considered exercise</w:t>
      </w:r>
      <w:r w:rsidDel="00000000" w:rsidR="00000000" w:rsidRPr="00000000">
        <w:rPr>
          <w:rFonts w:ascii="Arial" w:cs="Arial" w:eastAsia="Arial" w:hAnsi="Arial"/>
          <w:rtl w:val="0"/>
        </w:rPr>
        <w:t xml:space="preserve">. It was the job of the therapies assistant practitioner (TAP) to assist in creating both a functional and effective exercise programme for the patient, taking into consideration their limitations, both physical and perceived. </w:t>
      </w:r>
    </w:p>
    <w:p w:rsidR="00000000" w:rsidDel="00000000" w:rsidP="00000000" w:rsidRDefault="00000000" w:rsidRPr="00000000" w14:paraId="0000004D">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4E">
      <w:pPr>
        <w:spacing w:after="120" w:before="120" w:line="336" w:lineRule="auto"/>
        <w:jc w:val="center"/>
        <w:rPr>
          <w:rFonts w:ascii="Arial" w:cs="Arial" w:eastAsia="Arial" w:hAnsi="Arial"/>
          <w:b w:val="1"/>
          <w:bCs w:val="1"/>
          <w:sz w:val="40"/>
          <w:szCs w:val="40"/>
          <w:u w:val="single"/>
        </w:rPr>
      </w:pPr>
      <w:r w:rsidDel="00000000" w:rsidR="00000000" w:rsidRPr="00000000">
        <w:rPr>
          <w:rFonts w:ascii="Arial" w:cs="Arial" w:eastAsia="Arial" w:hAnsi="Arial"/>
          <w:b w:val="1"/>
          <w:bCs w:val="1"/>
          <w:sz w:val="40"/>
          <w:szCs w:val="40"/>
          <w:u w:val="single"/>
          <w:rtl w:val="0"/>
        </w:rPr>
        <w:t xml:space="preserve">Current Approaches to the Condition</w:t>
      </w:r>
    </w:p>
    <w:p w:rsidR="00000000" w:rsidDel="00000000" w:rsidP="00000000" w:rsidRDefault="00000000" w:rsidRPr="00000000" w14:paraId="0000004F">
      <w:pPr>
        <w:spacing w:after="120" w:before="120" w:line="336" w:lineRule="auto"/>
        <w:rPr>
          <w:rFonts w:ascii="Arial" w:cs="Arial" w:eastAsia="Arial" w:hAnsi="Arial"/>
        </w:rPr>
      </w:pPr>
      <w:r w:rsidDel="00000000" w:rsidR="00000000" w:rsidRPr="00000000">
        <w:rPr>
          <w:rFonts w:ascii="Arial" w:cs="Arial" w:eastAsia="Arial" w:hAnsi="Arial"/>
          <w:rtl w:val="0"/>
        </w:rPr>
        <w:t xml:space="preserve">With the introduction of gene modifying drugs, the evolution of treatments and adjuncts, and the introduction of mechanical devices such as the Vivo, Metaneb and Intrapulmonary Ventilation (IPV) machines, the use of P&amp;V is now almost obsolete. Whilst the mechanical devices come with their own contraindications and limitations, it means that the patient is able to be independent with their treatment, and it is safer to treat patients with comorbidities such as osteoporosis, patients who have ports in their chest wall and also those with pneumothoraces. The adjuncts have now been developed so that pressures can be measured, making the treatments more targeted and safer. Some of the treatments mentioned above, like PD, are incredibly time consuming so are rarely used anymore, especially now that a vast number of CF patients now have jobs and families. Older techniques, such as ACBT and AD, are still incorporated into treatment plans for the patient, but these are generally alongside an adjunct such as an Aerobika or Vivo session. </w:t>
      </w:r>
    </w:p>
    <w:p w:rsidR="00000000" w:rsidDel="00000000" w:rsidP="00000000" w:rsidRDefault="00000000" w:rsidRPr="00000000" w14:paraId="00000050">
      <w:pPr>
        <w:spacing w:after="120" w:before="120" w:line="336" w:lineRule="auto"/>
        <w:rPr>
          <w:rFonts w:ascii="Arial" w:cs="Arial" w:eastAsia="Arial" w:hAnsi="Arial"/>
        </w:rPr>
      </w:pPr>
      <w:r w:rsidDel="00000000" w:rsidR="00000000" w:rsidRPr="00000000">
        <w:rPr>
          <w:rFonts w:ascii="Arial" w:cs="Arial" w:eastAsia="Arial" w:hAnsi="Arial"/>
          <w:rtl w:val="0"/>
        </w:rPr>
        <w:t xml:space="preserve">Main, E. &amp; Rand, S. (2023) compared studies evaluating chest clearance practices, and whilst there is no conclusive evidence that one is better than the other, it does come to the conclusion that alternative ACTs to P&amp;V promote independence and flexibility. The results of these studies are subjective and therefore subject to bias. </w:t>
      </w:r>
    </w:p>
    <w:p w:rsidR="00000000" w:rsidDel="00000000" w:rsidP="00000000" w:rsidRDefault="00000000" w:rsidRPr="00000000" w14:paraId="00000051">
      <w:pPr>
        <w:spacing w:after="120" w:before="120" w:line="336" w:lineRule="auto"/>
        <w:rPr>
          <w:rFonts w:ascii="Arial" w:cs="Arial" w:eastAsia="Arial" w:hAnsi="Arial"/>
        </w:rPr>
      </w:pPr>
      <w:r w:rsidDel="00000000" w:rsidR="00000000" w:rsidRPr="00000000">
        <w:rPr>
          <w:rFonts w:ascii="Arial" w:cs="Arial" w:eastAsia="Arial" w:hAnsi="Arial"/>
          <w:rtl w:val="0"/>
        </w:rPr>
        <w:t xml:space="preserve">Exercise has now become a treatment in its own right. Exercise is effective for airway clearance whilst making the muscles more efficient, thus keeping pressure off the respiratory system. Ward, N. et al (2020) carried out a study comparison in which 15 reports were </w:t>
      </w:r>
      <w:r w:rsidDel="00000000" w:rsidR="00000000" w:rsidRPr="00000000">
        <w:rPr>
          <w:rFonts w:ascii="Arial" w:cs="Arial" w:eastAsia="Arial" w:hAnsi="Arial"/>
          <w:sz w:val="22"/>
          <w:szCs w:val="22"/>
          <w:rtl w:val="0"/>
        </w:rPr>
        <w:t xml:space="preserve">compared. </w:t>
      </w:r>
      <w:r w:rsidDel="00000000" w:rsidR="00000000" w:rsidRPr="00000000">
        <w:rPr>
          <w:rFonts w:ascii="Arial" w:cs="Arial" w:eastAsia="Arial" w:hAnsi="Arial"/>
          <w:rtl w:val="0"/>
        </w:rPr>
        <w:t xml:space="preserve">The outcome suggests that exercise with forced expirations can have the same benefits as traditional ACTs, at least in the short term, as there is no data to back up long term outcomes. This study may come with its own limitations, as inclusion criteria and methods may change for each individual study.  In a peer reviewed paper, Urquhart, D.S. (2019) asserts that further trials into the subject of exercise as an ACT are required, but they state that physiotherapy is found to be the most burdensome treatment for people with CF (PwCF) and that fewer people are likely to complete their physiotherapy treatment than take their medications. It could be argued that exercise as an ACT helps reduce the excessive treatment burden that many patients face, especially in this age of modulators, which has also aided more efficient mucociliary clearance. </w:t>
      </w:r>
    </w:p>
    <w:p w:rsidR="00000000" w:rsidDel="00000000" w:rsidP="00000000" w:rsidRDefault="00000000" w:rsidRPr="00000000" w14:paraId="00000052">
      <w:pPr>
        <w:spacing w:after="120" w:before="120" w:line="336" w:lineRule="auto"/>
        <w:rPr>
          <w:rFonts w:ascii="Arial" w:cs="Arial" w:eastAsia="Arial" w:hAnsi="Arial"/>
        </w:rPr>
      </w:pPr>
      <w:r w:rsidDel="00000000" w:rsidR="00000000" w:rsidRPr="00000000">
        <w:rPr>
          <w:rFonts w:ascii="Arial" w:cs="Arial" w:eastAsia="Arial" w:hAnsi="Arial"/>
          <w:rtl w:val="0"/>
        </w:rPr>
        <w:t xml:space="preserve">TAPS are now more focussed in the approach to treating patients, working alongside them to create effective exercise programmes to aid chest clearance and overall fitness, regardless of disease severity; possessing the ability to create safe and effective regimens, whilst still working within the parameters of disease limitations, and no longer limited to DOE styles of exercise. Carrying out the exercise testing is within the remit of TAPS, and aiding the physiotherapist in cardiopulmonary exercise testing (CPETS), helps form the basis for exercise programmes. </w:t>
      </w:r>
    </w:p>
    <w:p w:rsidR="00000000" w:rsidDel="00000000" w:rsidP="00000000" w:rsidRDefault="00000000" w:rsidRPr="00000000" w14:paraId="00000053">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54">
      <w:pPr>
        <w:spacing w:after="120" w:before="120" w:line="336" w:lineRule="auto"/>
        <w:jc w:val="center"/>
        <w:rPr>
          <w:rFonts w:ascii="Arial" w:cs="Arial" w:eastAsia="Arial" w:hAnsi="Arial"/>
          <w:b w:val="1"/>
          <w:bCs w:val="1"/>
          <w:sz w:val="40"/>
          <w:szCs w:val="40"/>
          <w:u w:val="single"/>
        </w:rPr>
      </w:pPr>
      <w:r w:rsidDel="00000000" w:rsidR="00000000" w:rsidRPr="00000000">
        <w:rPr>
          <w:rFonts w:ascii="Arial" w:cs="Arial" w:eastAsia="Arial" w:hAnsi="Arial"/>
          <w:b w:val="1"/>
          <w:bCs w:val="1"/>
          <w:sz w:val="40"/>
          <w:szCs w:val="40"/>
          <w:u w:val="single"/>
          <w:rtl w:val="0"/>
        </w:rPr>
        <w:t xml:space="preserve">Co-Production</w:t>
      </w:r>
      <w:r w:rsidDel="00000000" w:rsidR="00000000" w:rsidRPr="00000000">
        <w:rPr>
          <w:rtl w:val="0"/>
        </w:rPr>
      </w:r>
    </w:p>
    <w:p w:rsidR="00000000" w:rsidDel="00000000" w:rsidP="00000000" w:rsidRDefault="00000000" w:rsidRPr="00000000" w14:paraId="00000055">
      <w:pPr>
        <w:spacing w:after="120" w:before="120" w:line="336" w:lineRule="auto"/>
        <w:rPr>
          <w:rFonts w:ascii="Arial" w:cs="Arial" w:eastAsia="Arial" w:hAnsi="Arial"/>
        </w:rPr>
      </w:pPr>
      <w:r w:rsidDel="00000000" w:rsidR="00000000" w:rsidRPr="00000000">
        <w:rPr>
          <w:rFonts w:ascii="Arial" w:cs="Arial" w:eastAsia="Arial" w:hAnsi="Arial"/>
          <w:rtl w:val="0"/>
        </w:rPr>
        <w:t xml:space="preserve">In CF an holistic and multidisciplinary approach is the only way to effectively manage this disease. Whilst working closely with all members of the team, it is important to balance therapeutic efficacy with safety.  Physiotherapy and dietetics work particularly closely, trying to balance fitness and weight status. Harmonising chest clearance and bone health against weight loss and nutrition status, in patients who burn calories just breathing, requires some fine tuning. As with SheRa, when first diagnosed was severely malnourished, but it was imperative to keep her moving and getting short of breath.  Also when you take into account any CFRD, which is oftentimes uncontrolled, and Pancreatic insufficiency (PI), which prevents the absorption of vital vitamins and minerals such as Calcium, Vitamin D and Vitamin K, which are vital to bone health, balancing all of these things can be a mammoth task; especially as PI affects approximately 85% of the CF population, according to Singh &amp; Schwazenburg (2017). </w:t>
      </w:r>
      <w:r w:rsidDel="00000000" w:rsidR="00000000" w:rsidRPr="00000000">
        <w:rPr>
          <w:rtl w:val="0"/>
        </w:rPr>
      </w:r>
    </w:p>
    <w:p w:rsidR="00000000" w:rsidDel="00000000" w:rsidP="00000000" w:rsidRDefault="00000000" w:rsidRPr="00000000" w14:paraId="00000056">
      <w:pPr>
        <w:spacing w:after="120" w:before="120" w:line="336" w:lineRule="auto"/>
        <w:rPr>
          <w:rFonts w:ascii="Arial" w:cs="Arial" w:eastAsia="Arial" w:hAnsi="Arial"/>
        </w:rPr>
      </w:pPr>
      <w:r w:rsidDel="00000000" w:rsidR="00000000" w:rsidRPr="00000000">
        <w:rPr>
          <w:rFonts w:ascii="Arial" w:cs="Arial" w:eastAsia="Arial" w:hAnsi="Arial"/>
          <w:rtl w:val="0"/>
        </w:rPr>
        <w:t xml:space="preserve">The introduction of modulators has seen an increase in body mass index (BMI) and mineral absorption; therefore, a legacy CF high fat diet is no longer appropriate. Bass, R et al (2024) </w:t>
      </w:r>
      <w:r w:rsidDel="00000000" w:rsidR="00000000" w:rsidRPr="00000000">
        <w:rPr>
          <w:rFonts w:ascii="Arial" w:cs="Arial" w:eastAsia="Arial" w:hAnsi="Arial"/>
          <w:rtl w:val="0"/>
        </w:rPr>
        <w:t xml:space="preserve">have highlighted a trend toward obesity in CF patients; therefore, working with the dietitians is evolving to include the prevention of obesity, cardiovascular issues and general health co-morbidities that come with a newly ageing population and the health ramifications that accompany this. These were never previously a consideration, but will play an increasingly important role in the future of CF care. </w:t>
      </w:r>
    </w:p>
    <w:p w:rsidR="00000000" w:rsidDel="00000000" w:rsidP="00000000" w:rsidRDefault="00000000" w:rsidRPr="00000000" w14:paraId="00000057">
      <w:pPr>
        <w:spacing w:after="120" w:before="120" w:line="336" w:lineRule="auto"/>
        <w:rPr>
          <w:rFonts w:ascii="Arial" w:cs="Arial" w:eastAsia="Arial" w:hAnsi="Arial"/>
        </w:rPr>
      </w:pPr>
      <w:r w:rsidDel="00000000" w:rsidR="00000000" w:rsidRPr="00000000">
        <w:rPr>
          <w:rFonts w:ascii="Arial" w:cs="Arial" w:eastAsia="Arial" w:hAnsi="Arial"/>
          <w:rtl w:val="0"/>
        </w:rPr>
        <w:t xml:space="preserve">Whilst the impact of the modulators has been transformational to the health of a PwCF, the question now arises for the need for financial assistance from the government. Benefits are awarded based on need and not diagnosis, and with this in mind, patients do not want to participate in exercise testing for fear of any financial repercussions. Dobra, R. et al (2025) posit that “</w:t>
      </w:r>
      <w:r w:rsidDel="00000000" w:rsidR="00000000" w:rsidRPr="00000000">
        <w:rPr>
          <w:rFonts w:ascii="Arial" w:cs="Arial" w:eastAsia="Arial" w:hAnsi="Arial"/>
          <w:color w:val="1f1f1f"/>
          <w:rtl w:val="0"/>
        </w:rPr>
        <w:t xml:space="preserve">although </w:t>
      </w:r>
      <w:hyperlink r:id="rId9">
        <w:r w:rsidDel="00000000" w:rsidR="00000000" w:rsidRPr="00000000">
          <w:rPr>
            <w:rFonts w:ascii="Arial" w:cs="Arial" w:eastAsia="Arial" w:hAnsi="Arial"/>
            <w:color w:val="1f1f1f"/>
            <w:rtl w:val="0"/>
          </w:rPr>
          <w:t xml:space="preserve">health status</w:t>
        </w:r>
      </w:hyperlink>
      <w:r w:rsidDel="00000000" w:rsidR="00000000" w:rsidRPr="00000000">
        <w:rPr>
          <w:rFonts w:ascii="Arial" w:cs="Arial" w:eastAsia="Arial" w:hAnsi="Arial"/>
          <w:color w:val="1f1f1f"/>
          <w:rtl w:val="0"/>
        </w:rPr>
        <w:t xml:space="preserve"> has improved, people with CF still live with a complex disease requiring burdensome treatment regimens</w:t>
      </w:r>
      <w:r w:rsidDel="00000000" w:rsidR="00000000" w:rsidRPr="00000000">
        <w:rPr>
          <w:rFonts w:ascii="Georgia" w:cs="Georgia" w:eastAsia="Georgia" w:hAnsi="Georgia"/>
          <w:color w:val="1f1f1f"/>
          <w:rtl w:val="0"/>
        </w:rPr>
        <w:t xml:space="preserve">” </w:t>
      </w:r>
      <w:r w:rsidDel="00000000" w:rsidR="00000000" w:rsidRPr="00000000">
        <w:rPr>
          <w:rFonts w:ascii="Arial" w:cs="Arial" w:eastAsia="Arial" w:hAnsi="Arial"/>
          <w:rtl w:val="0"/>
        </w:rPr>
        <w:t xml:space="preserve">consequently, the</w:t>
      </w:r>
      <w:r w:rsidDel="00000000" w:rsidR="00000000" w:rsidRPr="00000000">
        <w:rPr>
          <w:rFonts w:ascii="Arial" w:cs="Arial" w:eastAsia="Arial" w:hAnsi="Arial"/>
          <w:rtl w:val="0"/>
        </w:rPr>
        <w:t xml:space="preserve"> role of the CF Specialist Social Worker plays an important part, working with us and guiding the patient through the process of dealing with any financial issues, and reaffirming that testing is an essential part of treatment, so that adjustments may be made to regimens accordingly.</w:t>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58">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59">
      <w:pPr>
        <w:spacing w:after="120" w:before="120" w:line="336" w:lineRule="auto"/>
        <w:jc w:val="center"/>
        <w:rPr>
          <w:rFonts w:ascii="Arial" w:cs="Arial" w:eastAsia="Arial" w:hAnsi="Arial"/>
        </w:rPr>
      </w:pPr>
      <w:r w:rsidDel="00000000" w:rsidR="00000000" w:rsidRPr="00000000">
        <w:rPr>
          <w:rFonts w:ascii="Arial" w:cs="Arial" w:eastAsia="Arial" w:hAnsi="Arial"/>
          <w:b w:val="1"/>
          <w:bCs w:val="1"/>
          <w:sz w:val="40"/>
          <w:szCs w:val="40"/>
          <w:u w:val="single"/>
          <w:rtl w:val="0"/>
        </w:rPr>
        <w:t xml:space="preserve">Clinical Governance and Supervision Framework</w:t>
      </w:r>
      <w:r w:rsidDel="00000000" w:rsidR="00000000" w:rsidRPr="00000000">
        <w:rPr>
          <w:rtl w:val="0"/>
        </w:rPr>
      </w:r>
    </w:p>
    <w:p w:rsidR="00000000" w:rsidDel="00000000" w:rsidP="00000000" w:rsidRDefault="00000000" w:rsidRPr="00000000" w14:paraId="0000005A">
      <w:pPr>
        <w:spacing w:after="120" w:before="120" w:line="336" w:lineRule="auto"/>
        <w:rPr/>
      </w:pPr>
      <w:r w:rsidDel="00000000" w:rsidR="00000000" w:rsidRPr="00000000">
        <w:rPr>
          <w:rFonts w:ascii="Arial" w:cs="Arial" w:eastAsia="Arial" w:hAnsi="Arial"/>
          <w:rtl w:val="0"/>
        </w:rPr>
        <w:t xml:space="preserve">Clinical governance (CG) is the systems and processes that are in place to enable the delivery of safe and effective health care. Its purpose is to create and sustain a framework that every member of staff, from the Board Executives, frontline staff and support staff, can work within to deliver high quality care that is safe, accessible, person centred and equitable. The Department for International Development (DFID, 2001) concluded that CG is the framework that will reduce the disparity in healthcare within the United Kingdom, and lay out the nine pillars of </w:t>
      </w:r>
      <w:r w:rsidDel="00000000" w:rsidR="00000000" w:rsidRPr="00000000">
        <w:rPr>
          <w:rFonts w:ascii="Arial" w:cs="Arial" w:eastAsia="Arial" w:hAnsi="Arial"/>
          <w:rtl w:val="0"/>
        </w:rPr>
        <w:t xml:space="preserve">governance that</w:t>
      </w:r>
      <w:r w:rsidDel="00000000" w:rsidR="00000000" w:rsidRPr="00000000">
        <w:rPr>
          <w:rFonts w:ascii="Arial" w:cs="Arial" w:eastAsia="Arial" w:hAnsi="Arial"/>
          <w:rtl w:val="0"/>
        </w:rPr>
        <w:t xml:space="preserve"> will help achieve this.</w:t>
      </w:r>
      <w:r w:rsidDel="00000000" w:rsidR="00000000" w:rsidRPr="00000000">
        <w:rPr>
          <w:rtl w:val="0"/>
        </w:rPr>
      </w:r>
    </w:p>
    <w:p w:rsidR="00000000" w:rsidDel="00000000" w:rsidP="00000000" w:rsidRDefault="00000000" w:rsidRPr="00000000" w14:paraId="0000005B">
      <w:pPr>
        <w:spacing w:after="120" w:before="120" w:line="336" w:lineRule="auto"/>
        <w:rPr>
          <w:rFonts w:ascii="Arial" w:cs="Arial" w:eastAsia="Arial" w:hAnsi="Arial"/>
        </w:rPr>
      </w:pPr>
      <w:r w:rsidDel="00000000" w:rsidR="00000000" w:rsidRPr="00000000">
        <w:rPr>
          <w:rFonts w:ascii="Arial" w:cs="Arial" w:eastAsia="Arial" w:hAnsi="Arial"/>
          <w:rtl w:val="0"/>
        </w:rPr>
        <w:t xml:space="preserve">Education, training and continuous professional development help to maintain knowledge and ensure that staff have the skills they need to confidently deliver safe and effective healthcare. This is especially important and has enabled courses such as the Therapies Assistant Practitioners Diploma to refine and hone the skills of healthcare support workers (HCSW). Coleg Sir Gar (2026) states “It sets a benchmark for the people profession and provides a strong foundation to give professionals the confidence and capabilities to guide their decision making, actions and behaviours”. Continuous development is imperative to maintaining skills and knowledge in delivering high standards of care. </w:t>
      </w:r>
    </w:p>
    <w:p w:rsidR="00000000" w:rsidDel="00000000" w:rsidP="00000000" w:rsidRDefault="00000000" w:rsidRPr="00000000" w14:paraId="0000005C">
      <w:pPr>
        <w:spacing w:after="120" w:before="120" w:line="336" w:lineRule="auto"/>
        <w:rPr>
          <w:rFonts w:ascii="Arial" w:cs="Arial" w:eastAsia="Arial" w:hAnsi="Arial"/>
        </w:rPr>
      </w:pPr>
      <w:r w:rsidDel="00000000" w:rsidR="00000000" w:rsidRPr="00000000">
        <w:rPr>
          <w:rFonts w:ascii="Arial" w:cs="Arial" w:eastAsia="Arial" w:hAnsi="Arial"/>
          <w:rtl w:val="0"/>
        </w:rPr>
        <w:t xml:space="preserve">The above aligns with regular supervision sessions to aid the development of professional skills. It is the expectation of the Chartered Society of Physiotherapists that all members participate in continued professional development (CPD)  for the benefit of not only staff but also for the benefit of patients (CSP, 2026). This will support the TAP in their growth and highlight any needs that are not being met.</w:t>
      </w:r>
    </w:p>
    <w:p w:rsidR="00000000" w:rsidDel="00000000" w:rsidP="00000000" w:rsidRDefault="00000000" w:rsidRPr="00000000" w14:paraId="0000005D">
      <w:pPr>
        <w:spacing w:after="120" w:before="120" w:line="336" w:lineRule="auto"/>
        <w:rPr>
          <w:rFonts w:ascii="Arial" w:cs="Arial" w:eastAsia="Arial" w:hAnsi="Arial"/>
          <w:sz w:val="20"/>
          <w:szCs w:val="20"/>
        </w:rPr>
      </w:pPr>
      <w:r w:rsidDel="00000000" w:rsidR="00000000" w:rsidRPr="00000000">
        <w:rPr>
          <w:rFonts w:ascii="Arial" w:cs="Arial" w:eastAsia="Arial" w:hAnsi="Arial"/>
          <w:rtl w:val="0"/>
        </w:rPr>
        <w:t xml:space="preserve">Patient centred care is the best way to deliver meaningful therapy to patients. Tailoring treatments to suit individual needs by involving patients in decision making makes for a much more holistic treatment. Seeking and responding to patient views will drive improvements in care. The National Institute for Health and Care Excellence (NICE), who provide best practice guidance in healthcare in England and Wales, has gone a step further and created a policy to involve lay people in the creation of policy to address health and social care needs, as is deemed the importance of this. (NICE, 2026)</w:t>
      </w:r>
      <w:r w:rsidDel="00000000" w:rsidR="00000000" w:rsidRPr="00000000">
        <w:rPr>
          <w:rFonts w:ascii="Arial" w:cs="Arial" w:eastAsia="Arial" w:hAnsi="Arial"/>
          <w:rtl w:val="0"/>
        </w:rPr>
        <w:t xml:space="preserve">. The view of patient involvement is shared by the National Institute for Health and Care Research (NIHR), who share the belief that this leads to </w:t>
      </w:r>
      <w:r w:rsidDel="00000000" w:rsidR="00000000" w:rsidRPr="00000000">
        <w:rPr>
          <w:rFonts w:ascii="Arial" w:cs="Arial" w:eastAsia="Arial" w:hAnsi="Arial"/>
          <w:highlight w:val="white"/>
          <w:rtl w:val="0"/>
        </w:rPr>
        <w:t xml:space="preserve">a clearer insight and greater ability to respond to patient needs</w:t>
      </w:r>
      <w:r w:rsidDel="00000000" w:rsidR="00000000" w:rsidRPr="00000000">
        <w:rPr>
          <w:rFonts w:ascii="Arial" w:cs="Arial" w:eastAsia="Arial" w:hAnsi="Arial"/>
          <w:sz w:val="25"/>
          <w:szCs w:val="25"/>
          <w:highlight w:val="white"/>
          <w:rtl w:val="0"/>
        </w:rPr>
        <w:t xml:space="preserve">. </w:t>
      </w:r>
      <w:r w:rsidDel="00000000" w:rsidR="00000000" w:rsidRPr="00000000">
        <w:rPr>
          <w:rtl w:val="0"/>
        </w:rPr>
      </w:r>
    </w:p>
    <w:p w:rsidR="00000000" w:rsidDel="00000000" w:rsidP="00000000" w:rsidRDefault="00000000" w:rsidRPr="00000000" w14:paraId="0000005E">
      <w:pPr>
        <w:spacing w:after="120" w:before="120" w:line="336"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F">
      <w:pPr>
        <w:spacing w:after="120" w:before="120" w:line="336" w:lineRule="auto"/>
        <w:jc w:val="center"/>
        <w:rPr>
          <w:rFonts w:ascii="Arial" w:cs="Arial" w:eastAsia="Arial" w:hAnsi="Arial"/>
        </w:rPr>
      </w:pPr>
      <w:r w:rsidDel="00000000" w:rsidR="00000000" w:rsidRPr="00000000">
        <w:rPr>
          <w:rFonts w:ascii="Arial" w:cs="Arial" w:eastAsia="Arial" w:hAnsi="Arial"/>
          <w:b w:val="1"/>
          <w:bCs w:val="1"/>
          <w:sz w:val="40"/>
          <w:szCs w:val="40"/>
          <w:u w:val="single"/>
          <w:rtl w:val="0"/>
        </w:rPr>
        <w:t xml:space="preserve">Conclusion and Recommendations</w:t>
      </w:r>
      <w:r w:rsidDel="00000000" w:rsidR="00000000" w:rsidRPr="00000000">
        <w:rPr>
          <w:rtl w:val="0"/>
        </w:rPr>
      </w:r>
    </w:p>
    <w:p w:rsidR="00000000" w:rsidDel="00000000" w:rsidP="00000000" w:rsidRDefault="00000000" w:rsidRPr="00000000" w14:paraId="00000060">
      <w:pPr>
        <w:spacing w:after="120" w:before="120" w:line="336" w:lineRule="auto"/>
        <w:rPr>
          <w:rFonts w:ascii="Arial" w:cs="Arial" w:eastAsia="Arial" w:hAnsi="Arial"/>
        </w:rPr>
      </w:pPr>
      <w:r w:rsidDel="00000000" w:rsidR="00000000" w:rsidRPr="00000000">
        <w:rPr>
          <w:rFonts w:ascii="Arial" w:cs="Arial" w:eastAsia="Arial" w:hAnsi="Arial"/>
          <w:rtl w:val="0"/>
        </w:rPr>
        <w:t xml:space="preserve">The advent of genetic modifiers means that CF is no longer considered to be a childhood disease. They have brought with them the exciting and scary possibility of a future for those who never imagined that this was a possibility. SheRa is a prime example of a life that should have been cut short but who still survives. The newly expanded lifespan of a CF patient has brought with it new considerations for the patient and the prospect of a bright future. Future planning for things that are considered mundane by the healthy individual, such as further education, family planning and pension planning are now not only a possibility but are essential.</w:t>
      </w:r>
    </w:p>
    <w:p w:rsidR="00000000" w:rsidDel="00000000" w:rsidP="00000000" w:rsidRDefault="00000000" w:rsidRPr="00000000" w14:paraId="00000061">
      <w:pPr>
        <w:spacing w:after="120" w:before="120" w:line="336" w:lineRule="auto"/>
        <w:rPr>
          <w:rFonts w:ascii="Arial" w:cs="Arial" w:eastAsia="Arial" w:hAnsi="Arial"/>
        </w:rPr>
      </w:pPr>
      <w:r w:rsidDel="00000000" w:rsidR="00000000" w:rsidRPr="00000000">
        <w:rPr>
          <w:rFonts w:ascii="Arial" w:cs="Arial" w:eastAsia="Arial" w:hAnsi="Arial"/>
          <w:rtl w:val="0"/>
        </w:rPr>
        <w:t xml:space="preserve">As stated previously, CF is thought to predominantly affect caucasian people, but Grace, R Paul et al (2021) have suggested that this could be owing to under reporting due to the disparity in wealth in industrialised and non industrialised countries and therefore limited access to testing, the lack of expectation of discovering the disease within certain races and the misdiagnosis of Tuberculosis (TB). This is supported by Fuhrer, M. et al (2024), who go on to state that universal NBS is required to accurately compile real numbers. Diagnosis is imperative to treat this lost cohort who are facing early mortality. This will not, however, change access to expensive drugs. </w:t>
      </w:r>
    </w:p>
    <w:p w:rsidR="00000000" w:rsidDel="00000000" w:rsidP="00000000" w:rsidRDefault="00000000" w:rsidRPr="00000000" w14:paraId="00000062">
      <w:pPr>
        <w:spacing w:after="120" w:before="120" w:line="336" w:lineRule="auto"/>
        <w:rPr>
          <w:rFonts w:ascii="Arial" w:cs="Arial" w:eastAsia="Arial" w:hAnsi="Arial"/>
        </w:rPr>
      </w:pPr>
      <w:r w:rsidDel="00000000" w:rsidR="00000000" w:rsidRPr="00000000">
        <w:rPr>
          <w:rFonts w:ascii="Arial" w:cs="Arial" w:eastAsia="Arial" w:hAnsi="Arial"/>
          <w:rtl w:val="0"/>
        </w:rPr>
        <w:t xml:space="preserve">The introduction of modulators has changed the role of TAPs in CF healthcare to accommodate changing needs. Morrison, L. et al suggests that physiotherapy approaches have changed to a more hands off approach, but this has led to a more patient centred approach to disease management. It has presented fresh new opportunities, such as aiding physiotherapists in the training of a patient to row across the Atlantic Ocean (Cardiff and Vale UHB, 2024). This challenge was completed within 53 days (Health and Care Research Wales, 2026). Modulators have opened up possibilities for CF patients that were never previously dreamed about, and TAPs have the honour of playing a small part in helping people achieve what was once deemed impossible. </w:t>
      </w:r>
    </w:p>
    <w:p w:rsidR="00000000" w:rsidDel="00000000" w:rsidP="00000000" w:rsidRDefault="00000000" w:rsidRPr="00000000" w14:paraId="00000063">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4">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5">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6">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7">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8">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9">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A">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B">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C">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D">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E">
      <w:pPr>
        <w:spacing w:after="120" w:before="120" w:line="336" w:lineRule="auto"/>
        <w:rPr>
          <w:rFonts w:ascii="Arial" w:cs="Arial" w:eastAsia="Arial" w:hAnsi="Arial"/>
        </w:rPr>
      </w:pPr>
      <w:r w:rsidDel="00000000" w:rsidR="00000000" w:rsidRPr="00000000">
        <w:rPr>
          <w:rtl w:val="0"/>
        </w:rPr>
      </w:r>
    </w:p>
    <w:p w:rsidR="00000000" w:rsidDel="00000000" w:rsidP="00000000" w:rsidRDefault="00000000" w:rsidRPr="00000000" w14:paraId="0000006F">
      <w:pPr>
        <w:spacing w:after="120" w:before="120" w:line="336" w:lineRule="auto"/>
        <w:jc w:val="center"/>
        <w:rPr>
          <w:rFonts w:ascii="Times New Roman" w:cs="Times New Roman" w:eastAsia="Times New Roman" w:hAnsi="Times New Roman"/>
          <w:sz w:val="20"/>
          <w:szCs w:val="20"/>
        </w:rPr>
      </w:pPr>
      <w:r w:rsidDel="00000000" w:rsidR="00000000" w:rsidRPr="00000000">
        <w:rPr>
          <w:rFonts w:ascii="Arial" w:cs="Arial" w:eastAsia="Arial" w:hAnsi="Arial"/>
          <w:b w:val="1"/>
          <w:bCs w:val="1"/>
          <w:sz w:val="40"/>
          <w:szCs w:val="40"/>
          <w:u w:val="single"/>
          <w:rtl w:val="0"/>
        </w:rPr>
        <w:t xml:space="preserve">References</w:t>
      </w:r>
      <w:r w:rsidDel="00000000" w:rsidR="00000000" w:rsidRPr="00000000">
        <w:rPr>
          <w:rtl w:val="0"/>
        </w:rPr>
      </w:r>
    </w:p>
    <w:p w:rsidR="00000000" w:rsidDel="00000000" w:rsidP="00000000" w:rsidRDefault="00000000" w:rsidRPr="00000000" w14:paraId="00000070">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2"/>
          <w:szCs w:val="22"/>
          <w:rtl w:val="0"/>
        </w:rPr>
        <w:t xml:space="preserve">Barry, P.J.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(2009) 'Effects of Ivacaftor in Patients With Cystic Fibrosis Who Carry the G551D Mutation and Have Severe Lung Disease,' </w:t>
      </w:r>
      <w:r w:rsidDel="00000000" w:rsidR="00000000" w:rsidRPr="00000000">
        <w:rPr>
          <w:rFonts w:ascii="Times New Roman" w:cs="Times New Roman" w:eastAsia="Times New Roman" w:hAnsi="Times New Roman"/>
          <w:i w:val="1"/>
          <w:iCs w:val="1"/>
          <w:sz w:val="22"/>
          <w:szCs w:val="22"/>
          <w:rtl w:val="0"/>
        </w:rPr>
        <w:t xml:space="preserve">CHEST Journal</w:t>
      </w:r>
      <w:r w:rsidDel="00000000" w:rsidR="00000000" w:rsidRPr="00000000">
        <w:rPr>
          <w:rFonts w:ascii="Times New Roman" w:cs="Times New Roman" w:eastAsia="Times New Roman" w:hAnsi="Times New Roman"/>
          <w:sz w:val="22"/>
          <w:szCs w:val="22"/>
          <w:rtl w:val="0"/>
        </w:rPr>
        <w:t xml:space="preserve">, 146(1). https://doi.org/10.1378/chest.13-2397. (Accessed: 09/03/2026)</w:t>
      </w:r>
    </w:p>
    <w:p w:rsidR="00000000" w:rsidDel="00000000" w:rsidP="00000000" w:rsidRDefault="00000000" w:rsidRPr="00000000" w14:paraId="00000071">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72">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color w:val="05103e"/>
          <w:sz w:val="22"/>
          <w:szCs w:val="22"/>
          <w:rtl w:val="0"/>
        </w:rPr>
        <w:t xml:space="preserve">Bass, R. and Alvarez, J.A. (2024) 'Nutritional status in the era of highly effective CFTR modulators,' </w:t>
      </w:r>
      <w:r w:rsidDel="00000000" w:rsidR="00000000" w:rsidRPr="00000000">
        <w:rPr>
          <w:rFonts w:ascii="Times New Roman" w:cs="Times New Roman" w:eastAsia="Times New Roman" w:hAnsi="Times New Roman"/>
          <w:i w:val="1"/>
          <w:iCs w:val="1"/>
          <w:color w:val="05103e"/>
          <w:sz w:val="22"/>
          <w:szCs w:val="22"/>
          <w:rtl w:val="0"/>
        </w:rPr>
        <w:t xml:space="preserve">Pediatric Pulmonology</w:t>
      </w:r>
      <w:r w:rsidDel="00000000" w:rsidR="00000000" w:rsidRPr="00000000">
        <w:rPr>
          <w:rFonts w:ascii="Times New Roman" w:cs="Times New Roman" w:eastAsia="Times New Roman" w:hAnsi="Times New Roman"/>
          <w:color w:val="05103e"/>
          <w:sz w:val="22"/>
          <w:szCs w:val="22"/>
          <w:rtl w:val="0"/>
        </w:rPr>
        <w:t xml:space="preserve">, 59(S1), pp. S6–S16. https://doi.org/10.1002/ppul.26806. (Accessed: 10/05/2026)</w:t>
      </w:r>
    </w:p>
    <w:p w:rsidR="00000000" w:rsidDel="00000000" w:rsidP="00000000" w:rsidRDefault="00000000" w:rsidRPr="00000000" w14:paraId="00000073">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74">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Cardiff and Vale University Health Board, </w:t>
      </w:r>
      <w:r w:rsidDel="00000000" w:rsidR="00000000" w:rsidRPr="00000000">
        <w:rPr>
          <w:rFonts w:ascii="Times New Roman" w:cs="Times New Roman" w:eastAsia="Times New Roman" w:hAnsi="Times New Roman"/>
          <w:i w:val="1"/>
          <w:iCs w:val="1"/>
          <w:color w:val="05103e"/>
          <w:sz w:val="22"/>
          <w:szCs w:val="22"/>
          <w:rtl w:val="0"/>
        </w:rPr>
        <w:t xml:space="preserve">'I live with cystic fibrosis and I’m training to row 3,200 miles across the Atlantic'</w:t>
      </w:r>
      <w:r w:rsidDel="00000000" w:rsidR="00000000" w:rsidRPr="00000000">
        <w:rPr>
          <w:rFonts w:ascii="Times New Roman" w:cs="Times New Roman" w:eastAsia="Times New Roman" w:hAnsi="Times New Roman"/>
          <w:color w:val="05103e"/>
          <w:sz w:val="22"/>
          <w:szCs w:val="22"/>
          <w:rtl w:val="0"/>
        </w:rPr>
        <w:t xml:space="preserve"> (no date b). https://cavuhb.nhs.wales/news/latest-news/i-live-with-cystic-fibrosis-and-im-training-to-row-3200-miles-across-the-atlantic/. (Accessed 13/05/2026)</w:t>
      </w:r>
    </w:p>
    <w:p w:rsidR="00000000" w:rsidDel="00000000" w:rsidP="00000000" w:rsidRDefault="00000000" w:rsidRPr="00000000" w14:paraId="00000075">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76">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i w:val="1"/>
          <w:iCs w:val="1"/>
          <w:color w:val="05103e"/>
          <w:sz w:val="22"/>
          <w:szCs w:val="22"/>
          <w:rtl w:val="0"/>
        </w:rPr>
        <w:t xml:space="preserve">CF Guidelines - Pancreatic Enzyme Replacement Therapy</w:t>
      </w:r>
      <w:r w:rsidDel="00000000" w:rsidR="00000000" w:rsidRPr="00000000">
        <w:rPr>
          <w:rFonts w:ascii="Times New Roman" w:cs="Times New Roman" w:eastAsia="Times New Roman" w:hAnsi="Times New Roman"/>
          <w:color w:val="05103e"/>
          <w:sz w:val="22"/>
          <w:szCs w:val="22"/>
          <w:rtl w:val="0"/>
        </w:rPr>
        <w:t xml:space="preserve"> (2026). https://www.pencf.org.uk/bowel_and_nutrition/pancreatic_enzyme_replacement_therapy.html. (Accessed: 30/04/2026)</w:t>
      </w:r>
    </w:p>
    <w:p w:rsidR="00000000" w:rsidDel="00000000" w:rsidP="00000000" w:rsidRDefault="00000000" w:rsidRPr="00000000" w14:paraId="00000077">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78">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Coleg Sir Gâr (no date) </w:t>
      </w:r>
      <w:r w:rsidDel="00000000" w:rsidR="00000000" w:rsidRPr="00000000">
        <w:rPr>
          <w:rFonts w:ascii="Times New Roman" w:cs="Times New Roman" w:eastAsia="Times New Roman" w:hAnsi="Times New Roman"/>
          <w:i w:val="1"/>
          <w:iCs w:val="1"/>
          <w:color w:val="05103e"/>
          <w:sz w:val="22"/>
          <w:szCs w:val="22"/>
          <w:rtl w:val="0"/>
        </w:rPr>
        <w:t xml:space="preserve">Higher Apprenticeship in Therapy Assistant Practitioners (Level 4)</w:t>
      </w:r>
      <w:r w:rsidDel="00000000" w:rsidR="00000000" w:rsidRPr="00000000">
        <w:rPr>
          <w:rFonts w:ascii="Times New Roman" w:cs="Times New Roman" w:eastAsia="Times New Roman" w:hAnsi="Times New Roman"/>
          <w:color w:val="05103e"/>
          <w:sz w:val="22"/>
          <w:szCs w:val="22"/>
          <w:rtl w:val="0"/>
        </w:rPr>
        <w:t xml:space="preserve">. https://www.csgcc.ac.uk/en/programme-courses/apprenticeship-course/health-care-and-counselling/higher-apprenticeship-therapy. (Accessed: 10/05/2026)</w:t>
      </w:r>
    </w:p>
    <w:p w:rsidR="00000000" w:rsidDel="00000000" w:rsidP="00000000" w:rsidRDefault="00000000" w:rsidRPr="00000000" w14:paraId="00000079">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7A">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w:t>
      </w:r>
      <w:r w:rsidDel="00000000" w:rsidR="00000000" w:rsidRPr="00000000">
        <w:rPr>
          <w:rFonts w:ascii="Times New Roman" w:cs="Times New Roman" w:eastAsia="Times New Roman" w:hAnsi="Times New Roman"/>
          <w:i w:val="1"/>
          <w:iCs w:val="1"/>
          <w:color w:val="05103e"/>
          <w:sz w:val="22"/>
          <w:szCs w:val="22"/>
          <w:rtl w:val="0"/>
        </w:rPr>
        <w:t xml:space="preserve">Clinical supervision: a brief overview</w:t>
      </w:r>
      <w:r w:rsidDel="00000000" w:rsidR="00000000" w:rsidRPr="00000000">
        <w:rPr>
          <w:rFonts w:ascii="Times New Roman" w:cs="Times New Roman" w:eastAsia="Times New Roman" w:hAnsi="Times New Roman"/>
          <w:color w:val="05103e"/>
          <w:sz w:val="22"/>
          <w:szCs w:val="22"/>
          <w:rtl w:val="0"/>
        </w:rPr>
        <w:t xml:space="preserve"> (2026). https://www.csp.org.uk/publications/clinical-supervision-brief-overview. (Accessed: 14/05/2026)</w:t>
      </w:r>
    </w:p>
    <w:p w:rsidR="00000000" w:rsidDel="00000000" w:rsidP="00000000" w:rsidRDefault="00000000" w:rsidRPr="00000000" w14:paraId="0000007B">
      <w:pPr>
        <w:keepLines w:val="1"/>
        <w:spacing w:after="0" w:line="276" w:lineRule="auto"/>
        <w:ind w:left="0" w:firstLine="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7C">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DFID’s Health Systems Resource Centre and UK Department for International Development (no date) </w:t>
      </w:r>
      <w:r w:rsidDel="00000000" w:rsidR="00000000" w:rsidRPr="00000000">
        <w:rPr>
          <w:rFonts w:ascii="Times New Roman" w:cs="Times New Roman" w:eastAsia="Times New Roman" w:hAnsi="Times New Roman"/>
          <w:i w:val="1"/>
          <w:iCs w:val="1"/>
          <w:color w:val="05103e"/>
          <w:sz w:val="22"/>
          <w:szCs w:val="22"/>
          <w:rtl w:val="0"/>
        </w:rPr>
        <w:t xml:space="preserve">Clinical governance in the UK NHS</w:t>
      </w:r>
      <w:r w:rsidDel="00000000" w:rsidR="00000000" w:rsidRPr="00000000">
        <w:rPr>
          <w:rFonts w:ascii="Times New Roman" w:cs="Times New Roman" w:eastAsia="Times New Roman" w:hAnsi="Times New Roman"/>
          <w:color w:val="05103e"/>
          <w:sz w:val="22"/>
          <w:szCs w:val="22"/>
          <w:rtl w:val="0"/>
        </w:rPr>
        <w:t xml:space="preserve">, </w:t>
      </w:r>
      <w:r w:rsidDel="00000000" w:rsidR="00000000" w:rsidRPr="00000000">
        <w:rPr>
          <w:rFonts w:ascii="Times New Roman" w:cs="Times New Roman" w:eastAsia="Times New Roman" w:hAnsi="Times New Roman"/>
          <w:i w:val="1"/>
          <w:iCs w:val="1"/>
          <w:color w:val="05103e"/>
          <w:sz w:val="22"/>
          <w:szCs w:val="22"/>
          <w:rtl w:val="0"/>
        </w:rPr>
        <w:t xml:space="preserve">UK NHS BRIEFING PAPERS</w:t>
      </w:r>
      <w:r w:rsidDel="00000000" w:rsidR="00000000" w:rsidRPr="00000000">
        <w:rPr>
          <w:rFonts w:ascii="Times New Roman" w:cs="Times New Roman" w:eastAsia="Times New Roman" w:hAnsi="Times New Roman"/>
          <w:color w:val="05103e"/>
          <w:sz w:val="22"/>
          <w:szCs w:val="22"/>
          <w:rtl w:val="0"/>
        </w:rPr>
        <w:t xml:space="preserve">. report. https://assets.publishing.service.gov.uk/media/57a08d59ed915d622c001935/Clinical-governance-in-the-UK-NHS.pdf. (Accessed: 12/05/2026)</w:t>
      </w:r>
    </w:p>
    <w:p w:rsidR="00000000" w:rsidDel="00000000" w:rsidP="00000000" w:rsidRDefault="00000000" w:rsidRPr="00000000" w14:paraId="0000007D">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w:t>
      </w:r>
    </w:p>
    <w:p w:rsidR="00000000" w:rsidDel="00000000" w:rsidP="00000000" w:rsidRDefault="00000000" w:rsidRPr="00000000" w14:paraId="0000007E">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Dobra, R.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(2024) 'Exploring the complexity of cystic fibrosis (CF) and psychosocial wellbeing in the 2020s: Current and future challenges,' </w:t>
      </w:r>
      <w:r w:rsidDel="00000000" w:rsidR="00000000" w:rsidRPr="00000000">
        <w:rPr>
          <w:rFonts w:ascii="Times New Roman" w:cs="Times New Roman" w:eastAsia="Times New Roman" w:hAnsi="Times New Roman"/>
          <w:i w:val="1"/>
          <w:iCs w:val="1"/>
          <w:sz w:val="22"/>
          <w:szCs w:val="22"/>
          <w:rtl w:val="0"/>
        </w:rPr>
        <w:t xml:space="preserve">Paediatric Respiratory Reviews</w:t>
      </w:r>
      <w:r w:rsidDel="00000000" w:rsidR="00000000" w:rsidRPr="00000000">
        <w:rPr>
          <w:rFonts w:ascii="Times New Roman" w:cs="Times New Roman" w:eastAsia="Times New Roman" w:hAnsi="Times New Roman"/>
          <w:sz w:val="22"/>
          <w:szCs w:val="22"/>
          <w:rtl w:val="0"/>
        </w:rPr>
        <w:t xml:space="preserve">, 54, pp. 35–42. https://doi.org/10.1016/j.prrv.2024.08.001. (Accessed: 01/05/2026)</w:t>
      </w:r>
    </w:p>
    <w:p w:rsidR="00000000" w:rsidDel="00000000" w:rsidP="00000000" w:rsidRDefault="00000000" w:rsidRPr="00000000" w14:paraId="0000007F">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80">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Donaldson, S.H.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(2017) 'Tezacaftor/Ivacaftor in Subjects with Cystic Fibrosis and F508del / F508del-CFTR or F508del / G551D-CFTR,' </w:t>
      </w:r>
      <w:r w:rsidDel="00000000" w:rsidR="00000000" w:rsidRPr="00000000">
        <w:rPr>
          <w:rFonts w:ascii="Times New Roman" w:cs="Times New Roman" w:eastAsia="Times New Roman" w:hAnsi="Times New Roman"/>
          <w:i w:val="1"/>
          <w:iCs w:val="1"/>
          <w:sz w:val="22"/>
          <w:szCs w:val="22"/>
          <w:rtl w:val="0"/>
        </w:rPr>
        <w:t xml:space="preserve">American Journal of Respiratory and Critical Care Medicine</w:t>
      </w:r>
      <w:r w:rsidDel="00000000" w:rsidR="00000000" w:rsidRPr="00000000">
        <w:rPr>
          <w:rFonts w:ascii="Times New Roman" w:cs="Times New Roman" w:eastAsia="Times New Roman" w:hAnsi="Times New Roman"/>
          <w:sz w:val="22"/>
          <w:szCs w:val="22"/>
          <w:rtl w:val="0"/>
        </w:rPr>
        <w:t xml:space="preserve">, 197(2), https://doi.org/10.1164/rccm.201704-0717oc. (Accessed: 12/03/2026)</w:t>
      </w:r>
    </w:p>
    <w:p w:rsidR="00000000" w:rsidDel="00000000" w:rsidP="00000000" w:rsidRDefault="00000000" w:rsidRPr="00000000" w14:paraId="00000081">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82">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Doull, I.J.M.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(2018) 'Newborn Screening for Cystic Fibrosis in Wales over 20 years. Changes in incidence dependent on screening protocol,' </w:t>
      </w:r>
      <w:r w:rsidDel="00000000" w:rsidR="00000000" w:rsidRPr="00000000">
        <w:rPr>
          <w:rFonts w:ascii="Times New Roman" w:cs="Times New Roman" w:eastAsia="Times New Roman" w:hAnsi="Times New Roman"/>
          <w:i w:val="1"/>
          <w:iCs w:val="1"/>
          <w:sz w:val="22"/>
          <w:szCs w:val="22"/>
          <w:rtl w:val="0"/>
        </w:rPr>
        <w:t xml:space="preserve">ERS Publications</w:t>
      </w:r>
      <w:r w:rsidDel="00000000" w:rsidR="00000000" w:rsidRPr="00000000">
        <w:rPr>
          <w:rFonts w:ascii="Times New Roman" w:cs="Times New Roman" w:eastAsia="Times New Roman" w:hAnsi="Times New Roman"/>
          <w:sz w:val="22"/>
          <w:szCs w:val="22"/>
          <w:rtl w:val="0"/>
        </w:rPr>
        <w:t xml:space="preserve">, p. 1. https://doi.org/10.1183/13993003.congress-2018.pa4628. (Accessed: 19/03/2026)</w:t>
      </w:r>
    </w:p>
    <w:p w:rsidR="00000000" w:rsidDel="00000000" w:rsidP="00000000" w:rsidRDefault="00000000" w:rsidRPr="00000000" w14:paraId="00000083">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84">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i w:val="1"/>
          <w:iCs w:val="1"/>
          <w:sz w:val="22"/>
          <w:szCs w:val="22"/>
          <w:rtl w:val="0"/>
        </w:rPr>
        <w:t xml:space="preserve">Empowered by research: Sophie becomes the first person with cystic fibrosis to row the Atlantic</w:t>
      </w:r>
      <w:r w:rsidDel="00000000" w:rsidR="00000000" w:rsidRPr="00000000">
        <w:rPr>
          <w:rFonts w:ascii="Times New Roman" w:cs="Times New Roman" w:eastAsia="Times New Roman" w:hAnsi="Times New Roman"/>
          <w:sz w:val="22"/>
          <w:szCs w:val="22"/>
          <w:rtl w:val="0"/>
        </w:rPr>
        <w:t xml:space="preserve"> (2026). https://healthandcareresearchwales.org/about/news/cystic-fibrosis-research-empowers-sophie-conquer-atlantic (Accessed: 13/05/2026).</w:t>
      </w:r>
    </w:p>
    <w:p w:rsidR="00000000" w:rsidDel="00000000" w:rsidP="00000000" w:rsidRDefault="00000000" w:rsidRPr="00000000" w14:paraId="00000085">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86">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Fuhrer, M., Zampoli, M. and Abriel, H. (2024) 'Diagnosing cystic fibrosis in low- and middle-income countries: challenges and strategies,' </w:t>
      </w:r>
      <w:r w:rsidDel="00000000" w:rsidR="00000000" w:rsidRPr="00000000">
        <w:rPr>
          <w:rFonts w:ascii="Times New Roman" w:cs="Times New Roman" w:eastAsia="Times New Roman" w:hAnsi="Times New Roman"/>
          <w:i w:val="1"/>
          <w:iCs w:val="1"/>
          <w:sz w:val="22"/>
          <w:szCs w:val="22"/>
          <w:rtl w:val="0"/>
        </w:rPr>
        <w:t xml:space="preserve">Orphanet Journal of Rare Diseases</w:t>
      </w:r>
      <w:r w:rsidDel="00000000" w:rsidR="00000000" w:rsidRPr="00000000">
        <w:rPr>
          <w:rFonts w:ascii="Times New Roman" w:cs="Times New Roman" w:eastAsia="Times New Roman" w:hAnsi="Times New Roman"/>
          <w:sz w:val="22"/>
          <w:szCs w:val="22"/>
          <w:rtl w:val="0"/>
        </w:rPr>
        <w:t xml:space="preserve">, 19(1), p. 482. https://doi.org/10.1186/s13023-024-03506-1. (Accessed: 14/05/2026)</w:t>
      </w:r>
    </w:p>
    <w:p w:rsidR="00000000" w:rsidDel="00000000" w:rsidP="00000000" w:rsidRDefault="00000000" w:rsidRPr="00000000" w14:paraId="00000087">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88">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color w:val="05103e"/>
          <w:sz w:val="22"/>
          <w:szCs w:val="22"/>
          <w:rtl w:val="0"/>
        </w:rPr>
        <w:t xml:space="preserve">Main, E. and Rand, S. (2023) 'Conventional chest physiotherapy compared to other airway clearance techniques for cystic fibrosis,' </w:t>
      </w:r>
      <w:r w:rsidDel="00000000" w:rsidR="00000000" w:rsidRPr="00000000">
        <w:rPr>
          <w:rFonts w:ascii="Times New Roman" w:cs="Times New Roman" w:eastAsia="Times New Roman" w:hAnsi="Times New Roman"/>
          <w:i w:val="1"/>
          <w:iCs w:val="1"/>
          <w:color w:val="05103e"/>
          <w:sz w:val="22"/>
          <w:szCs w:val="22"/>
          <w:rtl w:val="0"/>
        </w:rPr>
        <w:t xml:space="preserve">Cochrane Database of Systematic Reviews</w:t>
      </w:r>
      <w:r w:rsidDel="00000000" w:rsidR="00000000" w:rsidRPr="00000000">
        <w:rPr>
          <w:rFonts w:ascii="Times New Roman" w:cs="Times New Roman" w:eastAsia="Times New Roman" w:hAnsi="Times New Roman"/>
          <w:color w:val="05103e"/>
          <w:sz w:val="22"/>
          <w:szCs w:val="22"/>
          <w:rtl w:val="0"/>
        </w:rPr>
        <w:t xml:space="preserve">, 2023(5), p. CD002011. https://doi.org/10.1002/14651858.cd002011.pub3. (Accessed: 16/04/2026)</w:t>
      </w:r>
    </w:p>
    <w:p w:rsidR="00000000" w:rsidDel="00000000" w:rsidP="00000000" w:rsidRDefault="00000000" w:rsidRPr="00000000" w14:paraId="00000089">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8A">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Morrison, L. </w:t>
      </w:r>
      <w:r w:rsidDel="00000000" w:rsidR="00000000" w:rsidRPr="00000000">
        <w:rPr>
          <w:rFonts w:ascii="Times New Roman" w:cs="Times New Roman" w:eastAsia="Times New Roman" w:hAnsi="Times New Roman"/>
          <w:i w:val="1"/>
          <w:iCs w:val="1"/>
          <w:color w:val="05103e"/>
          <w:sz w:val="22"/>
          <w:szCs w:val="22"/>
          <w:rtl w:val="0"/>
        </w:rPr>
        <w:t xml:space="preserve">et al.</w:t>
      </w:r>
      <w:r w:rsidDel="00000000" w:rsidR="00000000" w:rsidRPr="00000000">
        <w:rPr>
          <w:rFonts w:ascii="Times New Roman" w:cs="Times New Roman" w:eastAsia="Times New Roman" w:hAnsi="Times New Roman"/>
          <w:color w:val="05103e"/>
          <w:sz w:val="22"/>
          <w:szCs w:val="22"/>
          <w:rtl w:val="0"/>
        </w:rPr>
        <w:t xml:space="preserve"> (2024) 'Revolutionizing Care: Unleashing the potential of digital health technology in physiotherapy management for people with cystic fibrosis,' </w:t>
      </w:r>
      <w:r w:rsidDel="00000000" w:rsidR="00000000" w:rsidRPr="00000000">
        <w:rPr>
          <w:rFonts w:ascii="Times New Roman" w:cs="Times New Roman" w:eastAsia="Times New Roman" w:hAnsi="Times New Roman"/>
          <w:i w:val="1"/>
          <w:iCs w:val="1"/>
          <w:color w:val="05103e"/>
          <w:sz w:val="22"/>
          <w:szCs w:val="22"/>
          <w:rtl w:val="0"/>
        </w:rPr>
        <w:t xml:space="preserve">JMIR Rehabilitation and Assistive Technologies</w:t>
      </w:r>
      <w:r w:rsidDel="00000000" w:rsidR="00000000" w:rsidRPr="00000000">
        <w:rPr>
          <w:rFonts w:ascii="Times New Roman" w:cs="Times New Roman" w:eastAsia="Times New Roman" w:hAnsi="Times New Roman"/>
          <w:color w:val="05103e"/>
          <w:sz w:val="22"/>
          <w:szCs w:val="22"/>
          <w:rtl w:val="0"/>
        </w:rPr>
        <w:t xml:space="preserve">, 11, p. 2 e55718. https://doi.org/10.2196/55718. (Accessed: 13/05/2026)</w:t>
      </w:r>
    </w:p>
    <w:p w:rsidR="00000000" w:rsidDel="00000000" w:rsidP="00000000" w:rsidRDefault="00000000" w:rsidRPr="00000000" w14:paraId="0000008B">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8C">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i w:val="1"/>
          <w:iCs w:val="1"/>
          <w:color w:val="05103e"/>
          <w:sz w:val="22"/>
          <w:szCs w:val="22"/>
          <w:rtl w:val="0"/>
        </w:rPr>
        <w:t xml:space="preserve">Newborn blood spot screening</w:t>
      </w:r>
      <w:r w:rsidDel="00000000" w:rsidR="00000000" w:rsidRPr="00000000">
        <w:rPr>
          <w:rFonts w:ascii="Times New Roman" w:cs="Times New Roman" w:eastAsia="Times New Roman" w:hAnsi="Times New Roman"/>
          <w:color w:val="05103e"/>
          <w:sz w:val="22"/>
          <w:szCs w:val="22"/>
          <w:rtl w:val="0"/>
        </w:rPr>
        <w:t xml:space="preserve"> (2026). https://www.cysticfibrosis.org.uk/what-is-cystic-fibrosis/diagnosis/newborn-blood-spot-screening. (Accessed: 02/04/2026).</w:t>
      </w:r>
    </w:p>
    <w:p w:rsidR="00000000" w:rsidDel="00000000" w:rsidP="00000000" w:rsidRDefault="00000000" w:rsidRPr="00000000" w14:paraId="0000008D">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8E">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THE NATIONAL INSTITUTE FOR HEALTH AND CARE EXCELLENCE (2026) </w:t>
      </w:r>
      <w:r w:rsidDel="00000000" w:rsidR="00000000" w:rsidRPr="00000000">
        <w:rPr>
          <w:rFonts w:ascii="Times New Roman" w:cs="Times New Roman" w:eastAsia="Times New Roman" w:hAnsi="Times New Roman"/>
          <w:i w:val="1"/>
          <w:iCs w:val="1"/>
          <w:color w:val="05103e"/>
          <w:sz w:val="22"/>
          <w:szCs w:val="22"/>
          <w:rtl w:val="0"/>
        </w:rPr>
        <w:t xml:space="preserve">PATIENT AND PUBLIC INVOLVEMENT POLICY</w:t>
      </w:r>
      <w:r w:rsidDel="00000000" w:rsidR="00000000" w:rsidRPr="00000000">
        <w:rPr>
          <w:rFonts w:ascii="Times New Roman" w:cs="Times New Roman" w:eastAsia="Times New Roman" w:hAnsi="Times New Roman"/>
          <w:color w:val="05103e"/>
          <w:sz w:val="22"/>
          <w:szCs w:val="22"/>
          <w:rtl w:val="0"/>
        </w:rPr>
        <w:t xml:space="preserve">. https://www.nice.org.uk/media/default/About/NICE-Communities/Public-involvement/Patient-and-public-involvement-policy/Patient-and-public-involvement-policy-November-2013.pdf. (Accessed: 12/05/2026)</w:t>
      </w:r>
    </w:p>
    <w:p w:rsidR="00000000" w:rsidDel="00000000" w:rsidP="00000000" w:rsidRDefault="00000000" w:rsidRPr="00000000" w14:paraId="0000008F">
      <w:pPr>
        <w:keepLines w:val="1"/>
        <w:spacing w:after="0" w:line="276" w:lineRule="auto"/>
        <w:ind w:left="0" w:firstLine="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90">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Fonts w:ascii="Times New Roman" w:cs="Times New Roman" w:eastAsia="Times New Roman" w:hAnsi="Times New Roman"/>
          <w:color w:val="05103e"/>
          <w:sz w:val="22"/>
          <w:szCs w:val="22"/>
          <w:rtl w:val="0"/>
        </w:rPr>
        <w:t xml:space="preserve">            Paul, G.R. </w:t>
      </w:r>
      <w:r w:rsidDel="00000000" w:rsidR="00000000" w:rsidRPr="00000000">
        <w:rPr>
          <w:rFonts w:ascii="Times New Roman" w:cs="Times New Roman" w:eastAsia="Times New Roman" w:hAnsi="Times New Roman"/>
          <w:i w:val="1"/>
          <w:iCs w:val="1"/>
          <w:color w:val="05103e"/>
          <w:sz w:val="22"/>
          <w:szCs w:val="22"/>
          <w:rtl w:val="0"/>
        </w:rPr>
        <w:t xml:space="preserve">et al.</w:t>
      </w:r>
      <w:r w:rsidDel="00000000" w:rsidR="00000000" w:rsidRPr="00000000">
        <w:rPr>
          <w:rFonts w:ascii="Times New Roman" w:cs="Times New Roman" w:eastAsia="Times New Roman" w:hAnsi="Times New Roman"/>
          <w:color w:val="05103e"/>
          <w:sz w:val="22"/>
          <w:szCs w:val="22"/>
          <w:rtl w:val="0"/>
        </w:rPr>
        <w:t xml:space="preserve"> (2021) 'Aquagenic wrinkling in children under two years of age: Could this be a potential clinical referral tool for cystic fibrosis among non-screened populations?,' </w:t>
      </w:r>
      <w:r w:rsidDel="00000000" w:rsidR="00000000" w:rsidRPr="00000000">
        <w:rPr>
          <w:rFonts w:ascii="Times New Roman" w:cs="Times New Roman" w:eastAsia="Times New Roman" w:hAnsi="Times New Roman"/>
          <w:i w:val="1"/>
          <w:iCs w:val="1"/>
          <w:color w:val="05103e"/>
          <w:sz w:val="22"/>
          <w:szCs w:val="22"/>
          <w:rtl w:val="0"/>
        </w:rPr>
        <w:t xml:space="preserve">Journal of Cystic Fibrosis</w:t>
      </w:r>
      <w:r w:rsidDel="00000000" w:rsidR="00000000" w:rsidRPr="00000000">
        <w:rPr>
          <w:rFonts w:ascii="Times New Roman" w:cs="Times New Roman" w:eastAsia="Times New Roman" w:hAnsi="Times New Roman"/>
          <w:color w:val="05103e"/>
          <w:sz w:val="22"/>
          <w:szCs w:val="22"/>
          <w:rtl w:val="0"/>
        </w:rPr>
        <w:t xml:space="preserve">, 20(5), https://doi.org/10.1016/j.jcf.2021.04.002. (Accessed: 02/04/2026)</w:t>
      </w:r>
    </w:p>
    <w:p w:rsidR="00000000" w:rsidDel="00000000" w:rsidP="00000000" w:rsidRDefault="00000000" w:rsidRPr="00000000" w14:paraId="00000091">
      <w:pPr>
        <w:keepLines w:val="1"/>
        <w:spacing w:after="0" w:line="276" w:lineRule="auto"/>
        <w:ind w:left="0" w:firstLine="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92">
      <w:pPr>
        <w:keepLines w:val="1"/>
        <w:spacing w:after="0" w:line="276" w:lineRule="auto"/>
        <w:ind w:left="720"/>
        <w:rPr>
          <w:rFonts w:ascii="Times New Roman" w:cs="Times New Roman" w:eastAsia="Times New Roman" w:hAnsi="Times New Roman"/>
          <w:color w:val="05103e"/>
          <w:sz w:val="22"/>
          <w:szCs w:val="22"/>
          <w:u w:val="single"/>
        </w:rPr>
      </w:pPr>
      <w:r w:rsidDel="00000000" w:rsidR="00000000" w:rsidRPr="00000000">
        <w:rPr>
          <w:rFonts w:ascii="Times New Roman" w:cs="Times New Roman" w:eastAsia="Times New Roman" w:hAnsi="Times New Roman"/>
          <w:color w:val="05103e"/>
          <w:sz w:val="22"/>
          <w:szCs w:val="22"/>
          <w:rtl w:val="0"/>
        </w:rPr>
        <w:t xml:space="preserve">            Pillai, A. and Southern, K.W. (2022) '1078 History and evolution of newborn screening for cystic fibrosis in the United Kingdom,' </w:t>
      </w:r>
      <w:r w:rsidDel="00000000" w:rsidR="00000000" w:rsidRPr="00000000">
        <w:rPr>
          <w:rFonts w:ascii="Times New Roman" w:cs="Times New Roman" w:eastAsia="Times New Roman" w:hAnsi="Times New Roman"/>
          <w:i w:val="1"/>
          <w:iCs w:val="1"/>
          <w:color w:val="05103e"/>
          <w:sz w:val="22"/>
          <w:szCs w:val="22"/>
          <w:rtl w:val="0"/>
        </w:rPr>
        <w:t xml:space="preserve">British Medical Journal</w:t>
      </w:r>
      <w:r w:rsidDel="00000000" w:rsidR="00000000" w:rsidRPr="00000000">
        <w:rPr>
          <w:rFonts w:ascii="Times New Roman" w:cs="Times New Roman" w:eastAsia="Times New Roman" w:hAnsi="Times New Roman"/>
          <w:color w:val="05103e"/>
          <w:sz w:val="22"/>
          <w:szCs w:val="22"/>
          <w:rtl w:val="0"/>
        </w:rPr>
        <w:t xml:space="preserve">, 107(2), p. A266.2-A267. https://doi.org/10.1136/archdischild-2022-rcpch.431. (Accessed: 02/04/2026)</w:t>
      </w:r>
      <w:r w:rsidDel="00000000" w:rsidR="00000000" w:rsidRPr="00000000">
        <w:rPr>
          <w:rtl w:val="0"/>
        </w:rPr>
      </w:r>
    </w:p>
    <w:p w:rsidR="00000000" w:rsidDel="00000000" w:rsidP="00000000" w:rsidRDefault="00000000" w:rsidRPr="00000000" w14:paraId="00000093">
      <w:pPr>
        <w:keepLines w:val="1"/>
        <w:spacing w:after="0" w:line="276" w:lineRule="auto"/>
        <w:ind w:left="720"/>
        <w:rPr>
          <w:rFonts w:ascii="Times New Roman" w:cs="Times New Roman" w:eastAsia="Times New Roman" w:hAnsi="Times New Roman"/>
          <w:color w:val="05103e"/>
          <w:sz w:val="22"/>
          <w:szCs w:val="22"/>
        </w:rPr>
      </w:pPr>
      <w:r w:rsidDel="00000000" w:rsidR="00000000" w:rsidRPr="00000000">
        <w:rPr>
          <w:rtl w:val="0"/>
        </w:rPr>
      </w:r>
    </w:p>
    <w:p w:rsidR="00000000" w:rsidDel="00000000" w:rsidP="00000000" w:rsidRDefault="00000000" w:rsidRPr="00000000" w14:paraId="00000094">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Reihill, J., Douglas, L. and Martin, S. (2021) 'Modulation of ion transport to restore airway hydration in cystic fibrosis,' </w:t>
      </w:r>
      <w:r w:rsidDel="00000000" w:rsidR="00000000" w:rsidRPr="00000000">
        <w:rPr>
          <w:rFonts w:ascii="Times New Roman" w:cs="Times New Roman" w:eastAsia="Times New Roman" w:hAnsi="Times New Roman"/>
          <w:i w:val="1"/>
          <w:iCs w:val="1"/>
          <w:sz w:val="22"/>
          <w:szCs w:val="22"/>
          <w:rtl w:val="0"/>
        </w:rPr>
        <w:t xml:space="preserve">Genes</w:t>
      </w:r>
      <w:r w:rsidDel="00000000" w:rsidR="00000000" w:rsidRPr="00000000">
        <w:rPr>
          <w:rFonts w:ascii="Times New Roman" w:cs="Times New Roman" w:eastAsia="Times New Roman" w:hAnsi="Times New Roman"/>
          <w:sz w:val="22"/>
          <w:szCs w:val="22"/>
          <w:rtl w:val="0"/>
        </w:rPr>
        <w:t xml:space="preserve">, 12(3), p. 1. https://doi.org/10.3390/genes12030453. (Accessed 19/03/2026)</w:t>
      </w:r>
    </w:p>
    <w:p w:rsidR="00000000" w:rsidDel="00000000" w:rsidP="00000000" w:rsidRDefault="00000000" w:rsidRPr="00000000" w14:paraId="00000095">
      <w:pPr>
        <w:keepLines w:val="1"/>
        <w:spacing w:after="0" w:line="276" w:lineRule="auto"/>
        <w:ind w:left="0" w:firstLine="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96">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Royal Brompton and Harefield Hospitals Specialist Care (2018) </w:t>
      </w:r>
      <w:r w:rsidDel="00000000" w:rsidR="00000000" w:rsidRPr="00000000">
        <w:rPr>
          <w:rFonts w:ascii="Times New Roman" w:cs="Times New Roman" w:eastAsia="Times New Roman" w:hAnsi="Times New Roman"/>
          <w:i w:val="1"/>
          <w:iCs w:val="1"/>
          <w:sz w:val="22"/>
          <w:szCs w:val="22"/>
          <w:rtl w:val="0"/>
        </w:rPr>
        <w:t xml:space="preserve">The history and future of cystic fibrosis</w:t>
      </w:r>
      <w:r w:rsidDel="00000000" w:rsidR="00000000" w:rsidRPr="00000000">
        <w:rPr>
          <w:rFonts w:ascii="Times New Roman" w:cs="Times New Roman" w:eastAsia="Times New Roman" w:hAnsi="Times New Roman"/>
          <w:sz w:val="22"/>
          <w:szCs w:val="22"/>
          <w:rtl w:val="0"/>
        </w:rPr>
        <w:t xml:space="preserve">. Available at:</w:t>
      </w:r>
      <w:hyperlink r:id="rId10">
        <w:r w:rsidDel="00000000" w:rsidR="00000000" w:rsidRPr="00000000">
          <w:rPr>
            <w:rFonts w:ascii="Times New Roman" w:cs="Times New Roman" w:eastAsia="Times New Roman" w:hAnsi="Times New Roman"/>
            <w:sz w:val="22"/>
            <w:szCs w:val="22"/>
            <w:rtl w:val="0"/>
          </w:rPr>
          <w:t xml:space="preserve"> </w:t>
        </w:r>
      </w:hyperlink>
      <w:r w:rsidDel="00000000" w:rsidR="00000000" w:rsidRPr="00000000">
        <w:rPr>
          <w:rFonts w:ascii="Times New Roman" w:cs="Times New Roman" w:eastAsia="Times New Roman" w:hAnsi="Times New Roman"/>
          <w:sz w:val="22"/>
          <w:szCs w:val="22"/>
          <w:rtl w:val="0"/>
        </w:rPr>
        <w:t xml:space="preserve">https://www.rbht.nhs.uk/blog/history-and-future-cystic-fibrosis (Accessed: 09/03/2026).</w:t>
      </w:r>
    </w:p>
    <w:p w:rsidR="00000000" w:rsidDel="00000000" w:rsidP="00000000" w:rsidRDefault="00000000" w:rsidRPr="00000000" w14:paraId="00000097">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98">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Sheppard, D.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(2026) </w:t>
      </w:r>
      <w:r w:rsidDel="00000000" w:rsidR="00000000" w:rsidRPr="00000000">
        <w:rPr>
          <w:rFonts w:ascii="Times New Roman" w:cs="Times New Roman" w:eastAsia="Times New Roman" w:hAnsi="Times New Roman"/>
          <w:i w:val="1"/>
          <w:iCs w:val="1"/>
          <w:sz w:val="22"/>
          <w:szCs w:val="22"/>
          <w:rtl w:val="0"/>
        </w:rPr>
        <w:t xml:space="preserve">Strategic Research Centre: F508DEL</w:t>
      </w:r>
      <w:r w:rsidDel="00000000" w:rsidR="00000000" w:rsidRPr="00000000">
        <w:rPr>
          <w:rFonts w:ascii="Times New Roman" w:cs="Times New Roman" w:eastAsia="Times New Roman" w:hAnsi="Times New Roman"/>
          <w:sz w:val="22"/>
          <w:szCs w:val="22"/>
          <w:rtl w:val="0"/>
        </w:rPr>
        <w:t xml:space="preserve">. https://www.cysticfibrosis.org.uk/research/cf-research-topics/tackling-the-underlying-cause/src-5-sheppard-f508del. (Accessed: 13/03/2026).</w:t>
      </w:r>
    </w:p>
    <w:p w:rsidR="00000000" w:rsidDel="00000000" w:rsidP="00000000" w:rsidRDefault="00000000" w:rsidRPr="00000000" w14:paraId="00000099">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9A">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color w:val="05103e"/>
          <w:sz w:val="22"/>
          <w:szCs w:val="22"/>
          <w:rtl w:val="0"/>
        </w:rPr>
        <w:t xml:space="preserve">Singh, V.K. and Schwarzenberg, S.J. (2017) 'Pancreatic insufficiency in Cystic Fibrosis,' </w:t>
      </w:r>
      <w:r w:rsidDel="00000000" w:rsidR="00000000" w:rsidRPr="00000000">
        <w:rPr>
          <w:rFonts w:ascii="Times New Roman" w:cs="Times New Roman" w:eastAsia="Times New Roman" w:hAnsi="Times New Roman"/>
          <w:i w:val="1"/>
          <w:iCs w:val="1"/>
          <w:color w:val="05103e"/>
          <w:sz w:val="22"/>
          <w:szCs w:val="22"/>
          <w:rtl w:val="0"/>
        </w:rPr>
        <w:t xml:space="preserve">Journal of Cystic Fibrosis</w:t>
      </w:r>
      <w:r w:rsidDel="00000000" w:rsidR="00000000" w:rsidRPr="00000000">
        <w:rPr>
          <w:rFonts w:ascii="Times New Roman" w:cs="Times New Roman" w:eastAsia="Times New Roman" w:hAnsi="Times New Roman"/>
          <w:color w:val="05103e"/>
          <w:sz w:val="22"/>
          <w:szCs w:val="22"/>
          <w:rtl w:val="0"/>
        </w:rPr>
        <w:t xml:space="preserve">, 16, pp. S70–S78. https://doi.org/10.1016/j.jcf.2017.06.011. (Accessed 30/04/2026)</w:t>
      </w:r>
      <w:r w:rsidDel="00000000" w:rsidR="00000000" w:rsidRPr="00000000">
        <w:rPr>
          <w:rtl w:val="0"/>
        </w:rPr>
      </w:r>
    </w:p>
    <w:p w:rsidR="00000000" w:rsidDel="00000000" w:rsidP="00000000" w:rsidRDefault="00000000" w:rsidRPr="00000000" w14:paraId="0000009B">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9C">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UK Cystic Fibrosis Registry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(2025) </w:t>
      </w:r>
      <w:r w:rsidDel="00000000" w:rsidR="00000000" w:rsidRPr="00000000">
        <w:rPr>
          <w:rFonts w:ascii="Times New Roman" w:cs="Times New Roman" w:eastAsia="Times New Roman" w:hAnsi="Times New Roman"/>
          <w:i w:val="1"/>
          <w:iCs w:val="1"/>
          <w:sz w:val="22"/>
          <w:szCs w:val="22"/>
          <w:rtl w:val="0"/>
        </w:rPr>
        <w:t xml:space="preserve">UK Cystic Fibrosis Registry 2024 Annual Data Report</w:t>
      </w:r>
      <w:r w:rsidDel="00000000" w:rsidR="00000000" w:rsidRPr="00000000">
        <w:rPr>
          <w:rFonts w:ascii="Times New Roman" w:cs="Times New Roman" w:eastAsia="Times New Roman" w:hAnsi="Times New Roman"/>
          <w:sz w:val="22"/>
          <w:szCs w:val="22"/>
          <w:rtl w:val="0"/>
        </w:rPr>
        <w:t xml:space="preserve">. Executive Summary, pp9, Available at: https://www.cysticfibrosis.org.uk/sites/default/files/2025-10/CFT_2024_Annual_Data_Report_v7.pdf. (Accessed: 12/03/2026)</w:t>
      </w:r>
    </w:p>
    <w:p w:rsidR="00000000" w:rsidDel="00000000" w:rsidP="00000000" w:rsidRDefault="00000000" w:rsidRPr="00000000" w14:paraId="0000009D">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9E">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Urquhart, D.S. </w:t>
      </w:r>
      <w:r w:rsidDel="00000000" w:rsidR="00000000" w:rsidRPr="00000000">
        <w:rPr>
          <w:rFonts w:ascii="Times New Roman" w:cs="Times New Roman" w:eastAsia="Times New Roman" w:hAnsi="Times New Roman"/>
          <w:i w:val="1"/>
          <w:iCs w:val="1"/>
          <w:sz w:val="22"/>
          <w:szCs w:val="22"/>
          <w:rtl w:val="0"/>
        </w:rPr>
        <w:t xml:space="preserve">et al.</w:t>
      </w:r>
      <w:r w:rsidDel="00000000" w:rsidR="00000000" w:rsidRPr="00000000">
        <w:rPr>
          <w:rFonts w:ascii="Times New Roman" w:cs="Times New Roman" w:eastAsia="Times New Roman" w:hAnsi="Times New Roman"/>
          <w:sz w:val="22"/>
          <w:szCs w:val="22"/>
          <w:rtl w:val="0"/>
        </w:rPr>
        <w:t xml:space="preserve"> (2022) 'Exercise as an Airway Clearance Technique in people with Cystic Fibrosis (ExACT-CF): rationale and study protocol for a randomised pilot trial,' </w:t>
      </w:r>
      <w:r w:rsidDel="00000000" w:rsidR="00000000" w:rsidRPr="00000000">
        <w:rPr>
          <w:rFonts w:ascii="Times New Roman" w:cs="Times New Roman" w:eastAsia="Times New Roman" w:hAnsi="Times New Roman"/>
          <w:i w:val="1"/>
          <w:iCs w:val="1"/>
          <w:sz w:val="22"/>
          <w:szCs w:val="22"/>
          <w:rtl w:val="0"/>
        </w:rPr>
        <w:t xml:space="preserve">NIHR Open Research</w:t>
      </w:r>
      <w:r w:rsidDel="00000000" w:rsidR="00000000" w:rsidRPr="00000000">
        <w:rPr>
          <w:rFonts w:ascii="Times New Roman" w:cs="Times New Roman" w:eastAsia="Times New Roman" w:hAnsi="Times New Roman"/>
          <w:sz w:val="22"/>
          <w:szCs w:val="22"/>
          <w:rtl w:val="0"/>
        </w:rPr>
        <w:t xml:space="preserve">, 2, p. 15. </w:t>
      </w:r>
      <w:hyperlink r:id="rId11">
        <w:r w:rsidDel="00000000" w:rsidR="00000000" w:rsidRPr="00000000">
          <w:rPr>
            <w:rFonts w:ascii="Times New Roman" w:cs="Times New Roman" w:eastAsia="Times New Roman" w:hAnsi="Times New Roman"/>
            <w:color w:val="1155cc"/>
            <w:sz w:val="22"/>
            <w:szCs w:val="22"/>
            <w:u w:val="single"/>
            <w:rtl w:val="0"/>
          </w:rPr>
          <w:t xml:space="preserve">h</w:t>
        </w:r>
      </w:hyperlink>
      <w:r w:rsidDel="00000000" w:rsidR="00000000" w:rsidRPr="00000000">
        <w:rPr>
          <w:rFonts w:ascii="Times New Roman" w:cs="Times New Roman" w:eastAsia="Times New Roman" w:hAnsi="Times New Roman"/>
          <w:sz w:val="22"/>
          <w:szCs w:val="22"/>
          <w:rtl w:val="0"/>
        </w:rPr>
        <w:t xml:space="preserve">ttps://doi.org/10.3310/nihropenres.13347.1. (Accessed: 30/04/2026)</w:t>
      </w:r>
    </w:p>
    <w:p w:rsidR="00000000" w:rsidDel="00000000" w:rsidP="00000000" w:rsidRDefault="00000000" w:rsidRPr="00000000" w14:paraId="0000009F">
      <w:pPr>
        <w:keepLines w:val="1"/>
        <w:spacing w:after="0" w:line="276" w:lineRule="auto"/>
        <w:ind w:left="720"/>
        <w:rPr>
          <w:rFonts w:ascii="Times New Roman" w:cs="Times New Roman" w:eastAsia="Times New Roman" w:hAnsi="Times New Roman"/>
          <w:color w:val="333333"/>
          <w:sz w:val="22"/>
          <w:szCs w:val="22"/>
          <w:highlight w:val="white"/>
        </w:rPr>
      </w:pPr>
      <w:r w:rsidDel="00000000" w:rsidR="00000000" w:rsidRPr="00000000">
        <w:rPr>
          <w:rtl w:val="0"/>
        </w:rPr>
      </w:r>
    </w:p>
    <w:p w:rsidR="00000000" w:rsidDel="00000000" w:rsidP="00000000" w:rsidRDefault="00000000" w:rsidRPr="00000000" w14:paraId="000000A0">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A1">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Walker, H.K., Hall, W.D. and Hurst, J.W. (1990) </w:t>
      </w:r>
      <w:r w:rsidDel="00000000" w:rsidR="00000000" w:rsidRPr="00000000">
        <w:rPr>
          <w:rFonts w:ascii="Times New Roman" w:cs="Times New Roman" w:eastAsia="Times New Roman" w:hAnsi="Times New Roman"/>
          <w:i w:val="1"/>
          <w:iCs w:val="1"/>
          <w:sz w:val="22"/>
          <w:szCs w:val="22"/>
          <w:rtl w:val="0"/>
        </w:rPr>
        <w:t xml:space="preserve">Clinical methods: The history, physical, and laboratory examinations</w:t>
      </w:r>
      <w:r w:rsidDel="00000000" w:rsidR="00000000" w:rsidRPr="00000000">
        <w:rPr>
          <w:rFonts w:ascii="Times New Roman" w:cs="Times New Roman" w:eastAsia="Times New Roman" w:hAnsi="Times New Roman"/>
          <w:sz w:val="22"/>
          <w:szCs w:val="22"/>
          <w:rtl w:val="0"/>
        </w:rPr>
        <w:t xml:space="preserve"> [Online]. 3rd edn. Butterworth-Heinemann. https://www.ncbi.nlm.nih.gov/books/NBK213/#top. (Accessed: 16/0402026)</w:t>
      </w:r>
    </w:p>
    <w:p w:rsidR="00000000" w:rsidDel="00000000" w:rsidP="00000000" w:rsidRDefault="00000000" w:rsidRPr="00000000" w14:paraId="000000A2">
      <w:pPr>
        <w:keepLines w:val="1"/>
        <w:spacing w:after="0" w:line="276" w:lineRule="auto"/>
        <w:ind w:left="720"/>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0A3">
      <w:pPr>
        <w:keepLines w:val="1"/>
        <w:spacing w:after="0" w:line="276" w:lineRule="auto"/>
        <w:ind w:left="72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            </w:t>
      </w:r>
      <w:r w:rsidDel="00000000" w:rsidR="00000000" w:rsidRPr="00000000">
        <w:rPr>
          <w:rFonts w:ascii="Times New Roman" w:cs="Times New Roman" w:eastAsia="Times New Roman" w:hAnsi="Times New Roman"/>
          <w:color w:val="05103e"/>
          <w:sz w:val="22"/>
          <w:szCs w:val="22"/>
          <w:rtl w:val="0"/>
        </w:rPr>
        <w:t xml:space="preserve">Ward, N. </w:t>
      </w:r>
      <w:r w:rsidDel="00000000" w:rsidR="00000000" w:rsidRPr="00000000">
        <w:rPr>
          <w:rFonts w:ascii="Times New Roman" w:cs="Times New Roman" w:eastAsia="Times New Roman" w:hAnsi="Times New Roman"/>
          <w:i w:val="1"/>
          <w:iCs w:val="1"/>
          <w:color w:val="05103e"/>
          <w:sz w:val="22"/>
          <w:szCs w:val="22"/>
          <w:rtl w:val="0"/>
        </w:rPr>
        <w:t xml:space="preserve">et al.</w:t>
      </w:r>
      <w:r w:rsidDel="00000000" w:rsidR="00000000" w:rsidRPr="00000000">
        <w:rPr>
          <w:rFonts w:ascii="Times New Roman" w:cs="Times New Roman" w:eastAsia="Times New Roman" w:hAnsi="Times New Roman"/>
          <w:color w:val="05103e"/>
          <w:sz w:val="22"/>
          <w:szCs w:val="22"/>
          <w:rtl w:val="0"/>
        </w:rPr>
        <w:t xml:space="preserve"> (2020) 'Exercise as a substitute for traditional airway clearance in cystic fibrosis: a systematic review,' </w:t>
      </w:r>
      <w:r w:rsidDel="00000000" w:rsidR="00000000" w:rsidRPr="00000000">
        <w:rPr>
          <w:rFonts w:ascii="Times New Roman" w:cs="Times New Roman" w:eastAsia="Times New Roman" w:hAnsi="Times New Roman"/>
          <w:i w:val="1"/>
          <w:iCs w:val="1"/>
          <w:color w:val="05103e"/>
          <w:sz w:val="22"/>
          <w:szCs w:val="22"/>
          <w:rtl w:val="0"/>
        </w:rPr>
        <w:t xml:space="preserve">Thorax</w:t>
      </w:r>
      <w:r w:rsidDel="00000000" w:rsidR="00000000" w:rsidRPr="00000000">
        <w:rPr>
          <w:rFonts w:ascii="Times New Roman" w:cs="Times New Roman" w:eastAsia="Times New Roman" w:hAnsi="Times New Roman"/>
          <w:color w:val="05103e"/>
          <w:sz w:val="22"/>
          <w:szCs w:val="22"/>
          <w:rtl w:val="0"/>
        </w:rPr>
        <w:t xml:space="preserve">, 76(8), pp. 763–771. https://doi.org/10.1136/thoraxjnl-2020-215836. (Accessed: 30/04/2026)</w:t>
      </w:r>
      <w:r w:rsidDel="00000000" w:rsidR="00000000" w:rsidRPr="00000000">
        <w:rPr>
          <w:rtl w:val="0"/>
        </w:rPr>
      </w:r>
    </w:p>
    <w:p w:rsidR="00000000" w:rsidDel="00000000" w:rsidP="00000000" w:rsidRDefault="00000000" w:rsidRPr="00000000" w14:paraId="000000A4">
      <w:pPr>
        <w:spacing w:after="120" w:before="120" w:line="336" w:lineRule="auto"/>
        <w:jc w:val="center"/>
        <w:rPr>
          <w:rFonts w:ascii="Arial" w:cs="Arial" w:eastAsia="Arial" w:hAnsi="Arial"/>
          <w:b w:val="1"/>
          <w:bCs w:val="1"/>
          <w:sz w:val="40"/>
          <w:szCs w:val="40"/>
          <w:u w:val="single"/>
        </w:rPr>
      </w:pPr>
      <w:r w:rsidDel="00000000" w:rsidR="00000000" w:rsidRPr="00000000">
        <w:rPr>
          <w:rFonts w:ascii="Arial" w:cs="Arial" w:eastAsia="Arial" w:hAnsi="Arial"/>
          <w:b w:val="1"/>
          <w:bCs w:val="1"/>
          <w:sz w:val="40"/>
          <w:szCs w:val="40"/>
          <w:u w:val="single"/>
          <w:rtl w:val="0"/>
        </w:rPr>
        <w:t xml:space="preserve">Appendices</w:t>
      </w:r>
    </w:p>
    <w:p w:rsidR="00000000" w:rsidDel="00000000" w:rsidP="00000000" w:rsidRDefault="00000000" w:rsidRPr="00000000" w14:paraId="000000A5">
      <w:pPr>
        <w:spacing w:after="0" w:line="259" w:lineRule="auto"/>
        <w:rPr>
          <w:rFonts w:ascii="Arial" w:cs="Arial" w:eastAsia="Arial" w:hAnsi="Arial"/>
          <w:color w:val="323e4f"/>
          <w:sz w:val="32"/>
          <w:szCs w:val="32"/>
        </w:rPr>
      </w:pPr>
      <w:r w:rsidDel="00000000" w:rsidR="00000000" w:rsidRPr="00000000">
        <w:rPr>
          <w:rtl w:val="0"/>
        </w:rPr>
      </w:r>
    </w:p>
    <w:tbl>
      <w:tblPr>
        <w:tblStyle w:val="Table2"/>
        <w:tblW w:w="11440.0" w:type="dxa"/>
        <w:jc w:val="left"/>
        <w:tblInd w:w="-99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0"/>
        <w:gridCol w:w="1720"/>
        <w:gridCol w:w="920"/>
        <w:gridCol w:w="1300"/>
        <w:gridCol w:w="600"/>
        <w:gridCol w:w="2060"/>
        <w:gridCol w:w="500"/>
        <w:gridCol w:w="500"/>
        <w:gridCol w:w="700"/>
        <w:gridCol w:w="600"/>
        <w:tblGridChange w:id="0">
          <w:tblGrid>
            <w:gridCol w:w="2540"/>
            <w:gridCol w:w="1720"/>
            <w:gridCol w:w="920"/>
            <w:gridCol w:w="1300"/>
            <w:gridCol w:w="600"/>
            <w:gridCol w:w="2060"/>
            <w:gridCol w:w="500"/>
            <w:gridCol w:w="500"/>
            <w:gridCol w:w="700"/>
            <w:gridCol w:w="600"/>
          </w:tblGrid>
        </w:tblGridChange>
      </w:tblGrid>
      <w:tr>
        <w:trPr>
          <w:cantSplit w:val="1"/>
          <w:trHeight w:val="1745" w:hRule="atLeast"/>
          <w:tblHeader w:val="0"/>
        </w:trPr>
        <w:tc>
          <w:tcPr/>
          <w:p w:rsidR="00000000" w:rsidDel="00000000" w:rsidP="00000000" w:rsidRDefault="00000000" w:rsidRPr="00000000" w14:paraId="000000A6">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7">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8">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9">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A">
            <w:pPr>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Article Title </w:t>
            </w:r>
          </w:p>
        </w:tc>
        <w:tc>
          <w:tcPr/>
          <w:p w:rsidR="00000000" w:rsidDel="00000000" w:rsidP="00000000" w:rsidRDefault="00000000" w:rsidRPr="00000000" w14:paraId="000000AB">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C">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D">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E">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AF">
            <w:pPr>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Author(s)</w:t>
            </w:r>
          </w:p>
        </w:tc>
        <w:tc>
          <w:tcPr/>
          <w:p w:rsidR="00000000" w:rsidDel="00000000" w:rsidP="00000000" w:rsidRDefault="00000000" w:rsidRPr="00000000" w14:paraId="000000B0">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1">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2">
            <w:pP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3">
            <w:pPr>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Year of publication</w:t>
            </w:r>
          </w:p>
        </w:tc>
        <w:tc>
          <w:tcPr/>
          <w:p w:rsidR="00000000" w:rsidDel="00000000" w:rsidP="00000000" w:rsidRDefault="00000000" w:rsidRPr="00000000" w14:paraId="000000B4">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5">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6">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7">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8">
            <w:pPr>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Journal name</w:t>
            </w:r>
          </w:p>
        </w:tc>
        <w:tc>
          <w:tcPr/>
          <w:p w:rsidR="00000000" w:rsidDel="00000000" w:rsidP="00000000" w:rsidRDefault="00000000" w:rsidRPr="00000000" w14:paraId="000000B9">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Abstract</w:t>
            </w:r>
          </w:p>
          <w:p w:rsidR="00000000" w:rsidDel="00000000" w:rsidP="00000000" w:rsidRDefault="00000000" w:rsidRPr="00000000" w14:paraId="000000BA">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(y or n)</w:t>
            </w:r>
          </w:p>
        </w:tc>
        <w:tc>
          <w:tcPr/>
          <w:p w:rsidR="00000000" w:rsidDel="00000000" w:rsidP="00000000" w:rsidRDefault="00000000" w:rsidRPr="00000000" w14:paraId="000000BB">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C">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D">
            <w:pPr>
              <w:jc w:val="center"/>
              <w:rPr>
                <w:rFonts w:ascii="Arial" w:cs="Arial" w:eastAsia="Arial" w:hAnsi="Arial"/>
                <w:b w:val="1"/>
                <w:bCs w:val="1"/>
                <w:color w:val="323e4f"/>
                <w:sz w:val="20"/>
                <w:szCs w:val="20"/>
              </w:rPr>
            </w:pPr>
            <w:r w:rsidDel="00000000" w:rsidR="00000000" w:rsidRPr="00000000">
              <w:rPr>
                <w:rtl w:val="0"/>
              </w:rPr>
            </w:r>
          </w:p>
          <w:p w:rsidR="00000000" w:rsidDel="00000000" w:rsidP="00000000" w:rsidRDefault="00000000" w:rsidRPr="00000000" w14:paraId="000000BE">
            <w:pPr>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Methods/</w:t>
            </w:r>
          </w:p>
          <w:p w:rsidR="00000000" w:rsidDel="00000000" w:rsidP="00000000" w:rsidRDefault="00000000" w:rsidRPr="00000000" w14:paraId="000000BF">
            <w:pPr>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instruments used</w:t>
            </w:r>
          </w:p>
        </w:tc>
        <w:tc>
          <w:tcPr/>
          <w:p w:rsidR="00000000" w:rsidDel="00000000" w:rsidP="00000000" w:rsidRDefault="00000000" w:rsidRPr="00000000" w14:paraId="000000C0">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Reliable</w:t>
            </w:r>
          </w:p>
          <w:p w:rsidR="00000000" w:rsidDel="00000000" w:rsidP="00000000" w:rsidRDefault="00000000" w:rsidRPr="00000000" w14:paraId="000000C1">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(y or n)</w:t>
            </w:r>
          </w:p>
        </w:tc>
        <w:tc>
          <w:tcPr/>
          <w:p w:rsidR="00000000" w:rsidDel="00000000" w:rsidP="00000000" w:rsidRDefault="00000000" w:rsidRPr="00000000" w14:paraId="000000C2">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Validity</w:t>
            </w:r>
          </w:p>
          <w:p w:rsidR="00000000" w:rsidDel="00000000" w:rsidP="00000000" w:rsidRDefault="00000000" w:rsidRPr="00000000" w14:paraId="000000C3">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(y or n)</w:t>
            </w:r>
          </w:p>
        </w:tc>
        <w:tc>
          <w:tcPr/>
          <w:p w:rsidR="00000000" w:rsidDel="00000000" w:rsidP="00000000" w:rsidRDefault="00000000" w:rsidRPr="00000000" w14:paraId="000000C4">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Ethical Considerations</w:t>
            </w:r>
          </w:p>
          <w:p w:rsidR="00000000" w:rsidDel="00000000" w:rsidP="00000000" w:rsidRDefault="00000000" w:rsidRPr="00000000" w14:paraId="000000C5">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 (y or n)</w:t>
            </w:r>
          </w:p>
          <w:p w:rsidR="00000000" w:rsidDel="00000000" w:rsidP="00000000" w:rsidRDefault="00000000" w:rsidRPr="00000000" w14:paraId="000000C6">
            <w:pPr>
              <w:ind w:left="113" w:right="113" w:firstLine="0"/>
              <w:jc w:val="center"/>
              <w:rPr>
                <w:rFonts w:ascii="Arial" w:cs="Arial" w:eastAsia="Arial" w:hAnsi="Arial"/>
                <w:b w:val="1"/>
                <w:bCs w:val="1"/>
                <w:color w:val="323e4f"/>
                <w:sz w:val="20"/>
                <w:szCs w:val="20"/>
              </w:rPr>
            </w:pPr>
            <w:r w:rsidDel="00000000" w:rsidR="00000000" w:rsidRPr="00000000">
              <w:rPr>
                <w:rtl w:val="0"/>
              </w:rPr>
            </w:r>
          </w:p>
        </w:tc>
        <w:tc>
          <w:tcPr/>
          <w:p w:rsidR="00000000" w:rsidDel="00000000" w:rsidP="00000000" w:rsidRDefault="00000000" w:rsidRPr="00000000" w14:paraId="000000C7">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Reference list</w:t>
            </w:r>
          </w:p>
          <w:p w:rsidR="00000000" w:rsidDel="00000000" w:rsidP="00000000" w:rsidRDefault="00000000" w:rsidRPr="00000000" w14:paraId="000000C8">
            <w:pPr>
              <w:ind w:left="113" w:right="113" w:firstLine="0"/>
              <w:jc w:val="center"/>
              <w:rPr>
                <w:rFonts w:ascii="Arial" w:cs="Arial" w:eastAsia="Arial" w:hAnsi="Arial"/>
                <w:b w:val="1"/>
                <w:bCs w:val="1"/>
                <w:color w:val="323e4f"/>
                <w:sz w:val="20"/>
                <w:szCs w:val="20"/>
              </w:rPr>
            </w:pPr>
            <w:r w:rsidDel="00000000" w:rsidR="00000000" w:rsidRPr="00000000">
              <w:rPr>
                <w:rFonts w:ascii="Arial" w:cs="Arial" w:eastAsia="Arial" w:hAnsi="Arial"/>
                <w:b w:val="1"/>
                <w:bCs w:val="1"/>
                <w:color w:val="323e4f"/>
                <w:sz w:val="20"/>
                <w:szCs w:val="20"/>
                <w:rtl w:val="0"/>
              </w:rPr>
              <w:t xml:space="preserve">(y or n)</w:t>
            </w:r>
          </w:p>
          <w:p w:rsidR="00000000" w:rsidDel="00000000" w:rsidP="00000000" w:rsidRDefault="00000000" w:rsidRPr="00000000" w14:paraId="000000C9">
            <w:pPr>
              <w:ind w:left="113" w:right="113" w:firstLine="0"/>
              <w:jc w:val="center"/>
              <w:rPr>
                <w:rFonts w:ascii="Arial" w:cs="Arial" w:eastAsia="Arial" w:hAnsi="Arial"/>
                <w:b w:val="1"/>
                <w:bCs w:val="1"/>
                <w:color w:val="323e4f"/>
                <w:sz w:val="20"/>
                <w:szCs w:val="20"/>
              </w:rPr>
            </w:pPr>
            <w:r w:rsidDel="00000000" w:rsidR="00000000" w:rsidRPr="00000000">
              <w:rPr>
                <w:rtl w:val="0"/>
              </w:rPr>
            </w:r>
          </w:p>
        </w:tc>
      </w:tr>
      <w:tr>
        <w:trPr>
          <w:cantSplit w:val="0"/>
          <w:trHeight w:val="1327" w:hRule="atLeast"/>
          <w:tblHeader w:val="0"/>
        </w:trPr>
        <w:tc>
          <w:tcPr/>
          <w:p w:rsidR="00000000" w:rsidDel="00000000" w:rsidP="00000000" w:rsidRDefault="00000000" w:rsidRPr="00000000" w14:paraId="000000CA">
            <w:pPr>
              <w:rPr>
                <w:rFonts w:ascii="Arial" w:cs="Arial" w:eastAsia="Arial" w:hAnsi="Arial"/>
                <w:color w:val="323e4f"/>
              </w:rPr>
            </w:pPr>
            <w:r w:rsidDel="00000000" w:rsidR="00000000" w:rsidRPr="00000000">
              <w:rPr>
                <w:rFonts w:ascii="Arial" w:cs="Arial" w:eastAsia="Arial" w:hAnsi="Arial"/>
                <w:color w:val="323e4f"/>
                <w:rtl w:val="0"/>
              </w:rPr>
              <w:t xml:space="preserve">Newborn Screening for Cystic Fibrosis in Wales over 20 years. Changes in incidence dependent on screening protocol</w:t>
            </w:r>
          </w:p>
          <w:p w:rsidR="00000000" w:rsidDel="00000000" w:rsidP="00000000" w:rsidRDefault="00000000" w:rsidRPr="00000000" w14:paraId="000000CB">
            <w:pPr>
              <w:jc w:val="center"/>
              <w:rPr>
                <w:rFonts w:ascii="Arial" w:cs="Arial" w:eastAsia="Arial" w:hAnsi="Arial"/>
                <w:color w:val="323e4f"/>
              </w:rPr>
            </w:pPr>
            <w:r w:rsidDel="00000000" w:rsidR="00000000" w:rsidRPr="00000000">
              <w:rPr>
                <w:rtl w:val="0"/>
              </w:rPr>
            </w:r>
          </w:p>
          <w:p w:rsidR="00000000" w:rsidDel="00000000" w:rsidP="00000000" w:rsidRDefault="00000000" w:rsidRPr="00000000" w14:paraId="000000CC">
            <w:pPr>
              <w:rPr>
                <w:rFonts w:ascii="Arial" w:cs="Arial" w:eastAsia="Arial" w:hAnsi="Arial"/>
                <w:color w:val="323e4f"/>
              </w:rPr>
            </w:pPr>
            <w:r w:rsidDel="00000000" w:rsidR="00000000" w:rsidRPr="00000000">
              <w:rPr>
                <w:rtl w:val="0"/>
              </w:rPr>
            </w:r>
          </w:p>
        </w:tc>
        <w:tc>
          <w:tcPr/>
          <w:p w:rsidR="00000000" w:rsidDel="00000000" w:rsidP="00000000" w:rsidRDefault="00000000" w:rsidRPr="00000000" w14:paraId="000000CD">
            <w:pPr>
              <w:jc w:val="center"/>
              <w:rPr>
                <w:rFonts w:ascii="Arial" w:cs="Arial" w:eastAsia="Arial" w:hAnsi="Arial"/>
                <w:color w:val="323e4f"/>
              </w:rPr>
            </w:pPr>
            <w:r w:rsidDel="00000000" w:rsidR="00000000" w:rsidRPr="00000000">
              <w:rPr>
                <w:rFonts w:ascii="Arial" w:cs="Arial" w:eastAsia="Arial" w:hAnsi="Arial"/>
                <w:color w:val="323e4f"/>
                <w:rtl w:val="0"/>
              </w:rPr>
              <w:t xml:space="preserve">Doull, I. et al</w:t>
            </w:r>
          </w:p>
        </w:tc>
        <w:tc>
          <w:tcPr/>
          <w:p w:rsidR="00000000" w:rsidDel="00000000" w:rsidP="00000000" w:rsidRDefault="00000000" w:rsidRPr="00000000" w14:paraId="000000CE">
            <w:pPr>
              <w:jc w:val="center"/>
              <w:rPr>
                <w:rFonts w:ascii="Arial" w:cs="Arial" w:eastAsia="Arial" w:hAnsi="Arial"/>
                <w:color w:val="323e4f"/>
              </w:rPr>
            </w:pPr>
            <w:r w:rsidDel="00000000" w:rsidR="00000000" w:rsidRPr="00000000">
              <w:rPr>
                <w:rFonts w:ascii="Arial" w:cs="Arial" w:eastAsia="Arial" w:hAnsi="Arial"/>
                <w:color w:val="323e4f"/>
                <w:rtl w:val="0"/>
              </w:rPr>
              <w:t xml:space="preserve">2018</w:t>
            </w:r>
          </w:p>
        </w:tc>
        <w:tc>
          <w:tcPr/>
          <w:p w:rsidR="00000000" w:rsidDel="00000000" w:rsidP="00000000" w:rsidRDefault="00000000" w:rsidRPr="00000000" w14:paraId="000000CF">
            <w:pPr>
              <w:jc w:val="center"/>
              <w:rPr>
                <w:rFonts w:ascii="Arial" w:cs="Arial" w:eastAsia="Arial" w:hAnsi="Arial"/>
                <w:color w:val="323e4f"/>
              </w:rPr>
            </w:pPr>
            <w:r w:rsidDel="00000000" w:rsidR="00000000" w:rsidRPr="00000000">
              <w:rPr>
                <w:rFonts w:ascii="Arial" w:cs="Arial" w:eastAsia="Arial" w:hAnsi="Arial"/>
                <w:color w:val="323e4f"/>
                <w:rtl w:val="0"/>
              </w:rPr>
              <w:t xml:space="preserve">ERS Publications</w:t>
            </w:r>
          </w:p>
        </w:tc>
        <w:tc>
          <w:tcPr/>
          <w:p w:rsidR="00000000" w:rsidDel="00000000" w:rsidP="00000000" w:rsidRDefault="00000000" w:rsidRPr="00000000" w14:paraId="000000D0">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D1">
            <w:pPr>
              <w:jc w:val="center"/>
              <w:rPr>
                <w:rFonts w:ascii="Arial" w:cs="Arial" w:eastAsia="Arial" w:hAnsi="Arial"/>
                <w:color w:val="323e4f"/>
              </w:rPr>
            </w:pPr>
            <w:r w:rsidDel="00000000" w:rsidR="00000000" w:rsidRPr="00000000">
              <w:rPr>
                <w:rFonts w:ascii="Arial" w:cs="Arial" w:eastAsia="Arial" w:hAnsi="Arial"/>
                <w:color w:val="323e4f"/>
                <w:rtl w:val="0"/>
              </w:rPr>
              <w:t xml:space="preserve">NBS, genotype &amp; phenotype and sweat test results used. Presentation of only meconium ileus, excluded</w:t>
            </w:r>
          </w:p>
        </w:tc>
        <w:tc>
          <w:tcPr/>
          <w:p w:rsidR="00000000" w:rsidDel="00000000" w:rsidP="00000000" w:rsidRDefault="00000000" w:rsidRPr="00000000" w14:paraId="000000D2">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D3">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D4">
            <w:pPr>
              <w:jc w:val="center"/>
              <w:rPr>
                <w:rFonts w:ascii="Arial" w:cs="Arial" w:eastAsia="Arial" w:hAnsi="Arial"/>
                <w:color w:val="323e4f"/>
              </w:rPr>
            </w:pPr>
            <w:r w:rsidDel="00000000" w:rsidR="00000000" w:rsidRPr="00000000">
              <w:rPr>
                <w:rFonts w:ascii="Arial" w:cs="Arial" w:eastAsia="Arial" w:hAnsi="Arial"/>
                <w:color w:val="323e4f"/>
                <w:rtl w:val="0"/>
              </w:rPr>
              <w:t xml:space="preserve">n</w:t>
            </w:r>
          </w:p>
        </w:tc>
        <w:tc>
          <w:tcPr/>
          <w:p w:rsidR="00000000" w:rsidDel="00000000" w:rsidP="00000000" w:rsidRDefault="00000000" w:rsidRPr="00000000" w14:paraId="000000D5">
            <w:pPr>
              <w:jc w:val="center"/>
              <w:rPr>
                <w:rFonts w:ascii="Arial" w:cs="Arial" w:eastAsia="Arial" w:hAnsi="Arial"/>
                <w:color w:val="323e4f"/>
              </w:rPr>
            </w:pPr>
            <w:r w:rsidDel="00000000" w:rsidR="00000000" w:rsidRPr="00000000">
              <w:rPr>
                <w:rFonts w:ascii="Arial" w:cs="Arial" w:eastAsia="Arial" w:hAnsi="Arial"/>
                <w:color w:val="323e4f"/>
                <w:rtl w:val="0"/>
              </w:rPr>
              <w:t xml:space="preserve">n</w:t>
            </w:r>
          </w:p>
        </w:tc>
      </w:tr>
      <w:tr>
        <w:trPr>
          <w:cantSplit w:val="0"/>
          <w:trHeight w:val="1327" w:hRule="atLeast"/>
          <w:tblHeader w:val="0"/>
        </w:trPr>
        <w:tc>
          <w:tcPr/>
          <w:p w:rsidR="00000000" w:rsidDel="00000000" w:rsidP="00000000" w:rsidRDefault="00000000" w:rsidRPr="00000000" w14:paraId="000000D6">
            <w:pPr>
              <w:jc w:val="center"/>
              <w:rPr>
                <w:rFonts w:ascii="Arial" w:cs="Arial" w:eastAsia="Arial" w:hAnsi="Arial"/>
                <w:color w:val="323e4f"/>
              </w:rPr>
            </w:pPr>
            <w:r w:rsidDel="00000000" w:rsidR="00000000" w:rsidRPr="00000000">
              <w:rPr>
                <w:rFonts w:ascii="Arial" w:cs="Arial" w:eastAsia="Arial" w:hAnsi="Arial"/>
                <w:color w:val="323e4f"/>
                <w:rtl w:val="0"/>
              </w:rPr>
              <w:t xml:space="preserve">Diagnosing Cystic Fibrosis in low and middle income countries: challenges and strategies</w:t>
            </w:r>
          </w:p>
        </w:tc>
        <w:tc>
          <w:tcPr/>
          <w:p w:rsidR="00000000" w:rsidDel="00000000" w:rsidP="00000000" w:rsidRDefault="00000000" w:rsidRPr="00000000" w14:paraId="000000D7">
            <w:pPr>
              <w:jc w:val="center"/>
              <w:rPr>
                <w:rFonts w:ascii="Arial" w:cs="Arial" w:eastAsia="Arial" w:hAnsi="Arial"/>
                <w:color w:val="323e4f"/>
              </w:rPr>
            </w:pPr>
            <w:r w:rsidDel="00000000" w:rsidR="00000000" w:rsidRPr="00000000">
              <w:rPr>
                <w:rFonts w:ascii="Arial" w:cs="Arial" w:eastAsia="Arial" w:hAnsi="Arial"/>
                <w:color w:val="323e4f"/>
                <w:rtl w:val="0"/>
              </w:rPr>
              <w:t xml:space="preserve">Fuhrer, M. et al</w:t>
            </w:r>
          </w:p>
        </w:tc>
        <w:tc>
          <w:tcPr/>
          <w:p w:rsidR="00000000" w:rsidDel="00000000" w:rsidP="00000000" w:rsidRDefault="00000000" w:rsidRPr="00000000" w14:paraId="000000D8">
            <w:pPr>
              <w:jc w:val="center"/>
              <w:rPr>
                <w:rFonts w:ascii="Arial" w:cs="Arial" w:eastAsia="Arial" w:hAnsi="Arial"/>
                <w:color w:val="323e4f"/>
              </w:rPr>
            </w:pPr>
            <w:r w:rsidDel="00000000" w:rsidR="00000000" w:rsidRPr="00000000">
              <w:rPr>
                <w:rFonts w:ascii="Arial" w:cs="Arial" w:eastAsia="Arial" w:hAnsi="Arial"/>
                <w:color w:val="323e4f"/>
                <w:rtl w:val="0"/>
              </w:rPr>
              <w:t xml:space="preserve">2024</w:t>
            </w:r>
          </w:p>
        </w:tc>
        <w:tc>
          <w:tcPr/>
          <w:p w:rsidR="00000000" w:rsidDel="00000000" w:rsidP="00000000" w:rsidRDefault="00000000" w:rsidRPr="00000000" w14:paraId="000000D9">
            <w:pPr>
              <w:jc w:val="center"/>
              <w:rPr>
                <w:rFonts w:ascii="Arial" w:cs="Arial" w:eastAsia="Arial" w:hAnsi="Arial"/>
                <w:color w:val="323e4f"/>
              </w:rPr>
            </w:pPr>
            <w:r w:rsidDel="00000000" w:rsidR="00000000" w:rsidRPr="00000000">
              <w:rPr>
                <w:rFonts w:ascii="Arial" w:cs="Arial" w:eastAsia="Arial" w:hAnsi="Arial"/>
                <w:color w:val="323e4f"/>
                <w:rtl w:val="0"/>
              </w:rPr>
              <w:t xml:space="preserve">Orphanet Journal of Rare Diseases</w:t>
            </w:r>
          </w:p>
        </w:tc>
        <w:tc>
          <w:tcPr/>
          <w:p w:rsidR="00000000" w:rsidDel="00000000" w:rsidP="00000000" w:rsidRDefault="00000000" w:rsidRPr="00000000" w14:paraId="000000DA">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DB">
            <w:pPr>
              <w:jc w:val="center"/>
              <w:rPr>
                <w:rFonts w:ascii="Arial" w:cs="Arial" w:eastAsia="Arial" w:hAnsi="Arial"/>
                <w:color w:val="323e4f"/>
              </w:rPr>
            </w:pPr>
            <w:r w:rsidDel="00000000" w:rsidR="00000000" w:rsidRPr="00000000">
              <w:rPr>
                <w:rFonts w:ascii="Arial" w:cs="Arial" w:eastAsia="Arial" w:hAnsi="Arial"/>
                <w:color w:val="323e4f"/>
                <w:rtl w:val="0"/>
              </w:rPr>
              <w:t xml:space="preserve">Study comparison</w:t>
            </w:r>
          </w:p>
        </w:tc>
        <w:tc>
          <w:tcPr/>
          <w:p w:rsidR="00000000" w:rsidDel="00000000" w:rsidP="00000000" w:rsidRDefault="00000000" w:rsidRPr="00000000" w14:paraId="000000DC">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DD">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DE">
            <w:pPr>
              <w:jc w:val="center"/>
              <w:rPr>
                <w:rFonts w:ascii="Arial" w:cs="Arial" w:eastAsia="Arial" w:hAnsi="Arial"/>
                <w:color w:val="323e4f"/>
              </w:rPr>
            </w:pPr>
            <w:r w:rsidDel="00000000" w:rsidR="00000000" w:rsidRPr="00000000">
              <w:rPr>
                <w:rFonts w:ascii="Arial" w:cs="Arial" w:eastAsia="Arial" w:hAnsi="Arial"/>
                <w:color w:val="323e4f"/>
                <w:rtl w:val="0"/>
              </w:rPr>
              <w:t xml:space="preserve">n</w:t>
            </w:r>
          </w:p>
        </w:tc>
        <w:tc>
          <w:tcPr/>
          <w:p w:rsidR="00000000" w:rsidDel="00000000" w:rsidP="00000000" w:rsidRDefault="00000000" w:rsidRPr="00000000" w14:paraId="000000DF">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r>
      <w:tr>
        <w:trPr>
          <w:cantSplit w:val="0"/>
          <w:trHeight w:val="1327" w:hRule="atLeast"/>
          <w:tblHeader w:val="0"/>
        </w:trPr>
        <w:tc>
          <w:tcPr/>
          <w:p w:rsidR="00000000" w:rsidDel="00000000" w:rsidP="00000000" w:rsidRDefault="00000000" w:rsidRPr="00000000" w14:paraId="000000E0">
            <w:pPr>
              <w:jc w:val="center"/>
              <w:rPr>
                <w:rFonts w:ascii="Arial" w:cs="Arial" w:eastAsia="Arial" w:hAnsi="Arial"/>
                <w:color w:val="323e4f"/>
              </w:rPr>
            </w:pPr>
            <w:r w:rsidDel="00000000" w:rsidR="00000000" w:rsidRPr="00000000">
              <w:rPr>
                <w:rFonts w:ascii="Arial" w:cs="Arial" w:eastAsia="Arial" w:hAnsi="Arial"/>
                <w:color w:val="323e4f"/>
                <w:rtl w:val="0"/>
              </w:rPr>
              <w:t xml:space="preserve">Tezacaftor / Ivorcaftor in subjects with Cystic Fibrosis and F508del/F508del and </w:t>
            </w:r>
            <w:r w:rsidDel="00000000" w:rsidR="00000000" w:rsidRPr="00000000">
              <w:rPr>
                <w:rFonts w:ascii="Arial" w:cs="Arial" w:eastAsia="Arial" w:hAnsi="Arial"/>
                <w:i w:val="1"/>
                <w:iCs w:val="1"/>
                <w:color w:val="2a2a2a"/>
                <w:highlight w:val="white"/>
                <w:rtl w:val="0"/>
              </w:rPr>
              <w:t xml:space="preserve">F508del</w:t>
            </w:r>
            <w:r w:rsidDel="00000000" w:rsidR="00000000" w:rsidRPr="00000000">
              <w:rPr>
                <w:rFonts w:ascii="Arial" w:cs="Arial" w:eastAsia="Arial" w:hAnsi="Arial"/>
                <w:color w:val="2a2a2a"/>
                <w:highlight w:val="white"/>
                <w:rtl w:val="0"/>
              </w:rPr>
              <w:t xml:space="preserve">/</w:t>
            </w:r>
            <w:r w:rsidDel="00000000" w:rsidR="00000000" w:rsidRPr="00000000">
              <w:rPr>
                <w:rFonts w:ascii="Arial" w:cs="Arial" w:eastAsia="Arial" w:hAnsi="Arial"/>
                <w:i w:val="1"/>
                <w:iCs w:val="1"/>
                <w:color w:val="2a2a2a"/>
                <w:highlight w:val="white"/>
                <w:rtl w:val="0"/>
              </w:rPr>
              <w:t xml:space="preserve">G551D-CFTR</w:t>
            </w:r>
            <w:r w:rsidDel="00000000" w:rsidR="00000000" w:rsidRPr="00000000">
              <w:rPr>
                <w:rFonts w:ascii="Arial" w:cs="Arial" w:eastAsia="Arial" w:hAnsi="Arial"/>
                <w:color w:val="323e4f"/>
                <w:rtl w:val="0"/>
              </w:rPr>
              <w:t xml:space="preserve"> </w:t>
            </w:r>
          </w:p>
        </w:tc>
        <w:tc>
          <w:tcPr/>
          <w:p w:rsidR="00000000" w:rsidDel="00000000" w:rsidP="00000000" w:rsidRDefault="00000000" w:rsidRPr="00000000" w14:paraId="000000E1">
            <w:pPr>
              <w:jc w:val="center"/>
              <w:rPr>
                <w:rFonts w:ascii="Arial" w:cs="Arial" w:eastAsia="Arial" w:hAnsi="Arial"/>
                <w:color w:val="323e4f"/>
              </w:rPr>
            </w:pPr>
            <w:r w:rsidDel="00000000" w:rsidR="00000000" w:rsidRPr="00000000">
              <w:rPr>
                <w:rFonts w:ascii="Arial" w:cs="Arial" w:eastAsia="Arial" w:hAnsi="Arial"/>
                <w:color w:val="323e4f"/>
                <w:rtl w:val="0"/>
              </w:rPr>
              <w:t xml:space="preserve">Donaldson, S, H. et al</w:t>
            </w:r>
          </w:p>
        </w:tc>
        <w:tc>
          <w:tcPr/>
          <w:p w:rsidR="00000000" w:rsidDel="00000000" w:rsidP="00000000" w:rsidRDefault="00000000" w:rsidRPr="00000000" w14:paraId="000000E2">
            <w:pPr>
              <w:jc w:val="center"/>
              <w:rPr>
                <w:rFonts w:ascii="Arial" w:cs="Arial" w:eastAsia="Arial" w:hAnsi="Arial"/>
                <w:color w:val="323e4f"/>
              </w:rPr>
            </w:pPr>
            <w:r w:rsidDel="00000000" w:rsidR="00000000" w:rsidRPr="00000000">
              <w:rPr>
                <w:rFonts w:ascii="Arial" w:cs="Arial" w:eastAsia="Arial" w:hAnsi="Arial"/>
                <w:color w:val="323e4f"/>
                <w:rtl w:val="0"/>
              </w:rPr>
              <w:t xml:space="preserve">2018</w:t>
            </w:r>
          </w:p>
        </w:tc>
        <w:tc>
          <w:tcPr/>
          <w:p w:rsidR="00000000" w:rsidDel="00000000" w:rsidP="00000000" w:rsidRDefault="00000000" w:rsidRPr="00000000" w14:paraId="000000E3">
            <w:pPr>
              <w:jc w:val="center"/>
              <w:rPr>
                <w:rFonts w:ascii="Arial" w:cs="Arial" w:eastAsia="Arial" w:hAnsi="Arial"/>
                <w:color w:val="323e4f"/>
              </w:rPr>
            </w:pPr>
            <w:r w:rsidDel="00000000" w:rsidR="00000000" w:rsidRPr="00000000">
              <w:rPr>
                <w:rFonts w:ascii="Arial" w:cs="Arial" w:eastAsia="Arial" w:hAnsi="Arial"/>
                <w:color w:val="323e4f"/>
                <w:rtl w:val="0"/>
              </w:rPr>
              <w:t xml:space="preserve">American Journal of Respiratory and Critical Care Medicine</w:t>
            </w:r>
          </w:p>
        </w:tc>
        <w:tc>
          <w:tcPr/>
          <w:p w:rsidR="00000000" w:rsidDel="00000000" w:rsidP="00000000" w:rsidRDefault="00000000" w:rsidRPr="00000000" w14:paraId="000000E4">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E5">
            <w:pPr>
              <w:jc w:val="center"/>
              <w:rPr>
                <w:rFonts w:ascii="Arial" w:cs="Arial" w:eastAsia="Arial" w:hAnsi="Arial"/>
                <w:color w:val="323e4f"/>
              </w:rPr>
            </w:pPr>
            <w:r w:rsidDel="00000000" w:rsidR="00000000" w:rsidRPr="00000000">
              <w:rPr>
                <w:rFonts w:ascii="Arial" w:cs="Arial" w:eastAsia="Arial" w:hAnsi="Arial"/>
                <w:color w:val="323e4f"/>
                <w:rtl w:val="0"/>
              </w:rPr>
              <w:t xml:space="preserve">Randomised, placebo controlled, double blind, multi centre, phase 2 trial</w:t>
            </w:r>
          </w:p>
        </w:tc>
        <w:tc>
          <w:tcPr/>
          <w:p w:rsidR="00000000" w:rsidDel="00000000" w:rsidP="00000000" w:rsidRDefault="00000000" w:rsidRPr="00000000" w14:paraId="000000E6">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E7">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E8">
            <w:pPr>
              <w:jc w:val="center"/>
              <w:rPr>
                <w:rFonts w:ascii="Arial" w:cs="Arial" w:eastAsia="Arial" w:hAnsi="Arial"/>
                <w:color w:val="323e4f"/>
              </w:rPr>
            </w:pPr>
            <w:r w:rsidDel="00000000" w:rsidR="00000000" w:rsidRPr="00000000">
              <w:rPr>
                <w:rFonts w:ascii="Arial" w:cs="Arial" w:eastAsia="Arial" w:hAnsi="Arial"/>
                <w:color w:val="323e4f"/>
                <w:rtl w:val="0"/>
              </w:rPr>
              <w:t xml:space="preserve">n</w:t>
            </w:r>
          </w:p>
        </w:tc>
        <w:tc>
          <w:tcPr/>
          <w:p w:rsidR="00000000" w:rsidDel="00000000" w:rsidP="00000000" w:rsidRDefault="00000000" w:rsidRPr="00000000" w14:paraId="000000E9">
            <w:pPr>
              <w:jc w:val="center"/>
              <w:rPr>
                <w:rFonts w:ascii="Arial" w:cs="Arial" w:eastAsia="Arial" w:hAnsi="Arial"/>
                <w:color w:val="323e4f"/>
              </w:rPr>
            </w:pPr>
            <w:r w:rsidDel="00000000" w:rsidR="00000000" w:rsidRPr="00000000">
              <w:rPr>
                <w:rFonts w:ascii="Arial" w:cs="Arial" w:eastAsia="Arial" w:hAnsi="Arial"/>
                <w:color w:val="323e4f"/>
                <w:rtl w:val="0"/>
              </w:rPr>
              <w:t xml:space="preserve">n</w:t>
            </w:r>
          </w:p>
        </w:tc>
      </w:tr>
      <w:tr>
        <w:trPr>
          <w:cantSplit w:val="0"/>
          <w:trHeight w:val="1327" w:hRule="atLeast"/>
          <w:tblHeader w:val="0"/>
        </w:trPr>
        <w:tc>
          <w:tcPr/>
          <w:p w:rsidR="00000000" w:rsidDel="00000000" w:rsidP="00000000" w:rsidRDefault="00000000" w:rsidRPr="00000000" w14:paraId="000000EA">
            <w:pPr>
              <w:jc w:val="center"/>
              <w:rPr>
                <w:rFonts w:ascii="Arial" w:cs="Arial" w:eastAsia="Arial" w:hAnsi="Arial"/>
                <w:color w:val="323e4f"/>
              </w:rPr>
            </w:pPr>
            <w:r w:rsidDel="00000000" w:rsidR="00000000" w:rsidRPr="00000000">
              <w:rPr>
                <w:rFonts w:ascii="Arial" w:cs="Arial" w:eastAsia="Arial" w:hAnsi="Arial"/>
                <w:color w:val="323e4f"/>
                <w:rtl w:val="0"/>
              </w:rPr>
              <w:t xml:space="preserve">Pancreatic Insufficiency in Cystic Fibrosis</w:t>
            </w:r>
          </w:p>
        </w:tc>
        <w:tc>
          <w:tcPr/>
          <w:p w:rsidR="00000000" w:rsidDel="00000000" w:rsidP="00000000" w:rsidRDefault="00000000" w:rsidRPr="00000000" w14:paraId="000000EB">
            <w:pPr>
              <w:jc w:val="center"/>
              <w:rPr>
                <w:rFonts w:ascii="Arial" w:cs="Arial" w:eastAsia="Arial" w:hAnsi="Arial"/>
                <w:color w:val="323e4f"/>
              </w:rPr>
            </w:pPr>
            <w:r w:rsidDel="00000000" w:rsidR="00000000" w:rsidRPr="00000000">
              <w:rPr>
                <w:rFonts w:ascii="Arial" w:cs="Arial" w:eastAsia="Arial" w:hAnsi="Arial"/>
                <w:color w:val="323e4f"/>
                <w:rtl w:val="0"/>
              </w:rPr>
              <w:t xml:space="preserve">Singh, V, K. et al</w:t>
            </w:r>
          </w:p>
        </w:tc>
        <w:tc>
          <w:tcPr/>
          <w:p w:rsidR="00000000" w:rsidDel="00000000" w:rsidP="00000000" w:rsidRDefault="00000000" w:rsidRPr="00000000" w14:paraId="000000EC">
            <w:pPr>
              <w:jc w:val="center"/>
              <w:rPr>
                <w:rFonts w:ascii="Arial" w:cs="Arial" w:eastAsia="Arial" w:hAnsi="Arial"/>
                <w:color w:val="323e4f"/>
              </w:rPr>
            </w:pPr>
            <w:r w:rsidDel="00000000" w:rsidR="00000000" w:rsidRPr="00000000">
              <w:rPr>
                <w:rFonts w:ascii="Arial" w:cs="Arial" w:eastAsia="Arial" w:hAnsi="Arial"/>
                <w:color w:val="323e4f"/>
                <w:rtl w:val="0"/>
              </w:rPr>
              <w:t xml:space="preserve">2017</w:t>
            </w:r>
          </w:p>
        </w:tc>
        <w:tc>
          <w:tcPr/>
          <w:p w:rsidR="00000000" w:rsidDel="00000000" w:rsidP="00000000" w:rsidRDefault="00000000" w:rsidRPr="00000000" w14:paraId="000000ED">
            <w:pPr>
              <w:jc w:val="center"/>
              <w:rPr>
                <w:rFonts w:ascii="Arial" w:cs="Arial" w:eastAsia="Arial" w:hAnsi="Arial"/>
                <w:color w:val="323e4f"/>
              </w:rPr>
            </w:pPr>
            <w:r w:rsidDel="00000000" w:rsidR="00000000" w:rsidRPr="00000000">
              <w:rPr>
                <w:rFonts w:ascii="Arial" w:cs="Arial" w:eastAsia="Arial" w:hAnsi="Arial"/>
                <w:color w:val="323e4f"/>
                <w:rtl w:val="0"/>
              </w:rPr>
              <w:t xml:space="preserve">Journal of Cystic Fibrosis</w:t>
            </w:r>
          </w:p>
        </w:tc>
        <w:tc>
          <w:tcPr/>
          <w:p w:rsidR="00000000" w:rsidDel="00000000" w:rsidP="00000000" w:rsidRDefault="00000000" w:rsidRPr="00000000" w14:paraId="000000EE">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EF">
            <w:pPr>
              <w:jc w:val="center"/>
              <w:rPr>
                <w:rFonts w:ascii="Arial" w:cs="Arial" w:eastAsia="Arial" w:hAnsi="Arial"/>
                <w:color w:val="323e4f"/>
              </w:rPr>
            </w:pPr>
            <w:r w:rsidDel="00000000" w:rsidR="00000000" w:rsidRPr="00000000">
              <w:rPr>
                <w:rFonts w:ascii="Arial" w:cs="Arial" w:eastAsia="Arial" w:hAnsi="Arial"/>
                <w:color w:val="323e4f"/>
                <w:rtl w:val="0"/>
              </w:rPr>
              <w:t xml:space="preserve">Indirect tests, direct tests and imaging </w:t>
            </w:r>
          </w:p>
        </w:tc>
        <w:tc>
          <w:tcPr/>
          <w:p w:rsidR="00000000" w:rsidDel="00000000" w:rsidP="00000000" w:rsidRDefault="00000000" w:rsidRPr="00000000" w14:paraId="000000F0">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F1">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c>
          <w:tcPr/>
          <w:p w:rsidR="00000000" w:rsidDel="00000000" w:rsidP="00000000" w:rsidRDefault="00000000" w:rsidRPr="00000000" w14:paraId="000000F2">
            <w:pPr>
              <w:jc w:val="center"/>
              <w:rPr>
                <w:rFonts w:ascii="Arial" w:cs="Arial" w:eastAsia="Arial" w:hAnsi="Arial"/>
                <w:color w:val="323e4f"/>
              </w:rPr>
            </w:pPr>
            <w:r w:rsidDel="00000000" w:rsidR="00000000" w:rsidRPr="00000000">
              <w:rPr>
                <w:rFonts w:ascii="Arial" w:cs="Arial" w:eastAsia="Arial" w:hAnsi="Arial"/>
                <w:color w:val="323e4f"/>
                <w:rtl w:val="0"/>
              </w:rPr>
              <w:t xml:space="preserve">n</w:t>
            </w:r>
          </w:p>
        </w:tc>
        <w:tc>
          <w:tcPr/>
          <w:p w:rsidR="00000000" w:rsidDel="00000000" w:rsidP="00000000" w:rsidRDefault="00000000" w:rsidRPr="00000000" w14:paraId="000000F3">
            <w:pPr>
              <w:jc w:val="center"/>
              <w:rPr>
                <w:rFonts w:ascii="Arial" w:cs="Arial" w:eastAsia="Arial" w:hAnsi="Arial"/>
                <w:color w:val="323e4f"/>
              </w:rPr>
            </w:pPr>
            <w:r w:rsidDel="00000000" w:rsidR="00000000" w:rsidRPr="00000000">
              <w:rPr>
                <w:rFonts w:ascii="Arial" w:cs="Arial" w:eastAsia="Arial" w:hAnsi="Arial"/>
                <w:color w:val="323e4f"/>
                <w:rtl w:val="0"/>
              </w:rPr>
              <w:t xml:space="preserve">y</w:t>
            </w:r>
          </w:p>
        </w:tc>
      </w:tr>
    </w:tbl>
    <w:p w:rsidR="00000000" w:rsidDel="00000000" w:rsidP="00000000" w:rsidRDefault="00000000" w:rsidRPr="00000000" w14:paraId="000000F4">
      <w:pPr>
        <w:spacing w:after="0" w:line="240" w:lineRule="auto"/>
        <w:jc w:val="center"/>
        <w:rPr>
          <w:rFonts w:ascii="Arial" w:cs="Arial" w:eastAsia="Arial" w:hAnsi="Arial"/>
        </w:rPr>
      </w:pPr>
      <w:r w:rsidDel="00000000" w:rsidR="00000000" w:rsidRPr="00000000">
        <w:rPr>
          <w:rtl w:val="0"/>
        </w:rPr>
      </w:r>
    </w:p>
    <w:sectPr>
      <w:footerReference r:id="rId12" w:type="default"/>
      <w:pgSz w:h="16845" w:w="1191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Aptos"/>
  <w:font w:name="Canva Sans Bold"/>
  <w:font w:name="Canva San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5">
    <w:pPr>
      <w:rPr/>
    </w:pPr>
    <w:r w:rsidDel="00000000" w:rsidR="00000000" w:rsidRPr="00000000">
      <w:rPr>
        <w:rtl w:val="0"/>
      </w:rPr>
      <w:tab/>
      <w:tab/>
      <w:tab/>
      <w:tab/>
      <w:tab/>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1120" w:hanging="360"/>
      </w:pPr>
      <w:rPr/>
    </w:lvl>
    <w:lvl w:ilvl="1">
      <w:start w:val="1"/>
      <w:numFmt w:val="lowerLetter"/>
      <w:lvlText w:val="%2."/>
      <w:lvlJc w:val="left"/>
      <w:pPr>
        <w:ind w:left="1520" w:hanging="360"/>
      </w:pPr>
      <w:rPr/>
    </w:lvl>
    <w:lvl w:ilvl="2">
      <w:start w:val="1"/>
      <w:numFmt w:val="lowerRoman"/>
      <w:lvlText w:val="%3."/>
      <w:lvlJc w:val="right"/>
      <w:pPr>
        <w:ind w:left="1920" w:hanging="180"/>
      </w:pPr>
      <w:rPr/>
    </w:lvl>
    <w:lvl w:ilvl="3">
      <w:start w:val="1"/>
      <w:numFmt w:val="decimal"/>
      <w:lvlText w:val="%4."/>
      <w:lvlJc w:val="left"/>
      <w:pPr>
        <w:ind w:left="2320" w:hanging="360"/>
      </w:pPr>
      <w:rPr/>
    </w:lvl>
    <w:lvl w:ilvl="4">
      <w:start w:val="1"/>
      <w:numFmt w:val="lowerLetter"/>
      <w:lvlText w:val="%5."/>
      <w:lvlJc w:val="left"/>
      <w:pPr>
        <w:ind w:left="2720" w:hanging="360"/>
      </w:pPr>
      <w:rPr/>
    </w:lvl>
    <w:lvl w:ilvl="5">
      <w:start w:val="1"/>
      <w:numFmt w:val="lowerRoman"/>
      <w:lvlText w:val="%6."/>
      <w:lvlJc w:val="right"/>
      <w:pPr>
        <w:ind w:left="3120" w:hanging="180"/>
      </w:pPr>
      <w:rPr/>
    </w:lvl>
    <w:lvl w:ilvl="6">
      <w:start w:val="1"/>
      <w:numFmt w:val="decimal"/>
      <w:lvlText w:val="%7."/>
      <w:lvlJc w:val="left"/>
      <w:pPr>
        <w:ind w:left="3520" w:hanging="360"/>
      </w:pPr>
      <w:rPr/>
    </w:lvl>
    <w:lvl w:ilvl="7">
      <w:start w:val="1"/>
      <w:numFmt w:val="lowerLetter"/>
      <w:lvlText w:val="%8."/>
      <w:lvlJc w:val="left"/>
      <w:pPr>
        <w:ind w:left="3920" w:hanging="360"/>
      </w:pPr>
      <w:rPr/>
    </w:lvl>
    <w:lvl w:ilvl="8">
      <w:start w:val="0"/>
      <w:numFmt w:val="decimal"/>
      <w:lvlText w:val=""/>
      <w:lvlJc w:val="left"/>
      <w:pPr>
        <w:ind w:left="72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80" w:lineRule="auto"/>
    </w:pPr>
    <w:rPr>
      <w:b w:val="1"/>
      <w:bCs w:val="1"/>
      <w:sz w:val="48"/>
      <w:szCs w:val="48"/>
    </w:rPr>
  </w:style>
  <w:style w:type="paragraph" w:styleId="Heading2">
    <w:name w:val="heading 2"/>
    <w:basedOn w:val="Normal"/>
    <w:next w:val="Normal"/>
    <w:pPr>
      <w:keepNext w:val="1"/>
      <w:keepLines w:val="1"/>
      <w:spacing w:after="80" w:before="360" w:lineRule="auto"/>
    </w:pPr>
    <w:rPr>
      <w:b w:val="1"/>
      <w:bCs w:val="1"/>
      <w:sz w:val="36"/>
      <w:szCs w:val="3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3310/nihropenres.13347.1" TargetMode="External"/><Relationship Id="rId10" Type="http://schemas.openxmlformats.org/officeDocument/2006/relationships/hyperlink" Target="https://www.rbht.nhs.uk/blog/history-and-future-cystic-fibrosis" TargetMode="External"/><Relationship Id="rId12" Type="http://schemas.openxmlformats.org/officeDocument/2006/relationships/footer" Target="footer1.xml"/><Relationship Id="rId9" Type="http://schemas.openxmlformats.org/officeDocument/2006/relationships/hyperlink" Target="https://www.sciencedirect.com/topics/pharmacology-toxicology-and-pharmaceutical-science/health-statu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Lh9S745ofmwjQqtPJ6vCJXCl/g==">CgMxLjAaHwoBMBIaChgICVIUChJ0YWJsZS44bzNrbW5yY2ltMnc4AHIhMU94N2tuSDlsYnk3QTBkNkFLWTRQMUJDR0tVdFF2WHd3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