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003867" w14:textId="79B179BE" w:rsidR="002A7686" w:rsidRPr="00D67BF8" w:rsidRDefault="002A7686" w:rsidP="008D495B">
      <w:pPr>
        <w:pStyle w:val="NormalWeb"/>
        <w:spacing w:before="0" w:beforeAutospacing="0" w:after="0" w:afterAutospacing="0"/>
        <w:ind w:left="-180" w:right="-334"/>
        <w:rPr>
          <w:rFonts w:ascii="Trebuchet MS" w:hAnsi="Trebuchet MS" w:cs="Tahoma"/>
          <w:bCs/>
          <w:sz w:val="24"/>
          <w:szCs w:val="24"/>
        </w:rPr>
      </w:pPr>
    </w:p>
    <w:p w14:paraId="6F77FD68" w14:textId="77777777" w:rsidR="002A7686" w:rsidRDefault="002A7686" w:rsidP="00504025">
      <w:pPr>
        <w:rPr>
          <w:u w:val="single"/>
          <w:lang w:val="en-GB"/>
        </w:rPr>
      </w:pPr>
    </w:p>
    <w:p w14:paraId="77F3AF8E" w14:textId="6E9D70ED" w:rsidR="008D495B" w:rsidRDefault="008D495B" w:rsidP="008D495B">
      <w:pPr>
        <w:pStyle w:val="NormalWeb"/>
        <w:spacing w:before="0" w:beforeAutospacing="0" w:after="0" w:afterAutospacing="0"/>
        <w:ind w:left="-180" w:right="-334"/>
      </w:pPr>
      <w:r>
        <w:rPr>
          <w:noProof/>
          <w:lang w:val="en-US" w:eastAsia="en-US"/>
        </w:rPr>
        <w:drawing>
          <wp:inline distT="0" distB="0" distL="0" distR="0" wp14:anchorId="0261AB42" wp14:editId="3D1BCD3D">
            <wp:extent cx="1905000" cy="635000"/>
            <wp:effectExtent l="25400" t="25400" r="25400" b="2540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AA2DDB6" w14:textId="77777777" w:rsidR="008D495B" w:rsidRDefault="008D495B" w:rsidP="008D495B">
      <w:pPr>
        <w:pStyle w:val="NormalWeb"/>
        <w:spacing w:before="0" w:beforeAutospacing="0" w:after="0" w:afterAutospacing="0"/>
        <w:ind w:left="-180" w:right="-334"/>
      </w:pPr>
    </w:p>
    <w:p w14:paraId="35207B17" w14:textId="77777777" w:rsidR="008D495B" w:rsidRDefault="008D495B" w:rsidP="008D495B">
      <w:pPr>
        <w:pStyle w:val="NormalWeb"/>
        <w:spacing w:before="0" w:beforeAutospacing="0" w:after="0" w:afterAutospacing="0"/>
        <w:ind w:left="-180" w:right="-334"/>
      </w:pPr>
    </w:p>
    <w:p w14:paraId="3A1EF161" w14:textId="77777777" w:rsidR="008D495B" w:rsidRDefault="008D495B" w:rsidP="008D495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01EEFC7" w14:textId="77777777" w:rsidR="008D495B" w:rsidRPr="00230F35" w:rsidRDefault="008D495B" w:rsidP="008D495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DE18174" w14:textId="77777777" w:rsidR="008D495B" w:rsidRPr="00230F35" w:rsidRDefault="008D495B" w:rsidP="008D495B">
      <w:pPr>
        <w:rPr>
          <w:rFonts w:ascii="Arial" w:hAnsi="Arial" w:cs="Arial"/>
          <w:sz w:val="28"/>
          <w:szCs w:val="28"/>
          <w:lang w:val="cy-GB"/>
        </w:rPr>
      </w:pPr>
    </w:p>
    <w:p w14:paraId="5F302903" w14:textId="77777777" w:rsidR="008D495B" w:rsidRDefault="008D495B" w:rsidP="008D495B">
      <w:pPr>
        <w:pStyle w:val="Heading3"/>
        <w:jc w:val="center"/>
        <w:rPr>
          <w:lang w:val="cy-GB"/>
        </w:rPr>
      </w:pPr>
      <w:r>
        <w:rPr>
          <w:lang w:val="cy-GB"/>
        </w:rPr>
        <w:t>THIS SHEET MUST BE THE FIRST PAGE OF THE ASSIGNMENT YOU ARE SUBMITTING  (DO NOT SEND AS A SEPARATE FILE)</w:t>
      </w:r>
    </w:p>
    <w:p w14:paraId="55A24B2E" w14:textId="77777777" w:rsidR="008D495B" w:rsidRDefault="008D495B" w:rsidP="008D495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0"/>
        <w:gridCol w:w="417"/>
        <w:gridCol w:w="1488"/>
        <w:gridCol w:w="278"/>
        <w:gridCol w:w="1783"/>
      </w:tblGrid>
      <w:tr w:rsidR="008D495B" w:rsidRPr="00230F35" w14:paraId="624DDBE5" w14:textId="77777777" w:rsidTr="002E6532">
        <w:trPr>
          <w:trHeight w:val="614"/>
        </w:trPr>
        <w:tc>
          <w:tcPr>
            <w:tcW w:w="8856" w:type="dxa"/>
            <w:gridSpan w:val="5"/>
          </w:tcPr>
          <w:p w14:paraId="4E2AFD8D"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D495B" w:rsidRPr="00230F35" w14:paraId="70323C8A" w14:textId="77777777" w:rsidTr="002E6532">
        <w:trPr>
          <w:trHeight w:val="718"/>
        </w:trPr>
        <w:tc>
          <w:tcPr>
            <w:tcW w:w="8856" w:type="dxa"/>
            <w:gridSpan w:val="5"/>
          </w:tcPr>
          <w:p w14:paraId="5FF9B994" w14:textId="77777777" w:rsidR="008D495B"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Hedy Mowinckel</w:t>
            </w:r>
          </w:p>
          <w:p w14:paraId="0A51575C" w14:textId="77777777" w:rsidR="008D495B" w:rsidRPr="00230F35" w:rsidRDefault="008D495B" w:rsidP="002E6532">
            <w:pPr>
              <w:pStyle w:val="NormalWeb"/>
              <w:spacing w:before="0" w:beforeAutospacing="0" w:after="0" w:afterAutospacing="0"/>
              <w:ind w:right="34"/>
              <w:rPr>
                <w:rFonts w:ascii="Arial" w:hAnsi="Arial" w:cs="Arial"/>
                <w:sz w:val="22"/>
                <w:szCs w:val="22"/>
              </w:rPr>
            </w:pPr>
          </w:p>
          <w:p w14:paraId="6D9109CF"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2015812@student.uwtsd.ac.uk</w:t>
            </w:r>
          </w:p>
        </w:tc>
      </w:tr>
      <w:tr w:rsidR="008D495B" w:rsidRPr="00230F35" w14:paraId="406B039A" w14:textId="77777777" w:rsidTr="002E6532">
        <w:trPr>
          <w:trHeight w:val="849"/>
        </w:trPr>
        <w:tc>
          <w:tcPr>
            <w:tcW w:w="4788" w:type="dxa"/>
          </w:tcPr>
          <w:p w14:paraId="52495B2A"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633B3CC9" w14:textId="77777777" w:rsidR="008D495B" w:rsidRPr="00230F35" w:rsidRDefault="008D495B" w:rsidP="002E6532">
            <w:pPr>
              <w:pStyle w:val="NormalWeb"/>
              <w:spacing w:before="0" w:beforeAutospacing="0" w:after="0" w:afterAutospacing="0"/>
              <w:ind w:right="34"/>
              <w:rPr>
                <w:rFonts w:ascii="Arial" w:hAnsi="Arial" w:cs="Arial"/>
                <w:sz w:val="22"/>
                <w:szCs w:val="22"/>
              </w:rPr>
            </w:pPr>
          </w:p>
          <w:p w14:paraId="7297E5C0" w14:textId="77777777" w:rsidR="008D495B"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4855E4D2" w14:textId="77777777" w:rsidR="008D495B" w:rsidRDefault="008D495B" w:rsidP="002E6532">
            <w:pPr>
              <w:pStyle w:val="NormalWeb"/>
              <w:spacing w:before="0" w:beforeAutospacing="0" w:after="0" w:afterAutospacing="0"/>
              <w:ind w:right="34"/>
              <w:rPr>
                <w:rFonts w:ascii="Arial" w:hAnsi="Arial" w:cs="Arial"/>
                <w:sz w:val="22"/>
                <w:szCs w:val="22"/>
              </w:rPr>
            </w:pPr>
          </w:p>
          <w:p w14:paraId="22381FB0" w14:textId="77777777" w:rsidR="008D495B" w:rsidRPr="00230F35" w:rsidRDefault="008D495B" w:rsidP="002E6532">
            <w:pPr>
              <w:pStyle w:val="NormalWeb"/>
              <w:spacing w:before="0" w:beforeAutospacing="0" w:after="0" w:afterAutospacing="0"/>
              <w:ind w:right="34"/>
              <w:rPr>
                <w:rFonts w:ascii="Arial" w:hAnsi="Arial" w:cs="Arial"/>
                <w:sz w:val="22"/>
                <w:szCs w:val="22"/>
              </w:rPr>
            </w:pPr>
          </w:p>
        </w:tc>
        <w:tc>
          <w:tcPr>
            <w:tcW w:w="2266" w:type="dxa"/>
            <w:gridSpan w:val="3"/>
          </w:tcPr>
          <w:p w14:paraId="5E245CC8" w14:textId="77777777" w:rsidR="008D495B"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4084730" w14:textId="77777777" w:rsidR="008D495B" w:rsidRPr="00230F35" w:rsidRDefault="008D495B" w:rsidP="002E6532">
            <w:pPr>
              <w:pStyle w:val="NormalWeb"/>
              <w:spacing w:before="0" w:beforeAutospacing="0" w:after="0" w:afterAutospacing="0"/>
              <w:ind w:right="34"/>
              <w:rPr>
                <w:rFonts w:ascii="Arial" w:hAnsi="Arial" w:cs="Arial"/>
                <w:sz w:val="22"/>
                <w:szCs w:val="22"/>
              </w:rPr>
            </w:pPr>
            <w:r>
              <w:rPr>
                <w:rFonts w:ascii="Arial" w:hAnsi="Arial" w:cs="Arial"/>
                <w:sz w:val="22"/>
                <w:szCs w:val="22"/>
              </w:rPr>
              <w:t>2015812</w:t>
            </w:r>
          </w:p>
        </w:tc>
        <w:tc>
          <w:tcPr>
            <w:tcW w:w="1802" w:type="dxa"/>
          </w:tcPr>
          <w:p w14:paraId="3C9FD0CF"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A1A5CE8"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D495B" w:rsidRPr="00230F35" w14:paraId="41345AD8" w14:textId="77777777" w:rsidTr="002E6532">
        <w:trPr>
          <w:trHeight w:val="1139"/>
        </w:trPr>
        <w:tc>
          <w:tcPr>
            <w:tcW w:w="8856" w:type="dxa"/>
            <w:gridSpan w:val="5"/>
          </w:tcPr>
          <w:p w14:paraId="6476042F"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1E8B65BA" w14:textId="77777777" w:rsidR="008D495B" w:rsidRPr="00230F35" w:rsidRDefault="008D495B" w:rsidP="002E6532">
            <w:pPr>
              <w:pStyle w:val="NormalWeb"/>
              <w:spacing w:before="0" w:beforeAutospacing="0" w:after="0" w:afterAutospacing="0"/>
              <w:ind w:right="34"/>
              <w:rPr>
                <w:rFonts w:ascii="Arial" w:hAnsi="Arial" w:cs="Arial"/>
                <w:sz w:val="22"/>
                <w:szCs w:val="22"/>
              </w:rPr>
            </w:pPr>
          </w:p>
          <w:p w14:paraId="64CA6490" w14:textId="77777777" w:rsidR="008D495B" w:rsidRDefault="008D495B" w:rsidP="002E6532">
            <w:pPr>
              <w:pStyle w:val="NormalWeb"/>
              <w:spacing w:before="0" w:beforeAutospacing="0" w:after="0" w:afterAutospacing="0"/>
              <w:ind w:right="34"/>
              <w:rPr>
                <w:rFonts w:ascii="Arial" w:hAnsi="Arial" w:cs="Arial"/>
                <w:sz w:val="22"/>
                <w:szCs w:val="22"/>
              </w:rPr>
            </w:pPr>
          </w:p>
          <w:p w14:paraId="4380D9E7"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w:t>
            </w:r>
            <w:r w:rsidRPr="007A1943">
              <w:rPr>
                <w:rFonts w:ascii="Arial" w:hAnsi="Arial" w:cs="Arial"/>
                <w:sz w:val="22"/>
                <w:szCs w:val="22"/>
                <w:vertAlign w:val="superscript"/>
              </w:rPr>
              <w:t>th</w:t>
            </w:r>
            <w:r>
              <w:rPr>
                <w:rFonts w:ascii="Arial" w:hAnsi="Arial" w:cs="Arial"/>
                <w:sz w:val="22"/>
                <w:szCs w:val="22"/>
              </w:rPr>
              <w:t xml:space="preserve"> November 2023</w:t>
            </w:r>
          </w:p>
        </w:tc>
      </w:tr>
      <w:tr w:rsidR="008D495B" w:rsidRPr="00230F35" w14:paraId="2F03CEA4" w14:textId="77777777" w:rsidTr="002E6532">
        <w:trPr>
          <w:trHeight w:val="978"/>
        </w:trPr>
        <w:tc>
          <w:tcPr>
            <w:tcW w:w="8856" w:type="dxa"/>
            <w:gridSpan w:val="5"/>
            <w:tcBorders>
              <w:bottom w:val="single" w:sz="4" w:space="0" w:color="000000"/>
            </w:tcBorders>
          </w:tcPr>
          <w:p w14:paraId="108DE7D7" w14:textId="77777777" w:rsidR="008D495B" w:rsidRPr="00230F35" w:rsidRDefault="008D495B" w:rsidP="002E6532">
            <w:pPr>
              <w:rPr>
                <w:rFonts w:ascii="Arial" w:hAnsi="Arial" w:cs="Arial"/>
                <w:sz w:val="22"/>
                <w:szCs w:val="22"/>
              </w:rPr>
            </w:pPr>
            <w:r w:rsidRPr="00230F35">
              <w:rPr>
                <w:rFonts w:ascii="Arial" w:hAnsi="Arial" w:cs="Arial"/>
                <w:sz w:val="22"/>
                <w:szCs w:val="22"/>
              </w:rPr>
              <w:t>This assignment is for the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0"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module of the degre</w:t>
            </w:r>
            <w:r>
              <w:rPr>
                <w:rFonts w:ascii="Arial" w:hAnsi="Arial" w:cs="Arial"/>
                <w:sz w:val="22"/>
                <w:szCs w:val="22"/>
              </w:rPr>
              <w:t>e</w:t>
            </w:r>
          </w:p>
        </w:tc>
      </w:tr>
      <w:tr w:rsidR="008D495B" w:rsidRPr="00230F35" w14:paraId="6973149A" w14:textId="77777777" w:rsidTr="002E6532">
        <w:trPr>
          <w:trHeight w:val="978"/>
        </w:trPr>
        <w:tc>
          <w:tcPr>
            <w:tcW w:w="8856" w:type="dxa"/>
            <w:gridSpan w:val="5"/>
            <w:shd w:val="clear" w:color="auto" w:fill="D9D9D9"/>
          </w:tcPr>
          <w:p w14:paraId="401B3182" w14:textId="77777777" w:rsidR="008D495B" w:rsidRPr="00230F35"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E473073" w14:textId="77777777" w:rsidR="008D495B" w:rsidRDefault="008D495B" w:rsidP="002E65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Hedy Mowinckel</w:t>
            </w:r>
            <w:r w:rsidRPr="00230F35">
              <w:rPr>
                <w:rFonts w:ascii="Arial" w:hAnsi="Arial" w:cs="Arial"/>
                <w:sz w:val="22"/>
                <w:szCs w:val="22"/>
              </w:rPr>
              <w:t>……………………</w:t>
            </w:r>
          </w:p>
          <w:p w14:paraId="3C1A9F05" w14:textId="77777777" w:rsidR="008D495B" w:rsidRDefault="008D495B" w:rsidP="002E653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64534460" w14:textId="77777777" w:rsidR="008D495B" w:rsidRPr="00230F35" w:rsidRDefault="008D495B" w:rsidP="002E653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D495B" w:rsidRPr="00230F35" w14:paraId="04EBC432" w14:textId="77777777" w:rsidTr="002E6532">
        <w:trPr>
          <w:trHeight w:val="3972"/>
        </w:trPr>
        <w:tc>
          <w:tcPr>
            <w:tcW w:w="8856" w:type="dxa"/>
            <w:gridSpan w:val="5"/>
          </w:tcPr>
          <w:p w14:paraId="7EEA5034" w14:textId="77777777" w:rsidR="008D495B" w:rsidRDefault="008D495B" w:rsidP="002E6532">
            <w:pPr>
              <w:rPr>
                <w:rFonts w:ascii="Arial" w:hAnsi="Arial"/>
                <w:b/>
              </w:rPr>
            </w:pPr>
          </w:p>
          <w:p w14:paraId="7E13C92E" w14:textId="77777777" w:rsidR="008D495B" w:rsidRPr="00116CE6" w:rsidRDefault="008D495B" w:rsidP="002E653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8D495B" w:rsidRPr="00116CE6" w14:paraId="78CE2E24" w14:textId="77777777" w:rsidTr="002E6532">
              <w:tc>
                <w:tcPr>
                  <w:tcW w:w="6970" w:type="dxa"/>
                </w:tcPr>
                <w:p w14:paraId="5819F84C" w14:textId="77777777" w:rsidR="008D495B" w:rsidRPr="00116CE6" w:rsidRDefault="008D495B" w:rsidP="002E6532">
                  <w:pPr>
                    <w:rPr>
                      <w:rFonts w:ascii="Arial" w:hAnsi="Arial"/>
                      <w:sz w:val="20"/>
                      <w:szCs w:val="20"/>
                    </w:rPr>
                  </w:pPr>
                </w:p>
                <w:p w14:paraId="77576EEC" w14:textId="77777777" w:rsidR="008D495B" w:rsidRPr="00116CE6" w:rsidRDefault="008D495B" w:rsidP="002E653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047427A" w14:textId="77777777" w:rsidR="008D495B" w:rsidRPr="00116CE6" w:rsidRDefault="008D495B" w:rsidP="002E6532">
                  <w:pPr>
                    <w:rPr>
                      <w:rFonts w:ascii="Arial" w:hAnsi="Arial"/>
                      <w:sz w:val="20"/>
                      <w:szCs w:val="20"/>
                    </w:rPr>
                  </w:pPr>
                </w:p>
              </w:tc>
            </w:tr>
            <w:tr w:rsidR="008D495B" w:rsidRPr="00116CE6" w14:paraId="47EA6DD3" w14:textId="77777777" w:rsidTr="002E6532">
              <w:tc>
                <w:tcPr>
                  <w:tcW w:w="6970" w:type="dxa"/>
                </w:tcPr>
                <w:p w14:paraId="18CD039B" w14:textId="77777777" w:rsidR="008D495B" w:rsidRPr="00116CE6" w:rsidRDefault="008D495B" w:rsidP="002E6532">
                  <w:pPr>
                    <w:rPr>
                      <w:rFonts w:ascii="Arial" w:hAnsi="Arial"/>
                      <w:sz w:val="20"/>
                      <w:szCs w:val="20"/>
                    </w:rPr>
                  </w:pPr>
                </w:p>
                <w:p w14:paraId="0C1013C6" w14:textId="77777777" w:rsidR="008D495B" w:rsidRPr="00116CE6" w:rsidRDefault="008D495B" w:rsidP="002E653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FD34AD3" w14:textId="77777777" w:rsidR="008D495B" w:rsidRPr="00116CE6" w:rsidRDefault="008D495B" w:rsidP="002E6532">
                  <w:pPr>
                    <w:rPr>
                      <w:rFonts w:ascii="Arial" w:hAnsi="Arial"/>
                      <w:sz w:val="20"/>
                      <w:szCs w:val="20"/>
                    </w:rPr>
                  </w:pPr>
                </w:p>
              </w:tc>
            </w:tr>
            <w:tr w:rsidR="008D495B" w:rsidRPr="00116CE6" w14:paraId="2DE9EEEB" w14:textId="77777777" w:rsidTr="002E6532">
              <w:tc>
                <w:tcPr>
                  <w:tcW w:w="6970" w:type="dxa"/>
                </w:tcPr>
                <w:p w14:paraId="07840415" w14:textId="77777777" w:rsidR="008D495B" w:rsidRPr="00116CE6" w:rsidRDefault="008D495B" w:rsidP="002E6532">
                  <w:pPr>
                    <w:rPr>
                      <w:rFonts w:ascii="Arial" w:hAnsi="Arial"/>
                      <w:sz w:val="20"/>
                      <w:szCs w:val="20"/>
                    </w:rPr>
                  </w:pPr>
                </w:p>
                <w:p w14:paraId="6E9D5798" w14:textId="77777777" w:rsidR="008D495B" w:rsidRPr="00116CE6" w:rsidRDefault="008D495B" w:rsidP="002E653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5364460" w14:textId="77777777" w:rsidR="008D495B" w:rsidRPr="00116CE6" w:rsidRDefault="008D495B" w:rsidP="002E6532">
                  <w:pPr>
                    <w:rPr>
                      <w:rFonts w:ascii="Arial" w:hAnsi="Arial"/>
                      <w:sz w:val="20"/>
                      <w:szCs w:val="20"/>
                    </w:rPr>
                  </w:pPr>
                </w:p>
              </w:tc>
            </w:tr>
            <w:tr w:rsidR="008D495B" w:rsidRPr="00116CE6" w14:paraId="78F744D5" w14:textId="77777777" w:rsidTr="002E6532">
              <w:tc>
                <w:tcPr>
                  <w:tcW w:w="6970" w:type="dxa"/>
                </w:tcPr>
                <w:p w14:paraId="027F7143" w14:textId="77777777" w:rsidR="008D495B" w:rsidRDefault="008D495B" w:rsidP="002E6532">
                  <w:pPr>
                    <w:rPr>
                      <w:rFonts w:ascii="Arial" w:hAnsi="Arial"/>
                      <w:sz w:val="20"/>
                      <w:szCs w:val="20"/>
                    </w:rPr>
                  </w:pPr>
                </w:p>
                <w:p w14:paraId="6E28BA2E" w14:textId="77777777" w:rsidR="008D495B" w:rsidRPr="00022345" w:rsidRDefault="008D495B" w:rsidP="002E6532">
                  <w:pPr>
                    <w:rPr>
                      <w:rFonts w:ascii="Arial" w:hAnsi="Arial"/>
                      <w:b/>
                      <w:sz w:val="20"/>
                      <w:szCs w:val="20"/>
                    </w:rPr>
                  </w:pPr>
                  <w:r w:rsidRPr="00022345">
                    <w:rPr>
                      <w:rFonts w:ascii="Arial" w:hAnsi="Arial"/>
                      <w:b/>
                      <w:sz w:val="20"/>
                      <w:szCs w:val="20"/>
                    </w:rPr>
                    <w:t>Final Mark</w:t>
                  </w:r>
                </w:p>
                <w:p w14:paraId="2B7B6250" w14:textId="77777777" w:rsidR="008D495B" w:rsidRPr="00116CE6" w:rsidRDefault="008D495B" w:rsidP="002E6532">
                  <w:pPr>
                    <w:rPr>
                      <w:rFonts w:ascii="Arial" w:hAnsi="Arial"/>
                      <w:sz w:val="20"/>
                      <w:szCs w:val="20"/>
                    </w:rPr>
                  </w:pPr>
                </w:p>
              </w:tc>
              <w:tc>
                <w:tcPr>
                  <w:tcW w:w="1660" w:type="dxa"/>
                </w:tcPr>
                <w:p w14:paraId="37775B53" w14:textId="77777777" w:rsidR="008D495B" w:rsidRPr="00116CE6" w:rsidRDefault="008D495B" w:rsidP="002E6532">
                  <w:pPr>
                    <w:rPr>
                      <w:rFonts w:ascii="Arial" w:hAnsi="Arial"/>
                      <w:sz w:val="20"/>
                      <w:szCs w:val="20"/>
                    </w:rPr>
                  </w:pPr>
                </w:p>
              </w:tc>
            </w:tr>
          </w:tbl>
          <w:p w14:paraId="41189CBC" w14:textId="77777777" w:rsidR="008D495B" w:rsidRDefault="008D495B" w:rsidP="002E6532">
            <w:pPr>
              <w:pStyle w:val="NormalWeb"/>
              <w:spacing w:before="0" w:beforeAutospacing="0" w:after="0" w:afterAutospacing="0"/>
              <w:ind w:left="142" w:right="34"/>
              <w:rPr>
                <w:rFonts w:ascii="Arial" w:hAnsi="Arial" w:cs="Arial"/>
                <w:b/>
                <w:sz w:val="22"/>
                <w:szCs w:val="22"/>
              </w:rPr>
            </w:pPr>
          </w:p>
          <w:p w14:paraId="6841ADCA" w14:textId="77777777" w:rsidR="008D495B" w:rsidRPr="00230F35" w:rsidRDefault="008D495B" w:rsidP="002E653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B501E3" w14:textId="77777777" w:rsidR="008D495B" w:rsidRDefault="008D495B" w:rsidP="002E6532">
            <w:pPr>
              <w:pStyle w:val="NormalWeb"/>
              <w:spacing w:before="0" w:beforeAutospacing="0" w:after="0" w:afterAutospacing="0"/>
              <w:rPr>
                <w:rFonts w:ascii="Arial" w:hAnsi="Arial" w:cs="Arial"/>
                <w:b/>
                <w:sz w:val="22"/>
                <w:szCs w:val="22"/>
              </w:rPr>
            </w:pPr>
          </w:p>
          <w:p w14:paraId="4D1643B2" w14:textId="77777777" w:rsidR="008D495B" w:rsidRDefault="008D495B" w:rsidP="002E6532">
            <w:pPr>
              <w:pStyle w:val="NormalWeb"/>
              <w:spacing w:before="0" w:beforeAutospacing="0" w:after="0" w:afterAutospacing="0"/>
              <w:rPr>
                <w:rFonts w:ascii="Arial" w:hAnsi="Arial" w:cs="Arial"/>
                <w:b/>
                <w:sz w:val="22"/>
                <w:szCs w:val="22"/>
              </w:rPr>
            </w:pPr>
          </w:p>
          <w:p w14:paraId="6A2FE285" w14:textId="77777777" w:rsidR="008D495B" w:rsidRDefault="008D495B" w:rsidP="002E6532">
            <w:pPr>
              <w:pStyle w:val="NormalWeb"/>
              <w:spacing w:before="0" w:beforeAutospacing="0" w:after="0" w:afterAutospacing="0"/>
              <w:rPr>
                <w:rFonts w:ascii="Arial" w:hAnsi="Arial" w:cs="Arial"/>
                <w:b/>
                <w:sz w:val="22"/>
                <w:szCs w:val="22"/>
              </w:rPr>
            </w:pPr>
          </w:p>
          <w:p w14:paraId="4A1206DF" w14:textId="77777777" w:rsidR="008D495B" w:rsidRDefault="008D495B" w:rsidP="002E6532">
            <w:pPr>
              <w:pStyle w:val="NormalWeb"/>
              <w:spacing w:before="0" w:beforeAutospacing="0" w:after="0" w:afterAutospacing="0"/>
              <w:rPr>
                <w:rFonts w:ascii="Arial" w:hAnsi="Arial" w:cs="Arial"/>
                <w:b/>
                <w:sz w:val="22"/>
                <w:szCs w:val="22"/>
              </w:rPr>
            </w:pPr>
          </w:p>
          <w:p w14:paraId="309E6AD6" w14:textId="77777777" w:rsidR="008D495B" w:rsidRDefault="008D495B" w:rsidP="002E6532">
            <w:pPr>
              <w:pStyle w:val="NormalWeb"/>
              <w:spacing w:before="0" w:beforeAutospacing="0" w:after="0" w:afterAutospacing="0"/>
              <w:rPr>
                <w:rFonts w:ascii="Arial" w:hAnsi="Arial" w:cs="Arial"/>
                <w:b/>
                <w:sz w:val="22"/>
                <w:szCs w:val="22"/>
              </w:rPr>
            </w:pPr>
          </w:p>
          <w:p w14:paraId="487554B4" w14:textId="77777777" w:rsidR="008D495B" w:rsidRPr="00230F35" w:rsidRDefault="008D495B" w:rsidP="002E653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83F69BC" w14:textId="77777777" w:rsidR="008D495B" w:rsidRDefault="008D495B" w:rsidP="002E653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C8442A" w14:textId="77777777" w:rsidR="008D495B" w:rsidRPr="00001C3B" w:rsidRDefault="008D495B" w:rsidP="002E6532">
            <w:pPr>
              <w:pStyle w:val="NormalWeb"/>
              <w:rPr>
                <w:rFonts w:ascii="Arial" w:hAnsi="Arial" w:cs="Arial"/>
                <w:sz w:val="22"/>
                <w:szCs w:val="22"/>
              </w:rPr>
            </w:pPr>
          </w:p>
        </w:tc>
      </w:tr>
      <w:tr w:rsidR="008D495B" w:rsidRPr="00230F35" w14:paraId="33D39885" w14:textId="77777777" w:rsidTr="002E6532">
        <w:trPr>
          <w:trHeight w:val="492"/>
        </w:trPr>
        <w:tc>
          <w:tcPr>
            <w:tcW w:w="6768" w:type="dxa"/>
            <w:gridSpan w:val="3"/>
          </w:tcPr>
          <w:p w14:paraId="63D269D5" w14:textId="77777777" w:rsidR="008D495B" w:rsidRPr="00230F35" w:rsidRDefault="008D495B" w:rsidP="002E653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A330F03" w14:textId="77777777" w:rsidR="008D495B" w:rsidRPr="00230F35" w:rsidRDefault="008D495B" w:rsidP="002E6532">
            <w:pPr>
              <w:pStyle w:val="NormalWeb"/>
              <w:spacing w:after="0"/>
              <w:ind w:left="142" w:right="34"/>
              <w:rPr>
                <w:rFonts w:ascii="Arial" w:hAnsi="Arial" w:cs="Arial"/>
                <w:sz w:val="22"/>
                <w:szCs w:val="22"/>
              </w:rPr>
            </w:pPr>
            <w:r w:rsidRPr="00230F35">
              <w:rPr>
                <w:rFonts w:ascii="Arial" w:hAnsi="Arial" w:cs="Arial"/>
                <w:sz w:val="22"/>
                <w:szCs w:val="22"/>
              </w:rPr>
              <w:t>Date:</w:t>
            </w:r>
          </w:p>
        </w:tc>
      </w:tr>
      <w:tr w:rsidR="008D495B" w:rsidRPr="002F467C" w14:paraId="3659E8A1" w14:textId="77777777" w:rsidTr="002E6532">
        <w:tc>
          <w:tcPr>
            <w:tcW w:w="8856" w:type="dxa"/>
            <w:gridSpan w:val="5"/>
          </w:tcPr>
          <w:p w14:paraId="578EE328" w14:textId="77777777" w:rsidR="008D495B" w:rsidRPr="00230F35" w:rsidRDefault="008D495B" w:rsidP="002E6532">
            <w:pPr>
              <w:pStyle w:val="NormalWeb"/>
              <w:spacing w:before="0" w:beforeAutospacing="0" w:after="0" w:afterAutospacing="0"/>
              <w:ind w:right="-334"/>
              <w:rPr>
                <w:rFonts w:ascii="Arial" w:hAnsi="Arial" w:cs="Arial"/>
                <w:bCs/>
                <w:i/>
                <w:sz w:val="22"/>
                <w:szCs w:val="22"/>
              </w:rPr>
            </w:pPr>
          </w:p>
          <w:p w14:paraId="1FAD6241" w14:textId="77777777" w:rsidR="008D495B" w:rsidRPr="00230F35" w:rsidRDefault="008D495B" w:rsidP="002E653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99F2098" w14:textId="77777777" w:rsidR="008D495B" w:rsidRPr="00230F35" w:rsidRDefault="008D495B" w:rsidP="002E6532">
            <w:pPr>
              <w:pStyle w:val="NormalWeb"/>
              <w:spacing w:before="0" w:beforeAutospacing="0" w:after="0" w:afterAutospacing="0"/>
              <w:ind w:right="-334"/>
              <w:rPr>
                <w:rFonts w:ascii="Arial" w:hAnsi="Arial" w:cs="Arial"/>
                <w:b/>
                <w:bCs/>
                <w:sz w:val="22"/>
                <w:szCs w:val="22"/>
              </w:rPr>
            </w:pPr>
          </w:p>
          <w:p w14:paraId="48B23DE9"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8FDF38D"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4175553E"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4D541074"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2D07FF51"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26DAA3B7"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2CC75C6D"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77319D3B"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4569E641"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AB33557" w14:textId="77777777" w:rsidR="008D495B" w:rsidRDefault="008D495B" w:rsidP="002E6532">
            <w:pPr>
              <w:pStyle w:val="NormalWeb"/>
              <w:spacing w:before="0" w:beforeAutospacing="0" w:after="0" w:afterAutospacing="0"/>
              <w:ind w:right="-334"/>
              <w:rPr>
                <w:rFonts w:ascii="Arial" w:hAnsi="Arial" w:cs="Arial"/>
                <w:bCs/>
                <w:sz w:val="22"/>
                <w:szCs w:val="22"/>
              </w:rPr>
            </w:pPr>
          </w:p>
          <w:p w14:paraId="18120966"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6FF49C7"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ABE01DB"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tc>
      </w:tr>
      <w:tr w:rsidR="008D495B" w:rsidRPr="002F467C" w14:paraId="7A2C3F9E" w14:textId="77777777" w:rsidTr="002E6532">
        <w:trPr>
          <w:trHeight w:val="720"/>
        </w:trPr>
        <w:tc>
          <w:tcPr>
            <w:tcW w:w="5211" w:type="dxa"/>
            <w:gridSpan w:val="2"/>
          </w:tcPr>
          <w:p w14:paraId="323E3990"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8331152"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D495B" w:rsidRPr="002F467C" w14:paraId="1A2F4482" w14:textId="77777777" w:rsidTr="002E6532">
        <w:trPr>
          <w:trHeight w:val="720"/>
        </w:trPr>
        <w:tc>
          <w:tcPr>
            <w:tcW w:w="8856" w:type="dxa"/>
            <w:gridSpan w:val="5"/>
          </w:tcPr>
          <w:p w14:paraId="0E917F85" w14:textId="77777777" w:rsidR="008D495B" w:rsidRPr="00B34964" w:rsidRDefault="008D495B" w:rsidP="002E6532">
            <w:pPr>
              <w:rPr>
                <w:rFonts w:ascii="Arial" w:hAnsi="Arial" w:cs="Arial"/>
                <w:b/>
                <w:sz w:val="22"/>
                <w:szCs w:val="22"/>
              </w:rPr>
            </w:pPr>
            <w:r w:rsidRPr="00B34964">
              <w:rPr>
                <w:rFonts w:ascii="Arial" w:hAnsi="Arial" w:cs="Arial"/>
                <w:b/>
                <w:sz w:val="22"/>
                <w:szCs w:val="22"/>
              </w:rPr>
              <w:t>External Examiner’s comments (if relevant)</w:t>
            </w:r>
          </w:p>
          <w:p w14:paraId="7ED5D32D"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6C135896"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3D3A5A6B"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2AB9251"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B18DFEE"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54537146"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202D63AA"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085521C4"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44FD07BD" w14:textId="77777777" w:rsidR="008D495B" w:rsidRDefault="008D495B" w:rsidP="002E6532">
            <w:pPr>
              <w:pStyle w:val="NormalWeb"/>
              <w:spacing w:before="0" w:beforeAutospacing="0" w:after="0" w:afterAutospacing="0"/>
              <w:ind w:right="-334"/>
              <w:rPr>
                <w:rFonts w:ascii="Arial" w:hAnsi="Arial" w:cs="Arial"/>
                <w:bCs/>
                <w:sz w:val="22"/>
                <w:szCs w:val="22"/>
              </w:rPr>
            </w:pPr>
          </w:p>
          <w:p w14:paraId="3A1EA598"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p w14:paraId="44C37A15" w14:textId="77777777" w:rsidR="008D495B" w:rsidRPr="00230F35" w:rsidRDefault="008D495B" w:rsidP="002E6532">
            <w:pPr>
              <w:pStyle w:val="NormalWeb"/>
              <w:spacing w:before="0" w:beforeAutospacing="0" w:after="0" w:afterAutospacing="0"/>
              <w:ind w:right="-334"/>
              <w:rPr>
                <w:rFonts w:ascii="Arial" w:hAnsi="Arial" w:cs="Arial"/>
                <w:bCs/>
                <w:sz w:val="22"/>
                <w:szCs w:val="22"/>
              </w:rPr>
            </w:pPr>
          </w:p>
        </w:tc>
      </w:tr>
      <w:tr w:rsidR="008D495B" w:rsidRPr="002F467C" w14:paraId="5C155FDD" w14:textId="77777777" w:rsidTr="002E6532">
        <w:trPr>
          <w:trHeight w:val="720"/>
        </w:trPr>
        <w:tc>
          <w:tcPr>
            <w:tcW w:w="5211" w:type="dxa"/>
            <w:gridSpan w:val="2"/>
          </w:tcPr>
          <w:p w14:paraId="2263F0A4" w14:textId="77777777" w:rsidR="008D495B" w:rsidRPr="00230F35" w:rsidRDefault="008D495B" w:rsidP="002E653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F138D01" w14:textId="77777777" w:rsidR="008D495B" w:rsidRPr="00230F35" w:rsidRDefault="008D495B" w:rsidP="002E6532">
            <w:pPr>
              <w:rPr>
                <w:rFonts w:ascii="Arial" w:hAnsi="Arial" w:cs="Arial"/>
                <w:sz w:val="22"/>
                <w:szCs w:val="22"/>
              </w:rPr>
            </w:pPr>
            <w:r w:rsidRPr="00230F35">
              <w:rPr>
                <w:rFonts w:ascii="Arial" w:hAnsi="Arial" w:cs="Arial"/>
                <w:sz w:val="22"/>
                <w:szCs w:val="22"/>
              </w:rPr>
              <w:t>Date:</w:t>
            </w:r>
          </w:p>
        </w:tc>
      </w:tr>
    </w:tbl>
    <w:p w14:paraId="3B0B8EE8" w14:textId="77777777" w:rsidR="008D495B" w:rsidRPr="00D67BF8" w:rsidRDefault="008D495B" w:rsidP="008D495B">
      <w:pPr>
        <w:pStyle w:val="NormalWeb"/>
        <w:spacing w:before="0" w:beforeAutospacing="0" w:after="0" w:afterAutospacing="0"/>
        <w:ind w:right="-334"/>
        <w:rPr>
          <w:rFonts w:ascii="Trebuchet MS" w:hAnsi="Trebuchet MS" w:cs="Tahoma"/>
          <w:bCs/>
          <w:sz w:val="24"/>
          <w:szCs w:val="24"/>
        </w:rPr>
      </w:pPr>
    </w:p>
    <w:p w14:paraId="69417A90" w14:textId="77777777" w:rsidR="002A7686" w:rsidRDefault="002A7686" w:rsidP="00504025">
      <w:pPr>
        <w:rPr>
          <w:u w:val="single"/>
          <w:lang w:val="en-GB"/>
        </w:rPr>
      </w:pPr>
    </w:p>
    <w:p w14:paraId="41B28BFE" w14:textId="77777777" w:rsidR="008D495B" w:rsidRDefault="008D495B" w:rsidP="00504025">
      <w:pPr>
        <w:rPr>
          <w:u w:val="single"/>
          <w:lang w:val="en-GB"/>
        </w:rPr>
      </w:pPr>
    </w:p>
    <w:p w14:paraId="4FA99DB3" w14:textId="5CB779BC" w:rsidR="00504025" w:rsidRPr="00504025" w:rsidRDefault="00504025" w:rsidP="00504025">
      <w:pPr>
        <w:rPr>
          <w:u w:val="single"/>
          <w:lang w:val="en-GB"/>
        </w:rPr>
      </w:pPr>
      <w:r w:rsidRPr="00504025">
        <w:rPr>
          <w:u w:val="single"/>
          <w:lang w:val="en-GB"/>
        </w:rPr>
        <w:t>Compare and critically contrast Mircea Eliade</w:t>
      </w:r>
      <w:r w:rsidR="00157F24">
        <w:rPr>
          <w:u w:val="single"/>
          <w:lang w:val="en-GB"/>
        </w:rPr>
        <w:t xml:space="preserve"> and Emile Durkheim’s views of Sacred S</w:t>
      </w:r>
      <w:r w:rsidRPr="00504025">
        <w:rPr>
          <w:u w:val="single"/>
          <w:lang w:val="en-GB"/>
        </w:rPr>
        <w:t xml:space="preserve">pace. </w:t>
      </w:r>
    </w:p>
    <w:p w14:paraId="2E3EA167" w14:textId="6F9807A8" w:rsidR="00C347B2" w:rsidRDefault="00C347B2" w:rsidP="00DC690D">
      <w:pPr>
        <w:rPr>
          <w:lang w:val="en-GB"/>
        </w:rPr>
      </w:pPr>
    </w:p>
    <w:p w14:paraId="286A436A" w14:textId="77777777" w:rsidR="00047F51" w:rsidRDefault="00047F51" w:rsidP="00504025">
      <w:pPr>
        <w:rPr>
          <w:b/>
          <w:u w:val="single"/>
          <w:lang w:val="en-GB"/>
        </w:rPr>
      </w:pPr>
    </w:p>
    <w:p w14:paraId="624E2AE2" w14:textId="4FB63654" w:rsidR="00756DDF" w:rsidRDefault="00104DF9" w:rsidP="00297347">
      <w:pPr>
        <w:rPr>
          <w:lang w:val="en-GB"/>
        </w:rPr>
      </w:pPr>
      <w:r>
        <w:rPr>
          <w:lang w:val="en-GB"/>
        </w:rPr>
        <w:t xml:space="preserve">This essay will compare and </w:t>
      </w:r>
      <w:r w:rsidR="000074AC">
        <w:rPr>
          <w:lang w:val="en-GB"/>
        </w:rPr>
        <w:t xml:space="preserve">critically contrast </w:t>
      </w:r>
      <w:r w:rsidR="00297347">
        <w:rPr>
          <w:lang w:val="en-GB"/>
        </w:rPr>
        <w:t>Emile Durkheim</w:t>
      </w:r>
      <w:r w:rsidR="000074AC">
        <w:rPr>
          <w:lang w:val="en-GB"/>
        </w:rPr>
        <w:t>’s work titled ‘The Elementary Forms of religious life’</w:t>
      </w:r>
      <w:r w:rsidR="00297347">
        <w:rPr>
          <w:lang w:val="en-GB"/>
        </w:rPr>
        <w:t xml:space="preserve"> </w:t>
      </w:r>
      <w:r w:rsidR="000074AC">
        <w:rPr>
          <w:lang w:val="en-GB"/>
        </w:rPr>
        <w:t>with Mircea Eliade’s ‘The Sacred and Profane’ with specific regard to their respective views on</w:t>
      </w:r>
      <w:r w:rsidR="00297347">
        <w:rPr>
          <w:lang w:val="en-GB"/>
        </w:rPr>
        <w:t xml:space="preserve"> sacred space. </w:t>
      </w:r>
    </w:p>
    <w:p w14:paraId="76130E12" w14:textId="0568DA3A" w:rsidR="00635851" w:rsidRPr="007822FE" w:rsidRDefault="00104DF9" w:rsidP="003F104A">
      <w:pPr>
        <w:jc w:val="both"/>
        <w:rPr>
          <w:lang w:val="en-GB"/>
        </w:rPr>
      </w:pPr>
      <w:r>
        <w:rPr>
          <w:lang w:val="en-GB"/>
        </w:rPr>
        <w:t xml:space="preserve">         </w:t>
      </w:r>
      <w:r w:rsidR="00F94EBC">
        <w:rPr>
          <w:lang w:val="en-GB"/>
        </w:rPr>
        <w:t xml:space="preserve">Emile </w:t>
      </w:r>
      <w:r w:rsidR="00756DDF">
        <w:rPr>
          <w:lang w:val="en-GB"/>
        </w:rPr>
        <w:t>Durkheim was a Jewish sociologist who was the son of a Rabbi, however we are told</w:t>
      </w:r>
      <w:r w:rsidR="005B74B1">
        <w:rPr>
          <w:lang w:val="en-GB"/>
        </w:rPr>
        <w:t xml:space="preserve"> in the translator’s introduction of his text</w:t>
      </w:r>
      <w:r w:rsidR="00756DDF">
        <w:rPr>
          <w:lang w:val="en-GB"/>
        </w:rPr>
        <w:t xml:space="preserve"> that he outright rejected religious commitment in his youth. </w:t>
      </w:r>
      <w:r w:rsidR="00826D3F">
        <w:rPr>
          <w:lang w:val="en-GB"/>
        </w:rPr>
        <w:t>Nevertheless</w:t>
      </w:r>
      <w:r w:rsidR="009E7ECF">
        <w:rPr>
          <w:lang w:val="en-GB"/>
        </w:rPr>
        <w:t xml:space="preserve"> Maureen Bloom is adamant that </w:t>
      </w:r>
      <w:r w:rsidR="0096079C">
        <w:rPr>
          <w:lang w:val="en-GB"/>
        </w:rPr>
        <w:t>“Durkheim’s ideas about religion were rooted in his in</w:t>
      </w:r>
      <w:r w:rsidR="003E7663">
        <w:rPr>
          <w:lang w:val="en-GB"/>
        </w:rPr>
        <w:t>timate understanding of Judaism,</w:t>
      </w:r>
      <w:r w:rsidR="0096079C">
        <w:rPr>
          <w:lang w:val="en-GB"/>
        </w:rPr>
        <w:t>”</w:t>
      </w:r>
      <w:r w:rsidR="003E7663">
        <w:rPr>
          <w:lang w:val="en-GB"/>
        </w:rPr>
        <w:t xml:space="preserve"> and the fact that to partake in Jewish religious life is a social experience.</w:t>
      </w:r>
      <w:r w:rsidR="0096079C">
        <w:rPr>
          <w:rStyle w:val="FootnoteReference"/>
          <w:lang w:val="en-GB"/>
        </w:rPr>
        <w:footnoteReference w:id="1"/>
      </w:r>
      <w:r w:rsidR="003E7663">
        <w:rPr>
          <w:lang w:val="en-GB"/>
        </w:rPr>
        <w:t xml:space="preserve"> </w:t>
      </w:r>
      <w:r w:rsidR="00164F31">
        <w:rPr>
          <w:lang w:val="en-GB"/>
        </w:rPr>
        <w:t xml:space="preserve">Steven Lukes </w:t>
      </w:r>
      <w:r w:rsidR="004E29D0">
        <w:rPr>
          <w:lang w:val="en-GB"/>
        </w:rPr>
        <w:t>believes</w:t>
      </w:r>
      <w:r w:rsidR="00164F31">
        <w:rPr>
          <w:lang w:val="en-GB"/>
        </w:rPr>
        <w:t xml:space="preserve"> that </w:t>
      </w:r>
      <w:r w:rsidR="00C86181">
        <w:rPr>
          <w:lang w:val="en-GB"/>
        </w:rPr>
        <w:t>Durkhe</w:t>
      </w:r>
      <w:r w:rsidR="004E29D0">
        <w:rPr>
          <w:lang w:val="en-GB"/>
        </w:rPr>
        <w:t>im’s</w:t>
      </w:r>
      <w:r w:rsidR="00164F31">
        <w:rPr>
          <w:lang w:val="en-GB"/>
        </w:rPr>
        <w:t xml:space="preserve"> style te</w:t>
      </w:r>
      <w:r w:rsidR="004E29D0">
        <w:rPr>
          <w:lang w:val="en-GB"/>
        </w:rPr>
        <w:t>nds to exaggerate and “</w:t>
      </w:r>
      <w:r w:rsidR="00164F31">
        <w:rPr>
          <w:lang w:val="en-GB"/>
        </w:rPr>
        <w:t>caricature his thought</w:t>
      </w:r>
      <w:r w:rsidR="004E29D0">
        <w:rPr>
          <w:lang w:val="en-GB"/>
        </w:rPr>
        <w:t>”, believing that the way he expressed his ideas was “in an extreme or figurative manner, which distorted their meaning and concealed their significance.”</w:t>
      </w:r>
      <w:r w:rsidR="00164F31">
        <w:rPr>
          <w:rStyle w:val="FootnoteReference"/>
          <w:lang w:val="en-GB"/>
        </w:rPr>
        <w:footnoteReference w:id="2"/>
      </w:r>
      <w:r w:rsidR="00164F31">
        <w:rPr>
          <w:lang w:val="en-GB"/>
        </w:rPr>
        <w:t xml:space="preserve"> </w:t>
      </w:r>
      <w:r w:rsidR="00635851" w:rsidRPr="00AC75A5">
        <w:rPr>
          <w:lang w:val="en-GB"/>
        </w:rPr>
        <w:t xml:space="preserve">We are also told that the reaction to </w:t>
      </w:r>
      <w:r w:rsidR="00635851" w:rsidRPr="00AC75A5">
        <w:rPr>
          <w:i/>
          <w:lang w:val="en-GB"/>
        </w:rPr>
        <w:t>Forms</w:t>
      </w:r>
      <w:r w:rsidR="00635851" w:rsidRPr="00AC75A5">
        <w:rPr>
          <w:lang w:val="en-GB"/>
        </w:rPr>
        <w:t xml:space="preserve"> from his contemporaries in France in 1912 was “violent.”</w:t>
      </w:r>
      <w:r w:rsidR="00635851" w:rsidRPr="00AC75A5">
        <w:rPr>
          <w:rStyle w:val="FootnoteReference"/>
          <w:lang w:val="en-GB"/>
        </w:rPr>
        <w:footnoteReference w:id="3"/>
      </w:r>
      <w:r w:rsidR="00635851">
        <w:rPr>
          <w:lang w:val="en-GB"/>
        </w:rPr>
        <w:t xml:space="preserve"> However Patricia Cormack </w:t>
      </w:r>
      <w:r w:rsidR="007822FE">
        <w:rPr>
          <w:lang w:val="en-GB"/>
        </w:rPr>
        <w:t xml:space="preserve">offers a nuanced commentary on </w:t>
      </w:r>
      <w:r w:rsidR="00635851">
        <w:rPr>
          <w:lang w:val="en-GB"/>
        </w:rPr>
        <w:t>Durk</w:t>
      </w:r>
      <w:r w:rsidR="002A35A5">
        <w:rPr>
          <w:lang w:val="en-GB"/>
        </w:rPr>
        <w:t>h</w:t>
      </w:r>
      <w:r w:rsidR="00635851">
        <w:rPr>
          <w:lang w:val="en-GB"/>
        </w:rPr>
        <w:t>eim’s</w:t>
      </w:r>
      <w:r w:rsidR="007822FE">
        <w:rPr>
          <w:lang w:val="en-GB"/>
        </w:rPr>
        <w:t xml:space="preserve"> rhetoric in his </w:t>
      </w:r>
      <w:r w:rsidR="00635851">
        <w:rPr>
          <w:lang w:val="en-GB"/>
        </w:rPr>
        <w:t xml:space="preserve">sociological manifesto ‘The Rules of Sociological Method’ written in 1895, therefore predating </w:t>
      </w:r>
      <w:r w:rsidR="00AE7E2E">
        <w:rPr>
          <w:lang w:val="en-GB"/>
        </w:rPr>
        <w:t>‘</w:t>
      </w:r>
      <w:r w:rsidR="00635851" w:rsidRPr="00AE7E2E">
        <w:rPr>
          <w:lang w:val="en-GB"/>
        </w:rPr>
        <w:t>Forms</w:t>
      </w:r>
      <w:r w:rsidR="00AE7E2E">
        <w:rPr>
          <w:i/>
          <w:lang w:val="en-GB"/>
        </w:rPr>
        <w:t>’</w:t>
      </w:r>
      <w:r w:rsidR="007822FE">
        <w:rPr>
          <w:i/>
          <w:lang w:val="en-GB"/>
        </w:rPr>
        <w:t xml:space="preserve">. </w:t>
      </w:r>
      <w:r w:rsidR="007822FE">
        <w:rPr>
          <w:lang w:val="en-GB"/>
        </w:rPr>
        <w:t xml:space="preserve">She tells us that </w:t>
      </w:r>
      <w:r w:rsidR="002A35A5">
        <w:rPr>
          <w:lang w:val="en-GB"/>
        </w:rPr>
        <w:t>Durkheim informs his reader to expect paradox, especially “when the facts demand it.”</w:t>
      </w:r>
      <w:r w:rsidR="002A35A5">
        <w:rPr>
          <w:rStyle w:val="FootnoteReference"/>
          <w:lang w:val="en-GB"/>
        </w:rPr>
        <w:footnoteReference w:id="4"/>
      </w:r>
      <w:r w:rsidR="002A35A5">
        <w:rPr>
          <w:lang w:val="en-GB"/>
        </w:rPr>
        <w:t xml:space="preserve"> </w:t>
      </w:r>
      <w:r w:rsidR="00AE7E2E">
        <w:rPr>
          <w:lang w:val="en-GB"/>
        </w:rPr>
        <w:t>She emphasizes that his perhaps, rev</w:t>
      </w:r>
      <w:r w:rsidR="008F58A1">
        <w:rPr>
          <w:lang w:val="en-GB"/>
        </w:rPr>
        <w:t>olutionary, style of writing served simply as a tool to “define and defend” the relatively new discipline of sociology.</w:t>
      </w:r>
      <w:r w:rsidR="00B2456A">
        <w:rPr>
          <w:rStyle w:val="FootnoteReference"/>
          <w:lang w:val="en-GB"/>
        </w:rPr>
        <w:footnoteReference w:id="5"/>
      </w:r>
      <w:r w:rsidR="00F9543B">
        <w:rPr>
          <w:lang w:val="en-GB"/>
        </w:rPr>
        <w:t xml:space="preserve"> Cormack’s lens offers a suggestion that his writing style serves as a useful framework for Durkheim’s oppositional positing of the sacred and the profane.  </w:t>
      </w:r>
    </w:p>
    <w:p w14:paraId="5E6EBB62" w14:textId="2E89BE8D" w:rsidR="00CA0756" w:rsidRDefault="00F9543B" w:rsidP="003F104A">
      <w:pPr>
        <w:jc w:val="both"/>
        <w:rPr>
          <w:lang w:val="en-GB"/>
        </w:rPr>
      </w:pPr>
      <w:r>
        <w:rPr>
          <w:lang w:val="en-GB"/>
        </w:rPr>
        <w:t xml:space="preserve">        </w:t>
      </w:r>
      <w:r w:rsidR="00B86F56">
        <w:rPr>
          <w:lang w:val="en-GB"/>
        </w:rPr>
        <w:t>Durkheim</w:t>
      </w:r>
      <w:r w:rsidR="006B1BBE">
        <w:rPr>
          <w:lang w:val="en-GB"/>
        </w:rPr>
        <w:t xml:space="preserve">’s </w:t>
      </w:r>
      <w:r w:rsidR="006B1BBE" w:rsidRPr="006B1BBE">
        <w:rPr>
          <w:i/>
          <w:lang w:val="en-GB"/>
        </w:rPr>
        <w:t>Forms</w:t>
      </w:r>
      <w:r w:rsidR="00F94EBC">
        <w:rPr>
          <w:lang w:val="en-GB"/>
        </w:rPr>
        <w:t xml:space="preserve"> </w:t>
      </w:r>
      <w:r w:rsidR="006B1BBE">
        <w:rPr>
          <w:lang w:val="en-GB"/>
        </w:rPr>
        <w:t>is not the only work where he takes a collective approach to matters which some sociologists would deem</w:t>
      </w:r>
      <w:r w:rsidR="00826D3F">
        <w:rPr>
          <w:lang w:val="en-GB"/>
        </w:rPr>
        <w:t xml:space="preserve"> to be</w:t>
      </w:r>
      <w:r w:rsidR="006B1BBE">
        <w:rPr>
          <w:lang w:val="en-GB"/>
        </w:rPr>
        <w:t xml:space="preserve"> individual matters. </w:t>
      </w:r>
      <w:r w:rsidR="00B86F56">
        <w:rPr>
          <w:lang w:val="en-GB"/>
        </w:rPr>
        <w:t xml:space="preserve">We are told of his work </w:t>
      </w:r>
      <w:r w:rsidR="00B86F56">
        <w:rPr>
          <w:i/>
          <w:lang w:val="en-GB"/>
        </w:rPr>
        <w:t>Suicide</w:t>
      </w:r>
      <w:r w:rsidR="00B86F56" w:rsidRPr="00F00665">
        <w:rPr>
          <w:lang w:val="en-GB"/>
        </w:rPr>
        <w:t xml:space="preserve">, </w:t>
      </w:r>
      <w:r w:rsidR="00F00665" w:rsidRPr="00F00665">
        <w:rPr>
          <w:lang w:val="en-GB"/>
        </w:rPr>
        <w:t>originally published</w:t>
      </w:r>
      <w:r w:rsidR="006B1BBE">
        <w:rPr>
          <w:lang w:val="en-GB"/>
        </w:rPr>
        <w:t xml:space="preserve"> prior to </w:t>
      </w:r>
      <w:r w:rsidR="006B1BBE" w:rsidRPr="006B1BBE">
        <w:rPr>
          <w:i/>
          <w:lang w:val="en-GB"/>
        </w:rPr>
        <w:t>Forms</w:t>
      </w:r>
      <w:r w:rsidR="00F00665" w:rsidRPr="00F00665">
        <w:rPr>
          <w:lang w:val="en-GB"/>
        </w:rPr>
        <w:t xml:space="preserve"> in 1987</w:t>
      </w:r>
      <w:r w:rsidR="00F00665">
        <w:rPr>
          <w:i/>
          <w:lang w:val="en-GB"/>
        </w:rPr>
        <w:t xml:space="preserve"> </w:t>
      </w:r>
      <w:r w:rsidR="00B86F56">
        <w:rPr>
          <w:lang w:val="en-GB"/>
        </w:rPr>
        <w:t xml:space="preserve">in which </w:t>
      </w:r>
      <w:r w:rsidR="00F00665">
        <w:rPr>
          <w:lang w:val="en-GB"/>
        </w:rPr>
        <w:t xml:space="preserve">he similarly </w:t>
      </w:r>
      <w:r w:rsidR="008913CF">
        <w:rPr>
          <w:lang w:val="en-GB"/>
        </w:rPr>
        <w:t>treats the subject m</w:t>
      </w:r>
      <w:r w:rsidR="003F104A">
        <w:rPr>
          <w:lang w:val="en-GB"/>
        </w:rPr>
        <w:t xml:space="preserve">atter as a sociological matter rather than an individual impetus. </w:t>
      </w:r>
      <w:r w:rsidR="00DE4E91">
        <w:rPr>
          <w:lang w:val="en-GB"/>
        </w:rPr>
        <w:t xml:space="preserve">His </w:t>
      </w:r>
      <w:r w:rsidR="006B1BBE">
        <w:rPr>
          <w:lang w:val="en-GB"/>
        </w:rPr>
        <w:t>approach</w:t>
      </w:r>
      <w:r w:rsidR="00DE4E91">
        <w:rPr>
          <w:lang w:val="en-GB"/>
        </w:rPr>
        <w:t xml:space="preserve"> of what constitutes</w:t>
      </w:r>
      <w:r w:rsidR="006B1BBE">
        <w:rPr>
          <w:lang w:val="en-GB"/>
        </w:rPr>
        <w:t xml:space="preserve"> </w:t>
      </w:r>
      <w:r w:rsidR="00DE4E91">
        <w:rPr>
          <w:lang w:val="en-GB"/>
        </w:rPr>
        <w:t>the ‘real’ is reflective of the ambience of fin-de-</w:t>
      </w:r>
      <w:r w:rsidR="00B937CE">
        <w:rPr>
          <w:lang w:val="en-GB"/>
        </w:rPr>
        <w:t>siècle</w:t>
      </w:r>
      <w:r w:rsidR="00DE4E91">
        <w:rPr>
          <w:lang w:val="en-GB"/>
        </w:rPr>
        <w:t xml:space="preserve"> Paris, when art was similarly testing the accepted boundaries of what constitutes</w:t>
      </w:r>
      <w:r w:rsidR="00CA0756">
        <w:rPr>
          <w:lang w:val="en-GB"/>
        </w:rPr>
        <w:t xml:space="preserve"> our physical reality. </w:t>
      </w:r>
    </w:p>
    <w:p w14:paraId="32C1739D" w14:textId="3D9467EA" w:rsidR="008B4D17" w:rsidRPr="00F94EBC" w:rsidRDefault="002E6532" w:rsidP="00F94EBC">
      <w:pPr>
        <w:jc w:val="both"/>
        <w:rPr>
          <w:lang w:val="en-GB"/>
        </w:rPr>
      </w:pPr>
      <w:r>
        <w:rPr>
          <w:lang w:val="en-GB"/>
        </w:rPr>
        <w:t xml:space="preserve"> </w:t>
      </w:r>
      <w:r w:rsidR="00973DA3">
        <w:rPr>
          <w:lang w:val="en-GB"/>
        </w:rPr>
        <w:t xml:space="preserve">            D</w:t>
      </w:r>
      <w:r w:rsidR="006B1BBE">
        <w:rPr>
          <w:lang w:val="en-GB"/>
        </w:rPr>
        <w:t xml:space="preserve">espite his supposed rejection of his Jewish religious upbringing and family background, we </w:t>
      </w:r>
      <w:r w:rsidR="007A2E6D">
        <w:rPr>
          <w:lang w:val="en-GB"/>
        </w:rPr>
        <w:t>should consider the collective focus of Jewish religious teachings, and the shared rituals that form the centre of the Jewish experie</w:t>
      </w:r>
      <w:r w:rsidR="000E68D8">
        <w:rPr>
          <w:lang w:val="en-GB"/>
        </w:rPr>
        <w:t xml:space="preserve">nce. Maureen Bloom writes that </w:t>
      </w:r>
      <w:r w:rsidR="00DC690D">
        <w:rPr>
          <w:lang w:val="en-GB"/>
        </w:rPr>
        <w:t>Durkheim would have been influenced by the Jewish commandments or ritual law that place emphasis on community. She states that Durkheim was influenced by “piacular rites having a stimulating power over the affective state of the group and individuals.”</w:t>
      </w:r>
      <w:r w:rsidR="00DC690D">
        <w:rPr>
          <w:rStyle w:val="FootnoteReference"/>
          <w:lang w:val="en-GB"/>
        </w:rPr>
        <w:footnoteReference w:id="6"/>
      </w:r>
      <w:r w:rsidR="00DC690D">
        <w:rPr>
          <w:lang w:val="en-GB"/>
        </w:rPr>
        <w:t xml:space="preserve"> Therefore in Jewish teachings, so many of the rituals are an act of collective communion, </w:t>
      </w:r>
      <w:r w:rsidR="00A01D97">
        <w:rPr>
          <w:lang w:val="en-GB"/>
        </w:rPr>
        <w:t xml:space="preserve">and individual conduct operates within a collective Jewish behaviour. </w:t>
      </w:r>
    </w:p>
    <w:p w14:paraId="6FDCDE8B" w14:textId="035A9886" w:rsidR="00504025" w:rsidRDefault="008866BE" w:rsidP="00504025">
      <w:pPr>
        <w:jc w:val="both"/>
        <w:rPr>
          <w:lang w:val="en-GB"/>
        </w:rPr>
      </w:pPr>
      <w:r>
        <w:rPr>
          <w:lang w:val="en-GB"/>
        </w:rPr>
        <w:t xml:space="preserve">              </w:t>
      </w:r>
      <w:r w:rsidR="00504025" w:rsidRPr="00504025">
        <w:rPr>
          <w:lang w:val="en-GB"/>
        </w:rPr>
        <w:t xml:space="preserve">In </w:t>
      </w:r>
      <w:r w:rsidR="00F94EBC">
        <w:rPr>
          <w:lang w:val="en-GB"/>
        </w:rPr>
        <w:t>‘</w:t>
      </w:r>
      <w:r w:rsidR="00504025" w:rsidRPr="00504025">
        <w:rPr>
          <w:lang w:val="en-GB"/>
        </w:rPr>
        <w:t>Elementary Forms of Religious Life,</w:t>
      </w:r>
      <w:r w:rsidR="00F94EBC">
        <w:rPr>
          <w:lang w:val="en-GB"/>
        </w:rPr>
        <w:t>’</w:t>
      </w:r>
      <w:r w:rsidR="00504025" w:rsidRPr="00504025">
        <w:rPr>
          <w:lang w:val="en-GB"/>
        </w:rPr>
        <w:t xml:space="preserve"> Durkheim </w:t>
      </w:r>
      <w:r w:rsidR="00504025">
        <w:rPr>
          <w:lang w:val="en-GB"/>
        </w:rPr>
        <w:t xml:space="preserve">discusses his belief that religious life is based on the real, and that religion is a social construct. Beginning with the Totemic religions of Australia as his </w:t>
      </w:r>
      <w:r w:rsidR="00482127">
        <w:rPr>
          <w:lang w:val="en-GB"/>
        </w:rPr>
        <w:t>central</w:t>
      </w:r>
      <w:r w:rsidR="00504025">
        <w:rPr>
          <w:lang w:val="en-GB"/>
        </w:rPr>
        <w:t xml:space="preserve"> example that the roots of religion lie in the real, he stresses that all religions meet “needs that are part and parcel of human life.”</w:t>
      </w:r>
      <w:r w:rsidR="00504025">
        <w:rPr>
          <w:rStyle w:val="FootnoteReference"/>
          <w:lang w:val="en-GB"/>
        </w:rPr>
        <w:footnoteReference w:id="7"/>
      </w:r>
      <w:r w:rsidR="00504025">
        <w:rPr>
          <w:lang w:val="en-GB"/>
        </w:rPr>
        <w:t xml:space="preserve"> As Translator </w:t>
      </w:r>
      <w:r w:rsidR="00F94EBC">
        <w:rPr>
          <w:lang w:val="en-GB"/>
        </w:rPr>
        <w:t>Fields</w:t>
      </w:r>
      <w:r w:rsidR="00504025">
        <w:rPr>
          <w:lang w:val="en-GB"/>
        </w:rPr>
        <w:t xml:space="preserve"> notes, </w:t>
      </w:r>
      <w:r w:rsidR="00504025" w:rsidRPr="00504025">
        <w:rPr>
          <w:i/>
          <w:lang w:val="en-GB"/>
        </w:rPr>
        <w:t>Forms</w:t>
      </w:r>
      <w:r w:rsidR="00504025">
        <w:rPr>
          <w:i/>
          <w:lang w:val="en-GB"/>
        </w:rPr>
        <w:t xml:space="preserve"> </w:t>
      </w:r>
      <w:r w:rsidR="00504025">
        <w:rPr>
          <w:lang w:val="en-GB"/>
        </w:rPr>
        <w:t xml:space="preserve">is just as much a discussion of what constitutes the real and about the nature of human life as much as it is about the role of religion and its dynamic in human experience. </w:t>
      </w:r>
      <w:r w:rsidR="00B5056B">
        <w:rPr>
          <w:lang w:val="en-GB"/>
        </w:rPr>
        <w:t xml:space="preserve">The opening chapters (Book One) define religion and totemism. </w:t>
      </w:r>
      <w:r w:rsidR="008B4D17">
        <w:rPr>
          <w:lang w:val="en-GB"/>
        </w:rPr>
        <w:t xml:space="preserve">The middle chapters </w:t>
      </w:r>
      <w:r w:rsidR="00D1171F">
        <w:rPr>
          <w:lang w:val="en-GB"/>
        </w:rPr>
        <w:t>that</w:t>
      </w:r>
      <w:r w:rsidR="008B4D17">
        <w:rPr>
          <w:lang w:val="en-GB"/>
        </w:rPr>
        <w:t xml:space="preserve"> are contained within book two, discuss the “shared mental constructs” through which humanity views the world</w:t>
      </w:r>
      <w:r w:rsidR="00325334">
        <w:rPr>
          <w:lang w:val="en-GB"/>
        </w:rPr>
        <w:t>, and he pertains that all religions contain within them those mental constructs</w:t>
      </w:r>
      <w:r w:rsidR="00654A62">
        <w:rPr>
          <w:lang w:val="en-GB"/>
        </w:rPr>
        <w:t>.</w:t>
      </w:r>
      <w:r w:rsidR="00654A62">
        <w:rPr>
          <w:rStyle w:val="FootnoteReference"/>
          <w:lang w:val="en-GB"/>
        </w:rPr>
        <w:footnoteReference w:id="8"/>
      </w:r>
      <w:r w:rsidR="00654A62">
        <w:rPr>
          <w:lang w:val="en-GB"/>
        </w:rPr>
        <w:t xml:space="preserve"> </w:t>
      </w:r>
      <w:r w:rsidR="00C1562E">
        <w:rPr>
          <w:lang w:val="en-GB"/>
        </w:rPr>
        <w:t xml:space="preserve">  </w:t>
      </w:r>
      <w:r w:rsidR="00586770">
        <w:rPr>
          <w:lang w:val="en-GB"/>
        </w:rPr>
        <w:t xml:space="preserve">This leads to the series of theories which seem to be contained within each other and overlap, laid out in Book Three. </w:t>
      </w:r>
      <w:r w:rsidR="00AC75A5">
        <w:rPr>
          <w:lang w:val="en-GB"/>
        </w:rPr>
        <w:t>Fields</w:t>
      </w:r>
      <w:r w:rsidR="00182978">
        <w:rPr>
          <w:lang w:val="en-GB"/>
        </w:rPr>
        <w:t xml:space="preserve"> notes that book three deals with forms of collective conduct, which Durkheim lays out as inextricably linked to the mental constructs. Therefore </w:t>
      </w:r>
      <w:r w:rsidR="00742057">
        <w:rPr>
          <w:lang w:val="en-GB"/>
        </w:rPr>
        <w:t xml:space="preserve">it seems that book three is the discussion of the behaviours and material expressions of the mental constructs laid out in book two. </w:t>
      </w:r>
    </w:p>
    <w:p w14:paraId="76AF38A3" w14:textId="5C50870C" w:rsidR="000C3A7B" w:rsidRDefault="00D1171F" w:rsidP="00504025">
      <w:pPr>
        <w:jc w:val="both"/>
        <w:rPr>
          <w:lang w:val="en-GB"/>
        </w:rPr>
      </w:pPr>
      <w:r>
        <w:rPr>
          <w:lang w:val="en-GB"/>
        </w:rPr>
        <w:t xml:space="preserve">         </w:t>
      </w:r>
      <w:r w:rsidR="000C3A7B">
        <w:rPr>
          <w:lang w:val="en-GB"/>
        </w:rPr>
        <w:t xml:space="preserve">Durkheim takes an ethnocentric approach, discussing Australian </w:t>
      </w:r>
      <w:r>
        <w:rPr>
          <w:lang w:val="en-GB"/>
        </w:rPr>
        <w:t>society through the lens of totemic religions of Australia, notably the</w:t>
      </w:r>
      <w:r w:rsidR="00BB1B67">
        <w:rPr>
          <w:lang w:val="en-GB"/>
        </w:rPr>
        <w:t xml:space="preserve"> kangaroo </w:t>
      </w:r>
      <w:r>
        <w:rPr>
          <w:lang w:val="en-GB"/>
        </w:rPr>
        <w:t>clan is</w:t>
      </w:r>
      <w:r w:rsidR="00BB1B67">
        <w:rPr>
          <w:lang w:val="en-GB"/>
        </w:rPr>
        <w:t xml:space="preserve"> his first example of</w:t>
      </w:r>
      <w:r>
        <w:rPr>
          <w:lang w:val="en-GB"/>
        </w:rPr>
        <w:t xml:space="preserve"> humans who share an “amazing inner bond of shared essence with other humans, by sharing a name,” writes </w:t>
      </w:r>
      <w:r w:rsidR="0067638B">
        <w:rPr>
          <w:lang w:val="en-GB"/>
        </w:rPr>
        <w:t>Fields</w:t>
      </w:r>
      <w:r w:rsidR="00BB1B67">
        <w:rPr>
          <w:lang w:val="en-GB"/>
        </w:rPr>
        <w:t>.”</w:t>
      </w:r>
      <w:r w:rsidR="00BB1B67">
        <w:rPr>
          <w:rStyle w:val="FootnoteReference"/>
          <w:lang w:val="en-GB"/>
        </w:rPr>
        <w:footnoteReference w:id="9"/>
      </w:r>
      <w:r w:rsidR="00ED5224">
        <w:rPr>
          <w:lang w:val="en-GB"/>
        </w:rPr>
        <w:t xml:space="preserve"> </w:t>
      </w:r>
    </w:p>
    <w:p w14:paraId="1EE5F446" w14:textId="46B5C341" w:rsidR="00BC1EFF" w:rsidRDefault="00030AA5" w:rsidP="00504025">
      <w:pPr>
        <w:jc w:val="both"/>
        <w:rPr>
          <w:lang w:val="en-GB"/>
        </w:rPr>
      </w:pPr>
      <w:r>
        <w:rPr>
          <w:lang w:val="en-GB"/>
        </w:rPr>
        <w:t xml:space="preserve">         </w:t>
      </w:r>
      <w:r w:rsidR="00BC1EFF">
        <w:rPr>
          <w:lang w:val="en-GB"/>
        </w:rPr>
        <w:t xml:space="preserve">Durkheim’s approach is sociological and </w:t>
      </w:r>
      <w:r w:rsidR="00C8455D">
        <w:rPr>
          <w:lang w:val="en-GB"/>
        </w:rPr>
        <w:t>epistemological;</w:t>
      </w:r>
      <w:r w:rsidR="00BC1EFF">
        <w:rPr>
          <w:lang w:val="en-GB"/>
        </w:rPr>
        <w:t xml:space="preserve"> insofar that he only defines what is ‘real’</w:t>
      </w:r>
      <w:r w:rsidR="000E0666">
        <w:rPr>
          <w:lang w:val="en-GB"/>
        </w:rPr>
        <w:t>,</w:t>
      </w:r>
      <w:r w:rsidR="00BC1EFF">
        <w:rPr>
          <w:lang w:val="en-GB"/>
        </w:rPr>
        <w:t xml:space="preserve"> according to </w:t>
      </w:r>
      <w:r w:rsidR="0067638B">
        <w:rPr>
          <w:lang w:val="en-GB"/>
        </w:rPr>
        <w:t>Fields</w:t>
      </w:r>
      <w:r w:rsidR="00BC1EFF">
        <w:rPr>
          <w:lang w:val="en-GB"/>
        </w:rPr>
        <w:t xml:space="preserve">, through his discussion of the uniquely human experience of knowing. </w:t>
      </w:r>
      <w:r w:rsidR="00666B98">
        <w:rPr>
          <w:lang w:val="en-GB"/>
        </w:rPr>
        <w:t>Durkheim posits that those means of knowing “begin with human sociability.”</w:t>
      </w:r>
      <w:r w:rsidR="00666B98">
        <w:rPr>
          <w:rStyle w:val="FootnoteReference"/>
          <w:lang w:val="en-GB"/>
        </w:rPr>
        <w:footnoteReference w:id="10"/>
      </w:r>
      <w:r w:rsidR="00666B98">
        <w:rPr>
          <w:lang w:val="en-GB"/>
        </w:rPr>
        <w:t xml:space="preserve"> </w:t>
      </w:r>
      <w:r w:rsidR="005545C2">
        <w:rPr>
          <w:lang w:val="en-GB"/>
        </w:rPr>
        <w:t xml:space="preserve">He reasons that religion is therefore </w:t>
      </w:r>
      <w:r w:rsidR="006D6D28">
        <w:rPr>
          <w:lang w:val="en-GB"/>
        </w:rPr>
        <w:t>the first by</w:t>
      </w:r>
      <w:r w:rsidR="005545C2">
        <w:rPr>
          <w:lang w:val="en-GB"/>
        </w:rPr>
        <w:t xml:space="preserve"> </w:t>
      </w:r>
      <w:r w:rsidR="006D6D28">
        <w:rPr>
          <w:lang w:val="en-GB"/>
        </w:rPr>
        <w:t>product of knowl</w:t>
      </w:r>
      <w:r w:rsidR="005545C2">
        <w:rPr>
          <w:lang w:val="en-GB"/>
        </w:rPr>
        <w:t>edge, of reason, and that therefore science sprang forth from religion.</w:t>
      </w:r>
      <w:r w:rsidR="00077EF2">
        <w:rPr>
          <w:lang w:val="en-GB"/>
        </w:rPr>
        <w:t xml:space="preserve"> Durkheim’s departure with totemism in Australia serves as a useful basket within which the various aspects of society and humanity’s needs are discussed. For him, all those aspects lead to religion as a logical conclusion and natural expression of those aspects </w:t>
      </w:r>
      <w:r w:rsidR="00FC50BE">
        <w:rPr>
          <w:lang w:val="en-GB"/>
        </w:rPr>
        <w:t xml:space="preserve">laid out in the analysis below, namely ‘reason, identity and community.’ </w:t>
      </w:r>
    </w:p>
    <w:p w14:paraId="043F396E" w14:textId="4B1790E5" w:rsidR="004C076C" w:rsidRDefault="00030AA5" w:rsidP="00504025">
      <w:pPr>
        <w:jc w:val="both"/>
        <w:rPr>
          <w:lang w:val="en-GB"/>
        </w:rPr>
      </w:pPr>
      <w:r>
        <w:rPr>
          <w:lang w:val="en-GB"/>
        </w:rPr>
        <w:t xml:space="preserve">           </w:t>
      </w:r>
      <w:r w:rsidR="00D32824">
        <w:rPr>
          <w:lang w:val="en-GB"/>
        </w:rPr>
        <w:t xml:space="preserve">Mircea Eliade sets out to clearly define the polarity between the </w:t>
      </w:r>
      <w:r w:rsidR="008866BE">
        <w:rPr>
          <w:lang w:val="en-GB"/>
        </w:rPr>
        <w:t>‘</w:t>
      </w:r>
      <w:r w:rsidR="00D32824" w:rsidRPr="008866BE">
        <w:rPr>
          <w:lang w:val="en-GB"/>
        </w:rPr>
        <w:t>sacred</w:t>
      </w:r>
      <w:r w:rsidR="008866BE">
        <w:rPr>
          <w:lang w:val="en-GB"/>
        </w:rPr>
        <w:t>’</w:t>
      </w:r>
      <w:r w:rsidR="00D32824">
        <w:rPr>
          <w:lang w:val="en-GB"/>
        </w:rPr>
        <w:t xml:space="preserve"> and the </w:t>
      </w:r>
      <w:r w:rsidR="008866BE">
        <w:rPr>
          <w:lang w:val="en-GB"/>
        </w:rPr>
        <w:t>‘</w:t>
      </w:r>
      <w:r w:rsidR="00D32824" w:rsidRPr="008866BE">
        <w:rPr>
          <w:lang w:val="en-GB"/>
        </w:rPr>
        <w:t>profane</w:t>
      </w:r>
      <w:r w:rsidR="00D32824">
        <w:rPr>
          <w:lang w:val="en-GB"/>
        </w:rPr>
        <w:t>.</w:t>
      </w:r>
      <w:r w:rsidR="008866BE">
        <w:rPr>
          <w:lang w:val="en-GB"/>
        </w:rPr>
        <w:t>’</w:t>
      </w:r>
      <w:r w:rsidR="00D32824">
        <w:rPr>
          <w:lang w:val="en-GB"/>
        </w:rPr>
        <w:t xml:space="preserve"> </w:t>
      </w:r>
      <w:r w:rsidR="00CA5494">
        <w:rPr>
          <w:lang w:val="en-GB"/>
        </w:rPr>
        <w:t xml:space="preserve">In his introduction, Eliade defines the sacred primarily as the opposite of the profane, </w:t>
      </w:r>
      <w:r w:rsidR="00E63DC5">
        <w:rPr>
          <w:lang w:val="en-GB"/>
        </w:rPr>
        <w:t xml:space="preserve">in his view </w:t>
      </w:r>
      <w:r w:rsidR="00CA5494">
        <w:rPr>
          <w:lang w:val="en-GB"/>
        </w:rPr>
        <w:t>they are always juxtaposed and exis</w:t>
      </w:r>
      <w:r w:rsidR="00E63DC5">
        <w:rPr>
          <w:lang w:val="en-GB"/>
        </w:rPr>
        <w:t>t in relation to one another. Eliade further defines the sacred as something which “shows itself” and it is this act of showing that he describes as a hierophany.</w:t>
      </w:r>
      <w:r w:rsidR="00E63DC5">
        <w:rPr>
          <w:rStyle w:val="FootnoteReference"/>
          <w:lang w:val="en-GB"/>
        </w:rPr>
        <w:footnoteReference w:id="11"/>
      </w:r>
      <w:r w:rsidR="00E63DC5">
        <w:rPr>
          <w:lang w:val="en-GB"/>
        </w:rPr>
        <w:t xml:space="preserve"> </w:t>
      </w:r>
      <w:r w:rsidR="007F6836">
        <w:rPr>
          <w:lang w:val="en-GB"/>
        </w:rPr>
        <w:t>However Eliade goes further to stress the unique quality of the sacred, that it is not merely something that can be perceived but that it is “the manifestation of something of a wholly different order, a reality that does not belong to our world.”</w:t>
      </w:r>
      <w:r w:rsidR="007F6836">
        <w:rPr>
          <w:rStyle w:val="FootnoteReference"/>
          <w:lang w:val="en-GB"/>
        </w:rPr>
        <w:footnoteReference w:id="12"/>
      </w:r>
      <w:r w:rsidR="007F6836">
        <w:rPr>
          <w:lang w:val="en-GB"/>
        </w:rPr>
        <w:t xml:space="preserve"> </w:t>
      </w:r>
      <w:r w:rsidR="00DD4F8B">
        <w:rPr>
          <w:lang w:val="en-GB"/>
        </w:rPr>
        <w:t>Eliade also elaborates on the overlapping or complex relationship between the sacred as it erupts from the profane world, when he writes “a sacred stone remains a stone, nothing distinguishes it from all other stones.”</w:t>
      </w:r>
      <w:r w:rsidR="00DD4F8B">
        <w:rPr>
          <w:rStyle w:val="FootnoteReference"/>
          <w:lang w:val="en-GB"/>
        </w:rPr>
        <w:footnoteReference w:id="13"/>
      </w:r>
      <w:r w:rsidR="00C63508">
        <w:rPr>
          <w:lang w:val="en-GB"/>
        </w:rPr>
        <w:t xml:space="preserve"> Therefore this gives the idea of the sacred as being a </w:t>
      </w:r>
      <w:r w:rsidR="00C63508" w:rsidRPr="00C63508">
        <w:rPr>
          <w:i/>
          <w:lang w:val="en-GB"/>
        </w:rPr>
        <w:t>potential</w:t>
      </w:r>
      <w:r w:rsidR="00C63508">
        <w:rPr>
          <w:lang w:val="en-GB"/>
        </w:rPr>
        <w:t xml:space="preserve">. </w:t>
      </w:r>
      <w:r w:rsidR="00A50B0B">
        <w:rPr>
          <w:lang w:val="en-GB"/>
        </w:rPr>
        <w:t>However Eliade is adamant in stressing the fact that all of reality is sacred. He writes that “the sacred is saturated with being,” and repeats the same idea in a different manner when stating that “the sacred is equivalent to a power, and, in the last analysis, to reality.”</w:t>
      </w:r>
      <w:r w:rsidR="00C77A80">
        <w:rPr>
          <w:rStyle w:val="FootnoteReference"/>
          <w:lang w:val="en-GB"/>
        </w:rPr>
        <w:footnoteReference w:id="14"/>
      </w:r>
    </w:p>
    <w:p w14:paraId="44B73CC9" w14:textId="53B27E92" w:rsidR="0096079C" w:rsidRDefault="008866BE" w:rsidP="00504025">
      <w:pPr>
        <w:jc w:val="both"/>
        <w:rPr>
          <w:lang w:val="en-GB"/>
        </w:rPr>
      </w:pPr>
      <w:r>
        <w:rPr>
          <w:lang w:val="en-GB"/>
        </w:rPr>
        <w:t xml:space="preserve">         </w:t>
      </w:r>
      <w:r w:rsidR="004C076C">
        <w:rPr>
          <w:lang w:val="en-GB"/>
        </w:rPr>
        <w:t xml:space="preserve">Translator </w:t>
      </w:r>
      <w:r w:rsidR="0067638B">
        <w:rPr>
          <w:lang w:val="en-GB"/>
        </w:rPr>
        <w:t>Fields</w:t>
      </w:r>
      <w:r w:rsidR="004C076C">
        <w:rPr>
          <w:lang w:val="en-GB"/>
        </w:rPr>
        <w:t xml:space="preserve"> </w:t>
      </w:r>
      <w:r w:rsidR="00E9329C">
        <w:rPr>
          <w:lang w:val="en-GB"/>
        </w:rPr>
        <w:t xml:space="preserve">writes that Durkheim puts forward human sociability as the root of all human means of knowing, and that this constitutes the real. The mind is presented as belonging to the collective rather than to the individual. </w:t>
      </w:r>
      <w:r w:rsidR="0067638B">
        <w:rPr>
          <w:lang w:val="en-GB"/>
        </w:rPr>
        <w:t>Fields</w:t>
      </w:r>
      <w:r w:rsidR="00D960F1">
        <w:rPr>
          <w:lang w:val="en-GB"/>
        </w:rPr>
        <w:t xml:space="preserve"> is somewhat critical of Durkheim’s inability or choice to not address the idea of individual thought in much depth. </w:t>
      </w:r>
      <w:r w:rsidR="0067638B">
        <w:rPr>
          <w:lang w:val="en-GB"/>
        </w:rPr>
        <w:t>Fields</w:t>
      </w:r>
      <w:r w:rsidR="00625AED">
        <w:rPr>
          <w:lang w:val="en-GB"/>
        </w:rPr>
        <w:t xml:space="preserve"> writes that “on this subject, the early critical voice is unamazed, settling for well-worn park benches of thought.”</w:t>
      </w:r>
      <w:r w:rsidR="00625AED">
        <w:rPr>
          <w:rStyle w:val="FootnoteReference"/>
          <w:lang w:val="en-GB"/>
        </w:rPr>
        <w:footnoteReference w:id="15"/>
      </w:r>
      <w:r w:rsidR="00E05C03">
        <w:rPr>
          <w:lang w:val="en-GB"/>
        </w:rPr>
        <w:t xml:space="preserve"> </w:t>
      </w:r>
      <w:r w:rsidR="0067638B">
        <w:rPr>
          <w:lang w:val="en-GB"/>
        </w:rPr>
        <w:t>Fields</w:t>
      </w:r>
      <w:r w:rsidR="008674EB">
        <w:rPr>
          <w:lang w:val="en-GB"/>
        </w:rPr>
        <w:t xml:space="preserve"> scrutinizes that Durkheim does not account much for the idea of human individuality. </w:t>
      </w:r>
      <w:r w:rsidR="0067638B">
        <w:rPr>
          <w:lang w:val="en-GB"/>
        </w:rPr>
        <w:t>Fields</w:t>
      </w:r>
      <w:r w:rsidR="00B1579F">
        <w:rPr>
          <w:lang w:val="en-GB"/>
        </w:rPr>
        <w:t xml:space="preserve"> takes this criticism further suggesting that Durkheim’s example of the </w:t>
      </w:r>
      <w:r w:rsidR="00F1384F">
        <w:rPr>
          <w:lang w:val="en-GB"/>
        </w:rPr>
        <w:t xml:space="preserve">relational dynamic between the Kangaroo clan does not easily translate when examining human society. </w:t>
      </w:r>
      <w:r w:rsidR="0067638B">
        <w:rPr>
          <w:lang w:val="en-GB"/>
        </w:rPr>
        <w:t>Fields</w:t>
      </w:r>
      <w:r w:rsidR="002A6C15">
        <w:rPr>
          <w:lang w:val="en-GB"/>
        </w:rPr>
        <w:t xml:space="preserve"> writes “Human individuals are inherently distinct from one another, and so the potential for mutually recognized identity is far from obvious.”</w:t>
      </w:r>
      <w:r w:rsidR="002A6C15">
        <w:rPr>
          <w:rStyle w:val="FootnoteReference"/>
          <w:lang w:val="en-GB"/>
        </w:rPr>
        <w:footnoteReference w:id="16"/>
      </w:r>
      <w:r w:rsidR="0036477D">
        <w:rPr>
          <w:lang w:val="en-GB"/>
        </w:rPr>
        <w:t xml:space="preserve"> This seems to be the most obvious oversight in Durkheim’</w:t>
      </w:r>
      <w:r w:rsidR="0055616E">
        <w:rPr>
          <w:lang w:val="en-GB"/>
        </w:rPr>
        <w:t>s philosophy</w:t>
      </w:r>
      <w:r w:rsidR="008F0235">
        <w:rPr>
          <w:lang w:val="en-GB"/>
        </w:rPr>
        <w:t>. H</w:t>
      </w:r>
      <w:r w:rsidR="0036477D">
        <w:rPr>
          <w:lang w:val="en-GB"/>
        </w:rPr>
        <w:t xml:space="preserve">e does not account for diversity of belief within </w:t>
      </w:r>
      <w:r w:rsidR="009B1A48">
        <w:rPr>
          <w:lang w:val="en-GB"/>
        </w:rPr>
        <w:t xml:space="preserve">the minds of a group of humans, tempting the reader instead to consider that humans, like herds of animals </w:t>
      </w:r>
      <w:r w:rsidR="0096079C">
        <w:rPr>
          <w:lang w:val="en-GB"/>
        </w:rPr>
        <w:t>or</w:t>
      </w:r>
      <w:r w:rsidR="009B1A48">
        <w:rPr>
          <w:lang w:val="en-GB"/>
        </w:rPr>
        <w:t xml:space="preserve"> tribes might have core</w:t>
      </w:r>
      <w:r w:rsidR="0096079C">
        <w:rPr>
          <w:lang w:val="en-GB"/>
        </w:rPr>
        <w:t>,</w:t>
      </w:r>
      <w:r w:rsidR="009B1A48">
        <w:rPr>
          <w:lang w:val="en-GB"/>
        </w:rPr>
        <w:t xml:space="preserve"> shared motivations and mental constructs that ultimately when stripped of conditioning in the modern world, would lead to the same drives for religion. </w:t>
      </w:r>
      <w:r w:rsidR="0096079C">
        <w:rPr>
          <w:lang w:val="en-GB"/>
        </w:rPr>
        <w:t xml:space="preserve">We should consider Maureen Bloom’s commentary on his Jewish ancestry and upbringing, that although Durkheim dropped his name David and rejected the expectations to follow a religious path, we cannot overlook the issue of anti-Semitism that would have been rife in fin-de-siècle France. Therefore Bloom is right to point out that the inherent bias in his teachings on the collective role of religion, does in some way stem from his personal background. </w:t>
      </w:r>
    </w:p>
    <w:p w14:paraId="34847A79" w14:textId="2289BBC3" w:rsidR="005545C2" w:rsidRDefault="009B1A48" w:rsidP="005545C2">
      <w:pPr>
        <w:jc w:val="both"/>
        <w:rPr>
          <w:lang w:val="en-GB"/>
        </w:rPr>
      </w:pPr>
      <w:r>
        <w:rPr>
          <w:lang w:val="en-GB"/>
        </w:rPr>
        <w:t xml:space="preserve">          </w:t>
      </w:r>
      <w:r w:rsidR="0067638B">
        <w:rPr>
          <w:lang w:val="en-GB"/>
        </w:rPr>
        <w:t>Fields</w:t>
      </w:r>
      <w:r w:rsidR="005545C2">
        <w:rPr>
          <w:lang w:val="en-GB"/>
        </w:rPr>
        <w:t xml:space="preserve"> appears to applaud Durkheim for his grouping together of “reason, identity and community – three subjects that we tend neither to place under the heading religion nor to group together.”</w:t>
      </w:r>
      <w:r w:rsidR="005545C2">
        <w:rPr>
          <w:rStyle w:val="FootnoteReference"/>
          <w:lang w:val="en-GB"/>
        </w:rPr>
        <w:footnoteReference w:id="17"/>
      </w:r>
      <w:r w:rsidR="005545C2">
        <w:rPr>
          <w:lang w:val="en-GB"/>
        </w:rPr>
        <w:t xml:space="preserve"> </w:t>
      </w:r>
      <w:r w:rsidR="000A06F0">
        <w:rPr>
          <w:lang w:val="en-GB"/>
        </w:rPr>
        <w:t xml:space="preserve">However we are also drawn to the rhetorical style of the body of the text </w:t>
      </w:r>
      <w:r>
        <w:rPr>
          <w:lang w:val="en-GB"/>
        </w:rPr>
        <w:t>that</w:t>
      </w:r>
      <w:r w:rsidR="000A06F0">
        <w:rPr>
          <w:lang w:val="en-GB"/>
        </w:rPr>
        <w:t xml:space="preserve"> anticipates the reader’s criticism or scepticism</w:t>
      </w:r>
      <w:r>
        <w:rPr>
          <w:lang w:val="en-GB"/>
        </w:rPr>
        <w:t xml:space="preserve">. This is further discussed below. </w:t>
      </w:r>
    </w:p>
    <w:p w14:paraId="43F081CE" w14:textId="04F33694" w:rsidR="002A6C15" w:rsidRDefault="00697595" w:rsidP="00504025">
      <w:pPr>
        <w:jc w:val="both"/>
        <w:rPr>
          <w:lang w:val="en-GB"/>
        </w:rPr>
      </w:pPr>
      <w:r>
        <w:rPr>
          <w:lang w:val="en-GB"/>
        </w:rPr>
        <w:t xml:space="preserve">           </w:t>
      </w:r>
      <w:r w:rsidR="002A6C15">
        <w:rPr>
          <w:lang w:val="en-GB"/>
        </w:rPr>
        <w:t xml:space="preserve">In ‘Forms’ Durkheim’s underlying philosophy influences the structure of his writing.  </w:t>
      </w:r>
      <w:r w:rsidR="0067638B">
        <w:rPr>
          <w:lang w:val="en-GB"/>
        </w:rPr>
        <w:t>Fields</w:t>
      </w:r>
      <w:r w:rsidR="004309E9">
        <w:rPr>
          <w:lang w:val="en-GB"/>
        </w:rPr>
        <w:t xml:space="preserve"> notes that Durkheim’s theory of how society constitutes </w:t>
      </w:r>
      <w:r w:rsidR="00980E70">
        <w:rPr>
          <w:lang w:val="en-GB"/>
        </w:rPr>
        <w:t>itself</w:t>
      </w:r>
      <w:r w:rsidR="004309E9">
        <w:rPr>
          <w:lang w:val="en-GB"/>
        </w:rPr>
        <w:t xml:space="preserve"> is presented as inseparable from how human mentality constitutes itself.  These interrelated issues are contained within the same second book that makes up the middle chapters. Only then in Book Three does Durkheim lead us to the discussion of human conduct, therefore books one and two depart from the mental constructs, and any human behaviour is </w:t>
      </w:r>
      <w:r w:rsidR="00980E70">
        <w:rPr>
          <w:lang w:val="en-GB"/>
        </w:rPr>
        <w:t>discussed in book three</w:t>
      </w:r>
      <w:r w:rsidR="004309E9">
        <w:rPr>
          <w:lang w:val="en-GB"/>
        </w:rPr>
        <w:t xml:space="preserve"> as a result of those shared mental constructs. So the structure of his writing mirrors the structure of his theory. </w:t>
      </w:r>
      <w:r w:rsidR="00980E70">
        <w:rPr>
          <w:lang w:val="en-GB"/>
        </w:rPr>
        <w:t xml:space="preserve">However this is helpful in laying out a convincing theory, one could argue it makes it easier for the reader if Durkheim’s form mirrors his thought. The more jarring the reader finds this structure to follow, the less likely they are to agree with his theory.  </w:t>
      </w:r>
    </w:p>
    <w:p w14:paraId="2119D6A5" w14:textId="469C1789" w:rsidR="0092213C" w:rsidRDefault="00E94D1E" w:rsidP="00504025">
      <w:pPr>
        <w:jc w:val="both"/>
        <w:rPr>
          <w:lang w:val="en-GB"/>
        </w:rPr>
      </w:pPr>
      <w:r>
        <w:rPr>
          <w:lang w:val="en-GB"/>
        </w:rPr>
        <w:t xml:space="preserve">      </w:t>
      </w:r>
      <w:r w:rsidR="0092213C">
        <w:rPr>
          <w:lang w:val="en-GB"/>
        </w:rPr>
        <w:t xml:space="preserve">Durkheim does not clearly delineate what constitutes the “needs” of society. </w:t>
      </w:r>
      <w:r w:rsidR="00B93810">
        <w:rPr>
          <w:lang w:val="en-GB"/>
        </w:rPr>
        <w:t xml:space="preserve">However from the beginning he </w:t>
      </w:r>
      <w:r w:rsidR="00EE12D7">
        <w:rPr>
          <w:lang w:val="en-GB"/>
        </w:rPr>
        <w:t xml:space="preserve">addresses what he believes </w:t>
      </w:r>
      <w:r w:rsidR="00B93810">
        <w:rPr>
          <w:lang w:val="en-GB"/>
        </w:rPr>
        <w:t>constitutes the ‘real’, confidently outlining that “There are no religions that are false,” and he goes further to say that if religion was not rooted in materiality, it would not have survived.</w:t>
      </w:r>
      <w:r w:rsidR="00EE12D7">
        <w:rPr>
          <w:lang w:val="en-GB"/>
        </w:rPr>
        <w:t xml:space="preserve"> This is an example of how even if his argument for what constitutes as ‘real’ is not fully developed,’ </w:t>
      </w:r>
      <w:r w:rsidR="00995F43">
        <w:rPr>
          <w:lang w:val="en-GB"/>
        </w:rPr>
        <w:t xml:space="preserve">his style and tone anticipates </w:t>
      </w:r>
      <w:r w:rsidR="00164F31">
        <w:rPr>
          <w:lang w:val="en-GB"/>
        </w:rPr>
        <w:t xml:space="preserve">challenges to his theory. </w:t>
      </w:r>
    </w:p>
    <w:p w14:paraId="6D3FCA8B" w14:textId="4405F277" w:rsidR="00E94D1E" w:rsidRDefault="00E94D1E" w:rsidP="00504025">
      <w:pPr>
        <w:jc w:val="both"/>
        <w:rPr>
          <w:lang w:val="en-GB"/>
        </w:rPr>
      </w:pPr>
      <w:r>
        <w:rPr>
          <w:lang w:val="en-GB"/>
        </w:rPr>
        <w:t xml:space="preserve">In terms of writing style, if we return to the issue of his polemical tone, it is revealing to note that </w:t>
      </w:r>
      <w:r w:rsidR="0067638B">
        <w:rPr>
          <w:lang w:val="en-GB"/>
        </w:rPr>
        <w:t>Fields</w:t>
      </w:r>
      <w:r>
        <w:rPr>
          <w:lang w:val="en-GB"/>
        </w:rPr>
        <w:t xml:space="preserve"> tells us “It is easy to see a calculated polemical edge in Durkheim’s </w:t>
      </w:r>
      <w:r w:rsidRPr="00E94D1E">
        <w:rPr>
          <w:i/>
          <w:lang w:val="en-GB"/>
        </w:rPr>
        <w:t>Suicide</w:t>
      </w:r>
      <w:r>
        <w:rPr>
          <w:lang w:val="en-GB"/>
        </w:rPr>
        <w:t xml:space="preserve">, where he tackles as a sociological puzzle….” the words </w:t>
      </w:r>
      <w:r w:rsidRPr="00E94D1E">
        <w:rPr>
          <w:i/>
          <w:lang w:val="en-GB"/>
        </w:rPr>
        <w:t>calculated</w:t>
      </w:r>
      <w:r>
        <w:rPr>
          <w:i/>
          <w:lang w:val="en-GB"/>
        </w:rPr>
        <w:t xml:space="preserve"> </w:t>
      </w:r>
      <w:r>
        <w:rPr>
          <w:lang w:val="en-GB"/>
        </w:rPr>
        <w:t xml:space="preserve">and </w:t>
      </w:r>
      <w:r>
        <w:rPr>
          <w:i/>
          <w:lang w:val="en-GB"/>
        </w:rPr>
        <w:t xml:space="preserve">puzzle </w:t>
      </w:r>
      <w:r>
        <w:rPr>
          <w:lang w:val="en-GB"/>
        </w:rPr>
        <w:t xml:space="preserve">suggest that </w:t>
      </w:r>
      <w:r w:rsidR="0067638B">
        <w:rPr>
          <w:lang w:val="en-GB"/>
        </w:rPr>
        <w:t>Fields</w:t>
      </w:r>
      <w:r>
        <w:rPr>
          <w:lang w:val="en-GB"/>
        </w:rPr>
        <w:t xml:space="preserve"> has picked up on a rebellious motivation in Durkheim’s work which if he expected to be controversial, would have fuelled his tone which anticipates criticism throughout. Therefore his polemical tone and style of writing is perhaps a conscious tool used to protect the very theories he puts forth. </w:t>
      </w:r>
    </w:p>
    <w:p w14:paraId="6FBAD521" w14:textId="2940466A" w:rsidR="00850ABC" w:rsidRDefault="00697595" w:rsidP="00D32824">
      <w:pPr>
        <w:jc w:val="both"/>
        <w:rPr>
          <w:lang w:val="en-GB"/>
        </w:rPr>
      </w:pPr>
      <w:r>
        <w:rPr>
          <w:lang w:val="en-GB"/>
        </w:rPr>
        <w:t xml:space="preserve">            </w:t>
      </w:r>
      <w:r w:rsidR="00C63508">
        <w:rPr>
          <w:lang w:val="en-GB"/>
        </w:rPr>
        <w:t xml:space="preserve">Returning to Eliade’s point in his introduction referenced above in my summary, that “the cosmos in its entirety can become a hierophany,” we must note this idea of the sacred being a </w:t>
      </w:r>
      <w:r w:rsidR="00C63508" w:rsidRPr="00B6305A">
        <w:rPr>
          <w:lang w:val="en-GB"/>
        </w:rPr>
        <w:t>potential</w:t>
      </w:r>
      <w:r w:rsidR="00C63508">
        <w:rPr>
          <w:lang w:val="en-GB"/>
        </w:rPr>
        <w:t xml:space="preserve">, which is a perspective not shared by Durkheim. </w:t>
      </w:r>
      <w:r w:rsidR="00C63508">
        <w:rPr>
          <w:rStyle w:val="FootnoteReference"/>
          <w:lang w:val="en-GB"/>
        </w:rPr>
        <w:footnoteReference w:id="18"/>
      </w:r>
      <w:r w:rsidR="00C77A80">
        <w:rPr>
          <w:lang w:val="en-GB"/>
        </w:rPr>
        <w:t xml:space="preserve"> What is less clear when examining Eliade’s argument is when he writes that “Sacred power means reality and at the same time enduringness and efficacity.”</w:t>
      </w:r>
      <w:r w:rsidR="00C77A80">
        <w:rPr>
          <w:rStyle w:val="FootnoteReference"/>
          <w:lang w:val="en-GB"/>
        </w:rPr>
        <w:footnoteReference w:id="19"/>
      </w:r>
      <w:r w:rsidR="00B6305A">
        <w:rPr>
          <w:lang w:val="en-GB"/>
        </w:rPr>
        <w:t xml:space="preserve"> Here Durkheim’s theories are perhaps more convincing as a result of his Jewish background. For Eliade’s use of the term </w:t>
      </w:r>
      <w:r w:rsidR="00B6305A" w:rsidRPr="0070732D">
        <w:rPr>
          <w:i/>
          <w:lang w:val="en-GB"/>
        </w:rPr>
        <w:t>hierophany</w:t>
      </w:r>
      <w:r w:rsidR="00B6305A">
        <w:rPr>
          <w:lang w:val="en-GB"/>
        </w:rPr>
        <w:t>, seem to be a secular way of framing that which Durkh</w:t>
      </w:r>
      <w:r w:rsidR="0081029F">
        <w:rPr>
          <w:lang w:val="en-GB"/>
        </w:rPr>
        <w:t>eim would have subconsciously,</w:t>
      </w:r>
      <w:r w:rsidR="00B6305A">
        <w:rPr>
          <w:lang w:val="en-GB"/>
        </w:rPr>
        <w:t xml:space="preserve"> </w:t>
      </w:r>
      <w:r w:rsidR="0081029F">
        <w:rPr>
          <w:lang w:val="en-GB"/>
        </w:rPr>
        <w:t>(</w:t>
      </w:r>
      <w:r w:rsidR="00B6305A">
        <w:rPr>
          <w:lang w:val="en-GB"/>
        </w:rPr>
        <w:t xml:space="preserve">if we are in agreement with Maureen  Bloom) viewed as a natural expression of religion in society. Therefore Eliade’s use of the term hierophany appears </w:t>
      </w:r>
      <w:r w:rsidR="0070732D">
        <w:rPr>
          <w:lang w:val="en-GB"/>
        </w:rPr>
        <w:t>to be</w:t>
      </w:r>
      <w:r w:rsidR="00850ABC">
        <w:rPr>
          <w:lang w:val="en-GB"/>
        </w:rPr>
        <w:t xml:space="preserve"> a secular term for that which Durkheim’s theological backgro</w:t>
      </w:r>
      <w:r w:rsidR="00AF0313">
        <w:rPr>
          <w:lang w:val="en-GB"/>
        </w:rPr>
        <w:t xml:space="preserve">und and inherited Judaic wisdom would naturally understand as the sacred, or an expression of the divine. </w:t>
      </w:r>
      <w:r w:rsidR="00850ABC">
        <w:rPr>
          <w:lang w:val="en-GB"/>
        </w:rPr>
        <w:t xml:space="preserve"> </w:t>
      </w:r>
    </w:p>
    <w:p w14:paraId="4BE7933C" w14:textId="04CB0EAA" w:rsidR="007C37D7" w:rsidRDefault="00AF0313" w:rsidP="00D32824">
      <w:pPr>
        <w:jc w:val="both"/>
        <w:rPr>
          <w:lang w:val="en-GB"/>
        </w:rPr>
      </w:pPr>
      <w:r>
        <w:rPr>
          <w:lang w:val="en-GB"/>
        </w:rPr>
        <w:t xml:space="preserve">         </w:t>
      </w:r>
      <w:r w:rsidR="00E25154">
        <w:rPr>
          <w:lang w:val="en-GB"/>
        </w:rPr>
        <w:t xml:space="preserve">Similarly, Rudolf Otto’s influence on Eliade’s work </w:t>
      </w:r>
      <w:r w:rsidR="00A9666E">
        <w:rPr>
          <w:lang w:val="en-GB"/>
        </w:rPr>
        <w:t xml:space="preserve">means that the reduction of religion and religious experience to be described as the </w:t>
      </w:r>
      <w:r w:rsidR="00A9666E" w:rsidRPr="00A9666E">
        <w:rPr>
          <w:i/>
          <w:lang w:val="en-GB"/>
        </w:rPr>
        <w:t>numinous</w:t>
      </w:r>
      <w:r w:rsidR="00A9666E">
        <w:rPr>
          <w:lang w:val="en-GB"/>
        </w:rPr>
        <w:t xml:space="preserve">, does not add strength to his argument, if anything it serves as an additional </w:t>
      </w:r>
      <w:r w:rsidR="0070732D">
        <w:rPr>
          <w:lang w:val="en-GB"/>
        </w:rPr>
        <w:t>barrier</w:t>
      </w:r>
      <w:r w:rsidR="00A9666E">
        <w:rPr>
          <w:lang w:val="en-GB"/>
        </w:rPr>
        <w:t xml:space="preserve"> that distances the author and</w:t>
      </w:r>
      <w:r w:rsidR="004174D9">
        <w:rPr>
          <w:lang w:val="en-GB"/>
        </w:rPr>
        <w:t xml:space="preserve"> reader from the term religion. I</w:t>
      </w:r>
      <w:r>
        <w:rPr>
          <w:lang w:val="en-GB"/>
        </w:rPr>
        <w:t>t seems that Durkheim’s religious background although can be perceived as a bias, are also a strength</w:t>
      </w:r>
      <w:r w:rsidR="004174D9">
        <w:rPr>
          <w:lang w:val="en-GB"/>
        </w:rPr>
        <w:t xml:space="preserve">. </w:t>
      </w:r>
      <w:r>
        <w:rPr>
          <w:lang w:val="en-GB"/>
        </w:rPr>
        <w:t xml:space="preserve">Despite the fact that he repressed his Jewish roots, the connection to religion means terms such as the numinous serve little use and therefore his writing is more direct. </w:t>
      </w:r>
    </w:p>
    <w:p w14:paraId="7CFE3059" w14:textId="2F783D25" w:rsidR="0070732D" w:rsidRDefault="00AF0313" w:rsidP="00D32824">
      <w:pPr>
        <w:jc w:val="both"/>
        <w:rPr>
          <w:lang w:val="en-GB"/>
        </w:rPr>
      </w:pPr>
      <w:r>
        <w:rPr>
          <w:lang w:val="en-GB"/>
        </w:rPr>
        <w:t xml:space="preserve">         </w:t>
      </w:r>
      <w:r w:rsidR="007C37D7">
        <w:rPr>
          <w:lang w:val="en-GB"/>
        </w:rPr>
        <w:t>Maureen Bloom’s analysis of Durkheim’s work is succinct and convincing, and it relates to the comparison with Eliade’s theories as she clearly lays out how “he saw religious experience – mainly rooted in the performance of ritual – as an experience of reality.”</w:t>
      </w:r>
      <w:r w:rsidR="007C37D7">
        <w:rPr>
          <w:rStyle w:val="FootnoteReference"/>
          <w:lang w:val="en-GB"/>
        </w:rPr>
        <w:footnoteReference w:id="20"/>
      </w:r>
      <w:r w:rsidR="00580212">
        <w:rPr>
          <w:lang w:val="en-GB"/>
        </w:rPr>
        <w:t xml:space="preserve"> She goes on to say that ‘the reality at the heart of ritual is revealed to be society itself.”</w:t>
      </w:r>
      <w:r w:rsidR="00580212">
        <w:rPr>
          <w:rStyle w:val="FootnoteReference"/>
          <w:lang w:val="en-GB"/>
        </w:rPr>
        <w:footnoteReference w:id="21"/>
      </w:r>
      <w:r w:rsidR="001279DC">
        <w:rPr>
          <w:lang w:val="en-GB"/>
        </w:rPr>
        <w:t xml:space="preserve"> </w:t>
      </w:r>
      <w:r w:rsidR="00D91FCD">
        <w:rPr>
          <w:lang w:val="en-GB"/>
        </w:rPr>
        <w:t>This sociological focus in Durkheim’s work gives his theories a clean</w:t>
      </w:r>
      <w:r w:rsidR="004174D9">
        <w:rPr>
          <w:lang w:val="en-GB"/>
        </w:rPr>
        <w:t>er</w:t>
      </w:r>
      <w:r w:rsidR="00D91FCD">
        <w:rPr>
          <w:lang w:val="en-GB"/>
        </w:rPr>
        <w:t xml:space="preserve"> context for expression which allows for easier comprehension from the reader’s point of view.  </w:t>
      </w:r>
      <w:r w:rsidR="0070732D">
        <w:rPr>
          <w:lang w:val="en-GB"/>
        </w:rPr>
        <w:t>However</w:t>
      </w:r>
      <w:r w:rsidR="00D91FCD">
        <w:rPr>
          <w:lang w:val="en-GB"/>
        </w:rPr>
        <w:t xml:space="preserve"> in Eliade’s introduction, </w:t>
      </w:r>
      <w:r w:rsidR="0070732D">
        <w:rPr>
          <w:lang w:val="en-GB"/>
        </w:rPr>
        <w:t>the overlap</w:t>
      </w:r>
      <w:r w:rsidR="00D91FCD">
        <w:rPr>
          <w:lang w:val="en-GB"/>
        </w:rPr>
        <w:t xml:space="preserve"> between the sacred, reality and power, is di</w:t>
      </w:r>
      <w:r w:rsidR="0070732D">
        <w:rPr>
          <w:lang w:val="en-GB"/>
        </w:rPr>
        <w:t xml:space="preserve">scussed without a clear context. </w:t>
      </w:r>
    </w:p>
    <w:p w14:paraId="305380F7" w14:textId="505041B2" w:rsidR="00330645" w:rsidRDefault="0070732D" w:rsidP="00D32824">
      <w:pPr>
        <w:jc w:val="both"/>
        <w:rPr>
          <w:lang w:val="en-GB"/>
        </w:rPr>
      </w:pPr>
      <w:r>
        <w:rPr>
          <w:lang w:val="en-GB"/>
        </w:rPr>
        <w:t xml:space="preserve">      </w:t>
      </w:r>
      <w:r w:rsidR="00330645">
        <w:rPr>
          <w:lang w:val="en-GB"/>
        </w:rPr>
        <w:t>Randall Studstill defends Eliade’s presentation of his theories, and deems that Eliade’s self identification as a historian of religions is misleading.</w:t>
      </w:r>
      <w:r w:rsidR="00330645">
        <w:rPr>
          <w:rStyle w:val="FootnoteReference"/>
          <w:lang w:val="en-GB"/>
        </w:rPr>
        <w:footnoteReference w:id="22"/>
      </w:r>
      <w:r w:rsidR="00DF1252">
        <w:rPr>
          <w:lang w:val="en-GB"/>
        </w:rPr>
        <w:t xml:space="preserve"> Studstill defends Eliade against common criticism of his work which he deems is a misunderstanding. It is noteworthy that much of Studstill’s focus of his article titled “Eliade and phenomenology’ sets out to clarify many of the ‘misunderstandings’ which </w:t>
      </w:r>
      <w:r w:rsidR="000551FE">
        <w:rPr>
          <w:lang w:val="en-GB"/>
        </w:rPr>
        <w:t>I also perceived when reading Eliade’s work. Much of my analysis on Eliade above falls into the misunderstandings noted by Studstill. It seems that Eliade’s phenomenological approach as well as his perspective</w:t>
      </w:r>
      <w:r w:rsidR="002E6532">
        <w:rPr>
          <w:lang w:val="en-GB"/>
        </w:rPr>
        <w:t xml:space="preserve"> as a historian</w:t>
      </w:r>
      <w:r w:rsidR="000551FE">
        <w:rPr>
          <w:lang w:val="en-GB"/>
        </w:rPr>
        <w:t xml:space="preserve"> become obstacles in conveying the true meaning of his theory to readers. </w:t>
      </w:r>
      <w:r w:rsidR="001B5F1D">
        <w:rPr>
          <w:lang w:val="en-GB"/>
        </w:rPr>
        <w:t xml:space="preserve">It seems as though Durkheim’s theological perspective, whether desired or suppressed, is one of his greatest strengths when outlining the difference between </w:t>
      </w:r>
      <w:r w:rsidR="00E904DA">
        <w:rPr>
          <w:lang w:val="en-GB"/>
        </w:rPr>
        <w:t xml:space="preserve">the </w:t>
      </w:r>
      <w:r w:rsidR="00BD3AFD">
        <w:rPr>
          <w:lang w:val="en-GB"/>
        </w:rPr>
        <w:t xml:space="preserve">sacred and profane. </w:t>
      </w:r>
      <w:r w:rsidR="00372B19">
        <w:rPr>
          <w:lang w:val="en-GB"/>
        </w:rPr>
        <w:t xml:space="preserve">Despite claiming to be able to “forget” the formula he is writing of, his Jewish religious background would allow him to “bring to the study of religion a sort of religious sentiment,” without which he would not be able to write of the sacred and the profane, an opposition that sits at the heart of Judaic practice. </w:t>
      </w:r>
      <w:bookmarkStart w:id="1" w:name="_GoBack"/>
      <w:bookmarkEnd w:id="1"/>
    </w:p>
    <w:p w14:paraId="2205547B" w14:textId="77777777" w:rsidR="00330645" w:rsidRDefault="00330645" w:rsidP="00D32824">
      <w:pPr>
        <w:jc w:val="both"/>
        <w:rPr>
          <w:lang w:val="en-GB"/>
        </w:rPr>
      </w:pPr>
    </w:p>
    <w:p w14:paraId="10549BA6" w14:textId="77777777" w:rsidR="0017214C" w:rsidRDefault="0017214C" w:rsidP="00504025">
      <w:pPr>
        <w:jc w:val="both"/>
        <w:rPr>
          <w:lang w:val="en-GB"/>
        </w:rPr>
      </w:pPr>
    </w:p>
    <w:p w14:paraId="733EEFE8" w14:textId="77777777" w:rsidR="0069558A" w:rsidRDefault="0069558A" w:rsidP="00504025">
      <w:pPr>
        <w:jc w:val="both"/>
        <w:rPr>
          <w:lang w:val="en-GB"/>
        </w:rPr>
      </w:pPr>
    </w:p>
    <w:p w14:paraId="06BB8D02" w14:textId="77777777" w:rsidR="0069558A" w:rsidRDefault="0069558A" w:rsidP="00504025">
      <w:pPr>
        <w:jc w:val="both"/>
        <w:rPr>
          <w:lang w:val="en-GB"/>
        </w:rPr>
      </w:pPr>
    </w:p>
    <w:p w14:paraId="0BADE1EB" w14:textId="77777777" w:rsidR="002E6532" w:rsidRDefault="002E6532" w:rsidP="00504025">
      <w:pPr>
        <w:jc w:val="both"/>
        <w:rPr>
          <w:lang w:val="en-GB"/>
        </w:rPr>
      </w:pPr>
    </w:p>
    <w:p w14:paraId="28C0BC3B" w14:textId="77777777" w:rsidR="002E6532" w:rsidRDefault="002E6532" w:rsidP="00504025">
      <w:pPr>
        <w:jc w:val="both"/>
        <w:rPr>
          <w:lang w:val="en-GB"/>
        </w:rPr>
      </w:pPr>
    </w:p>
    <w:p w14:paraId="0501DE55" w14:textId="77777777" w:rsidR="002E6532" w:rsidRDefault="002E6532" w:rsidP="00504025">
      <w:pPr>
        <w:jc w:val="both"/>
        <w:rPr>
          <w:lang w:val="en-GB"/>
        </w:rPr>
      </w:pPr>
    </w:p>
    <w:p w14:paraId="33BB0D84" w14:textId="77777777" w:rsidR="002E6532" w:rsidRDefault="002E6532" w:rsidP="00504025">
      <w:pPr>
        <w:jc w:val="both"/>
        <w:rPr>
          <w:lang w:val="en-GB"/>
        </w:rPr>
      </w:pPr>
    </w:p>
    <w:p w14:paraId="2A0241FE" w14:textId="77777777" w:rsidR="002E6532" w:rsidRDefault="002E6532" w:rsidP="00504025">
      <w:pPr>
        <w:jc w:val="both"/>
        <w:rPr>
          <w:lang w:val="en-GB"/>
        </w:rPr>
      </w:pPr>
    </w:p>
    <w:p w14:paraId="33AA7A3A" w14:textId="77777777" w:rsidR="002E6532" w:rsidRDefault="002E6532" w:rsidP="00504025">
      <w:pPr>
        <w:jc w:val="both"/>
        <w:rPr>
          <w:lang w:val="en-GB"/>
        </w:rPr>
      </w:pPr>
    </w:p>
    <w:p w14:paraId="2E1FCB74" w14:textId="77777777" w:rsidR="002E6532" w:rsidRDefault="002E6532" w:rsidP="00504025">
      <w:pPr>
        <w:jc w:val="both"/>
        <w:rPr>
          <w:lang w:val="en-GB"/>
        </w:rPr>
      </w:pPr>
    </w:p>
    <w:p w14:paraId="14CCE674" w14:textId="77777777" w:rsidR="002E6532" w:rsidRDefault="002E6532" w:rsidP="00504025">
      <w:pPr>
        <w:jc w:val="both"/>
        <w:rPr>
          <w:lang w:val="en-GB"/>
        </w:rPr>
      </w:pPr>
    </w:p>
    <w:p w14:paraId="13B1A44B" w14:textId="77777777" w:rsidR="002E6532" w:rsidRDefault="002E6532" w:rsidP="00504025">
      <w:pPr>
        <w:jc w:val="both"/>
        <w:rPr>
          <w:lang w:val="en-GB"/>
        </w:rPr>
      </w:pPr>
    </w:p>
    <w:p w14:paraId="20F894E9" w14:textId="77777777" w:rsidR="002E6532" w:rsidRDefault="002E6532" w:rsidP="00504025">
      <w:pPr>
        <w:jc w:val="both"/>
        <w:rPr>
          <w:lang w:val="en-GB"/>
        </w:rPr>
      </w:pPr>
    </w:p>
    <w:p w14:paraId="7B7562F1" w14:textId="77777777" w:rsidR="002E6532" w:rsidRDefault="002E6532" w:rsidP="00504025">
      <w:pPr>
        <w:jc w:val="both"/>
        <w:rPr>
          <w:lang w:val="en-GB"/>
        </w:rPr>
      </w:pPr>
    </w:p>
    <w:p w14:paraId="6161AF82" w14:textId="77777777" w:rsidR="002E6532" w:rsidRDefault="002E6532" w:rsidP="00504025">
      <w:pPr>
        <w:jc w:val="both"/>
        <w:rPr>
          <w:lang w:val="en-GB"/>
        </w:rPr>
      </w:pPr>
    </w:p>
    <w:p w14:paraId="7B970715" w14:textId="77777777" w:rsidR="002E6532" w:rsidRDefault="002E6532" w:rsidP="00504025">
      <w:pPr>
        <w:jc w:val="both"/>
        <w:rPr>
          <w:lang w:val="en-GB"/>
        </w:rPr>
      </w:pPr>
    </w:p>
    <w:p w14:paraId="6BF7B04E" w14:textId="77777777" w:rsidR="002E6532" w:rsidRDefault="002E6532" w:rsidP="00504025">
      <w:pPr>
        <w:jc w:val="both"/>
        <w:rPr>
          <w:lang w:val="en-GB"/>
        </w:rPr>
      </w:pPr>
    </w:p>
    <w:p w14:paraId="18338DF5" w14:textId="77777777" w:rsidR="002E6532" w:rsidRDefault="002E6532" w:rsidP="00504025">
      <w:pPr>
        <w:jc w:val="both"/>
        <w:rPr>
          <w:lang w:val="en-GB"/>
        </w:rPr>
      </w:pPr>
    </w:p>
    <w:p w14:paraId="0CD9BFF5" w14:textId="77777777" w:rsidR="002E6532" w:rsidRDefault="002E6532" w:rsidP="00504025">
      <w:pPr>
        <w:jc w:val="both"/>
        <w:rPr>
          <w:lang w:val="en-GB"/>
        </w:rPr>
      </w:pPr>
    </w:p>
    <w:p w14:paraId="18A5C637" w14:textId="77777777" w:rsidR="002E6532" w:rsidRDefault="002E6532" w:rsidP="00504025">
      <w:pPr>
        <w:jc w:val="both"/>
        <w:rPr>
          <w:lang w:val="en-GB"/>
        </w:rPr>
      </w:pPr>
    </w:p>
    <w:p w14:paraId="2AB1E5E7" w14:textId="77777777" w:rsidR="002E6532" w:rsidRDefault="002E6532" w:rsidP="00504025">
      <w:pPr>
        <w:jc w:val="both"/>
        <w:rPr>
          <w:lang w:val="en-GB"/>
        </w:rPr>
      </w:pPr>
    </w:p>
    <w:p w14:paraId="05CD920F" w14:textId="77777777" w:rsidR="002E6532" w:rsidRDefault="002E6532" w:rsidP="00504025">
      <w:pPr>
        <w:jc w:val="both"/>
        <w:rPr>
          <w:lang w:val="en-GB"/>
        </w:rPr>
      </w:pPr>
    </w:p>
    <w:p w14:paraId="641D2C8A" w14:textId="77777777" w:rsidR="0069558A" w:rsidRDefault="0069558A" w:rsidP="00504025">
      <w:pPr>
        <w:jc w:val="both"/>
        <w:rPr>
          <w:lang w:val="en-GB"/>
        </w:rPr>
      </w:pPr>
    </w:p>
    <w:p w14:paraId="4E42876B" w14:textId="77777777" w:rsidR="0069558A" w:rsidRDefault="0069558A" w:rsidP="00504025">
      <w:pPr>
        <w:jc w:val="both"/>
        <w:rPr>
          <w:lang w:val="en-GB"/>
        </w:rPr>
      </w:pPr>
    </w:p>
    <w:p w14:paraId="00F91469" w14:textId="77777777" w:rsidR="0017214C" w:rsidRDefault="0017214C" w:rsidP="00504025">
      <w:pPr>
        <w:jc w:val="both"/>
        <w:rPr>
          <w:lang w:val="en-GB"/>
        </w:rPr>
      </w:pPr>
    </w:p>
    <w:p w14:paraId="6E909E6A" w14:textId="77777777" w:rsidR="0017214C" w:rsidRDefault="0017214C" w:rsidP="00504025">
      <w:pPr>
        <w:jc w:val="both"/>
        <w:rPr>
          <w:lang w:val="en-GB"/>
        </w:rPr>
      </w:pPr>
    </w:p>
    <w:p w14:paraId="3D1A3109" w14:textId="67C2D846" w:rsidR="0017214C" w:rsidRDefault="0017214C" w:rsidP="00504025">
      <w:pPr>
        <w:jc w:val="both"/>
        <w:rPr>
          <w:lang w:val="en-GB"/>
        </w:rPr>
      </w:pPr>
      <w:r w:rsidRPr="0017214C">
        <w:rPr>
          <w:b/>
          <w:u w:val="single"/>
          <w:lang w:val="en-GB"/>
        </w:rPr>
        <w:t>Bibliography</w:t>
      </w:r>
      <w:r>
        <w:rPr>
          <w:lang w:val="en-GB"/>
        </w:rPr>
        <w:t xml:space="preserve">: </w:t>
      </w:r>
    </w:p>
    <w:p w14:paraId="0F4BC962" w14:textId="77777777" w:rsidR="00854C41" w:rsidRDefault="00854C41" w:rsidP="00504025">
      <w:pPr>
        <w:jc w:val="both"/>
        <w:rPr>
          <w:lang w:val="en-GB"/>
        </w:rPr>
      </w:pPr>
    </w:p>
    <w:p w14:paraId="6979678D" w14:textId="576F12DC" w:rsidR="00854C41" w:rsidRDefault="00225DD9" w:rsidP="00504025">
      <w:pPr>
        <w:jc w:val="both"/>
        <w:rPr>
          <w:lang w:val="en-GB"/>
        </w:rPr>
      </w:pPr>
      <w:r>
        <w:rPr>
          <w:lang w:val="en-GB"/>
        </w:rPr>
        <w:t>Bloom, Maureen,</w:t>
      </w:r>
      <w:r w:rsidR="00854C41">
        <w:rPr>
          <w:lang w:val="en-GB"/>
        </w:rPr>
        <w:t xml:space="preserve"> ‘</w:t>
      </w:r>
      <w:r w:rsidR="00854C41" w:rsidRPr="00854C41">
        <w:rPr>
          <w:lang w:val="en-GB"/>
        </w:rPr>
        <w:t>The Legacy of “Sacred” and “Profane” in Ancient Israel: Interpretations of Durkheim’s Classifications.’</w:t>
      </w:r>
      <w:r w:rsidR="00854C41">
        <w:rPr>
          <w:lang w:val="en-GB"/>
        </w:rPr>
        <w:t xml:space="preserve"> </w:t>
      </w:r>
      <w:r w:rsidR="00854C41">
        <w:rPr>
          <w:i/>
          <w:lang w:val="en-GB"/>
        </w:rPr>
        <w:t xml:space="preserve">Jewish Studies Quarterly, </w:t>
      </w:r>
      <w:r w:rsidR="00854C41">
        <w:rPr>
          <w:lang w:val="en-GB"/>
        </w:rPr>
        <w:t>Vol 5, No.2 (1998) pp 103-123</w:t>
      </w:r>
    </w:p>
    <w:p w14:paraId="231FF241" w14:textId="77777777" w:rsidR="001C3DAC" w:rsidRDefault="001C3DAC" w:rsidP="00504025">
      <w:pPr>
        <w:jc w:val="both"/>
        <w:rPr>
          <w:lang w:val="en-GB"/>
        </w:rPr>
      </w:pPr>
    </w:p>
    <w:p w14:paraId="560C0288" w14:textId="1C214734" w:rsidR="00C70670" w:rsidRDefault="00C70670" w:rsidP="00504025">
      <w:pPr>
        <w:jc w:val="both"/>
        <w:rPr>
          <w:lang w:val="en-GB"/>
        </w:rPr>
      </w:pPr>
      <w:r>
        <w:t>Cormack, Patricia,‘The Paradox of Durkheim’s Manifesto: Reconsidering “The Rules of Sociological Method”,’</w:t>
      </w:r>
      <w:r>
        <w:rPr>
          <w:i/>
        </w:rPr>
        <w:t xml:space="preserve"> Theory and Society, </w:t>
      </w:r>
      <w:r>
        <w:t>Feb. 1996, Vol. 25 No.1 (1996) pp.85-104</w:t>
      </w:r>
    </w:p>
    <w:p w14:paraId="51D7AC47" w14:textId="77777777" w:rsidR="00C70670" w:rsidRDefault="00C70670" w:rsidP="00504025">
      <w:pPr>
        <w:jc w:val="both"/>
        <w:rPr>
          <w:lang w:val="en-GB"/>
        </w:rPr>
      </w:pPr>
    </w:p>
    <w:p w14:paraId="1B9D70AC" w14:textId="35482F43" w:rsidR="001C3DAC" w:rsidRDefault="001C3DAC" w:rsidP="00504025">
      <w:pPr>
        <w:jc w:val="both"/>
        <w:rPr>
          <w:lang w:val="en-GB"/>
        </w:rPr>
      </w:pPr>
      <w:r>
        <w:rPr>
          <w:lang w:val="en-GB"/>
        </w:rPr>
        <w:t xml:space="preserve">Durkheim, Eliade, Translated by </w:t>
      </w:r>
      <w:r w:rsidR="00914C11">
        <w:rPr>
          <w:lang w:val="en-GB"/>
        </w:rPr>
        <w:t>Fields, Karen,</w:t>
      </w:r>
      <w:r>
        <w:rPr>
          <w:lang w:val="en-GB"/>
        </w:rPr>
        <w:t xml:space="preserve"> </w:t>
      </w:r>
      <w:r>
        <w:rPr>
          <w:i/>
          <w:lang w:val="en-GB"/>
        </w:rPr>
        <w:t xml:space="preserve">The Elementary Forms of Religions Life, </w:t>
      </w:r>
      <w:r w:rsidR="009A603F">
        <w:rPr>
          <w:lang w:val="en-GB"/>
        </w:rPr>
        <w:t xml:space="preserve">Free Press. </w:t>
      </w:r>
      <w:r>
        <w:rPr>
          <w:lang w:val="en-GB"/>
        </w:rPr>
        <w:t>pp.17-32</w:t>
      </w:r>
    </w:p>
    <w:p w14:paraId="47F30D75" w14:textId="77777777" w:rsidR="009A603F" w:rsidRDefault="009A603F" w:rsidP="00504025">
      <w:pPr>
        <w:jc w:val="both"/>
        <w:rPr>
          <w:lang w:val="en-GB"/>
        </w:rPr>
      </w:pPr>
    </w:p>
    <w:p w14:paraId="3298C61A" w14:textId="679C29F3" w:rsidR="00225DD9" w:rsidRDefault="009A603F" w:rsidP="00504025">
      <w:pPr>
        <w:jc w:val="both"/>
        <w:rPr>
          <w:i/>
          <w:lang w:val="en-GB"/>
        </w:rPr>
      </w:pPr>
      <w:r>
        <w:rPr>
          <w:lang w:val="en-GB"/>
        </w:rPr>
        <w:t xml:space="preserve">Eliade, Mircea, </w:t>
      </w:r>
      <w:r w:rsidR="00225DD9">
        <w:rPr>
          <w:i/>
          <w:lang w:val="en-GB"/>
        </w:rPr>
        <w:t xml:space="preserve">Myth and Reality, </w:t>
      </w:r>
      <w:r w:rsidR="00225DD9">
        <w:rPr>
          <w:lang w:val="en-GB"/>
        </w:rPr>
        <w:t xml:space="preserve">Harper and Row, (1963) pp.21-38. </w:t>
      </w:r>
      <w:r>
        <w:rPr>
          <w:i/>
          <w:lang w:val="en-GB"/>
        </w:rPr>
        <w:t xml:space="preserve"> </w:t>
      </w:r>
    </w:p>
    <w:p w14:paraId="77D15075" w14:textId="77777777" w:rsidR="00225DD9" w:rsidRDefault="00225DD9" w:rsidP="00504025">
      <w:pPr>
        <w:jc w:val="both"/>
        <w:rPr>
          <w:i/>
          <w:lang w:val="en-GB"/>
        </w:rPr>
      </w:pPr>
    </w:p>
    <w:p w14:paraId="46590636" w14:textId="77777777" w:rsidR="00225DD9" w:rsidRPr="00330645" w:rsidRDefault="00225DD9" w:rsidP="00225DD9">
      <w:pPr>
        <w:jc w:val="both"/>
        <w:rPr>
          <w:lang w:val="en-GB"/>
        </w:rPr>
      </w:pPr>
      <w:r>
        <w:rPr>
          <w:noProof/>
          <w:lang w:val="en-GB"/>
        </w:rPr>
        <w:t xml:space="preserve">Eliade, Mircea, </w:t>
      </w:r>
      <w:r w:rsidRPr="00854C41">
        <w:rPr>
          <w:i/>
          <w:noProof/>
          <w:lang w:val="en-GB"/>
        </w:rPr>
        <w:t>The Sacred</w:t>
      </w:r>
      <w:r>
        <w:rPr>
          <w:i/>
          <w:noProof/>
          <w:lang w:val="en-GB"/>
        </w:rPr>
        <w:t xml:space="preserve"> and the Profane, The Nature of </w:t>
      </w:r>
      <w:r w:rsidRPr="00854C41">
        <w:rPr>
          <w:i/>
          <w:noProof/>
          <w:lang w:val="en-GB"/>
        </w:rPr>
        <w:t>Religion,</w:t>
      </w:r>
      <w:r>
        <w:rPr>
          <w:i/>
          <w:noProof/>
          <w:lang w:val="en-GB"/>
        </w:rPr>
        <w:t xml:space="preserve"> </w:t>
      </w:r>
      <w:r>
        <w:rPr>
          <w:noProof/>
          <w:lang w:val="en-GB"/>
        </w:rPr>
        <w:t xml:space="preserve">New York: Harcourt, Brace &amp; World Inc. 1961. </w:t>
      </w:r>
    </w:p>
    <w:p w14:paraId="34088813" w14:textId="77777777" w:rsidR="00225DD9" w:rsidRPr="00225DD9" w:rsidRDefault="00225DD9" w:rsidP="00504025">
      <w:pPr>
        <w:jc w:val="both"/>
        <w:rPr>
          <w:i/>
          <w:lang w:val="en-GB"/>
        </w:rPr>
      </w:pPr>
    </w:p>
    <w:p w14:paraId="68759C1C" w14:textId="3A0430DB" w:rsidR="0017214C" w:rsidRDefault="0017214C" w:rsidP="00504025">
      <w:pPr>
        <w:jc w:val="both"/>
        <w:rPr>
          <w:noProof/>
          <w:lang w:val="en-GB"/>
        </w:rPr>
      </w:pPr>
      <w:r>
        <w:rPr>
          <w:noProof/>
          <w:lang w:val="en-GB"/>
        </w:rPr>
        <w:t xml:space="preserve">Pickering, W S F, 1984. Durkheim’s Sociology of Religion: Themes and Theories. London: Routedge &amp; Kegan Paul. </w:t>
      </w:r>
    </w:p>
    <w:p w14:paraId="38EFF422" w14:textId="77777777" w:rsidR="0017214C" w:rsidRDefault="0017214C" w:rsidP="00504025">
      <w:pPr>
        <w:jc w:val="both"/>
        <w:rPr>
          <w:noProof/>
          <w:lang w:val="en-GB"/>
        </w:rPr>
      </w:pPr>
    </w:p>
    <w:p w14:paraId="168196AB" w14:textId="2032779B" w:rsidR="00B60154" w:rsidRDefault="00330645" w:rsidP="00504025">
      <w:pPr>
        <w:jc w:val="both"/>
        <w:rPr>
          <w:noProof/>
          <w:lang w:val="en-GB"/>
        </w:rPr>
      </w:pPr>
      <w:r>
        <w:rPr>
          <w:noProof/>
          <w:lang w:val="en-GB"/>
        </w:rPr>
        <w:t>Studstill, Randall, ‘</w:t>
      </w:r>
      <w:r w:rsidR="00A02658">
        <w:rPr>
          <w:noProof/>
          <w:lang w:val="en-GB"/>
        </w:rPr>
        <w:t xml:space="preserve">Eliade, </w:t>
      </w:r>
      <w:r>
        <w:rPr>
          <w:noProof/>
          <w:lang w:val="en-GB"/>
        </w:rPr>
        <w:t xml:space="preserve">Phenomenology, and the Sacred’ </w:t>
      </w:r>
      <w:r>
        <w:rPr>
          <w:i/>
          <w:noProof/>
          <w:lang w:val="en-GB"/>
        </w:rPr>
        <w:t>Religious Studies</w:t>
      </w:r>
      <w:r w:rsidRPr="00330645">
        <w:rPr>
          <w:noProof/>
          <w:lang w:val="en-GB"/>
        </w:rPr>
        <w:t>, June, 2000, Vol. 36, No.2 (June 2000), pp. 177-194</w:t>
      </w:r>
      <w:r>
        <w:rPr>
          <w:noProof/>
          <w:lang w:val="en-GB"/>
        </w:rPr>
        <w:t xml:space="preserve">. </w:t>
      </w:r>
    </w:p>
    <w:p w14:paraId="18790439" w14:textId="77777777" w:rsidR="00854C41" w:rsidRDefault="00854C41" w:rsidP="00504025">
      <w:pPr>
        <w:jc w:val="both"/>
        <w:rPr>
          <w:noProof/>
          <w:lang w:val="en-GB"/>
        </w:rPr>
      </w:pPr>
    </w:p>
    <w:p w14:paraId="50E7BBF1" w14:textId="77777777" w:rsidR="00A02658" w:rsidRDefault="00A02658" w:rsidP="00504025">
      <w:pPr>
        <w:jc w:val="both"/>
        <w:rPr>
          <w:noProof/>
          <w:lang w:val="en-GB"/>
        </w:rPr>
      </w:pPr>
    </w:p>
    <w:p w14:paraId="6521F752" w14:textId="77777777" w:rsidR="00A02658" w:rsidRDefault="00A02658" w:rsidP="00504025">
      <w:pPr>
        <w:jc w:val="both"/>
        <w:rPr>
          <w:lang w:val="en-GB"/>
        </w:rPr>
      </w:pPr>
    </w:p>
    <w:p w14:paraId="6319FEC5" w14:textId="77777777" w:rsidR="00A02658" w:rsidRDefault="00A02658" w:rsidP="00504025">
      <w:pPr>
        <w:jc w:val="both"/>
        <w:rPr>
          <w:lang w:val="en-GB"/>
        </w:rPr>
      </w:pPr>
    </w:p>
    <w:p w14:paraId="774FC0AD" w14:textId="77777777" w:rsidR="00A02658" w:rsidRDefault="00A02658" w:rsidP="00504025">
      <w:pPr>
        <w:jc w:val="both"/>
        <w:rPr>
          <w:lang w:val="en-GB"/>
        </w:rPr>
      </w:pPr>
    </w:p>
    <w:p w14:paraId="499FA961" w14:textId="77777777" w:rsidR="00A02658" w:rsidRPr="00E94D1E" w:rsidRDefault="00A02658" w:rsidP="00504025">
      <w:pPr>
        <w:jc w:val="both"/>
        <w:rPr>
          <w:lang w:val="en-GB"/>
        </w:rPr>
      </w:pPr>
    </w:p>
    <w:sectPr w:rsidR="00A02658" w:rsidRPr="00E94D1E" w:rsidSect="00B71F37">
      <w:headerReference w:type="default" r:id="rId8"/>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62EAF6" w14:textId="77777777" w:rsidR="008F58A1" w:rsidRDefault="008F58A1" w:rsidP="00504025">
      <w:r>
        <w:separator/>
      </w:r>
    </w:p>
  </w:endnote>
  <w:endnote w:type="continuationSeparator" w:id="0">
    <w:p w14:paraId="50EAAA37" w14:textId="77777777" w:rsidR="008F58A1" w:rsidRDefault="008F58A1" w:rsidP="00504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080E0000" w:usb2="00000010"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6913DE" w14:textId="77777777" w:rsidR="008F58A1" w:rsidRDefault="008F58A1" w:rsidP="008866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ADC4F1" w14:textId="77777777" w:rsidR="008F58A1" w:rsidRDefault="008F58A1" w:rsidP="00B67F9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F2E059" w14:textId="77777777" w:rsidR="008F58A1" w:rsidRDefault="008F58A1" w:rsidP="008866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D6988">
      <w:rPr>
        <w:rStyle w:val="PageNumber"/>
        <w:noProof/>
      </w:rPr>
      <w:t>1</w:t>
    </w:r>
    <w:r>
      <w:rPr>
        <w:rStyle w:val="PageNumber"/>
      </w:rPr>
      <w:fldChar w:fldCharType="end"/>
    </w:r>
  </w:p>
  <w:p w14:paraId="27AE90B9" w14:textId="77777777" w:rsidR="008F58A1" w:rsidRDefault="008F58A1" w:rsidP="00B67F9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52638D" w14:textId="77777777" w:rsidR="008F58A1" w:rsidRDefault="008F58A1" w:rsidP="00504025">
      <w:r>
        <w:separator/>
      </w:r>
    </w:p>
  </w:footnote>
  <w:footnote w:type="continuationSeparator" w:id="0">
    <w:p w14:paraId="69C1F9F1" w14:textId="77777777" w:rsidR="008F58A1" w:rsidRDefault="008F58A1" w:rsidP="00504025">
      <w:r>
        <w:continuationSeparator/>
      </w:r>
    </w:p>
  </w:footnote>
  <w:footnote w:id="1">
    <w:p w14:paraId="2EF77D60" w14:textId="0671C47B" w:rsidR="008F58A1" w:rsidRPr="00B52CD4" w:rsidRDefault="008F58A1">
      <w:pPr>
        <w:pStyle w:val="FootnoteText"/>
        <w:rPr>
          <w:lang w:val="en-GB"/>
        </w:rPr>
      </w:pPr>
      <w:r>
        <w:rPr>
          <w:rStyle w:val="FootnoteReference"/>
        </w:rPr>
        <w:footnoteRef/>
      </w:r>
      <w:r>
        <w:t xml:space="preserve"> </w:t>
      </w:r>
      <w:r>
        <w:rPr>
          <w:lang w:val="en-GB"/>
        </w:rPr>
        <w:t>Maureen, Bloom, ‘</w:t>
      </w:r>
      <w:r w:rsidRPr="00854C41">
        <w:rPr>
          <w:lang w:val="en-GB"/>
        </w:rPr>
        <w:t>The Legacy of “Sacred” and “Profane” in Ancient Israel: Interpretations of Durkheim’s Classifications.’</w:t>
      </w:r>
      <w:r>
        <w:rPr>
          <w:lang w:val="en-GB"/>
        </w:rPr>
        <w:t xml:space="preserve"> </w:t>
      </w:r>
      <w:r>
        <w:rPr>
          <w:i/>
          <w:lang w:val="en-GB"/>
        </w:rPr>
        <w:t xml:space="preserve">Jewish Studies Quarterly, </w:t>
      </w:r>
      <w:r>
        <w:rPr>
          <w:lang w:val="en-GB"/>
        </w:rPr>
        <w:t>Vol 5, No.2 (1998) pp.103-123, (p.105)</w:t>
      </w:r>
    </w:p>
  </w:footnote>
  <w:footnote w:id="2">
    <w:p w14:paraId="38A65192" w14:textId="5F94324B" w:rsidR="008F58A1" w:rsidRPr="005D685D" w:rsidRDefault="008F58A1">
      <w:pPr>
        <w:pStyle w:val="FootnoteText"/>
      </w:pPr>
      <w:r>
        <w:rPr>
          <w:rStyle w:val="FootnoteReference"/>
        </w:rPr>
        <w:footnoteRef/>
      </w:r>
      <w:r>
        <w:t xml:space="preserve"> Patricia Cormack, ‘The Paradox of Durkheim’s Manifesto: Reconsidering “The Rules of Sociological Method”,’</w:t>
      </w:r>
      <w:r>
        <w:rPr>
          <w:i/>
        </w:rPr>
        <w:t xml:space="preserve"> Theory and Society, </w:t>
      </w:r>
      <w:r>
        <w:t xml:space="preserve">Feb. 1996, Vol. 25 No.1 (1996) pp.85-104, (p.86) </w:t>
      </w:r>
    </w:p>
  </w:footnote>
  <w:footnote w:id="3">
    <w:p w14:paraId="67720C84" w14:textId="45FA99AD" w:rsidR="008F58A1" w:rsidRPr="005A6DC4" w:rsidRDefault="008F58A1" w:rsidP="00635851">
      <w:pPr>
        <w:pStyle w:val="FootnoteText"/>
        <w:rPr>
          <w:lang w:val="en-US"/>
        </w:rPr>
      </w:pPr>
      <w:r>
        <w:rPr>
          <w:rStyle w:val="FootnoteReference"/>
        </w:rPr>
        <w:footnoteRef/>
      </w:r>
      <w:r>
        <w:t xml:space="preserve"> Cormack, ‘The Paradox of Durkheim’s Manifesto,’ </w:t>
      </w:r>
      <w:r>
        <w:rPr>
          <w:lang w:val="en-US"/>
        </w:rPr>
        <w:t>p.88</w:t>
      </w:r>
    </w:p>
  </w:footnote>
  <w:footnote w:id="4">
    <w:p w14:paraId="552DD28F" w14:textId="045333A1" w:rsidR="008F58A1" w:rsidRPr="002A35A5" w:rsidRDefault="008F58A1">
      <w:pPr>
        <w:pStyle w:val="FootnoteText"/>
        <w:rPr>
          <w:lang w:val="en-US"/>
        </w:rPr>
      </w:pPr>
      <w:r>
        <w:rPr>
          <w:rStyle w:val="FootnoteReference"/>
        </w:rPr>
        <w:footnoteRef/>
      </w:r>
      <w:r>
        <w:t xml:space="preserve"> </w:t>
      </w:r>
      <w:r>
        <w:rPr>
          <w:lang w:val="en-US"/>
        </w:rPr>
        <w:t xml:space="preserve">Cormack, </w:t>
      </w:r>
      <w:r>
        <w:t xml:space="preserve">The Paradox of Durkheim’s Manifesto,’ </w:t>
      </w:r>
      <w:r>
        <w:rPr>
          <w:lang w:val="en-US"/>
        </w:rPr>
        <w:t>p.85</w:t>
      </w:r>
    </w:p>
  </w:footnote>
  <w:footnote w:id="5">
    <w:p w14:paraId="24F053F1" w14:textId="485C09A5" w:rsidR="00B2456A" w:rsidRPr="00B2456A" w:rsidRDefault="00B2456A">
      <w:pPr>
        <w:pStyle w:val="FootnoteText"/>
        <w:rPr>
          <w:lang w:val="en-US"/>
        </w:rPr>
      </w:pPr>
      <w:r>
        <w:rPr>
          <w:rStyle w:val="FootnoteReference"/>
        </w:rPr>
        <w:footnoteRef/>
      </w:r>
      <w:r>
        <w:t xml:space="preserve"> </w:t>
      </w:r>
      <w:r>
        <w:rPr>
          <w:lang w:val="en-US"/>
        </w:rPr>
        <w:t xml:space="preserve">Cormack, </w:t>
      </w:r>
      <w:r>
        <w:t xml:space="preserve">The Paradox of Durkheim’s Manifesto,’ </w:t>
      </w:r>
      <w:r>
        <w:rPr>
          <w:lang w:val="en-US"/>
        </w:rPr>
        <w:t>p.86</w:t>
      </w:r>
    </w:p>
  </w:footnote>
  <w:footnote w:id="6">
    <w:p w14:paraId="187B7789" w14:textId="43E61F3A" w:rsidR="008F58A1" w:rsidRPr="00DC690D" w:rsidRDefault="008F58A1">
      <w:pPr>
        <w:pStyle w:val="FootnoteText"/>
        <w:rPr>
          <w:lang w:val="en-US"/>
        </w:rPr>
      </w:pPr>
      <w:r>
        <w:rPr>
          <w:rStyle w:val="FootnoteReference"/>
        </w:rPr>
        <w:footnoteRef/>
      </w:r>
      <w:r>
        <w:t xml:space="preserve"> </w:t>
      </w:r>
      <w:r>
        <w:rPr>
          <w:lang w:val="en-US"/>
        </w:rPr>
        <w:t xml:space="preserve">Bloom, ‘The Legacy of “Sacred” and “Profane” in Ancient Israel” p.117. </w:t>
      </w:r>
    </w:p>
  </w:footnote>
  <w:footnote w:id="7">
    <w:p w14:paraId="3FC50315" w14:textId="76EB7A37" w:rsidR="008F58A1" w:rsidRPr="00504025" w:rsidRDefault="008F58A1">
      <w:pPr>
        <w:pStyle w:val="FootnoteText"/>
        <w:rPr>
          <w:lang w:val="en-US"/>
        </w:rPr>
      </w:pPr>
      <w:r>
        <w:rPr>
          <w:rStyle w:val="FootnoteReference"/>
        </w:rPr>
        <w:footnoteRef/>
      </w:r>
      <w:r>
        <w:t xml:space="preserve"> </w:t>
      </w:r>
      <w:r>
        <w:rPr>
          <w:lang w:val="en-US"/>
        </w:rPr>
        <w:t xml:space="preserve">Karen Fields, Translated work of Emile Durkheim, </w:t>
      </w:r>
      <w:r w:rsidRPr="00FF0FDC">
        <w:rPr>
          <w:i/>
          <w:lang w:val="en-US"/>
        </w:rPr>
        <w:t>The Elementary Forms of Religious Life</w:t>
      </w:r>
      <w:r>
        <w:rPr>
          <w:lang w:val="en-US"/>
        </w:rPr>
        <w:t>, (Free Press) p. 18</w:t>
      </w:r>
    </w:p>
  </w:footnote>
  <w:footnote w:id="8">
    <w:p w14:paraId="6666BB21" w14:textId="1B1C3A26" w:rsidR="008F58A1" w:rsidRPr="00654A62" w:rsidRDefault="008F58A1">
      <w:pPr>
        <w:pStyle w:val="FootnoteText"/>
        <w:rPr>
          <w:lang w:val="en-US"/>
        </w:rPr>
      </w:pPr>
      <w:r>
        <w:rPr>
          <w:rStyle w:val="FootnoteReference"/>
        </w:rPr>
        <w:footnoteRef/>
      </w:r>
      <w:r>
        <w:t xml:space="preserve"> </w:t>
      </w:r>
      <w:r>
        <w:rPr>
          <w:lang w:val="en-US"/>
        </w:rPr>
        <w:t xml:space="preserve">Fields, </w:t>
      </w:r>
      <w:r w:rsidRPr="00B52CD4">
        <w:rPr>
          <w:i/>
          <w:lang w:val="en-US"/>
        </w:rPr>
        <w:t>Translator’s</w:t>
      </w:r>
      <w:r>
        <w:rPr>
          <w:lang w:val="en-US"/>
        </w:rPr>
        <w:t xml:space="preserve"> </w:t>
      </w:r>
      <w:r w:rsidRPr="00FF0FDC">
        <w:rPr>
          <w:i/>
          <w:lang w:val="en-US"/>
        </w:rPr>
        <w:t>Introduction to Forms,</w:t>
      </w:r>
      <w:r>
        <w:rPr>
          <w:lang w:val="en-US"/>
        </w:rPr>
        <w:t xml:space="preserve"> p.18</w:t>
      </w:r>
    </w:p>
  </w:footnote>
  <w:footnote w:id="9">
    <w:p w14:paraId="19D6736F" w14:textId="29B88A04" w:rsidR="008F58A1" w:rsidRPr="00BB1B67" w:rsidRDefault="008F58A1">
      <w:pPr>
        <w:pStyle w:val="FootnoteText"/>
        <w:rPr>
          <w:lang w:val="en-US"/>
        </w:rPr>
      </w:pPr>
      <w:r>
        <w:rPr>
          <w:rStyle w:val="FootnoteReference"/>
        </w:rPr>
        <w:footnoteRef/>
      </w:r>
      <w:r>
        <w:t xml:space="preserve"> </w:t>
      </w:r>
      <w:r>
        <w:rPr>
          <w:lang w:val="en-US"/>
        </w:rPr>
        <w:t xml:space="preserve">Fields, </w:t>
      </w:r>
      <w:r w:rsidRPr="00B52CD4">
        <w:rPr>
          <w:i/>
          <w:lang w:val="en-US"/>
        </w:rPr>
        <w:t>Translator’s</w:t>
      </w:r>
      <w:r>
        <w:rPr>
          <w:lang w:val="en-US"/>
        </w:rPr>
        <w:t xml:space="preserve"> </w:t>
      </w:r>
      <w:r>
        <w:rPr>
          <w:i/>
          <w:lang w:val="en-US"/>
        </w:rPr>
        <w:t xml:space="preserve">Introduction </w:t>
      </w:r>
      <w:r w:rsidRPr="00FF0FDC">
        <w:rPr>
          <w:i/>
          <w:lang w:val="en-US"/>
        </w:rPr>
        <w:t>to Forms,</w:t>
      </w:r>
      <w:r>
        <w:rPr>
          <w:lang w:val="en-US"/>
        </w:rPr>
        <w:t xml:space="preserve"> p.18</w:t>
      </w:r>
    </w:p>
  </w:footnote>
  <w:footnote w:id="10">
    <w:p w14:paraId="069561D6" w14:textId="245FF7D0" w:rsidR="008F58A1" w:rsidRPr="00666B98" w:rsidRDefault="008F58A1">
      <w:pPr>
        <w:pStyle w:val="FootnoteText"/>
        <w:rPr>
          <w:lang w:val="en-US"/>
        </w:rPr>
      </w:pPr>
      <w:r>
        <w:rPr>
          <w:rStyle w:val="FootnoteReference"/>
        </w:rPr>
        <w:footnoteRef/>
      </w:r>
      <w:r>
        <w:t xml:space="preserve"> </w:t>
      </w:r>
      <w:r>
        <w:rPr>
          <w:lang w:val="en-US"/>
        </w:rPr>
        <w:t xml:space="preserve">Fields, </w:t>
      </w:r>
      <w:r w:rsidRPr="00B52CD4">
        <w:rPr>
          <w:i/>
          <w:lang w:val="en-US"/>
        </w:rPr>
        <w:t>Translator’s</w:t>
      </w:r>
      <w:r>
        <w:rPr>
          <w:lang w:val="en-US"/>
        </w:rPr>
        <w:t xml:space="preserve"> </w:t>
      </w:r>
      <w:r w:rsidRPr="00FF0FDC">
        <w:rPr>
          <w:i/>
          <w:lang w:val="en-US"/>
        </w:rPr>
        <w:t>Introduction to Forms</w:t>
      </w:r>
      <w:r>
        <w:rPr>
          <w:lang w:val="en-US"/>
        </w:rPr>
        <w:t>, p.18</w:t>
      </w:r>
    </w:p>
  </w:footnote>
  <w:footnote w:id="11">
    <w:p w14:paraId="45F230D7" w14:textId="5FF0C25B" w:rsidR="008F58A1" w:rsidRPr="00E63DC5" w:rsidRDefault="008F58A1">
      <w:pPr>
        <w:pStyle w:val="FootnoteText"/>
        <w:rPr>
          <w:lang w:val="en-US"/>
        </w:rPr>
      </w:pPr>
      <w:r>
        <w:rPr>
          <w:rStyle w:val="FootnoteReference"/>
        </w:rPr>
        <w:footnoteRef/>
      </w:r>
      <w:r>
        <w:t xml:space="preserve"> </w:t>
      </w:r>
      <w:r>
        <w:rPr>
          <w:lang w:val="en-US"/>
        </w:rPr>
        <w:t xml:space="preserve">Mircea Eliade, </w:t>
      </w:r>
      <w:r w:rsidRPr="00854C41">
        <w:rPr>
          <w:i/>
          <w:noProof/>
          <w:lang w:val="en-GB"/>
        </w:rPr>
        <w:t>The Sacred</w:t>
      </w:r>
      <w:r>
        <w:rPr>
          <w:i/>
          <w:noProof/>
          <w:lang w:val="en-GB"/>
        </w:rPr>
        <w:t xml:space="preserve"> and the Profane, The Nature of </w:t>
      </w:r>
      <w:r w:rsidRPr="00854C41">
        <w:rPr>
          <w:i/>
          <w:noProof/>
          <w:lang w:val="en-GB"/>
        </w:rPr>
        <w:t>Religion,</w:t>
      </w:r>
      <w:r>
        <w:rPr>
          <w:i/>
          <w:noProof/>
          <w:lang w:val="en-GB"/>
        </w:rPr>
        <w:t xml:space="preserve"> </w:t>
      </w:r>
      <w:r>
        <w:rPr>
          <w:noProof/>
          <w:lang w:val="en-GB"/>
        </w:rPr>
        <w:t>New York: Harcourt, Brace &amp; World Inc. 1961. p.11</w:t>
      </w:r>
    </w:p>
  </w:footnote>
  <w:footnote w:id="12">
    <w:p w14:paraId="3EFC1A37" w14:textId="2678E6D3" w:rsidR="008F58A1" w:rsidRPr="007F6836" w:rsidRDefault="008F58A1">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p.11 </w:t>
      </w:r>
    </w:p>
  </w:footnote>
  <w:footnote w:id="13">
    <w:p w14:paraId="4672FA32" w14:textId="3610A95A" w:rsidR="008F58A1" w:rsidRPr="00DD4F8B" w:rsidRDefault="008F58A1">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4">
    <w:p w14:paraId="0753B28F" w14:textId="34501CEF" w:rsidR="008F58A1" w:rsidRPr="00C77A80" w:rsidRDefault="008F58A1">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5">
    <w:p w14:paraId="3E75FA6C" w14:textId="75A242BC" w:rsidR="008F58A1" w:rsidRPr="00625AED" w:rsidRDefault="008F58A1">
      <w:pPr>
        <w:pStyle w:val="FootnoteText"/>
        <w:rPr>
          <w:lang w:val="en-US"/>
        </w:rPr>
      </w:pPr>
      <w:r>
        <w:rPr>
          <w:rStyle w:val="FootnoteReference"/>
        </w:rPr>
        <w:footnoteRef/>
      </w:r>
      <w:r>
        <w:t xml:space="preserve"> </w:t>
      </w:r>
      <w:r>
        <w:rPr>
          <w:lang w:val="en-US"/>
        </w:rPr>
        <w:t xml:space="preserve">Fields, </w:t>
      </w:r>
      <w:r w:rsidRPr="00FF0FDC">
        <w:rPr>
          <w:i/>
          <w:lang w:val="en-US"/>
        </w:rPr>
        <w:t>Introduction to Forms,</w:t>
      </w:r>
      <w:r>
        <w:rPr>
          <w:lang w:val="en-US"/>
        </w:rPr>
        <w:t xml:space="preserve"> p.19</w:t>
      </w:r>
    </w:p>
  </w:footnote>
  <w:footnote w:id="16">
    <w:p w14:paraId="21637CC0" w14:textId="32725ED6" w:rsidR="008F58A1" w:rsidRPr="002A6C15" w:rsidRDefault="008F58A1">
      <w:pPr>
        <w:pStyle w:val="FootnoteText"/>
        <w:rPr>
          <w:lang w:val="en-US"/>
        </w:rPr>
      </w:pPr>
      <w:r>
        <w:rPr>
          <w:rStyle w:val="FootnoteReference"/>
        </w:rPr>
        <w:footnoteRef/>
      </w:r>
      <w:r>
        <w:t xml:space="preserve"> </w:t>
      </w:r>
      <w:r>
        <w:rPr>
          <w:lang w:val="en-US"/>
        </w:rPr>
        <w:t xml:space="preserve">Fields, </w:t>
      </w:r>
      <w:r w:rsidRPr="00FF0FDC">
        <w:rPr>
          <w:i/>
          <w:lang w:val="en-US"/>
        </w:rPr>
        <w:t>Introduction to Forms,</w:t>
      </w:r>
      <w:r>
        <w:rPr>
          <w:lang w:val="en-US"/>
        </w:rPr>
        <w:t xml:space="preserve"> p.19</w:t>
      </w:r>
    </w:p>
  </w:footnote>
  <w:footnote w:id="17">
    <w:p w14:paraId="21C7F3E7" w14:textId="4F637703" w:rsidR="008F58A1" w:rsidRPr="005545C2" w:rsidRDefault="008F58A1">
      <w:pPr>
        <w:pStyle w:val="FootnoteText"/>
        <w:rPr>
          <w:lang w:val="en-US"/>
        </w:rPr>
      </w:pPr>
      <w:r>
        <w:rPr>
          <w:rStyle w:val="FootnoteReference"/>
        </w:rPr>
        <w:footnoteRef/>
      </w:r>
      <w:r>
        <w:t xml:space="preserve"> </w:t>
      </w:r>
      <w:r>
        <w:rPr>
          <w:lang w:val="en-US"/>
        </w:rPr>
        <w:t xml:space="preserve">Fields, </w:t>
      </w:r>
      <w:r w:rsidRPr="00FF0FDC">
        <w:rPr>
          <w:i/>
          <w:lang w:val="en-US"/>
        </w:rPr>
        <w:t>Introduction to Forms,</w:t>
      </w:r>
      <w:r>
        <w:rPr>
          <w:lang w:val="en-US"/>
        </w:rPr>
        <w:t xml:space="preserve"> p.18</w:t>
      </w:r>
    </w:p>
  </w:footnote>
  <w:footnote w:id="18">
    <w:p w14:paraId="7B24DC97" w14:textId="5C8A03BB" w:rsidR="008F58A1" w:rsidRPr="00C63508" w:rsidRDefault="008F58A1">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9">
    <w:p w14:paraId="1E1E7BB6" w14:textId="53C4FAB2" w:rsidR="008F58A1" w:rsidRPr="00C77A80" w:rsidRDefault="008F58A1">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20">
    <w:p w14:paraId="2360960C" w14:textId="50C73F00" w:rsidR="008F58A1" w:rsidRPr="007C37D7" w:rsidRDefault="008F58A1">
      <w:pPr>
        <w:pStyle w:val="FootnoteText"/>
        <w:rPr>
          <w:lang w:val="en-US"/>
        </w:rPr>
      </w:pPr>
      <w:r>
        <w:rPr>
          <w:rStyle w:val="FootnoteReference"/>
        </w:rPr>
        <w:footnoteRef/>
      </w:r>
      <w:r>
        <w:t xml:space="preserve"> </w:t>
      </w:r>
      <w:r>
        <w:rPr>
          <w:lang w:val="en-GB"/>
        </w:rPr>
        <w:t>Bloom, ‘</w:t>
      </w:r>
      <w:r w:rsidRPr="00854C41">
        <w:rPr>
          <w:lang w:val="en-GB"/>
        </w:rPr>
        <w:t xml:space="preserve">The Legacy of “Sacred” </w:t>
      </w:r>
      <w:r>
        <w:rPr>
          <w:lang w:val="en-GB"/>
        </w:rPr>
        <w:t>and “Profane” in Ancient Israel,</w:t>
      </w:r>
      <w:r w:rsidRPr="00854C41">
        <w:rPr>
          <w:lang w:val="en-GB"/>
        </w:rPr>
        <w:t>’</w:t>
      </w:r>
      <w:r>
        <w:rPr>
          <w:lang w:val="en-GB"/>
        </w:rPr>
        <w:t xml:space="preserve"> p.105</w:t>
      </w:r>
    </w:p>
  </w:footnote>
  <w:footnote w:id="21">
    <w:p w14:paraId="3979B701" w14:textId="11ED0ADF" w:rsidR="008F58A1" w:rsidRPr="00580212" w:rsidRDefault="008F58A1">
      <w:pPr>
        <w:pStyle w:val="FootnoteText"/>
        <w:rPr>
          <w:lang w:val="en-US"/>
        </w:rPr>
      </w:pPr>
      <w:r>
        <w:rPr>
          <w:rStyle w:val="FootnoteReference"/>
        </w:rPr>
        <w:footnoteRef/>
      </w:r>
      <w:r>
        <w:t xml:space="preserve"> </w:t>
      </w:r>
      <w:r>
        <w:rPr>
          <w:lang w:val="en-US"/>
        </w:rPr>
        <w:t>Bloom, ‘</w:t>
      </w:r>
      <w:r w:rsidRPr="00D37DAA">
        <w:rPr>
          <w:lang w:val="en-US"/>
        </w:rPr>
        <w:t xml:space="preserve">The Legacy of </w:t>
      </w:r>
      <w:r>
        <w:rPr>
          <w:lang w:val="en-US"/>
        </w:rPr>
        <w:t>“</w:t>
      </w:r>
      <w:r w:rsidRPr="00D37DAA">
        <w:rPr>
          <w:lang w:val="en-US"/>
        </w:rPr>
        <w:t>Sacred</w:t>
      </w:r>
      <w:r>
        <w:rPr>
          <w:lang w:val="en-US"/>
        </w:rPr>
        <w:t>”</w:t>
      </w:r>
      <w:r w:rsidRPr="00D37DAA">
        <w:rPr>
          <w:lang w:val="en-US"/>
        </w:rPr>
        <w:t xml:space="preserve"> and </w:t>
      </w:r>
      <w:r>
        <w:rPr>
          <w:lang w:val="en-US"/>
        </w:rPr>
        <w:t>“</w:t>
      </w:r>
      <w:r w:rsidRPr="00D37DAA">
        <w:rPr>
          <w:lang w:val="en-US"/>
        </w:rPr>
        <w:t>Profane</w:t>
      </w:r>
      <w:r>
        <w:rPr>
          <w:lang w:val="en-US"/>
        </w:rPr>
        <w:t>”</w:t>
      </w:r>
      <w:r w:rsidRPr="00D37DAA">
        <w:rPr>
          <w:lang w:val="en-US"/>
        </w:rPr>
        <w:t xml:space="preserve"> in Ancient Israel,</w:t>
      </w:r>
      <w:r>
        <w:rPr>
          <w:lang w:val="en-US"/>
        </w:rPr>
        <w:t>’ p. 105.</w:t>
      </w:r>
    </w:p>
  </w:footnote>
  <w:footnote w:id="22">
    <w:p w14:paraId="1D58D6B5" w14:textId="38F846A7" w:rsidR="008F58A1" w:rsidRPr="000873E2" w:rsidRDefault="008F58A1">
      <w:pPr>
        <w:pStyle w:val="FootnoteText"/>
        <w:rPr>
          <w:lang w:val="en-US"/>
        </w:rPr>
      </w:pPr>
      <w:r>
        <w:rPr>
          <w:rStyle w:val="FootnoteReference"/>
        </w:rPr>
        <w:footnoteRef/>
      </w:r>
      <w:r>
        <w:t xml:space="preserve"> </w:t>
      </w:r>
      <w:r>
        <w:rPr>
          <w:lang w:val="en-US"/>
        </w:rPr>
        <w:t xml:space="preserve">Randall, Studstill, ‘Eliade, Phenomenology, and the Sacred’ </w:t>
      </w:r>
      <w:r>
        <w:rPr>
          <w:i/>
          <w:lang w:val="en-US"/>
        </w:rPr>
        <w:t xml:space="preserve">Religious Studies, </w:t>
      </w:r>
      <w:r>
        <w:rPr>
          <w:lang w:val="en-US"/>
        </w:rPr>
        <w:t>Vol. 36, No.2 (June 2000) pp.177-194, (178)</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4BC97D" w14:textId="4460763D" w:rsidR="008F58A1" w:rsidRDefault="008F58A1">
    <w:pPr>
      <w:pStyle w:val="Header"/>
    </w:pPr>
    <w:r>
      <w:t>Hedy Mowinckel 2015812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1CD7"/>
    <w:rsid w:val="0000343D"/>
    <w:rsid w:val="000074AC"/>
    <w:rsid w:val="00030AA5"/>
    <w:rsid w:val="00047F51"/>
    <w:rsid w:val="000551FE"/>
    <w:rsid w:val="00077EF2"/>
    <w:rsid w:val="000873E2"/>
    <w:rsid w:val="000A06F0"/>
    <w:rsid w:val="000C3A7B"/>
    <w:rsid w:val="000E0666"/>
    <w:rsid w:val="000E68D8"/>
    <w:rsid w:val="00104DF9"/>
    <w:rsid w:val="001279DC"/>
    <w:rsid w:val="00157F24"/>
    <w:rsid w:val="00164F31"/>
    <w:rsid w:val="0017214C"/>
    <w:rsid w:val="00182978"/>
    <w:rsid w:val="001A41FE"/>
    <w:rsid w:val="001B5F1D"/>
    <w:rsid w:val="001C3DAC"/>
    <w:rsid w:val="00201E15"/>
    <w:rsid w:val="00225DD9"/>
    <w:rsid w:val="00274B98"/>
    <w:rsid w:val="00297347"/>
    <w:rsid w:val="002A26F2"/>
    <w:rsid w:val="002A35A5"/>
    <w:rsid w:val="002A6C15"/>
    <w:rsid w:val="002A7686"/>
    <w:rsid w:val="002B7330"/>
    <w:rsid w:val="002E6532"/>
    <w:rsid w:val="003104B8"/>
    <w:rsid w:val="00325334"/>
    <w:rsid w:val="00330645"/>
    <w:rsid w:val="0033486B"/>
    <w:rsid w:val="0036477D"/>
    <w:rsid w:val="00372B19"/>
    <w:rsid w:val="003754C3"/>
    <w:rsid w:val="003E7663"/>
    <w:rsid w:val="003F104A"/>
    <w:rsid w:val="004137B5"/>
    <w:rsid w:val="004174D9"/>
    <w:rsid w:val="004309E9"/>
    <w:rsid w:val="00434056"/>
    <w:rsid w:val="00482127"/>
    <w:rsid w:val="004C076C"/>
    <w:rsid w:val="004E2056"/>
    <w:rsid w:val="004E29D0"/>
    <w:rsid w:val="00504025"/>
    <w:rsid w:val="00517DF9"/>
    <w:rsid w:val="005545C2"/>
    <w:rsid w:val="0055616E"/>
    <w:rsid w:val="00580212"/>
    <w:rsid w:val="00586770"/>
    <w:rsid w:val="005A6DC4"/>
    <w:rsid w:val="005B74B1"/>
    <w:rsid w:val="005D685D"/>
    <w:rsid w:val="005E0C28"/>
    <w:rsid w:val="00601486"/>
    <w:rsid w:val="00625AED"/>
    <w:rsid w:val="00635851"/>
    <w:rsid w:val="00654A62"/>
    <w:rsid w:val="00666B98"/>
    <w:rsid w:val="0067638B"/>
    <w:rsid w:val="0069558A"/>
    <w:rsid w:val="00697595"/>
    <w:rsid w:val="006B1BBE"/>
    <w:rsid w:val="006D1B18"/>
    <w:rsid w:val="006D6D28"/>
    <w:rsid w:val="0070732D"/>
    <w:rsid w:val="00726E44"/>
    <w:rsid w:val="00742057"/>
    <w:rsid w:val="00756DDF"/>
    <w:rsid w:val="007822FE"/>
    <w:rsid w:val="007A2E6D"/>
    <w:rsid w:val="007A636A"/>
    <w:rsid w:val="007C37D7"/>
    <w:rsid w:val="007E32B7"/>
    <w:rsid w:val="007F6836"/>
    <w:rsid w:val="0081029F"/>
    <w:rsid w:val="00826D3F"/>
    <w:rsid w:val="00850ABC"/>
    <w:rsid w:val="00854C41"/>
    <w:rsid w:val="008674EB"/>
    <w:rsid w:val="008771EC"/>
    <w:rsid w:val="008866BE"/>
    <w:rsid w:val="008913CF"/>
    <w:rsid w:val="008B4D17"/>
    <w:rsid w:val="008D495B"/>
    <w:rsid w:val="008D6668"/>
    <w:rsid w:val="008F0235"/>
    <w:rsid w:val="008F58A1"/>
    <w:rsid w:val="00914C11"/>
    <w:rsid w:val="0092213C"/>
    <w:rsid w:val="0096079C"/>
    <w:rsid w:val="00973DA3"/>
    <w:rsid w:val="00980E70"/>
    <w:rsid w:val="009909C3"/>
    <w:rsid w:val="00995F43"/>
    <w:rsid w:val="009A603F"/>
    <w:rsid w:val="009B1A48"/>
    <w:rsid w:val="009C79B6"/>
    <w:rsid w:val="009E7ECF"/>
    <w:rsid w:val="00A01D97"/>
    <w:rsid w:val="00A02658"/>
    <w:rsid w:val="00A26088"/>
    <w:rsid w:val="00A50B0B"/>
    <w:rsid w:val="00A9425B"/>
    <w:rsid w:val="00A9666E"/>
    <w:rsid w:val="00AC75A5"/>
    <w:rsid w:val="00AE7E2E"/>
    <w:rsid w:val="00AF0313"/>
    <w:rsid w:val="00B1579F"/>
    <w:rsid w:val="00B21973"/>
    <w:rsid w:val="00B2456A"/>
    <w:rsid w:val="00B5056B"/>
    <w:rsid w:val="00B52CD4"/>
    <w:rsid w:val="00B60154"/>
    <w:rsid w:val="00B6305A"/>
    <w:rsid w:val="00B67F94"/>
    <w:rsid w:val="00B71F37"/>
    <w:rsid w:val="00B86F56"/>
    <w:rsid w:val="00B937CE"/>
    <w:rsid w:val="00B93810"/>
    <w:rsid w:val="00B95306"/>
    <w:rsid w:val="00BB1B67"/>
    <w:rsid w:val="00BC1EFF"/>
    <w:rsid w:val="00BC28C4"/>
    <w:rsid w:val="00BD3AFD"/>
    <w:rsid w:val="00C1562E"/>
    <w:rsid w:val="00C16A1F"/>
    <w:rsid w:val="00C31CD7"/>
    <w:rsid w:val="00C347B2"/>
    <w:rsid w:val="00C60EF4"/>
    <w:rsid w:val="00C63508"/>
    <w:rsid w:val="00C65A53"/>
    <w:rsid w:val="00C70670"/>
    <w:rsid w:val="00C77770"/>
    <w:rsid w:val="00C77A80"/>
    <w:rsid w:val="00C8455D"/>
    <w:rsid w:val="00C86181"/>
    <w:rsid w:val="00C8744C"/>
    <w:rsid w:val="00CA0756"/>
    <w:rsid w:val="00CA5494"/>
    <w:rsid w:val="00D1171F"/>
    <w:rsid w:val="00D32824"/>
    <w:rsid w:val="00D37DAA"/>
    <w:rsid w:val="00D846C5"/>
    <w:rsid w:val="00D91FCD"/>
    <w:rsid w:val="00D960F1"/>
    <w:rsid w:val="00DC690D"/>
    <w:rsid w:val="00DD4F8B"/>
    <w:rsid w:val="00DE092A"/>
    <w:rsid w:val="00DE4E91"/>
    <w:rsid w:val="00DF1252"/>
    <w:rsid w:val="00E05C03"/>
    <w:rsid w:val="00E13D37"/>
    <w:rsid w:val="00E25154"/>
    <w:rsid w:val="00E63DC5"/>
    <w:rsid w:val="00E72B56"/>
    <w:rsid w:val="00E904DA"/>
    <w:rsid w:val="00E9329C"/>
    <w:rsid w:val="00E94D1E"/>
    <w:rsid w:val="00ED5224"/>
    <w:rsid w:val="00EE12D7"/>
    <w:rsid w:val="00F00665"/>
    <w:rsid w:val="00F1384F"/>
    <w:rsid w:val="00F15B9F"/>
    <w:rsid w:val="00F76896"/>
    <w:rsid w:val="00F94EBC"/>
    <w:rsid w:val="00F9543B"/>
    <w:rsid w:val="00FC50BE"/>
    <w:rsid w:val="00FD5EB1"/>
    <w:rsid w:val="00FD6988"/>
    <w:rsid w:val="00FF0F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30539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A7686"/>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04025"/>
  </w:style>
  <w:style w:type="character" w:customStyle="1" w:styleId="FootnoteTextChar">
    <w:name w:val="Footnote Text Char"/>
    <w:basedOn w:val="DefaultParagraphFont"/>
    <w:link w:val="FootnoteText"/>
    <w:uiPriority w:val="99"/>
    <w:rsid w:val="00504025"/>
    <w:rPr>
      <w:lang w:val="it-IT"/>
    </w:rPr>
  </w:style>
  <w:style w:type="character" w:styleId="FootnoteReference">
    <w:name w:val="footnote reference"/>
    <w:basedOn w:val="DefaultParagraphFont"/>
    <w:uiPriority w:val="99"/>
    <w:unhideWhenUsed/>
    <w:rsid w:val="00504025"/>
    <w:rPr>
      <w:vertAlign w:val="superscript"/>
    </w:rPr>
  </w:style>
  <w:style w:type="character" w:customStyle="1" w:styleId="Heading3Char">
    <w:name w:val="Heading 3 Char"/>
    <w:basedOn w:val="DefaultParagraphFont"/>
    <w:link w:val="Heading3"/>
    <w:rsid w:val="002A7686"/>
    <w:rPr>
      <w:rFonts w:ascii="Tahoma" w:eastAsia="SimSun" w:hAnsi="Tahoma" w:cs="Tahoma"/>
      <w:b/>
      <w:bCs/>
      <w:sz w:val="20"/>
      <w:szCs w:val="20"/>
      <w:lang w:val="en-GB" w:eastAsia="zh-CN"/>
    </w:rPr>
  </w:style>
  <w:style w:type="paragraph" w:styleId="NormalWeb">
    <w:name w:val="Normal (Web)"/>
    <w:basedOn w:val="Normal"/>
    <w:rsid w:val="002A7686"/>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2A7686"/>
    <w:rPr>
      <w:rFonts w:ascii="Lucida Grande" w:hAnsi="Lucida Grande"/>
      <w:sz w:val="18"/>
      <w:szCs w:val="18"/>
    </w:rPr>
  </w:style>
  <w:style w:type="character" w:customStyle="1" w:styleId="BalloonTextChar">
    <w:name w:val="Balloon Text Char"/>
    <w:basedOn w:val="DefaultParagraphFont"/>
    <w:link w:val="BalloonText"/>
    <w:uiPriority w:val="99"/>
    <w:semiHidden/>
    <w:rsid w:val="002A7686"/>
    <w:rPr>
      <w:rFonts w:ascii="Lucida Grande" w:hAnsi="Lucida Grande"/>
      <w:sz w:val="18"/>
      <w:szCs w:val="18"/>
      <w:lang w:val="it-IT"/>
    </w:rPr>
  </w:style>
  <w:style w:type="paragraph" w:styleId="Footer">
    <w:name w:val="footer"/>
    <w:basedOn w:val="Normal"/>
    <w:link w:val="FooterChar"/>
    <w:uiPriority w:val="99"/>
    <w:unhideWhenUsed/>
    <w:rsid w:val="00B67F94"/>
    <w:pPr>
      <w:tabs>
        <w:tab w:val="center" w:pos="4320"/>
        <w:tab w:val="right" w:pos="8640"/>
      </w:tabs>
    </w:pPr>
  </w:style>
  <w:style w:type="character" w:customStyle="1" w:styleId="FooterChar">
    <w:name w:val="Footer Char"/>
    <w:basedOn w:val="DefaultParagraphFont"/>
    <w:link w:val="Footer"/>
    <w:uiPriority w:val="99"/>
    <w:rsid w:val="00B67F94"/>
    <w:rPr>
      <w:lang w:val="it-IT"/>
    </w:rPr>
  </w:style>
  <w:style w:type="character" w:styleId="PageNumber">
    <w:name w:val="page number"/>
    <w:basedOn w:val="DefaultParagraphFont"/>
    <w:uiPriority w:val="99"/>
    <w:semiHidden/>
    <w:unhideWhenUsed/>
    <w:rsid w:val="00B67F94"/>
  </w:style>
  <w:style w:type="paragraph" w:styleId="Header">
    <w:name w:val="header"/>
    <w:basedOn w:val="Normal"/>
    <w:link w:val="HeaderChar"/>
    <w:uiPriority w:val="99"/>
    <w:unhideWhenUsed/>
    <w:rsid w:val="007A636A"/>
    <w:pPr>
      <w:tabs>
        <w:tab w:val="center" w:pos="4320"/>
        <w:tab w:val="right" w:pos="8640"/>
      </w:tabs>
    </w:pPr>
  </w:style>
  <w:style w:type="character" w:customStyle="1" w:styleId="HeaderChar">
    <w:name w:val="Header Char"/>
    <w:basedOn w:val="DefaultParagraphFont"/>
    <w:link w:val="Header"/>
    <w:uiPriority w:val="99"/>
    <w:rsid w:val="007A636A"/>
    <w:rPr>
      <w:lang w:val="it-I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A7686"/>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04025"/>
  </w:style>
  <w:style w:type="character" w:customStyle="1" w:styleId="FootnoteTextChar">
    <w:name w:val="Footnote Text Char"/>
    <w:basedOn w:val="DefaultParagraphFont"/>
    <w:link w:val="FootnoteText"/>
    <w:uiPriority w:val="99"/>
    <w:rsid w:val="00504025"/>
    <w:rPr>
      <w:lang w:val="it-IT"/>
    </w:rPr>
  </w:style>
  <w:style w:type="character" w:styleId="FootnoteReference">
    <w:name w:val="footnote reference"/>
    <w:basedOn w:val="DefaultParagraphFont"/>
    <w:uiPriority w:val="99"/>
    <w:unhideWhenUsed/>
    <w:rsid w:val="00504025"/>
    <w:rPr>
      <w:vertAlign w:val="superscript"/>
    </w:rPr>
  </w:style>
  <w:style w:type="character" w:customStyle="1" w:styleId="Heading3Char">
    <w:name w:val="Heading 3 Char"/>
    <w:basedOn w:val="DefaultParagraphFont"/>
    <w:link w:val="Heading3"/>
    <w:rsid w:val="002A7686"/>
    <w:rPr>
      <w:rFonts w:ascii="Tahoma" w:eastAsia="SimSun" w:hAnsi="Tahoma" w:cs="Tahoma"/>
      <w:b/>
      <w:bCs/>
      <w:sz w:val="20"/>
      <w:szCs w:val="20"/>
      <w:lang w:val="en-GB" w:eastAsia="zh-CN"/>
    </w:rPr>
  </w:style>
  <w:style w:type="paragraph" w:styleId="NormalWeb">
    <w:name w:val="Normal (Web)"/>
    <w:basedOn w:val="Normal"/>
    <w:rsid w:val="002A7686"/>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2A7686"/>
    <w:rPr>
      <w:rFonts w:ascii="Lucida Grande" w:hAnsi="Lucida Grande"/>
      <w:sz w:val="18"/>
      <w:szCs w:val="18"/>
    </w:rPr>
  </w:style>
  <w:style w:type="character" w:customStyle="1" w:styleId="BalloonTextChar">
    <w:name w:val="Balloon Text Char"/>
    <w:basedOn w:val="DefaultParagraphFont"/>
    <w:link w:val="BalloonText"/>
    <w:uiPriority w:val="99"/>
    <w:semiHidden/>
    <w:rsid w:val="002A7686"/>
    <w:rPr>
      <w:rFonts w:ascii="Lucida Grande" w:hAnsi="Lucida Grande"/>
      <w:sz w:val="18"/>
      <w:szCs w:val="18"/>
      <w:lang w:val="it-IT"/>
    </w:rPr>
  </w:style>
  <w:style w:type="paragraph" w:styleId="Footer">
    <w:name w:val="footer"/>
    <w:basedOn w:val="Normal"/>
    <w:link w:val="FooterChar"/>
    <w:uiPriority w:val="99"/>
    <w:unhideWhenUsed/>
    <w:rsid w:val="00B67F94"/>
    <w:pPr>
      <w:tabs>
        <w:tab w:val="center" w:pos="4320"/>
        <w:tab w:val="right" w:pos="8640"/>
      </w:tabs>
    </w:pPr>
  </w:style>
  <w:style w:type="character" w:customStyle="1" w:styleId="FooterChar">
    <w:name w:val="Footer Char"/>
    <w:basedOn w:val="DefaultParagraphFont"/>
    <w:link w:val="Footer"/>
    <w:uiPriority w:val="99"/>
    <w:rsid w:val="00B67F94"/>
    <w:rPr>
      <w:lang w:val="it-IT"/>
    </w:rPr>
  </w:style>
  <w:style w:type="character" w:styleId="PageNumber">
    <w:name w:val="page number"/>
    <w:basedOn w:val="DefaultParagraphFont"/>
    <w:uiPriority w:val="99"/>
    <w:semiHidden/>
    <w:unhideWhenUsed/>
    <w:rsid w:val="00B67F94"/>
  </w:style>
  <w:style w:type="paragraph" w:styleId="Header">
    <w:name w:val="header"/>
    <w:basedOn w:val="Normal"/>
    <w:link w:val="HeaderChar"/>
    <w:uiPriority w:val="99"/>
    <w:unhideWhenUsed/>
    <w:rsid w:val="007A636A"/>
    <w:pPr>
      <w:tabs>
        <w:tab w:val="center" w:pos="4320"/>
        <w:tab w:val="right" w:pos="8640"/>
      </w:tabs>
    </w:pPr>
  </w:style>
  <w:style w:type="character" w:customStyle="1" w:styleId="HeaderChar">
    <w:name w:val="Header Char"/>
    <w:basedOn w:val="DefaultParagraphFont"/>
    <w:link w:val="Header"/>
    <w:uiPriority w:val="99"/>
    <w:rsid w:val="007A636A"/>
    <w:rPr>
      <w:lang w:val="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044646">
      <w:bodyDiv w:val="1"/>
      <w:marLeft w:val="0"/>
      <w:marRight w:val="0"/>
      <w:marTop w:val="0"/>
      <w:marBottom w:val="0"/>
      <w:divBdr>
        <w:top w:val="none" w:sz="0" w:space="0" w:color="auto"/>
        <w:left w:val="none" w:sz="0" w:space="0" w:color="auto"/>
        <w:bottom w:val="none" w:sz="0" w:space="0" w:color="auto"/>
        <w:right w:val="none" w:sz="0" w:space="0" w:color="auto"/>
      </w:divBdr>
    </w:div>
    <w:div w:id="2116361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2438</Words>
  <Characters>13897</Characters>
  <Application>Microsoft Macintosh Word</Application>
  <DocSecurity>0</DocSecurity>
  <Lines>115</Lines>
  <Paragraphs>32</Paragraphs>
  <ScaleCrop>false</ScaleCrop>
  <Company>investindustrial</Company>
  <LinksUpToDate>false</LinksUpToDate>
  <CharactersWithSpaces>16303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Hedy Mowinckel</cp:lastModifiedBy>
  <cp:revision>2</cp:revision>
  <dcterms:created xsi:type="dcterms:W3CDTF">2023-11-14T00:00:00Z</dcterms:created>
  <dcterms:modified xsi:type="dcterms:W3CDTF">2023-11-14T00:00:00Z</dcterms:modified>
</cp:coreProperties>
</file>