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p w14:paraId="10CEE8D7" w14:textId="26C2D39C" w:rsidR="006C22A2" w:rsidRDefault="00BF49F2">
      <w:r>
        <w:rPr>
          <w:noProof/>
        </w:rPr>
        <mc:AlternateContent>
          <mc:Choice Requires="wps">
            <w:drawing>
              <wp:anchor distT="0" distB="0" distL="114300" distR="114300" simplePos="0" relativeHeight="251671552" behindDoc="0" locked="0" layoutInCell="1" allowOverlap="1" wp14:anchorId="4E48DCEB" wp14:editId="042F2F1E">
                <wp:simplePos x="0" y="0"/>
                <wp:positionH relativeFrom="column">
                  <wp:posOffset>0</wp:posOffset>
                </wp:positionH>
                <wp:positionV relativeFrom="paragraph">
                  <wp:posOffset>1809750</wp:posOffset>
                </wp:positionV>
                <wp:extent cx="5721350" cy="3657600"/>
                <wp:effectExtent l="0" t="0" r="0" b="0"/>
                <wp:wrapSquare wrapText="bothSides"/>
                <wp:docPr id="875562974" name="Text Box 1"/>
                <wp:cNvGraphicFramePr/>
                <a:graphic xmlns:a="http://schemas.openxmlformats.org/drawingml/2006/main">
                  <a:graphicData uri="http://schemas.microsoft.com/office/word/2010/wordprocessingShape">
                    <wps:wsp>
                      <wps:cNvSpPr txBox="1"/>
                      <wps:spPr>
                        <a:xfrm>
                          <a:off x="0" y="0"/>
                          <a:ext cx="5721350" cy="3657600"/>
                        </a:xfrm>
                        <a:prstGeom prst="rect">
                          <a:avLst/>
                        </a:prstGeom>
                        <a:noFill/>
                        <a:ln w="6350">
                          <a:noFill/>
                        </a:ln>
                      </wps:spPr>
                      <wps:txbx>
                        <w:txbxContent>
                          <w:p w14:paraId="4E094107" w14:textId="489015CA" w:rsidR="00842A1C" w:rsidRPr="00842A1C" w:rsidRDefault="00BF49F2" w:rsidP="00842A1C">
                            <w:pPr>
                              <w:pStyle w:val="IntenseQuote"/>
                              <w:rPr>
                                <w:sz w:val="40"/>
                                <w:szCs w:val="40"/>
                                <w:u w:val="single"/>
                                <w:lang w:eastAsia="en-US"/>
                              </w:rPr>
                            </w:pPr>
                            <w:r w:rsidRPr="008367CE">
                              <w:rPr>
                                <w:sz w:val="40"/>
                                <w:szCs w:val="40"/>
                                <w:u w:val="single"/>
                              </w:rPr>
                              <w:t>Contents</w:t>
                            </w:r>
                          </w:p>
                          <w:p w14:paraId="64D2B2AD" w14:textId="17B47DD8" w:rsidR="00842A1C" w:rsidRDefault="00842A1C" w:rsidP="00BF49F2">
                            <w:pPr>
                              <w:pStyle w:val="IntenseQuote"/>
                            </w:pPr>
                            <w:r>
                              <w:t xml:space="preserve">Introduction </w:t>
                            </w:r>
                          </w:p>
                          <w:p w14:paraId="00EB00F7" w14:textId="5AA0C5D7" w:rsidR="00BF49F2" w:rsidRPr="00766C51" w:rsidRDefault="00BF49F2" w:rsidP="00BF49F2">
                            <w:pPr>
                              <w:pStyle w:val="IntenseQuote"/>
                            </w:pPr>
                            <w:r>
                              <w:t xml:space="preserve">Classification and diagnosis </w:t>
                            </w:r>
                          </w:p>
                          <w:p w14:paraId="5290B974" w14:textId="1A950FF0" w:rsidR="00BF49F2" w:rsidRDefault="00BF49F2" w:rsidP="00BF49F2">
                            <w:pPr>
                              <w:pStyle w:val="IntenseQuote"/>
                            </w:pPr>
                            <w:r>
                              <w:t xml:space="preserve">Treatment and rehabilitation </w:t>
                            </w:r>
                          </w:p>
                          <w:p w14:paraId="15277A0D" w14:textId="0F83029C" w:rsidR="00BF49F2" w:rsidRPr="002E1098" w:rsidRDefault="00E434D4" w:rsidP="00BF49F2">
                            <w:pPr>
                              <w:pStyle w:val="IntenseQuote"/>
                            </w:pPr>
                            <w:r>
                              <w:t>Current debates and emerging issues</w:t>
                            </w:r>
                          </w:p>
                          <w:p w14:paraId="70CCD021" w14:textId="77777777" w:rsidR="00BF49F2" w:rsidRDefault="00BF49F2" w:rsidP="00BF49F2">
                            <w:pPr>
                              <w:pStyle w:val="IntenseQuote"/>
                            </w:pPr>
                            <w:r>
                              <w:t xml:space="preserve">Conclusion </w:t>
                            </w:r>
                          </w:p>
                          <w:p w14:paraId="7C597A52" w14:textId="77777777" w:rsidR="00BF49F2" w:rsidRDefault="00BF49F2" w:rsidP="00BF49F2">
                            <w:pPr>
                              <w:pStyle w:val="IntenseQuote"/>
                            </w:pPr>
                            <w:r>
                              <w:t xml:space="preserve">References  </w:t>
                            </w:r>
                          </w:p>
                          <w:p w14:paraId="0FB69134" w14:textId="77777777" w:rsidR="00BF49F2" w:rsidRPr="004626FF" w:rsidRDefault="00BF49F2" w:rsidP="00BF49F2">
                            <w:pPr>
                              <w:rPr>
                                <w:lang w:eastAsia="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48DCEB" id="_x0000_t202" coordsize="21600,21600" o:spt="202" path="m,l,21600r21600,l21600,xe">
                <v:stroke joinstyle="miter"/>
                <v:path gradientshapeok="t" o:connecttype="rect"/>
              </v:shapetype>
              <v:shape id="Text Box 1" o:spid="_x0000_s1026" type="#_x0000_t202" style="position:absolute;margin-left:0;margin-top:142.5pt;width:450.5pt;height:4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" filled="f" stroked="f" strokeweight=".5pt">
                <v:textbox>
                  <w:txbxContent>
                    <w:p w14:paraId="4E094107" w14:textId="489015CA" w:rsidR="00842A1C" w:rsidRPr="00842A1C" w:rsidRDefault="00BF49F2" w:rsidP="00842A1C">
                      <w:pPr>
                        <w:pStyle w:val="IntenseQuote"/>
                        <w:rPr>
                          <w:sz w:val="40"/>
                          <w:szCs w:val="40"/>
                          <w:u w:val="single"/>
                          <w:lang w:eastAsia="en-US"/>
                        </w:rPr>
                      </w:pPr>
                      <w:r w:rsidRPr="008367CE">
                        <w:rPr>
                          <w:sz w:val="40"/>
                          <w:szCs w:val="40"/>
                          <w:u w:val="single"/>
                        </w:rPr>
                        <w:t>Contents</w:t>
                      </w:r>
                    </w:p>
                    <w:p w14:paraId="64D2B2AD" w14:textId="17B47DD8" w:rsidR="00842A1C" w:rsidRDefault="00842A1C" w:rsidP="00BF49F2">
                      <w:pPr>
                        <w:pStyle w:val="IntenseQuote"/>
                      </w:pPr>
                      <w:r>
                        <w:t xml:space="preserve">Introduction </w:t>
                      </w:r>
                    </w:p>
                    <w:p w14:paraId="00EB00F7" w14:textId="5AA0C5D7" w:rsidR="00BF49F2" w:rsidRPr="00766C51" w:rsidRDefault="00BF49F2" w:rsidP="00BF49F2">
                      <w:pPr>
                        <w:pStyle w:val="IntenseQuote"/>
                      </w:pPr>
                      <w:r>
                        <w:t xml:space="preserve">Classification and diagnosis </w:t>
                      </w:r>
                    </w:p>
                    <w:p w14:paraId="5290B974" w14:textId="1A950FF0" w:rsidR="00BF49F2" w:rsidRDefault="00BF49F2" w:rsidP="00BF49F2">
                      <w:pPr>
                        <w:pStyle w:val="IntenseQuote"/>
                      </w:pPr>
                      <w:r>
                        <w:t xml:space="preserve">Treatment and rehabilitation </w:t>
                      </w:r>
                    </w:p>
                    <w:p w14:paraId="15277A0D" w14:textId="0F83029C" w:rsidR="00BF49F2" w:rsidRPr="002E1098" w:rsidRDefault="00E434D4" w:rsidP="00BF49F2">
                      <w:pPr>
                        <w:pStyle w:val="IntenseQuote"/>
                      </w:pPr>
                      <w:r>
                        <w:t>Current debates and emerging issues</w:t>
                      </w:r>
                    </w:p>
                    <w:p w14:paraId="70CCD021" w14:textId="77777777" w:rsidR="00BF49F2" w:rsidRDefault="00BF49F2" w:rsidP="00BF49F2">
                      <w:pPr>
                        <w:pStyle w:val="IntenseQuote"/>
                      </w:pPr>
                      <w:r>
                        <w:t xml:space="preserve">Conclusion </w:t>
                      </w:r>
                    </w:p>
                    <w:p w14:paraId="7C597A52" w14:textId="77777777" w:rsidR="00BF49F2" w:rsidRDefault="00BF49F2" w:rsidP="00BF49F2">
                      <w:pPr>
                        <w:pStyle w:val="IntenseQuote"/>
                      </w:pPr>
                      <w:r>
                        <w:t xml:space="preserve">References  </w:t>
                      </w:r>
                    </w:p>
                    <w:p w14:paraId="0FB69134" w14:textId="77777777" w:rsidR="00BF49F2" w:rsidRPr="004626FF" w:rsidRDefault="00BF49F2" w:rsidP="00BF49F2">
                      <w:pPr>
                        <w:rPr>
                          <w:lang w:eastAsia="en-US"/>
                        </w:rPr>
                      </w:pPr>
                    </w:p>
                  </w:txbxContent>
                </v:textbox>
                <w10:wrap type="square"/>
              </v:shape>
            </w:pict>
          </mc:Fallback>
        </mc:AlternateContent>
      </w:r>
      <w:r w:rsidR="00813E65">
        <w:rPr>
          <w:noProof/>
        </w:rPr>
        <mc:AlternateContent>
          <mc:Choice Requires="wpi">
            <w:drawing>
              <wp:anchor distT="0" distB="0" distL="114300" distR="114300" simplePos="0" relativeHeight="251669504" behindDoc="0" locked="0" layoutInCell="1" allowOverlap="1" wp14:anchorId="7DAF57BC" wp14:editId="419ACC8F">
                <wp:simplePos x="0" y="0"/>
                <wp:positionH relativeFrom="column">
                  <wp:posOffset>4406900</wp:posOffset>
                </wp:positionH>
                <wp:positionV relativeFrom="paragraph">
                  <wp:posOffset>1631950</wp:posOffset>
                </wp:positionV>
                <wp:extent cx="1581150" cy="360"/>
                <wp:effectExtent l="95250" t="152400" r="114300" b="152400"/>
                <wp:wrapNone/>
                <wp:docPr id="1078602994" name="Ink 4"/>
                <wp:cNvGraphicFramePr/>
                <a:graphic xmlns:a="http://schemas.openxmlformats.org/drawingml/2006/main">
                  <a:graphicData uri="http://schemas.microsoft.com/office/word/2010/wordprocessingInk">
                    <w14:contentPart bwMode="auto" r:id="rId7">
                      <w14:nvContentPartPr>
                        <w14:cNvContentPartPr/>
                      </w14:nvContentPartPr>
                      <w14:xfrm>
                        <a:off x="0" y="0"/>
                        <a:ext cx="1581150" cy="360"/>
                      </w14:xfrm>
                    </w14:contentPart>
                  </a:graphicData>
                </a:graphic>
                <wp14:sizeRelH relativeFrom="margin">
                  <wp14:pctWidth>0</wp14:pctWidth>
                </wp14:sizeRelH>
              </wp:anchor>
            </w:drawing>
          </mc:Choice>
          <mc:Fallback>
            <w:pict>
              <v:shapetype w14:anchorId="2F88988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342.8pt;margin-top:120pt;width:132.9pt;height:17.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">
                <v:imagedata r:id="rId8" o:title=""/>
              </v:shape>
            </w:pict>
          </mc:Fallback>
        </mc:AlternateContent>
      </w:r>
      <w:r w:rsidR="00813E65">
        <w:rPr>
          <w:noProof/>
        </w:rPr>
        <mc:AlternateContent>
          <mc:Choice Requires="wpi">
            <w:drawing>
              <wp:anchor distT="0" distB="0" distL="114300" distR="114300" simplePos="0" relativeHeight="251667456" behindDoc="0" locked="0" layoutInCell="1" allowOverlap="1" wp14:anchorId="6B96538D" wp14:editId="59CB2C6A">
                <wp:simplePos x="0" y="0"/>
                <wp:positionH relativeFrom="column">
                  <wp:posOffset>-273050</wp:posOffset>
                </wp:positionH>
                <wp:positionV relativeFrom="paragraph">
                  <wp:posOffset>1587500</wp:posOffset>
                </wp:positionV>
                <wp:extent cx="1581150" cy="360"/>
                <wp:effectExtent l="95250" t="152400" r="114300" b="152400"/>
                <wp:wrapNone/>
                <wp:docPr id="1921282422" name="Ink 4"/>
                <wp:cNvGraphicFramePr/>
                <a:graphic xmlns:a="http://schemas.openxmlformats.org/drawingml/2006/main">
                  <a:graphicData uri="http://schemas.microsoft.com/office/word/2010/wordprocessingInk">
                    <w14:contentPart bwMode="auto" r:id="rId9">
                      <w14:nvContentPartPr>
                        <w14:cNvContentPartPr/>
                      </w14:nvContentPartPr>
                      <w14:xfrm>
                        <a:off x="0" y="0"/>
                        <a:ext cx="1581150" cy="360"/>
                      </w14:xfrm>
                    </w14:contentPart>
                  </a:graphicData>
                </a:graphic>
                <wp14:sizeRelH relativeFrom="margin">
                  <wp14:pctWidth>0</wp14:pctWidth>
                </wp14:sizeRelH>
              </wp:anchor>
            </w:drawing>
          </mc:Choice>
          <mc:Fallback>
            <w:pict>
              <v:shape w14:anchorId="6E15899E" id="Ink 4" o:spid="_x0000_s1026" type="#_x0000_t75" style="position:absolute;margin-left:-25.7pt;margin-top:116.5pt;width:132.9pt;height:17.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">
                <v:imagedata r:id="rId8" o:title=""/>
              </v:shape>
            </w:pict>
          </mc:Fallback>
        </mc:AlternateContent>
      </w:r>
      <w:r w:rsidR="00735F2F">
        <w:rPr>
          <w:noProof/>
        </w:rPr>
        <mc:AlternateContent>
          <mc:Choice Requires="wps">
            <w:drawing>
              <wp:anchor distT="0" distB="0" distL="114300" distR="114300" simplePos="0" relativeHeight="251659264" behindDoc="0" locked="0" layoutInCell="1" allowOverlap="1" wp14:anchorId="45B36AA3" wp14:editId="330597C9">
                <wp:simplePos x="0" y="0"/>
                <wp:positionH relativeFrom="column">
                  <wp:posOffset>1041400</wp:posOffset>
                </wp:positionH>
                <wp:positionV relativeFrom="paragraph">
                  <wp:posOffset>1377950</wp:posOffset>
                </wp:positionV>
                <wp:extent cx="3619500" cy="431800"/>
                <wp:effectExtent l="0" t="0" r="0" b="6350"/>
                <wp:wrapNone/>
                <wp:docPr id="357968040" name="Text Box 1"/>
                <wp:cNvGraphicFramePr/>
                <a:graphic xmlns:a="http://schemas.openxmlformats.org/drawingml/2006/main">
                  <a:graphicData uri="http://schemas.microsoft.com/office/word/2010/wordprocessingShape">
                    <wps:wsp>
                      <wps:cNvSpPr txBox="1"/>
                      <wps:spPr>
                        <a:xfrm>
                          <a:off x="0" y="0"/>
                          <a:ext cx="3619500" cy="431800"/>
                        </a:xfrm>
                        <a:prstGeom prst="rect">
                          <a:avLst/>
                        </a:prstGeom>
                        <a:noFill/>
                        <a:ln w="6350">
                          <a:noFill/>
                        </a:ln>
                      </wps:spPr>
                      <wps:txbx>
                        <w:txbxContent>
                          <w:p w14:paraId="3728BAF0" w14:textId="26F507E8" w:rsidR="009F4093" w:rsidRPr="00735F2F" w:rsidRDefault="009F4093" w:rsidP="00735F2F">
                            <w:pPr>
                              <w:jc w:val="center"/>
                              <w:rPr>
                                <w:rFonts w:ascii="Elephant" w:hAnsi="Elephant"/>
                                <w:sz w:val="36"/>
                                <w:szCs w:val="36"/>
                                <w:u w:val="single"/>
                              </w:rPr>
                            </w:pPr>
                            <w:r w:rsidRPr="00735F2F">
                              <w:rPr>
                                <w:rFonts w:ascii="Elephant" w:hAnsi="Elephant"/>
                                <w:sz w:val="36"/>
                                <w:szCs w:val="36"/>
                                <w:u w:val="single"/>
                              </w:rPr>
                              <w:t>6D13 Antisocial Pattern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B36AA3" id="_x0000_s1027" type="#_x0000_t202" style="position:absolute;margin-left:82pt;margin-top:108.5pt;width:285pt;height:3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" filled="f" stroked="f" strokeweight=".5pt">
                <v:textbox>
                  <w:txbxContent>
                    <w:p w14:paraId="3728BAF0" w14:textId="26F507E8" w:rsidR="009F4093" w:rsidRPr="00735F2F" w:rsidRDefault="009F4093" w:rsidP="00735F2F">
                      <w:pPr>
                        <w:jc w:val="center"/>
                        <w:rPr>
                          <w:rFonts w:ascii="Elephant" w:hAnsi="Elephant"/>
                          <w:sz w:val="36"/>
                          <w:szCs w:val="36"/>
                          <w:u w:val="single"/>
                        </w:rPr>
                      </w:pPr>
                      <w:r w:rsidRPr="00735F2F">
                        <w:rPr>
                          <w:rFonts w:ascii="Elephant" w:hAnsi="Elephant"/>
                          <w:sz w:val="36"/>
                          <w:szCs w:val="36"/>
                          <w:u w:val="single"/>
                        </w:rPr>
                        <w:t>6D13 Antisocial Pattern</w:t>
                      </w:r>
                    </w:p>
                  </w:txbxContent>
                </v:textbox>
              </v:shape>
            </w:pict>
          </mc:Fallback>
        </mc:AlternateContent>
      </w:r>
      <w:r w:rsidR="00CB4543" w:rsidRPr="000B2DCD">
        <w:rPr>
          <w:rFonts w:ascii="Elephant" w:hAnsi="Elephant"/>
          <w:noProof/>
          <w:sz w:val="40"/>
          <w:szCs w:val="40"/>
          <w:u w:val="thick" w:color="000000" w:themeColor="text1"/>
        </w:rPr>
        <mc:AlternateContent>
          <mc:Choice Requires="wps">
            <w:drawing>
              <wp:anchor distT="0" distB="0" distL="114300" distR="114300" simplePos="0" relativeHeight="251663360" behindDoc="0" locked="0" layoutInCell="1" allowOverlap="1" wp14:anchorId="4A26A6D2" wp14:editId="228A0C96">
                <wp:simplePos x="0" y="0"/>
                <wp:positionH relativeFrom="column">
                  <wp:posOffset>635000</wp:posOffset>
                </wp:positionH>
                <wp:positionV relativeFrom="paragraph">
                  <wp:posOffset>88900</wp:posOffset>
                </wp:positionV>
                <wp:extent cx="4476750" cy="1136650"/>
                <wp:effectExtent l="0" t="0" r="19050" b="25400"/>
                <wp:wrapNone/>
                <wp:docPr id="758071568" name="Text Box 1"/>
                <wp:cNvGraphicFramePr/>
                <a:graphic xmlns:a="http://schemas.openxmlformats.org/drawingml/2006/main">
                  <a:graphicData uri="http://schemas.microsoft.com/office/word/2010/wordprocessingShape">
                    <wps:wsp>
                      <wps:cNvSpPr txBox="1"/>
                      <wps:spPr>
                        <a:xfrm>
                          <a:off x="0" y="0"/>
                          <a:ext cx="4476750" cy="1136650"/>
                        </a:xfrm>
                        <a:prstGeom prst="rect">
                          <a:avLst/>
                        </a:prstGeom>
                        <a:noFill/>
                        <a:ln w="12700">
                          <a:solidFill>
                            <a:schemeClr val="tx2">
                              <a:lumMod val="75000"/>
                              <a:lumOff val="25000"/>
                            </a:schemeClr>
                          </a:solidFill>
                        </a:ln>
                      </wps:spPr>
                      <wps:txbx>
                        <w:txbxContent>
                          <w:p w14:paraId="6C9A2079" w14:textId="77777777" w:rsidR="00CB4543" w:rsidRPr="00445A87" w:rsidRDefault="00CB4543" w:rsidP="00CB4543">
                            <w:pPr>
                              <w:jc w:val="center"/>
                            </w:pPr>
                            <w:r w:rsidRPr="00445A87">
                              <w:rPr>
                                <w:b/>
                              </w:rPr>
                              <w:t>name:</w:t>
                            </w:r>
                            <w:r w:rsidRPr="00445A87">
                              <w:t xml:space="preserve"> Shahnaz Kausar                 </w:t>
                            </w:r>
                            <w:r w:rsidRPr="00445A87">
                              <w:rPr>
                                <w:b/>
                              </w:rPr>
                              <w:t>Student number:</w:t>
                            </w:r>
                            <w:r w:rsidRPr="00445A87">
                              <w:t xml:space="preserve"> 1714217</w:t>
                            </w:r>
                          </w:p>
                          <w:p w14:paraId="6FDCB917" w14:textId="748866F4" w:rsidR="00CB4543" w:rsidRPr="00735F2F" w:rsidRDefault="00CB4543" w:rsidP="00735F2F">
                            <w:pPr>
                              <w:jc w:val="center"/>
                              <w:rPr>
                                <w:b/>
                                <w:bCs/>
                              </w:rPr>
                            </w:pPr>
                            <w:r w:rsidRPr="00445A87">
                              <w:rPr>
                                <w:b/>
                              </w:rPr>
                              <w:t>module name:</w:t>
                            </w:r>
                            <w:r w:rsidRPr="00445A87">
                              <w:t xml:space="preserve"> </w:t>
                            </w:r>
                            <w:r w:rsidR="00735F2F" w:rsidRPr="00735F2F">
                              <w:rPr>
                                <w:rFonts w:eastAsiaTheme="minorHAnsi"/>
                              </w:rPr>
                              <w:t>Psychopathological Classifications and Provisions</w:t>
                            </w:r>
                          </w:p>
                          <w:p w14:paraId="01B5A05E" w14:textId="2F5911B5" w:rsidR="00CB4543" w:rsidRPr="00123D65" w:rsidRDefault="00CB4543" w:rsidP="00CB4543">
                            <w:pPr>
                              <w:jc w:val="center"/>
                              <w:rPr>
                                <w:b/>
                              </w:rPr>
                            </w:pPr>
                            <w:r w:rsidRPr="00445A87">
                              <w:rPr>
                                <w:b/>
                              </w:rPr>
                              <w:t>module code:</w:t>
                            </w:r>
                            <w:r w:rsidRPr="00445A87">
                              <w:t xml:space="preserve"> BMHP</w:t>
                            </w:r>
                            <w:r>
                              <w:t xml:space="preserve">60269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6A6D2" id="_x0000_s1028" type="#_x0000_t202" style="position:absolute;margin-left:50pt;margin-top:7pt;width:352.5pt;height:8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" filled="f" strokecolor="#215e99 [2431]" strokeweight="1pt">
                <v:textbox>
                  <w:txbxContent>
                    <w:p w14:paraId="6C9A2079" w14:textId="77777777" w:rsidR="00CB4543" w:rsidRPr="00445A87" w:rsidRDefault="00CB4543" w:rsidP="00CB4543">
                      <w:pPr>
                        <w:jc w:val="center"/>
                      </w:pPr>
                      <w:r w:rsidRPr="00445A87">
                        <w:rPr>
                          <w:b/>
                        </w:rPr>
                        <w:t>name:</w:t>
                      </w:r>
                      <w:r w:rsidRPr="00445A87">
                        <w:t xml:space="preserve"> Shahnaz Kausar                 </w:t>
                      </w:r>
                      <w:r w:rsidRPr="00445A87">
                        <w:rPr>
                          <w:b/>
                        </w:rPr>
                        <w:t>Student number:</w:t>
                      </w:r>
                      <w:r w:rsidRPr="00445A87">
                        <w:t xml:space="preserve"> 1714217</w:t>
                      </w:r>
                    </w:p>
                    <w:p w14:paraId="6FDCB917" w14:textId="748866F4" w:rsidR="00CB4543" w:rsidRPr="00735F2F" w:rsidRDefault="00CB4543" w:rsidP="00735F2F">
                      <w:pPr>
                        <w:jc w:val="center"/>
                        <w:rPr>
                          <w:b/>
                          <w:bCs/>
                        </w:rPr>
                      </w:pPr>
                      <w:r w:rsidRPr="00445A87">
                        <w:rPr>
                          <w:b/>
                        </w:rPr>
                        <w:t>module name:</w:t>
                      </w:r>
                      <w:r w:rsidRPr="00445A87">
                        <w:t xml:space="preserve"> </w:t>
                      </w:r>
                      <w:r w:rsidR="00735F2F" w:rsidRPr="00735F2F">
                        <w:rPr>
                          <w:rFonts w:eastAsiaTheme="minorHAnsi"/>
                        </w:rPr>
                        <w:t>Psychopathological Classifications and Provisions</w:t>
                      </w:r>
                    </w:p>
                    <w:p w14:paraId="01B5A05E" w14:textId="2F5911B5" w:rsidR="00CB4543" w:rsidRPr="00123D65" w:rsidRDefault="00CB4543" w:rsidP="00CB4543">
                      <w:pPr>
                        <w:jc w:val="center"/>
                        <w:rPr>
                          <w:b/>
                        </w:rPr>
                      </w:pPr>
                      <w:r w:rsidRPr="00445A87">
                        <w:rPr>
                          <w:b/>
                        </w:rPr>
                        <w:t>module code:</w:t>
                      </w:r>
                      <w:r w:rsidRPr="00445A87">
                        <w:t xml:space="preserve"> BMHP</w:t>
                      </w:r>
                      <w:r>
                        <w:t xml:space="preserve">60269   </w:t>
                      </w:r>
                    </w:p>
                  </w:txbxContent>
                </v:textbox>
              </v:shape>
            </w:pict>
          </mc:Fallback>
        </mc:AlternateContent>
      </w:r>
      <w:r w:rsidR="009F4093">
        <w:rPr>
          <w:noProof/>
        </w:rPr>
        <mc:AlternateContent>
          <mc:Choice Requires="wps">
            <w:drawing>
              <wp:anchor distT="0" distB="0" distL="114300" distR="114300" simplePos="0" relativeHeight="251661312" behindDoc="0" locked="0" layoutInCell="1" allowOverlap="1" wp14:anchorId="52029562" wp14:editId="0FFD8155">
                <wp:simplePos x="0" y="0"/>
                <wp:positionH relativeFrom="column">
                  <wp:posOffset>-431800</wp:posOffset>
                </wp:positionH>
                <wp:positionV relativeFrom="paragraph">
                  <wp:posOffset>-469900</wp:posOffset>
                </wp:positionV>
                <wp:extent cx="6604000" cy="501650"/>
                <wp:effectExtent l="0" t="0" r="0" b="0"/>
                <wp:wrapNone/>
                <wp:docPr id="592006615" name="Text Box 1"/>
                <wp:cNvGraphicFramePr/>
                <a:graphic xmlns:a="http://schemas.openxmlformats.org/drawingml/2006/main">
                  <a:graphicData uri="http://schemas.microsoft.com/office/word/2010/wordprocessingShape">
                    <wps:wsp>
                      <wps:cNvSpPr txBox="1"/>
                      <wps:spPr>
                        <a:xfrm>
                          <a:off x="0" y="0"/>
                          <a:ext cx="6604000" cy="501650"/>
                        </a:xfrm>
                        <a:prstGeom prst="rect">
                          <a:avLst/>
                        </a:prstGeom>
                        <a:noFill/>
                        <a:ln w="6350">
                          <a:noFill/>
                        </a:ln>
                      </wps:spPr>
                      <wps:txbx>
                        <w:txbxContent>
                          <w:p w14:paraId="64BB3E30" w14:textId="33AFE2B1" w:rsidR="009F4093" w:rsidRPr="0008533C" w:rsidRDefault="009F4093" w:rsidP="0008533C">
                            <w:pPr>
                              <w:jc w:val="center"/>
                              <w:rPr>
                                <w:rFonts w:ascii="Elephant" w:hAnsi="Elephant"/>
                                <w:sz w:val="48"/>
                                <w:szCs w:val="48"/>
                                <w:u w:val="single"/>
                              </w:rPr>
                            </w:pPr>
                            <w:r w:rsidRPr="0008533C">
                              <w:rPr>
                                <w:rFonts w:ascii="Elephant" w:hAnsi="Elephant"/>
                                <w:sz w:val="48"/>
                                <w:szCs w:val="48"/>
                                <w:u w:val="single"/>
                              </w:rPr>
                              <w:t>Component two: written assignment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29562" id="_x0000_s1029" type="#_x0000_t202" style="position:absolute;margin-left:-34pt;margin-top:-37pt;width:520pt;height:3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" filled="f" stroked="f" strokeweight=".5pt">
                <v:textbox>
                  <w:txbxContent>
                    <w:p w14:paraId="64BB3E30" w14:textId="33AFE2B1" w:rsidR="009F4093" w:rsidRPr="0008533C" w:rsidRDefault="009F4093" w:rsidP="0008533C">
                      <w:pPr>
                        <w:jc w:val="center"/>
                        <w:rPr>
                          <w:rFonts w:ascii="Elephant" w:hAnsi="Elephant"/>
                          <w:sz w:val="48"/>
                          <w:szCs w:val="48"/>
                          <w:u w:val="single"/>
                        </w:rPr>
                      </w:pPr>
                      <w:r w:rsidRPr="0008533C">
                        <w:rPr>
                          <w:rFonts w:ascii="Elephant" w:hAnsi="Elephant"/>
                          <w:sz w:val="48"/>
                          <w:szCs w:val="48"/>
                          <w:u w:val="single"/>
                        </w:rPr>
                        <w:t>Component two: written assignment</w:t>
                      </w:r>
                    </w:p>
                  </w:txbxContent>
                </v:textbox>
              </v:shape>
            </w:pict>
          </mc:Fallback>
        </mc:AlternateContent>
      </w:r>
      <w:r w:rsidR="00822C05">
        <w:t xml:space="preserve"> </w:t>
      </w:r>
    </w:p>
    <w:p w14:paraId="23FAB7D0" w14:textId="77777777" w:rsidR="00822C05" w:rsidRDefault="00822C05"/>
    <w:p w14:paraId="61C783E0" w14:textId="77777777" w:rsidR="00822C05" w:rsidRDefault="00822C05"/>
    <w:p w14:paraId="3246EF12" w14:textId="77777777" w:rsidR="00822C05" w:rsidRDefault="00822C05"/>
    <w:p w14:paraId="63CE2A87" w14:textId="2FA9B2FA" w:rsidR="00822C05" w:rsidRDefault="00822C05"/>
    <w:p w14:paraId="3D6F4BFA" w14:textId="0B666B6C" w:rsidR="003D2E92" w:rsidRPr="002034D0" w:rsidRDefault="003D2E92" w:rsidP="003D2E92">
      <w:pPr>
        <w:rPr>
          <w:sz w:val="12"/>
          <w:szCs w:val="12"/>
        </w:rPr>
      </w:pPr>
    </w:p>
    <w:p w14:paraId="4DA0F1A8" w14:textId="7333CE72" w:rsidR="002034D0" w:rsidRPr="002034D0" w:rsidRDefault="000042E0" w:rsidP="003D2E92">
      <w:pPr>
        <w:rPr>
          <w:sz w:val="8"/>
          <w:szCs w:val="8"/>
        </w:rPr>
      </w:pPr>
      <w:r>
        <w:rPr>
          <w:noProof/>
        </w:rPr>
        <w:drawing>
          <wp:anchor distT="0" distB="0" distL="114300" distR="114300" simplePos="0" relativeHeight="251686912" behindDoc="0" locked="0" layoutInCell="1" allowOverlap="1" wp14:anchorId="0D95498A" wp14:editId="79FF113C">
            <wp:simplePos x="0" y="0"/>
            <wp:positionH relativeFrom="column">
              <wp:posOffset>1003300</wp:posOffset>
            </wp:positionH>
            <wp:positionV relativeFrom="paragraph">
              <wp:posOffset>3729990</wp:posOffset>
            </wp:positionV>
            <wp:extent cx="3778250" cy="3554768"/>
            <wp:effectExtent l="0" t="0" r="0" b="7620"/>
            <wp:wrapNone/>
            <wp:docPr id="2061459534" name="Picture 5" descr="ICD-11 chapter title e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D-11 chapter title edit"/>
                    <pic:cNvPicPr>
                      <a:picLocks noChangeAspect="1" noChangeArrowheads="1"/>
                    </pic:cNvPicPr>
                  </pic:nvPicPr>
                  <pic:blipFill rotWithShape="1">
                    <a:blip r:embed="rId10">
                      <a:extLst>
                        <a:ext uri="{28A0092B-C50C-407E-A947-70E740481C1C}">
                          <a14:useLocalDpi xmlns:a14="http://schemas.microsoft.com/office/drawing/2010/main" val="0"/>
                        </a:ext>
                      </a:extLst>
                    </a:blip>
                    <a:srcRect b="5915"/>
                    <a:stretch>
                      <a:fillRect/>
                    </a:stretch>
                  </pic:blipFill>
                  <pic:spPr bwMode="auto">
                    <a:xfrm>
                      <a:off x="0" y="0"/>
                      <a:ext cx="3778250" cy="355476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7F1C63" w14:textId="77777777" w:rsidR="003D2E92" w:rsidRPr="002034D0" w:rsidRDefault="003D2E92" w:rsidP="003D2E92">
      <w:pPr>
        <w:rPr>
          <w:sz w:val="8"/>
          <w:szCs w:val="8"/>
        </w:rPr>
      </w:pPr>
    </w:p>
    <w:p w14:paraId="287E184D" w14:textId="77777777" w:rsidR="0051258D" w:rsidRDefault="0051258D" w:rsidP="007B74F6">
      <w:pPr>
        <w:rPr>
          <w:sz w:val="8"/>
          <w:szCs w:val="8"/>
        </w:rPr>
      </w:pPr>
    </w:p>
    <w:p w14:paraId="54AB7405" w14:textId="77777777" w:rsidR="008D5175" w:rsidRDefault="008D5175" w:rsidP="007B74F6">
      <w:pPr>
        <w:rPr>
          <w:sz w:val="8"/>
          <w:szCs w:val="8"/>
        </w:rPr>
      </w:pPr>
    </w:p>
    <w:p w14:paraId="0E5F4F98" w14:textId="77777777" w:rsidR="008D5175" w:rsidRDefault="008D5175" w:rsidP="007B74F6">
      <w:pPr>
        <w:rPr>
          <w:sz w:val="8"/>
          <w:szCs w:val="8"/>
        </w:rPr>
      </w:pPr>
    </w:p>
    <w:p w14:paraId="556B1383" w14:textId="3FD98DEB" w:rsidR="008D5175" w:rsidRDefault="008D5175" w:rsidP="007B74F6">
      <w:pPr>
        <w:rPr>
          <w:sz w:val="8"/>
          <w:szCs w:val="8"/>
        </w:rPr>
      </w:pPr>
    </w:p>
    <w:p w14:paraId="590EB34A" w14:textId="77777777" w:rsidR="0051258D" w:rsidRDefault="0051258D" w:rsidP="007B74F6">
      <w:pPr>
        <w:rPr>
          <w:sz w:val="8"/>
          <w:szCs w:val="8"/>
        </w:rPr>
      </w:pPr>
    </w:p>
    <w:p w14:paraId="56A4A96D" w14:textId="77777777" w:rsidR="0051258D" w:rsidRDefault="0051258D" w:rsidP="007B74F6">
      <w:pPr>
        <w:rPr>
          <w:sz w:val="8"/>
          <w:szCs w:val="8"/>
        </w:rPr>
      </w:pPr>
    </w:p>
    <w:p w14:paraId="7ACA86D2" w14:textId="77777777" w:rsidR="0051258D" w:rsidRDefault="0051258D" w:rsidP="007B74F6">
      <w:pPr>
        <w:rPr>
          <w:sz w:val="8"/>
          <w:szCs w:val="8"/>
        </w:rPr>
      </w:pPr>
    </w:p>
    <w:p w14:paraId="78CCA6C3" w14:textId="77777777" w:rsidR="0051258D" w:rsidRDefault="0051258D" w:rsidP="007B74F6">
      <w:pPr>
        <w:rPr>
          <w:sz w:val="8"/>
          <w:szCs w:val="8"/>
        </w:rPr>
      </w:pPr>
    </w:p>
    <w:p w14:paraId="07B59BB5" w14:textId="77777777" w:rsidR="0051258D" w:rsidRDefault="0051258D" w:rsidP="007B74F6">
      <w:pPr>
        <w:rPr>
          <w:sz w:val="8"/>
          <w:szCs w:val="8"/>
        </w:rPr>
      </w:pPr>
    </w:p>
    <w:p w14:paraId="2A7185C0" w14:textId="77777777" w:rsidR="0051258D" w:rsidRDefault="0051258D" w:rsidP="007B74F6">
      <w:pPr>
        <w:rPr>
          <w:sz w:val="8"/>
          <w:szCs w:val="8"/>
        </w:rPr>
      </w:pPr>
    </w:p>
    <w:p w14:paraId="01E71CC9" w14:textId="77777777" w:rsidR="0051258D" w:rsidRDefault="0051258D" w:rsidP="007B74F6">
      <w:pPr>
        <w:rPr>
          <w:sz w:val="8"/>
          <w:szCs w:val="8"/>
        </w:rPr>
      </w:pPr>
    </w:p>
    <w:p w14:paraId="55CD4D64" w14:textId="77777777" w:rsidR="0051258D" w:rsidRDefault="0051258D" w:rsidP="007B74F6">
      <w:pPr>
        <w:rPr>
          <w:sz w:val="8"/>
          <w:szCs w:val="8"/>
        </w:rPr>
      </w:pPr>
    </w:p>
    <w:p w14:paraId="783AFF16" w14:textId="77777777" w:rsidR="0051258D" w:rsidRDefault="0051258D" w:rsidP="007B74F6">
      <w:pPr>
        <w:rPr>
          <w:sz w:val="8"/>
          <w:szCs w:val="8"/>
        </w:rPr>
      </w:pPr>
    </w:p>
    <w:p w14:paraId="0CCC91BB" w14:textId="77777777" w:rsidR="0051258D" w:rsidRDefault="0051258D" w:rsidP="007B74F6">
      <w:pPr>
        <w:rPr>
          <w:sz w:val="8"/>
          <w:szCs w:val="8"/>
        </w:rPr>
      </w:pPr>
    </w:p>
    <w:p w14:paraId="475BF811" w14:textId="77777777" w:rsidR="0051258D" w:rsidRDefault="0051258D" w:rsidP="007B74F6">
      <w:pPr>
        <w:rPr>
          <w:sz w:val="8"/>
          <w:szCs w:val="8"/>
        </w:rPr>
      </w:pPr>
    </w:p>
    <w:p w14:paraId="2D5C5988" w14:textId="77777777" w:rsidR="0051258D" w:rsidRDefault="0051258D" w:rsidP="007B74F6">
      <w:pPr>
        <w:rPr>
          <w:sz w:val="8"/>
          <w:szCs w:val="8"/>
        </w:rPr>
      </w:pPr>
    </w:p>
    <w:p w14:paraId="16F67480" w14:textId="77777777" w:rsidR="0051258D" w:rsidRDefault="0051258D" w:rsidP="007B74F6">
      <w:pPr>
        <w:rPr>
          <w:sz w:val="8"/>
          <w:szCs w:val="8"/>
        </w:rPr>
      </w:pPr>
    </w:p>
    <w:p w14:paraId="3C883B45" w14:textId="37AAAA8A" w:rsidR="007B74F6" w:rsidRPr="000A1119" w:rsidRDefault="00D555BB" w:rsidP="007B74F6">
      <w:pPr>
        <w:rPr>
          <w:rFonts w:ascii="Algerian" w:hAnsi="Algerian"/>
          <w:sz w:val="28"/>
          <w:szCs w:val="28"/>
        </w:rPr>
      </w:pPr>
      <w:r>
        <w:rPr>
          <w:noProof/>
        </w:rPr>
        <w:lastRenderedPageBreak/>
        <mc:AlternateContent>
          <mc:Choice Requires="wpi">
            <w:drawing>
              <wp:anchor distT="0" distB="0" distL="114300" distR="114300" simplePos="0" relativeHeight="251673600" behindDoc="0" locked="0" layoutInCell="1" allowOverlap="1" wp14:anchorId="0392255D" wp14:editId="5DC4CA63">
                <wp:simplePos x="0" y="0"/>
                <wp:positionH relativeFrom="column">
                  <wp:posOffset>1308100</wp:posOffset>
                </wp:positionH>
                <wp:positionV relativeFrom="paragraph">
                  <wp:posOffset>146050</wp:posOffset>
                </wp:positionV>
                <wp:extent cx="4845050" cy="360"/>
                <wp:effectExtent l="57150" t="76200" r="50800" b="76200"/>
                <wp:wrapNone/>
                <wp:docPr id="2126907255" name="Ink 4"/>
                <wp:cNvGraphicFramePr/>
                <a:graphic xmlns:a="http://schemas.openxmlformats.org/drawingml/2006/main">
                  <a:graphicData uri="http://schemas.microsoft.com/office/word/2010/wordprocessingInk">
                    <w14:contentPart bwMode="auto" r:id="rId11">
                      <w14:nvContentPartPr>
                        <w14:cNvContentPartPr/>
                      </w14:nvContentPartPr>
                      <w14:xfrm>
                        <a:off x="0" y="0"/>
                        <a:ext cx="4845050" cy="360"/>
                      </w14:xfrm>
                    </w14:contentPart>
                  </a:graphicData>
                </a:graphic>
                <wp14:sizeRelH relativeFrom="margin">
                  <wp14:pctWidth>0</wp14:pctWidth>
                </wp14:sizeRelH>
              </wp:anchor>
            </w:drawing>
          </mc:Choice>
          <mc:Fallback>
            <w:pict>
              <v:shape w14:anchorId="0E1D8246" id="Ink 4" o:spid="_x0000_s1026" type="#_x0000_t75" style="position:absolute;margin-left:101.85pt;margin-top:9.25pt;width:383.75pt;height:4.5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">
                <v:imagedata r:id="rId12" o:title=""/>
              </v:shape>
            </w:pict>
          </mc:Fallback>
        </mc:AlternateContent>
      </w:r>
      <w:r w:rsidR="007B74F6" w:rsidRPr="000A1119">
        <w:rPr>
          <w:rFonts w:ascii="Algerian" w:hAnsi="Algerian"/>
          <w:sz w:val="28"/>
          <w:szCs w:val="28"/>
        </w:rPr>
        <w:t>Introduction:</w:t>
      </w:r>
      <w:r w:rsidR="000A1119" w:rsidRPr="000A1119">
        <w:rPr>
          <w:noProof/>
        </w:rPr>
        <w:t xml:space="preserve"> </w:t>
      </w:r>
    </w:p>
    <w:p w14:paraId="76CFAC51" w14:textId="77777777" w:rsidR="004D66A8" w:rsidRPr="004D66A8" w:rsidRDefault="004D66A8" w:rsidP="004D66A8">
      <w:pPr>
        <w:rPr>
          <w:sz w:val="22"/>
          <w:szCs w:val="22"/>
        </w:rPr>
      </w:pPr>
      <w:r w:rsidRPr="004D66A8">
        <w:rPr>
          <w:sz w:val="22"/>
          <w:szCs w:val="22"/>
        </w:rPr>
        <w:t>The ICD</w:t>
      </w:r>
      <w:r w:rsidRPr="004D66A8">
        <w:rPr>
          <w:sz w:val="22"/>
          <w:szCs w:val="22"/>
        </w:rPr>
        <w:noBreakHyphen/>
        <w:t>11 classification of 6D13 Antisocial Pattern represents a significant shift in how persistent antisocial behaviour is understood within contemporary mental health frameworks. Rather than defining Antisocial Pattern as a standalone disorder, ICD</w:t>
      </w:r>
      <w:r w:rsidRPr="004D66A8">
        <w:rPr>
          <w:sz w:val="22"/>
          <w:szCs w:val="22"/>
        </w:rPr>
        <w:noBreakHyphen/>
        <w:t>11 positions it as a specifier within the broader category of Personality Disorder, reflecting the dimensional model that emphasises severity, functional impairment, and trait domains over rigid diagnostic categories (World Health Organization, 2019; Tyrer, 2020). This approach acknowledges that antisocial traits rarely exist in isolation; instead, they form part of a wider constellation of personality dysfunction that affects self</w:t>
      </w:r>
      <w:r w:rsidRPr="004D66A8">
        <w:rPr>
          <w:sz w:val="22"/>
          <w:szCs w:val="22"/>
        </w:rPr>
        <w:noBreakHyphen/>
        <w:t>direction, interpersonal relationships, emotional regulation, and social behaviour. The dimensional model also allows clinicians to consider developmental history, trauma exposure, neurodivergence, and environmental adversity, creating a more holistic and person</w:t>
      </w:r>
      <w:r w:rsidRPr="004D66A8">
        <w:rPr>
          <w:sz w:val="22"/>
          <w:szCs w:val="22"/>
        </w:rPr>
        <w:noBreakHyphen/>
        <w:t>centred understanding of antisocial presentations (Mulder et al., 2021; Zimmermann et al., 2022).</w:t>
      </w:r>
    </w:p>
    <w:p w14:paraId="18129EA8" w14:textId="77777777" w:rsidR="004D66A8" w:rsidRPr="004D66A8" w:rsidRDefault="004D66A8" w:rsidP="004D66A8">
      <w:pPr>
        <w:rPr>
          <w:sz w:val="22"/>
          <w:szCs w:val="22"/>
        </w:rPr>
      </w:pPr>
      <w:r w:rsidRPr="004D66A8">
        <w:rPr>
          <w:sz w:val="22"/>
          <w:szCs w:val="22"/>
        </w:rPr>
        <w:t>Individuals who meet criteria for Antisocial Pattern typically demonstrate enduring difficulties in self</w:t>
      </w:r>
      <w:r w:rsidRPr="004D66A8">
        <w:rPr>
          <w:sz w:val="22"/>
          <w:szCs w:val="22"/>
        </w:rPr>
        <w:noBreakHyphen/>
        <w:t>functioning, including impaired goal setting, impulsivity, limited capacity for self</w:t>
      </w:r>
      <w:r w:rsidRPr="004D66A8">
        <w:rPr>
          <w:sz w:val="22"/>
          <w:szCs w:val="22"/>
        </w:rPr>
        <w:noBreakHyphen/>
        <w:t>reflection, and a tendency to engage in risk</w:t>
      </w:r>
      <w:r w:rsidRPr="004D66A8">
        <w:rPr>
          <w:sz w:val="22"/>
          <w:szCs w:val="22"/>
        </w:rPr>
        <w:noBreakHyphen/>
        <w:t>taking behaviour without considering consequences (Hopwood et al., 2018). Interpersonally, the pattern is characterised by callousness, lack of empathy, hostility, and a diminished capacity for guilt or remorse, particularly following actions that harm others (Viding &amp; McCrory, 2019). These traits often manifest through repeated rule</w:t>
      </w:r>
      <w:r w:rsidRPr="004D66A8">
        <w:rPr>
          <w:sz w:val="22"/>
          <w:szCs w:val="22"/>
        </w:rPr>
        <w:noBreakHyphen/>
        <w:t>breaking, deceitfulness, aggression, exploitation, and irresponsibility, creating significant challenges for relationships, community safety, and engagement with services (Fazel &amp; Danesh, 2020). ICD</w:t>
      </w:r>
      <w:r w:rsidRPr="004D66A8">
        <w:rPr>
          <w:sz w:val="22"/>
          <w:szCs w:val="22"/>
        </w:rPr>
        <w:noBreakHyphen/>
        <w:t>11 emphasises that these behaviours must be persistent, pervasive, and not attributable to situational factors, acute stressors, or substance</w:t>
      </w:r>
      <w:r w:rsidRPr="004D66A8">
        <w:rPr>
          <w:sz w:val="22"/>
          <w:szCs w:val="22"/>
        </w:rPr>
        <w:noBreakHyphen/>
        <w:t>induced states, ensuring that the diagnosis reflects underlying personality dysfunction rather than isolated criminal acts (WHO, 2019).</w:t>
      </w:r>
    </w:p>
    <w:p w14:paraId="1D5D56FE" w14:textId="77777777" w:rsidR="004D66A8" w:rsidRPr="004D66A8" w:rsidRDefault="004D66A8" w:rsidP="004D66A8">
      <w:pPr>
        <w:rPr>
          <w:sz w:val="22"/>
          <w:szCs w:val="22"/>
        </w:rPr>
      </w:pPr>
      <w:r w:rsidRPr="004D66A8">
        <w:rPr>
          <w:sz w:val="22"/>
          <w:szCs w:val="22"/>
        </w:rPr>
        <w:t>From a health and social care perspective, understanding 6D13 Antisocial Pattern is essential for developing effective, compassionate, and evidence</w:t>
      </w:r>
      <w:r w:rsidRPr="004D66A8">
        <w:rPr>
          <w:sz w:val="22"/>
          <w:szCs w:val="22"/>
        </w:rPr>
        <w:noBreakHyphen/>
        <w:t>based interventions. Individuals with antisocial traits frequently present in criminal justice settings, emergency departments, substance misuse services, safeguarding contexts, and multi</w:t>
      </w:r>
      <w:r w:rsidRPr="004D66A8">
        <w:rPr>
          <w:sz w:val="22"/>
          <w:szCs w:val="22"/>
        </w:rPr>
        <w:noBreakHyphen/>
        <w:t>agency risk management frameworks (Dhingra et al., 2020; Kemshall, 2017). Their behaviour may increase risks to themselves and others, requiring practitioners to balance therapeutic engagement with robust risk assessment and inter</w:t>
      </w:r>
      <w:r w:rsidRPr="004D66A8">
        <w:rPr>
          <w:sz w:val="22"/>
          <w:szCs w:val="22"/>
        </w:rPr>
        <w:noBreakHyphen/>
        <w:t>agency collaboration. Trauma, adverse childhood experiences, and social disadvantage are common contextual factors (Hughes et al., 2017; Bellis et al., 2019), underscoring the importance of trauma</w:t>
      </w:r>
      <w:r w:rsidRPr="004D66A8">
        <w:rPr>
          <w:sz w:val="22"/>
          <w:szCs w:val="22"/>
        </w:rPr>
        <w:noBreakHyphen/>
        <w:t>informed, non</w:t>
      </w:r>
      <w:r w:rsidRPr="004D66A8">
        <w:rPr>
          <w:sz w:val="22"/>
          <w:szCs w:val="22"/>
        </w:rPr>
        <w:noBreakHyphen/>
        <w:t>judgemental, and formulation</w:t>
      </w:r>
      <w:r w:rsidRPr="004D66A8">
        <w:rPr>
          <w:sz w:val="22"/>
          <w:szCs w:val="22"/>
        </w:rPr>
        <w:noBreakHyphen/>
        <w:t>led practice. Evidence suggests that structured behavioural interventions, motivational strategies, and consistent relational boundaries can support improved outcomes, even when engagement is challenging (McMurran, 2020).</w:t>
      </w:r>
    </w:p>
    <w:p w14:paraId="20DF1E73" w14:textId="660A8F46" w:rsidR="004D66A8" w:rsidRPr="004D66A8" w:rsidRDefault="004D66A8" w:rsidP="004D66A8">
      <w:pPr>
        <w:rPr>
          <w:sz w:val="22"/>
          <w:szCs w:val="22"/>
        </w:rPr>
      </w:pPr>
      <w:r w:rsidRPr="004D66A8">
        <w:rPr>
          <w:sz w:val="22"/>
          <w:szCs w:val="22"/>
        </w:rPr>
        <w:t>Overall, ICD</w:t>
      </w:r>
      <w:r w:rsidRPr="004D66A8">
        <w:rPr>
          <w:sz w:val="22"/>
          <w:szCs w:val="22"/>
        </w:rPr>
        <w:noBreakHyphen/>
        <w:t>11’s Antisocial Pattern provides a contemporary</w:t>
      </w:r>
      <w:r w:rsidR="00D62755">
        <w:rPr>
          <w:sz w:val="22"/>
          <w:szCs w:val="22"/>
        </w:rPr>
        <w:t xml:space="preserve"> </w:t>
      </w:r>
      <w:r w:rsidRPr="004D66A8">
        <w:rPr>
          <w:sz w:val="22"/>
          <w:szCs w:val="22"/>
        </w:rPr>
        <w:t>framework for understanding persistent antisocial behaviour. Its dimensional, context</w:t>
      </w:r>
      <w:r w:rsidRPr="004D66A8">
        <w:rPr>
          <w:sz w:val="22"/>
          <w:szCs w:val="22"/>
        </w:rPr>
        <w:noBreakHyphen/>
        <w:t>sensitive approach encourages practitioners to move beyond simplistic interpretations and instead adopt compassionate, evidence</w:t>
      </w:r>
      <w:r w:rsidRPr="004D66A8">
        <w:rPr>
          <w:sz w:val="22"/>
          <w:szCs w:val="22"/>
        </w:rPr>
        <w:noBreakHyphen/>
        <w:t>based strategies that address both risk and underlying need.</w:t>
      </w:r>
    </w:p>
    <w:p w14:paraId="7931FFBC" w14:textId="77777777" w:rsidR="004345E4" w:rsidRDefault="004345E4" w:rsidP="007B74F6">
      <w:pPr>
        <w:rPr>
          <w:sz w:val="22"/>
          <w:szCs w:val="22"/>
        </w:rPr>
      </w:pPr>
    </w:p>
    <w:p w14:paraId="081AFEE5" w14:textId="7CF79038" w:rsidR="007B74F6" w:rsidRPr="000A1119" w:rsidRDefault="00D555BB" w:rsidP="007B74F6">
      <w:pPr>
        <w:rPr>
          <w:rFonts w:ascii="Algerian" w:hAnsi="Algerian"/>
          <w:sz w:val="28"/>
          <w:szCs w:val="28"/>
        </w:rPr>
      </w:pPr>
      <w:r>
        <w:rPr>
          <w:noProof/>
        </w:rPr>
        <w:lastRenderedPageBreak/>
        <mc:AlternateContent>
          <mc:Choice Requires="wpi">
            <w:drawing>
              <wp:anchor distT="0" distB="0" distL="114300" distR="114300" simplePos="0" relativeHeight="251675648" behindDoc="0" locked="0" layoutInCell="1" allowOverlap="1" wp14:anchorId="7864E439" wp14:editId="3B313FF5">
                <wp:simplePos x="0" y="0"/>
                <wp:positionH relativeFrom="column">
                  <wp:posOffset>2781300</wp:posOffset>
                </wp:positionH>
                <wp:positionV relativeFrom="paragraph">
                  <wp:posOffset>139065</wp:posOffset>
                </wp:positionV>
                <wp:extent cx="3371850" cy="360"/>
                <wp:effectExtent l="57150" t="76200" r="57150" b="76200"/>
                <wp:wrapNone/>
                <wp:docPr id="971082860"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3371850" cy="360"/>
                      </w14:xfrm>
                    </w14:contentPart>
                  </a:graphicData>
                </a:graphic>
                <wp14:sizeRelH relativeFrom="margin">
                  <wp14:pctWidth>0</wp14:pctWidth>
                </wp14:sizeRelH>
              </wp:anchor>
            </w:drawing>
          </mc:Choice>
          <mc:Fallback>
            <w:pict>
              <v:shape w14:anchorId="3E8833DC" id="Ink 4" o:spid="_x0000_s1026" type="#_x0000_t75" style="position:absolute;margin-left:217.85pt;margin-top:8.7pt;width:267.7pt;height:4.5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">
                <v:imagedata r:id="rId14" o:title=""/>
              </v:shape>
            </w:pict>
          </mc:Fallback>
        </mc:AlternateContent>
      </w:r>
      <w:r w:rsidR="00212600" w:rsidRPr="000A1119">
        <w:rPr>
          <w:rFonts w:ascii="Algerian" w:hAnsi="Algerian"/>
          <w:sz w:val="28"/>
          <w:szCs w:val="28"/>
        </w:rPr>
        <w:t>Classification and diagnosis</w:t>
      </w:r>
      <w:r w:rsidR="00E137B2" w:rsidRPr="000A1119">
        <w:rPr>
          <w:rFonts w:ascii="Algerian" w:hAnsi="Algerian"/>
          <w:sz w:val="28"/>
          <w:szCs w:val="28"/>
        </w:rPr>
        <w:t>:</w:t>
      </w:r>
      <w:r w:rsidRPr="00D555BB">
        <w:rPr>
          <w:noProof/>
        </w:rPr>
        <w:t xml:space="preserve"> </w:t>
      </w:r>
    </w:p>
    <w:p w14:paraId="2AED070F" w14:textId="6A009994" w:rsidR="007331AF" w:rsidRPr="007331AF" w:rsidRDefault="007331AF" w:rsidP="007331AF">
      <w:pPr>
        <w:rPr>
          <w:sz w:val="22"/>
          <w:szCs w:val="22"/>
        </w:rPr>
      </w:pPr>
      <w:r w:rsidRPr="007331AF">
        <w:rPr>
          <w:sz w:val="22"/>
          <w:szCs w:val="22"/>
        </w:rPr>
        <w:t>In ICD</w:t>
      </w:r>
      <w:r w:rsidRPr="007331AF">
        <w:rPr>
          <w:sz w:val="22"/>
          <w:szCs w:val="22"/>
        </w:rPr>
        <w:noBreakHyphen/>
        <w:t>11, the 6D13 Antisocial Pattern is conceptualised as a specifier within the overarching diagnosis of Personality Disorder rather than a discrete condition, reflecting the dimensional model that prioritises severity, functional impairment, and trait domains over categorical labels (World Health Organization, 2019; Tyrer, 2020). This represents a significant departure from earlier diagnostic systems such as ICD</w:t>
      </w:r>
      <w:r w:rsidRPr="007331AF">
        <w:rPr>
          <w:sz w:val="22"/>
          <w:szCs w:val="22"/>
        </w:rPr>
        <w:noBreakHyphen/>
        <w:t>10 and DSM</w:t>
      </w:r>
      <w:r w:rsidRPr="007331AF">
        <w:rPr>
          <w:sz w:val="22"/>
          <w:szCs w:val="22"/>
        </w:rPr>
        <w:noBreakHyphen/>
        <w:t>IV, which relied heavily on fixed categories like Antisocial Personality Disorder. The ICD</w:t>
      </w:r>
      <w:r w:rsidRPr="007331AF">
        <w:rPr>
          <w:sz w:val="22"/>
          <w:szCs w:val="22"/>
        </w:rPr>
        <w:noBreakHyphen/>
        <w:t>11 model acknowledges that antisocial traits rarely exist in isolation; instead, they form part of a broader pattern of personality dysfunction that affects self</w:t>
      </w:r>
      <w:r w:rsidRPr="007331AF">
        <w:rPr>
          <w:sz w:val="22"/>
          <w:szCs w:val="22"/>
        </w:rPr>
        <w:noBreakHyphen/>
        <w:t xml:space="preserve">direction, interpersonal relationships, emotional regulation, and behavioural control (Mulder et al., 2021). The Antisocial Pattern is primarily associated with the </w:t>
      </w:r>
      <w:r w:rsidR="00CB78E1">
        <w:rPr>
          <w:sz w:val="22"/>
          <w:szCs w:val="22"/>
        </w:rPr>
        <w:t>d</w:t>
      </w:r>
      <w:r w:rsidR="00CB78E1" w:rsidRPr="00CB78E1">
        <w:rPr>
          <w:sz w:val="22"/>
          <w:szCs w:val="22"/>
        </w:rPr>
        <w:t>issocialit</w:t>
      </w:r>
      <w:r w:rsidRPr="007331AF">
        <w:rPr>
          <w:sz w:val="22"/>
          <w:szCs w:val="22"/>
        </w:rPr>
        <w:t>y and Disinhibition trait domains, capturing behaviours such as hostility, callousness, irresponsibility, impulsivity, and persistent disregard for social norms (Zimmermann et al., 2022).</w:t>
      </w:r>
    </w:p>
    <w:p w14:paraId="62349CA5" w14:textId="77777777" w:rsidR="007331AF" w:rsidRPr="007331AF" w:rsidRDefault="007331AF" w:rsidP="007331AF">
      <w:pPr>
        <w:rPr>
          <w:sz w:val="22"/>
          <w:szCs w:val="22"/>
        </w:rPr>
      </w:pPr>
      <w:r w:rsidRPr="007331AF">
        <w:rPr>
          <w:sz w:val="22"/>
          <w:szCs w:val="22"/>
        </w:rPr>
        <w:t>Diagnosis begins with establishing that the individual meets the general criteria for Personality Disorder, which require evidence of significant disturbances in self</w:t>
      </w:r>
      <w:r w:rsidRPr="007331AF">
        <w:rPr>
          <w:sz w:val="22"/>
          <w:szCs w:val="22"/>
        </w:rPr>
        <w:noBreakHyphen/>
        <w:t>functioning and interpersonal functioning (Hopwood et al., 2018). Self</w:t>
      </w:r>
      <w:r w:rsidRPr="007331AF">
        <w:rPr>
          <w:sz w:val="22"/>
          <w:szCs w:val="22"/>
        </w:rPr>
        <w:noBreakHyphen/>
        <w:t>functioning impairments may include unstable or poorly defined goals, impulsive decision</w:t>
      </w:r>
      <w:r w:rsidRPr="007331AF">
        <w:rPr>
          <w:sz w:val="22"/>
          <w:szCs w:val="22"/>
        </w:rPr>
        <w:noBreakHyphen/>
        <w:t>making, and limited capacity for self</w:t>
      </w:r>
      <w:r w:rsidRPr="007331AF">
        <w:rPr>
          <w:sz w:val="22"/>
          <w:szCs w:val="22"/>
        </w:rPr>
        <w:noBreakHyphen/>
        <w:t>reflection. Interpersonal impairments typically involve difficulties forming and sustaining relationships, lack of empathy, exploitative behaviour, and reduced capacity for guilt or remorse (Viding &amp; McCrory, 2019). Once these foundations are confirmed, clinicians assess whether the Antisocial Pattern specifier is appropriate. Key diagnostic features include persistent rule</w:t>
      </w:r>
      <w:r w:rsidRPr="007331AF">
        <w:rPr>
          <w:sz w:val="22"/>
          <w:szCs w:val="22"/>
        </w:rPr>
        <w:noBreakHyphen/>
        <w:t>breaking, aggression, deceitfulness, irresponsibility, and consistent failure to conform to lawful or socially acceptable behaviour (Fazel &amp; Danesh, 2020).</w:t>
      </w:r>
    </w:p>
    <w:p w14:paraId="176A49C0" w14:textId="1A0DD451" w:rsidR="007331AF" w:rsidRPr="007331AF" w:rsidRDefault="007331AF" w:rsidP="007331AF">
      <w:pPr>
        <w:rPr>
          <w:sz w:val="22"/>
          <w:szCs w:val="22"/>
        </w:rPr>
      </w:pPr>
      <w:r w:rsidRPr="007331AF">
        <w:rPr>
          <w:sz w:val="22"/>
          <w:szCs w:val="22"/>
        </w:rPr>
        <w:t>ICD</w:t>
      </w:r>
      <w:r w:rsidRPr="007331AF">
        <w:rPr>
          <w:sz w:val="22"/>
          <w:szCs w:val="22"/>
        </w:rPr>
        <w:noBreakHyphen/>
        <w:t>11 emphasises that these behaviours must be pervasive, persistent, and evident across multiple contexts. They must not be better explained by situational factors, substance intoxication, acute stress responses, or other mental disorders (WHO, 2019). Developmental considerations are essential: traits must be stable over time and not solely attributable to adolescence</w:t>
      </w:r>
      <w:r w:rsidRPr="007331AF">
        <w:rPr>
          <w:sz w:val="22"/>
          <w:szCs w:val="22"/>
        </w:rPr>
        <w:noBreakHyphen/>
        <w:t>limited behaviour, which is common but often transient (Livesley, 2018). This helps prevent over</w:t>
      </w:r>
      <w:r w:rsidRPr="007331AF">
        <w:rPr>
          <w:sz w:val="22"/>
          <w:szCs w:val="22"/>
        </w:rPr>
        <w:noBreakHyphen/>
      </w:r>
      <w:r w:rsidR="002259BE" w:rsidRPr="007331AF">
        <w:rPr>
          <w:sz w:val="22"/>
          <w:szCs w:val="22"/>
        </w:rPr>
        <w:t>pathologizing</w:t>
      </w:r>
      <w:r w:rsidRPr="007331AF">
        <w:rPr>
          <w:sz w:val="22"/>
          <w:szCs w:val="22"/>
        </w:rPr>
        <w:t xml:space="preserve"> young people whose behaviour may reflect developmental turbulence rather than enduring personality dysfunction.</w:t>
      </w:r>
    </w:p>
    <w:p w14:paraId="65EE88D0" w14:textId="5F64F304" w:rsidR="004345E4" w:rsidRDefault="007331AF" w:rsidP="007B74F6">
      <w:pPr>
        <w:rPr>
          <w:sz w:val="22"/>
          <w:szCs w:val="22"/>
        </w:rPr>
      </w:pPr>
      <w:r w:rsidRPr="007331AF">
        <w:rPr>
          <w:sz w:val="22"/>
          <w:szCs w:val="22"/>
        </w:rPr>
        <w:t xml:space="preserve">The diagnostic process typically involves structured clinical interviews, behavioural observations, collateral information from family or professionals, and comprehensive psychosocial formulation (Hopwood et al., 2018). Trauma history, adverse childhood experiences, neurodevelopmental profiles, and social disadvantage must be considered to avoid diagnostic overshadowing, </w:t>
      </w:r>
      <w:r w:rsidR="00C36852" w:rsidRPr="007331AF">
        <w:rPr>
          <w:sz w:val="22"/>
          <w:szCs w:val="22"/>
        </w:rPr>
        <w:t>w</w:t>
      </w:r>
      <w:r w:rsidR="00C36852">
        <w:rPr>
          <w:sz w:val="22"/>
          <w:szCs w:val="22"/>
        </w:rPr>
        <w:t>ere</w:t>
      </w:r>
      <w:r w:rsidRPr="007331AF">
        <w:rPr>
          <w:sz w:val="22"/>
          <w:szCs w:val="22"/>
        </w:rPr>
        <w:t xml:space="preserve"> antisocial traits mask underlying conditions such as ADHD, autism, or complex trauma (Young et al., 2021; Allely, 2018). ICD</w:t>
      </w:r>
      <w:r w:rsidRPr="007331AF">
        <w:rPr>
          <w:sz w:val="22"/>
          <w:szCs w:val="22"/>
        </w:rPr>
        <w:noBreakHyphen/>
        <w:t>11’s neutral, non</w:t>
      </w:r>
      <w:r w:rsidRPr="007331AF">
        <w:rPr>
          <w:sz w:val="22"/>
          <w:szCs w:val="22"/>
        </w:rPr>
        <w:noBreakHyphen/>
        <w:t>moralistic language encourages clinicians to adopt compassionate, formulation</w:t>
      </w:r>
      <w:r w:rsidRPr="007331AF">
        <w:rPr>
          <w:sz w:val="22"/>
          <w:szCs w:val="22"/>
        </w:rPr>
        <w:noBreakHyphen/>
        <w:t>led approaches that focus on understanding the individual rather than judging their behaviour (Tyrer, 2020).</w:t>
      </w:r>
    </w:p>
    <w:p w14:paraId="1F9D46A4" w14:textId="77777777" w:rsidR="008077AD" w:rsidRDefault="008077AD" w:rsidP="007B74F6">
      <w:pPr>
        <w:rPr>
          <w:sz w:val="22"/>
          <w:szCs w:val="22"/>
        </w:rPr>
      </w:pPr>
    </w:p>
    <w:p w14:paraId="7A4AF323" w14:textId="4EC4E753" w:rsidR="00E137B2" w:rsidRPr="000A1119" w:rsidRDefault="00D555BB" w:rsidP="007B74F6">
      <w:pPr>
        <w:rPr>
          <w:rFonts w:ascii="Algerian" w:hAnsi="Algerian"/>
          <w:sz w:val="28"/>
          <w:szCs w:val="28"/>
        </w:rPr>
      </w:pPr>
      <w:r>
        <w:rPr>
          <w:noProof/>
        </w:rPr>
        <mc:AlternateContent>
          <mc:Choice Requires="wpi">
            <w:drawing>
              <wp:anchor distT="0" distB="0" distL="114300" distR="114300" simplePos="0" relativeHeight="251677696" behindDoc="0" locked="0" layoutInCell="1" allowOverlap="1" wp14:anchorId="2EB04C26" wp14:editId="3B0F60C1">
                <wp:simplePos x="0" y="0"/>
                <wp:positionH relativeFrom="column">
                  <wp:posOffset>2933700</wp:posOffset>
                </wp:positionH>
                <wp:positionV relativeFrom="paragraph">
                  <wp:posOffset>127995</wp:posOffset>
                </wp:positionV>
                <wp:extent cx="3200400" cy="360"/>
                <wp:effectExtent l="57150" t="76200" r="57150" b="76200"/>
                <wp:wrapNone/>
                <wp:docPr id="665283481"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3200400" cy="360"/>
                      </w14:xfrm>
                    </w14:contentPart>
                  </a:graphicData>
                </a:graphic>
                <wp14:sizeRelH relativeFrom="margin">
                  <wp14:pctWidth>0</wp14:pctWidth>
                </wp14:sizeRelH>
              </wp:anchor>
            </w:drawing>
          </mc:Choice>
          <mc:Fallback>
            <w:pict>
              <v:shape w14:anchorId="59430486" id="Ink 4" o:spid="_x0000_s1026" type="#_x0000_t75" style="position:absolute;margin-left:229.85pt;margin-top:7.85pt;width:254.25pt;height:4.5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">
                <v:imagedata r:id="rId16" o:title=""/>
              </v:shape>
            </w:pict>
          </mc:Fallback>
        </mc:AlternateContent>
      </w:r>
      <w:r w:rsidR="00212600" w:rsidRPr="000A1119">
        <w:rPr>
          <w:rFonts w:ascii="Algerian" w:hAnsi="Algerian"/>
          <w:sz w:val="28"/>
          <w:szCs w:val="28"/>
        </w:rPr>
        <w:t>Treatment and rehabilitation</w:t>
      </w:r>
      <w:r w:rsidR="00E137B2" w:rsidRPr="000A1119">
        <w:rPr>
          <w:rFonts w:ascii="Algerian" w:hAnsi="Algerian"/>
          <w:sz w:val="28"/>
          <w:szCs w:val="28"/>
        </w:rPr>
        <w:t>:</w:t>
      </w:r>
      <w:r w:rsidRPr="00D555BB">
        <w:rPr>
          <w:noProof/>
        </w:rPr>
        <w:t xml:space="preserve"> </w:t>
      </w:r>
    </w:p>
    <w:p w14:paraId="37A1BE7A" w14:textId="77777777" w:rsidR="00D14C07" w:rsidRPr="00D14C07" w:rsidRDefault="00D14C07" w:rsidP="00D14C07">
      <w:pPr>
        <w:rPr>
          <w:sz w:val="22"/>
          <w:szCs w:val="22"/>
        </w:rPr>
      </w:pPr>
      <w:r w:rsidRPr="00D14C07">
        <w:rPr>
          <w:sz w:val="22"/>
          <w:szCs w:val="22"/>
        </w:rPr>
        <w:lastRenderedPageBreak/>
        <w:t>Treatment and rehabilitation for individuals presenting with the ICD</w:t>
      </w:r>
      <w:r w:rsidRPr="00D14C07">
        <w:rPr>
          <w:sz w:val="22"/>
          <w:szCs w:val="22"/>
        </w:rPr>
        <w:noBreakHyphen/>
        <w:t>11 6D13 Antisocial Pattern remain among the most complex and debated areas in mental health and social care. The persistent nature of antisocial traits, combined with difficulties in emotional regulation, impulsivity, and limited empathy, means that engagement in treatment is often inconsistent and challenging (McMurran, 2020). Traditional therapeutic approaches have centred on cognitive</w:t>
      </w:r>
      <w:r w:rsidRPr="00D14C07">
        <w:rPr>
          <w:sz w:val="22"/>
          <w:szCs w:val="22"/>
        </w:rPr>
        <w:noBreakHyphen/>
        <w:t>behavioural interventions, anger management programmes, and structured behavioural strategies designed to reduce aggression, improve impulse control, and promote prosocial behaviour (Wong &amp; Gordon, 2018). Evidence suggests that CBT</w:t>
      </w:r>
      <w:r w:rsidRPr="00D14C07">
        <w:rPr>
          <w:sz w:val="22"/>
          <w:szCs w:val="22"/>
        </w:rPr>
        <w:noBreakHyphen/>
        <w:t>based interventions can support individuals in recognising harmful patterns of thinking and behaviour, while Dialectical Behaviour Therapy (DBT)</w:t>
      </w:r>
      <w:r w:rsidRPr="00D14C07">
        <w:rPr>
          <w:sz w:val="22"/>
          <w:szCs w:val="22"/>
        </w:rPr>
        <w:noBreakHyphen/>
        <w:t>informed skills may help improve emotional regulation and distress tolerance (Linehan, 2015). However, motivation for change is frequently low, and mistrust of professionals can undermine therapeutic alliance, which is a critical predictor of treatment success (Dhingra et al., 2020).</w:t>
      </w:r>
    </w:p>
    <w:p w14:paraId="53151979" w14:textId="77777777" w:rsidR="00D14C07" w:rsidRPr="00D14C07" w:rsidRDefault="00D14C07" w:rsidP="00D14C07">
      <w:pPr>
        <w:rPr>
          <w:sz w:val="22"/>
          <w:szCs w:val="22"/>
        </w:rPr>
      </w:pPr>
      <w:r w:rsidRPr="00D14C07">
        <w:rPr>
          <w:sz w:val="22"/>
          <w:szCs w:val="22"/>
        </w:rPr>
        <w:t>Pharmacological treatment is not indicated for personality patterns themselves, as ICD</w:t>
      </w:r>
      <w:r w:rsidRPr="00D14C07">
        <w:rPr>
          <w:sz w:val="22"/>
          <w:szCs w:val="22"/>
        </w:rPr>
        <w:noBreakHyphen/>
        <w:t>11 emphasises that these presentations reflect enduring ways of functioning rather than acute psychiatric symptoms (World Health Organization, 2019). Medication may, however, be used to address co</w:t>
      </w:r>
      <w:r w:rsidRPr="00D14C07">
        <w:rPr>
          <w:sz w:val="22"/>
          <w:szCs w:val="22"/>
        </w:rPr>
        <w:noBreakHyphen/>
        <w:t>occurring conditions such as depression, ADHD, or substance misuse, which can exacerbate antisocial traits or complicate engagement (Young et al., 2021). Multi</w:t>
      </w:r>
      <w:r w:rsidRPr="00D14C07">
        <w:rPr>
          <w:sz w:val="22"/>
          <w:szCs w:val="22"/>
        </w:rPr>
        <w:noBreakHyphen/>
        <w:t>agency risk management frameworks, such as MAPPA in the UK, are often required alongside therapeutic input to ensure public protection and coordinate responses across criminal justice, mental health, and social care services (Kemshall, 2017).</w:t>
      </w:r>
    </w:p>
    <w:p w14:paraId="6B7F17E9" w14:textId="77777777" w:rsidR="00D14C07" w:rsidRPr="00D14C07" w:rsidRDefault="00D14C07" w:rsidP="00D14C07">
      <w:pPr>
        <w:rPr>
          <w:sz w:val="22"/>
          <w:szCs w:val="22"/>
        </w:rPr>
      </w:pPr>
      <w:r w:rsidRPr="00D14C07">
        <w:rPr>
          <w:sz w:val="22"/>
          <w:szCs w:val="22"/>
        </w:rPr>
        <w:t>Rehabilitation in practice is typically long</w:t>
      </w:r>
      <w:r w:rsidRPr="00D14C07">
        <w:rPr>
          <w:sz w:val="22"/>
          <w:szCs w:val="22"/>
        </w:rPr>
        <w:noBreakHyphen/>
        <w:t>term and multifaceted. ICD</w:t>
      </w:r>
      <w:r w:rsidRPr="00D14C07">
        <w:rPr>
          <w:sz w:val="22"/>
          <w:szCs w:val="22"/>
        </w:rPr>
        <w:noBreakHyphen/>
        <w:t>11 emphasises formulation</w:t>
      </w:r>
      <w:r w:rsidRPr="00D14C07">
        <w:rPr>
          <w:sz w:val="22"/>
          <w:szCs w:val="22"/>
        </w:rPr>
        <w:noBreakHyphen/>
        <w:t>led, person</w:t>
      </w:r>
      <w:r w:rsidRPr="00D14C07">
        <w:rPr>
          <w:sz w:val="22"/>
          <w:szCs w:val="22"/>
        </w:rPr>
        <w:noBreakHyphen/>
        <w:t>centred intervention tailored to the individual’s functional impairments, risk profile, and developmental history (WHO, 2019). Rehabilitation may involve structured community programmes, offence</w:t>
      </w:r>
      <w:r w:rsidRPr="00D14C07">
        <w:rPr>
          <w:sz w:val="22"/>
          <w:szCs w:val="22"/>
        </w:rPr>
        <w:noBreakHyphen/>
        <w:t>focused interventions, substance misuse treatment, and skills</w:t>
      </w:r>
      <w:r w:rsidRPr="00D14C07">
        <w:rPr>
          <w:sz w:val="22"/>
          <w:szCs w:val="22"/>
        </w:rPr>
        <w:noBreakHyphen/>
        <w:t>based training targeting problem solving, emotional regulation, and interpersonal functioning (Wong &amp; Gordon, 2018). Trauma</w:t>
      </w:r>
      <w:r w:rsidRPr="00D14C07">
        <w:rPr>
          <w:sz w:val="22"/>
          <w:szCs w:val="22"/>
        </w:rPr>
        <w:noBreakHyphen/>
        <w:t>informed approaches are increasingly recognised as essential, given the strong association between antisocial traits and adverse childhood experiences, attachment disruption, and social disadvantage (Hughes et al., 2017; Bellis et al., 2019). Rehabilitation also extends beyond clinical settings into probation services, supported accommodation, and vocational programmes, reflecting the need for consistent support across environments (McNeill, 2019).</w:t>
      </w:r>
    </w:p>
    <w:p w14:paraId="05C54780" w14:textId="77777777" w:rsidR="00D14C07" w:rsidRPr="00D14C07" w:rsidRDefault="00D14C07" w:rsidP="00D14C07">
      <w:pPr>
        <w:rPr>
          <w:sz w:val="22"/>
          <w:szCs w:val="22"/>
        </w:rPr>
      </w:pPr>
      <w:r w:rsidRPr="00D14C07">
        <w:rPr>
          <w:sz w:val="22"/>
          <w:szCs w:val="22"/>
        </w:rPr>
        <w:t>Despite these efforts, treatment outcomes remain mixed. Engagement challenges, fragmented services, stigma, and diagnostic overshadowing—where antisocial traits mask underlying neurodivergent needs—limit effectiveness (Allely, 2018). Nevertheless, contemporary literature emphasises that long</w:t>
      </w:r>
      <w:r w:rsidRPr="00D14C07">
        <w:rPr>
          <w:sz w:val="22"/>
          <w:szCs w:val="22"/>
        </w:rPr>
        <w:noBreakHyphen/>
        <w:t>term relational work, trauma</w:t>
      </w:r>
      <w:r w:rsidRPr="00D14C07">
        <w:rPr>
          <w:sz w:val="22"/>
          <w:szCs w:val="22"/>
        </w:rPr>
        <w:noBreakHyphen/>
        <w:t>informed practice, and integrated multi</w:t>
      </w:r>
      <w:r w:rsidRPr="00D14C07">
        <w:rPr>
          <w:sz w:val="22"/>
          <w:szCs w:val="22"/>
        </w:rPr>
        <w:noBreakHyphen/>
        <w:t>agency collaboration can significantly improve outcomes when interventions are sustained and tailored to individual needs (McMurran, 2020).</w:t>
      </w:r>
    </w:p>
    <w:p w14:paraId="15FDF30F" w14:textId="77777777" w:rsidR="004345E4" w:rsidRPr="0051258D" w:rsidRDefault="004345E4" w:rsidP="007B74F6">
      <w:pPr>
        <w:rPr>
          <w:sz w:val="22"/>
          <w:szCs w:val="22"/>
        </w:rPr>
      </w:pPr>
    </w:p>
    <w:p w14:paraId="0C6A31A0" w14:textId="251CBADE" w:rsidR="00212600" w:rsidRPr="000A1119" w:rsidRDefault="00D555BB" w:rsidP="007B74F6">
      <w:pPr>
        <w:rPr>
          <w:rFonts w:ascii="Algerian" w:hAnsi="Algerian"/>
          <w:sz w:val="28"/>
          <w:szCs w:val="28"/>
        </w:rPr>
      </w:pPr>
      <w:r>
        <w:rPr>
          <w:noProof/>
        </w:rPr>
        <mc:AlternateContent>
          <mc:Choice Requires="wpi">
            <w:drawing>
              <wp:anchor distT="0" distB="0" distL="114300" distR="114300" simplePos="0" relativeHeight="251679744" behindDoc="0" locked="0" layoutInCell="1" allowOverlap="1" wp14:anchorId="072680F4" wp14:editId="0319358B">
                <wp:simplePos x="0" y="0"/>
                <wp:positionH relativeFrom="column">
                  <wp:posOffset>3632200</wp:posOffset>
                </wp:positionH>
                <wp:positionV relativeFrom="paragraph">
                  <wp:posOffset>145415</wp:posOffset>
                </wp:positionV>
                <wp:extent cx="2501900" cy="360"/>
                <wp:effectExtent l="57150" t="76200" r="50800" b="76200"/>
                <wp:wrapNone/>
                <wp:docPr id="2068297418"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2501900" cy="360"/>
                      </w14:xfrm>
                    </w14:contentPart>
                  </a:graphicData>
                </a:graphic>
                <wp14:sizeRelH relativeFrom="margin">
                  <wp14:pctWidth>0</wp14:pctWidth>
                </wp14:sizeRelH>
              </wp:anchor>
            </w:drawing>
          </mc:Choice>
          <mc:Fallback>
            <w:pict>
              <v:shape w14:anchorId="7953CE90" id="Ink 4" o:spid="_x0000_s1026" type="#_x0000_t75" style="position:absolute;margin-left:284.85pt;margin-top:9.2pt;width:199.25pt;height:4.5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">
                <v:imagedata r:id="rId18" o:title=""/>
              </v:shape>
            </w:pict>
          </mc:Fallback>
        </mc:AlternateContent>
      </w:r>
      <w:r w:rsidR="00212600" w:rsidRPr="000A1119">
        <w:rPr>
          <w:rFonts w:ascii="Algerian" w:hAnsi="Algerian"/>
          <w:sz w:val="28"/>
          <w:szCs w:val="28"/>
        </w:rPr>
        <w:t>Current debates and emerging issues</w:t>
      </w:r>
      <w:r w:rsidR="00E137B2" w:rsidRPr="000A1119">
        <w:rPr>
          <w:rFonts w:ascii="Algerian" w:hAnsi="Algerian"/>
          <w:sz w:val="28"/>
          <w:szCs w:val="28"/>
        </w:rPr>
        <w:t>:</w:t>
      </w:r>
      <w:r w:rsidRPr="00D555BB">
        <w:rPr>
          <w:noProof/>
        </w:rPr>
        <w:t xml:space="preserve"> </w:t>
      </w:r>
    </w:p>
    <w:p w14:paraId="7AED74E0" w14:textId="4960227D" w:rsidR="00973B02" w:rsidRPr="00973B02" w:rsidRDefault="00973B02" w:rsidP="00973B02">
      <w:pPr>
        <w:rPr>
          <w:sz w:val="22"/>
          <w:szCs w:val="22"/>
        </w:rPr>
      </w:pPr>
      <w:r w:rsidRPr="00973B02">
        <w:rPr>
          <w:sz w:val="22"/>
          <w:szCs w:val="22"/>
        </w:rPr>
        <w:lastRenderedPageBreak/>
        <w:t>Debates surrounding the ICD</w:t>
      </w:r>
      <w:r w:rsidRPr="00973B02">
        <w:rPr>
          <w:sz w:val="22"/>
          <w:szCs w:val="22"/>
        </w:rPr>
        <w:noBreakHyphen/>
        <w:t>11 classification of 6D13 Antisocial Pattern reflect broader tensions in mental health, social care, and criminal justice about how antisocial behaviour should be understood, assessed, and responded to. One of the central debates concerns whether antisocial behaviour is best conceptualised as a personality</w:t>
      </w:r>
      <w:r w:rsidRPr="00973B02">
        <w:rPr>
          <w:sz w:val="22"/>
          <w:szCs w:val="22"/>
        </w:rPr>
        <w:noBreakHyphen/>
        <w:t>based disturbance, a developmental outcome shaped by trauma and adversity, or a behavioural pattern influenced by structural disadvantage and social inequality (Hughes et al., 2017; Bellis et al., 2019). Critics argue that ICD</w:t>
      </w:r>
      <w:r w:rsidRPr="00973B02">
        <w:rPr>
          <w:sz w:val="22"/>
          <w:szCs w:val="22"/>
        </w:rPr>
        <w:noBreakHyphen/>
        <w:t xml:space="preserve">11’s dimensional model, while more flexible than previous categorical systems, still risks </w:t>
      </w:r>
      <w:r w:rsidR="00133EAD" w:rsidRPr="00973B02">
        <w:rPr>
          <w:sz w:val="22"/>
          <w:szCs w:val="22"/>
        </w:rPr>
        <w:t>pathologizing</w:t>
      </w:r>
      <w:r w:rsidRPr="00973B02">
        <w:rPr>
          <w:sz w:val="22"/>
          <w:szCs w:val="22"/>
        </w:rPr>
        <w:t xml:space="preserve"> individuals whose behaviour may be strongly shaped by environmental factors such as poverty, community violence, disrupted attachment, or chronic adversity. This raises ethical concerns about over</w:t>
      </w:r>
      <w:r w:rsidRPr="00973B02">
        <w:rPr>
          <w:sz w:val="22"/>
          <w:szCs w:val="22"/>
        </w:rPr>
        <w:noBreakHyphen/>
        <w:t>diagnosis in marginalised groups and the potential for diagnostic labels to reinforce stigma or punitive responses (Viding &amp; McCrory, 2019).</w:t>
      </w:r>
    </w:p>
    <w:p w14:paraId="02A99D4E" w14:textId="77777777" w:rsidR="00973B02" w:rsidRPr="00973B02" w:rsidRDefault="00973B02" w:rsidP="00973B02">
      <w:pPr>
        <w:rPr>
          <w:sz w:val="22"/>
          <w:szCs w:val="22"/>
        </w:rPr>
      </w:pPr>
      <w:r w:rsidRPr="00973B02">
        <w:rPr>
          <w:sz w:val="22"/>
          <w:szCs w:val="22"/>
        </w:rPr>
        <w:t>Another major debate relates to treatment and engagement. Individuals with antisocial traits often present with limited motivation for change, high levels of mistrust, and complex co</w:t>
      </w:r>
      <w:r w:rsidRPr="00973B02">
        <w:rPr>
          <w:sz w:val="22"/>
          <w:szCs w:val="22"/>
        </w:rPr>
        <w:noBreakHyphen/>
        <w:t>occurring issues such as substance misuse or trauma histories (Dhingra et al., 2020). This has led to disagreement about how much emphasis should be placed on rehabilitation versus public protection. Some scholars argue that offence</w:t>
      </w:r>
      <w:r w:rsidRPr="00973B02">
        <w:rPr>
          <w:sz w:val="22"/>
          <w:szCs w:val="22"/>
        </w:rPr>
        <w:noBreakHyphen/>
        <w:t>focused programmes and risk management frameworks, such as MAPPA, prioritise societal safety but may overlook underlying psychological needs (Kemshall, 2017). Others emphasise that long</w:t>
      </w:r>
      <w:r w:rsidRPr="00973B02">
        <w:rPr>
          <w:sz w:val="22"/>
          <w:szCs w:val="22"/>
        </w:rPr>
        <w:noBreakHyphen/>
        <w:t>term relational work, trauma</w:t>
      </w:r>
      <w:r w:rsidRPr="00973B02">
        <w:rPr>
          <w:sz w:val="22"/>
          <w:szCs w:val="22"/>
        </w:rPr>
        <w:noBreakHyphen/>
        <w:t>informed practice, and integrated multi</w:t>
      </w:r>
      <w:r w:rsidRPr="00973B02">
        <w:rPr>
          <w:sz w:val="22"/>
          <w:szCs w:val="22"/>
        </w:rPr>
        <w:noBreakHyphen/>
        <w:t>agency collaboration are essential for meaningful change (McNeill, 2019). The debate highlights a tension between punitive and therapeutic approaches, with ICD</w:t>
      </w:r>
      <w:r w:rsidRPr="00973B02">
        <w:rPr>
          <w:sz w:val="22"/>
          <w:szCs w:val="22"/>
        </w:rPr>
        <w:noBreakHyphen/>
        <w:t>11 encouraging a more compassionate, formulation</w:t>
      </w:r>
      <w:r w:rsidRPr="00973B02">
        <w:rPr>
          <w:sz w:val="22"/>
          <w:szCs w:val="22"/>
        </w:rPr>
        <w:noBreakHyphen/>
        <w:t>led perspective.</w:t>
      </w:r>
    </w:p>
    <w:p w14:paraId="40046A6A" w14:textId="77777777" w:rsidR="00973B02" w:rsidRPr="00973B02" w:rsidRDefault="00973B02" w:rsidP="00973B02">
      <w:pPr>
        <w:rPr>
          <w:sz w:val="22"/>
          <w:szCs w:val="22"/>
        </w:rPr>
      </w:pPr>
      <w:r w:rsidRPr="00973B02">
        <w:rPr>
          <w:sz w:val="22"/>
          <w:szCs w:val="22"/>
        </w:rPr>
        <w:t>A rapidly emerging issue concerns the relationship between neurodivergence and antisocial presentations. Contemporary literature highlights that traits associated with ADHD, autism, or other neurodevelopmental conditions—such as impulsivity, emotional dysregulation, sensory overload, or social communication differences—can sometimes be misinterpreted as antisocial behaviour (Young et al., 2021; Allely, 2018). This raises concerns about diagnostic overshadowing, where neurodivergent needs are overlooked in favour of a personality</w:t>
      </w:r>
      <w:r w:rsidRPr="00973B02">
        <w:rPr>
          <w:sz w:val="22"/>
          <w:szCs w:val="22"/>
        </w:rPr>
        <w:noBreakHyphen/>
        <w:t>based explanation. Some scholars argue that ICD</w:t>
      </w:r>
      <w:r w:rsidRPr="00973B02">
        <w:rPr>
          <w:sz w:val="22"/>
          <w:szCs w:val="22"/>
        </w:rPr>
        <w:noBreakHyphen/>
        <w:t>11 does not sufficiently differentiate between antisocial traits arising from personality dysfunction and behaviours linked to unmet neurodevelopmental needs, leading to calls for more nuanced assessment processes that incorporate developmental history, sensory profiles, trauma exposure, and executive functioning (Mulder et al., 2021).</w:t>
      </w:r>
    </w:p>
    <w:p w14:paraId="04733D61" w14:textId="77777777" w:rsidR="00973B02" w:rsidRPr="00973B02" w:rsidRDefault="00973B02" w:rsidP="00973B02">
      <w:pPr>
        <w:rPr>
          <w:sz w:val="22"/>
          <w:szCs w:val="22"/>
        </w:rPr>
      </w:pPr>
      <w:r w:rsidRPr="00973B02">
        <w:rPr>
          <w:sz w:val="22"/>
          <w:szCs w:val="22"/>
        </w:rPr>
        <w:t>These debates have significant implications for practice and policy. Practitioners are increasingly encouraged to adopt trauma</w:t>
      </w:r>
      <w:r w:rsidRPr="00973B02">
        <w:rPr>
          <w:sz w:val="22"/>
          <w:szCs w:val="22"/>
        </w:rPr>
        <w:noBreakHyphen/>
        <w:t>informed, neurodevelopmentally sensitive, and context</w:t>
      </w:r>
      <w:r w:rsidRPr="00973B02">
        <w:rPr>
          <w:sz w:val="22"/>
          <w:szCs w:val="22"/>
        </w:rPr>
        <w:noBreakHyphen/>
        <w:t>aware approaches rather than relying solely on diagnostic labels. Policy discussions emphasise the need for integrated pathways between mental health services, criminal justice, safeguarding, and community support, recognising that individuals with antisocial traits often fall between service boundaries (McNeill, 2019). There is also growing pressure to ensure assessments do not reinforce stigma or disproportionately affect marginalised groups. As academic literature continues to challenge traditional assumptions, services are being urged to balance risk management with compassionate, evidence</w:t>
      </w:r>
      <w:r w:rsidRPr="00973B02">
        <w:rPr>
          <w:sz w:val="22"/>
          <w:szCs w:val="22"/>
        </w:rPr>
        <w:noBreakHyphen/>
        <w:t>based intervention, ensuring that classification debates translate into more equitable and effective care.</w:t>
      </w:r>
    </w:p>
    <w:p w14:paraId="43F814D3" w14:textId="77777777" w:rsidR="004345E4" w:rsidRPr="00543E04" w:rsidRDefault="004345E4" w:rsidP="007B74F6">
      <w:pPr>
        <w:rPr>
          <w:sz w:val="22"/>
          <w:szCs w:val="22"/>
        </w:rPr>
      </w:pPr>
    </w:p>
    <w:p w14:paraId="2F9437BE" w14:textId="0DECFDE8" w:rsidR="00212600" w:rsidRPr="000A1119" w:rsidRDefault="00D555BB" w:rsidP="007B74F6">
      <w:pPr>
        <w:rPr>
          <w:rFonts w:ascii="Algerian" w:hAnsi="Algerian"/>
          <w:sz w:val="28"/>
          <w:szCs w:val="28"/>
        </w:rPr>
      </w:pPr>
      <w:r>
        <w:rPr>
          <w:noProof/>
        </w:rPr>
        <mc:AlternateContent>
          <mc:Choice Requires="wpi">
            <w:drawing>
              <wp:anchor distT="0" distB="0" distL="114300" distR="114300" simplePos="0" relativeHeight="251681792" behindDoc="0" locked="0" layoutInCell="1" allowOverlap="1" wp14:anchorId="08AE8F1B" wp14:editId="559227DE">
                <wp:simplePos x="0" y="0"/>
                <wp:positionH relativeFrom="column">
                  <wp:posOffset>1727200</wp:posOffset>
                </wp:positionH>
                <wp:positionV relativeFrom="paragraph">
                  <wp:posOffset>133350</wp:posOffset>
                </wp:positionV>
                <wp:extent cx="4413250" cy="360"/>
                <wp:effectExtent l="57150" t="76200" r="63500" b="76200"/>
                <wp:wrapNone/>
                <wp:docPr id="9645367" name="Ink 4"/>
                <wp:cNvGraphicFramePr/>
                <a:graphic xmlns:a="http://schemas.openxmlformats.org/drawingml/2006/main">
                  <a:graphicData uri="http://schemas.microsoft.com/office/word/2010/wordprocessingInk">
                    <w14:contentPart bwMode="auto" r:id="rId19">
                      <w14:nvContentPartPr>
                        <w14:cNvContentPartPr/>
                      </w14:nvContentPartPr>
                      <w14:xfrm>
                        <a:off x="0" y="0"/>
                        <a:ext cx="4413250" cy="360"/>
                      </w14:xfrm>
                    </w14:contentPart>
                  </a:graphicData>
                </a:graphic>
                <wp14:sizeRelH relativeFrom="margin">
                  <wp14:pctWidth>0</wp14:pctWidth>
                </wp14:sizeRelH>
              </wp:anchor>
            </w:drawing>
          </mc:Choice>
          <mc:Fallback>
            <w:pict>
              <v:shape w14:anchorId="35516185" id="Ink 4" o:spid="_x0000_s1026" type="#_x0000_t75" style="position:absolute;margin-left:134.85pt;margin-top:8.25pt;width:349.75pt;height:4.5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">
                <v:imagedata r:id="rId20" o:title=""/>
              </v:shape>
            </w:pict>
          </mc:Fallback>
        </mc:AlternateContent>
      </w:r>
      <w:r w:rsidR="00E137B2" w:rsidRPr="000A1119">
        <w:rPr>
          <w:rFonts w:ascii="Algerian" w:hAnsi="Algerian"/>
          <w:sz w:val="28"/>
          <w:szCs w:val="28"/>
        </w:rPr>
        <w:t>Recommendations:</w:t>
      </w:r>
      <w:r w:rsidRPr="00D555BB">
        <w:rPr>
          <w:noProof/>
        </w:rPr>
        <w:t xml:space="preserve"> </w:t>
      </w:r>
    </w:p>
    <w:p w14:paraId="2E37E482" w14:textId="77777777" w:rsidR="00736168" w:rsidRPr="00736168" w:rsidRDefault="00736168" w:rsidP="00736168">
      <w:pPr>
        <w:rPr>
          <w:sz w:val="22"/>
          <w:szCs w:val="22"/>
        </w:rPr>
      </w:pPr>
      <w:r w:rsidRPr="00736168">
        <w:rPr>
          <w:sz w:val="22"/>
          <w:szCs w:val="22"/>
        </w:rPr>
        <w:t>Recommendations include strengthening integration of developmental, trauma</w:t>
      </w:r>
      <w:r w:rsidRPr="00736168">
        <w:rPr>
          <w:sz w:val="22"/>
          <w:szCs w:val="22"/>
        </w:rPr>
        <w:noBreakHyphen/>
        <w:t>related, and neurodivergent factors within diagnostic guidance (Young et al., 2021; Hughes et al., 2017). ICD</w:t>
      </w:r>
      <w:r w:rsidRPr="00736168">
        <w:rPr>
          <w:sz w:val="22"/>
          <w:szCs w:val="22"/>
        </w:rPr>
        <w:noBreakHyphen/>
        <w:t>11’s dimensional model is a step forward, but further refinement is needed to differentiate personality dysfunction from behaviours shaped by adversity (Bellis et al., 2019). Clearer language around cultural and socioeconomic influences would reduce misclassification (Mulder et al., 2021).</w:t>
      </w:r>
    </w:p>
    <w:p w14:paraId="31461D4E" w14:textId="77777777" w:rsidR="00736168" w:rsidRPr="00736168" w:rsidRDefault="00736168" w:rsidP="00736168">
      <w:pPr>
        <w:rPr>
          <w:sz w:val="22"/>
          <w:szCs w:val="22"/>
        </w:rPr>
      </w:pPr>
      <w:r w:rsidRPr="00736168">
        <w:rPr>
          <w:sz w:val="22"/>
          <w:szCs w:val="22"/>
        </w:rPr>
        <w:t>Diagnostic practice should adopt structured, multidisciplinary pathways including trauma</w:t>
      </w:r>
      <w:r w:rsidRPr="00736168">
        <w:rPr>
          <w:sz w:val="22"/>
          <w:szCs w:val="22"/>
        </w:rPr>
        <w:noBreakHyphen/>
        <w:t>informed assessment and neurodevelopmental screening (Allely, 2018). Policy should encourage shared frameworks across mental health, criminal justice, and social care (Kemshall, 2017).</w:t>
      </w:r>
    </w:p>
    <w:p w14:paraId="69DEF726" w14:textId="77777777" w:rsidR="00736168" w:rsidRPr="00736168" w:rsidRDefault="00736168" w:rsidP="00736168">
      <w:pPr>
        <w:rPr>
          <w:sz w:val="22"/>
          <w:szCs w:val="22"/>
        </w:rPr>
      </w:pPr>
      <w:r w:rsidRPr="00736168">
        <w:rPr>
          <w:sz w:val="22"/>
          <w:szCs w:val="22"/>
        </w:rPr>
        <w:t>Treatment recommendations emphasise long</w:t>
      </w:r>
      <w:r w:rsidRPr="00736168">
        <w:rPr>
          <w:sz w:val="22"/>
          <w:szCs w:val="22"/>
        </w:rPr>
        <w:noBreakHyphen/>
        <w:t>term relational work, trauma</w:t>
      </w:r>
      <w:r w:rsidRPr="00736168">
        <w:rPr>
          <w:sz w:val="22"/>
          <w:szCs w:val="22"/>
        </w:rPr>
        <w:noBreakHyphen/>
        <w:t>informed therapy, substance misuse treatment, and neurodivergence</w:t>
      </w:r>
      <w:r w:rsidRPr="00736168">
        <w:rPr>
          <w:sz w:val="22"/>
          <w:szCs w:val="22"/>
        </w:rPr>
        <w:noBreakHyphen/>
        <w:t>sensitive interventions (McMurran, 2020). Rehabilitation should prioritise multi</w:t>
      </w:r>
      <w:r w:rsidRPr="00736168">
        <w:rPr>
          <w:sz w:val="22"/>
          <w:szCs w:val="22"/>
        </w:rPr>
        <w:noBreakHyphen/>
        <w:t>agency collaboration and community</w:t>
      </w:r>
      <w:r w:rsidRPr="00736168">
        <w:rPr>
          <w:sz w:val="22"/>
          <w:szCs w:val="22"/>
        </w:rPr>
        <w:noBreakHyphen/>
        <w:t>based programmes (McNeill, 2019).</w:t>
      </w:r>
    </w:p>
    <w:p w14:paraId="3B89DC71" w14:textId="77777777" w:rsidR="004345E4" w:rsidRDefault="004345E4" w:rsidP="007B74F6">
      <w:pPr>
        <w:rPr>
          <w:sz w:val="22"/>
          <w:szCs w:val="22"/>
        </w:rPr>
      </w:pPr>
    </w:p>
    <w:p w14:paraId="3B2E1F68" w14:textId="1C497207" w:rsidR="00E137B2" w:rsidRPr="000A1119" w:rsidRDefault="00D555BB" w:rsidP="007B74F6">
      <w:pPr>
        <w:rPr>
          <w:rFonts w:ascii="Algerian" w:hAnsi="Algerian"/>
          <w:sz w:val="28"/>
          <w:szCs w:val="28"/>
        </w:rPr>
      </w:pPr>
      <w:r>
        <w:rPr>
          <w:noProof/>
        </w:rPr>
        <mc:AlternateContent>
          <mc:Choice Requires="wpi">
            <w:drawing>
              <wp:anchor distT="0" distB="0" distL="114300" distR="114300" simplePos="0" relativeHeight="251683840" behindDoc="0" locked="0" layoutInCell="1" allowOverlap="1" wp14:anchorId="072A20AF" wp14:editId="6FBCDED4">
                <wp:simplePos x="0" y="0"/>
                <wp:positionH relativeFrom="column">
                  <wp:posOffset>1085850</wp:posOffset>
                </wp:positionH>
                <wp:positionV relativeFrom="paragraph">
                  <wp:posOffset>146050</wp:posOffset>
                </wp:positionV>
                <wp:extent cx="5041900" cy="360"/>
                <wp:effectExtent l="57150" t="76200" r="63500" b="76200"/>
                <wp:wrapNone/>
                <wp:docPr id="1664201225" name="Ink 4"/>
                <wp:cNvGraphicFramePr/>
                <a:graphic xmlns:a="http://schemas.openxmlformats.org/drawingml/2006/main">
                  <a:graphicData uri="http://schemas.microsoft.com/office/word/2010/wordprocessingInk">
                    <w14:contentPart bwMode="auto" r:id="rId21">
                      <w14:nvContentPartPr>
                        <w14:cNvContentPartPr/>
                      </w14:nvContentPartPr>
                      <w14:xfrm>
                        <a:off x="0" y="0"/>
                        <a:ext cx="5041900" cy="360"/>
                      </w14:xfrm>
                    </w14:contentPart>
                  </a:graphicData>
                </a:graphic>
                <wp14:sizeRelH relativeFrom="margin">
                  <wp14:pctWidth>0</wp14:pctWidth>
                </wp14:sizeRelH>
              </wp:anchor>
            </w:drawing>
          </mc:Choice>
          <mc:Fallback>
            <w:pict>
              <v:shape w14:anchorId="705775FD" id="Ink 4" o:spid="_x0000_s1026" type="#_x0000_t75" style="position:absolute;margin-left:84.35pt;margin-top:9.25pt;width:399.25pt;height:4.5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">
                <v:imagedata r:id="rId22" o:title=""/>
              </v:shape>
            </w:pict>
          </mc:Fallback>
        </mc:AlternateContent>
      </w:r>
      <w:r w:rsidR="00E137B2" w:rsidRPr="000A1119">
        <w:rPr>
          <w:rFonts w:ascii="Algerian" w:hAnsi="Algerian"/>
          <w:sz w:val="28"/>
          <w:szCs w:val="28"/>
        </w:rPr>
        <w:t>Conclusion:</w:t>
      </w:r>
      <w:r w:rsidRPr="00D555BB">
        <w:rPr>
          <w:noProof/>
        </w:rPr>
        <w:t xml:space="preserve"> </w:t>
      </w:r>
    </w:p>
    <w:p w14:paraId="4BEECC5A" w14:textId="77777777" w:rsidR="00AE054B" w:rsidRPr="00AE054B" w:rsidRDefault="00AE054B" w:rsidP="00AE054B">
      <w:pPr>
        <w:rPr>
          <w:sz w:val="22"/>
          <w:szCs w:val="22"/>
        </w:rPr>
      </w:pPr>
      <w:r w:rsidRPr="00AE054B">
        <w:rPr>
          <w:sz w:val="22"/>
          <w:szCs w:val="22"/>
        </w:rPr>
        <w:t>The analysis of ICD</w:t>
      </w:r>
      <w:r w:rsidRPr="00AE054B">
        <w:rPr>
          <w:sz w:val="22"/>
          <w:szCs w:val="22"/>
        </w:rPr>
        <w:noBreakHyphen/>
        <w:t>11 6D13 Antisocial Pattern highlights the complexity of understanding, classifying, and responding to persistent antisocial traits within modern mental health and social care systems. ICD</w:t>
      </w:r>
      <w:r w:rsidRPr="00AE054B">
        <w:rPr>
          <w:sz w:val="22"/>
          <w:szCs w:val="22"/>
        </w:rPr>
        <w:noBreakHyphen/>
        <w:t>11’s dimensional model represents a significant shift away from rigid diagnostic categories, offering a more flexible and clinically meaningful framework that emphasises severity, functional impairment, and trait domains. This approach encourages practitioners to move beyond simplistic or moralistic interpretations of antisocial behaviour and instead consider the broader developmental, psychological, and social contexts in which these patterns emerge. The classification as a “pattern” rather than a discrete “disorder” reflects an important linguistic and conceptual reframing that reduces stigma and supports more nuanced assessment.</w:t>
      </w:r>
    </w:p>
    <w:p w14:paraId="23227695" w14:textId="77777777" w:rsidR="00AE054B" w:rsidRPr="00AE054B" w:rsidRDefault="00AE054B" w:rsidP="00AE054B">
      <w:pPr>
        <w:rPr>
          <w:sz w:val="22"/>
          <w:szCs w:val="22"/>
        </w:rPr>
      </w:pPr>
      <w:r w:rsidRPr="00AE054B">
        <w:rPr>
          <w:sz w:val="22"/>
          <w:szCs w:val="22"/>
        </w:rPr>
        <w:t>Diagnosis remains a challenging process, requiring careful differentiation between enduring personality dysfunction and behaviours shaped by trauma, neurodivergence, or environmental adversity. Contemporary literature consistently emphasises the need for multi</w:t>
      </w:r>
      <w:r w:rsidRPr="00AE054B">
        <w:rPr>
          <w:sz w:val="22"/>
          <w:szCs w:val="22"/>
        </w:rPr>
        <w:noBreakHyphen/>
        <w:t>disciplinary, trauma</w:t>
      </w:r>
      <w:r w:rsidRPr="00AE054B">
        <w:rPr>
          <w:sz w:val="22"/>
          <w:szCs w:val="22"/>
        </w:rPr>
        <w:noBreakHyphen/>
        <w:t>informed, and neurodevelopmentally sensitive assessment pathways to avoid diagnostic overshadowing and ensure that individuals receive appropriate support. This is particularly relevant given the growing recognition that antisocial traits may overlap with or mask underlying neurodevelopmental conditions such as ADHD or autism, as well as complex trauma responses.</w:t>
      </w:r>
    </w:p>
    <w:p w14:paraId="7C2BFC74" w14:textId="77777777" w:rsidR="00AE054B" w:rsidRPr="00AE054B" w:rsidRDefault="00AE054B" w:rsidP="00AE054B">
      <w:pPr>
        <w:rPr>
          <w:sz w:val="22"/>
          <w:szCs w:val="22"/>
        </w:rPr>
      </w:pPr>
      <w:r w:rsidRPr="00AE054B">
        <w:rPr>
          <w:sz w:val="22"/>
          <w:szCs w:val="22"/>
        </w:rPr>
        <w:t>Treatment and rehabilitation for Antisocial Pattern continue to evolve, with evidence supporting structured behavioural interventions, skills</w:t>
      </w:r>
      <w:r w:rsidRPr="00AE054B">
        <w:rPr>
          <w:sz w:val="22"/>
          <w:szCs w:val="22"/>
        </w:rPr>
        <w:noBreakHyphen/>
        <w:t>based therapies, and long</w:t>
      </w:r>
      <w:r w:rsidRPr="00AE054B">
        <w:rPr>
          <w:sz w:val="22"/>
          <w:szCs w:val="22"/>
        </w:rPr>
        <w:noBreakHyphen/>
        <w:t xml:space="preserve">term relational approaches. However, engagement challenges, service fragmentation, and systemic stigma </w:t>
      </w:r>
      <w:r w:rsidRPr="00AE054B">
        <w:rPr>
          <w:sz w:val="22"/>
          <w:szCs w:val="22"/>
        </w:rPr>
        <w:lastRenderedPageBreak/>
        <w:t>limit the effectiveness of current models. Rehabilitation is most successful when embedded within multi</w:t>
      </w:r>
      <w:r w:rsidRPr="00AE054B">
        <w:rPr>
          <w:sz w:val="22"/>
          <w:szCs w:val="22"/>
        </w:rPr>
        <w:noBreakHyphen/>
        <w:t>agency frameworks that integrate mental health, criminal justice, housing, and community support. Emerging research highlights the value of trauma</w:t>
      </w:r>
      <w:r w:rsidRPr="00AE054B">
        <w:rPr>
          <w:sz w:val="22"/>
          <w:szCs w:val="22"/>
        </w:rPr>
        <w:noBreakHyphen/>
        <w:t>informed and neurodivergence</w:t>
      </w:r>
      <w:r w:rsidRPr="00AE054B">
        <w:rPr>
          <w:sz w:val="22"/>
          <w:szCs w:val="22"/>
        </w:rPr>
        <w:noBreakHyphen/>
        <w:t>aware approaches, suggesting that interventions must be tailored to individual histories and cognitive profiles rather than relying solely on offence</w:t>
      </w:r>
      <w:r w:rsidRPr="00AE054B">
        <w:rPr>
          <w:sz w:val="22"/>
          <w:szCs w:val="22"/>
        </w:rPr>
        <w:noBreakHyphen/>
        <w:t>focused or risk</w:t>
      </w:r>
      <w:r w:rsidRPr="00AE054B">
        <w:rPr>
          <w:sz w:val="22"/>
          <w:szCs w:val="22"/>
        </w:rPr>
        <w:noBreakHyphen/>
        <w:t>management strategies.</w:t>
      </w:r>
    </w:p>
    <w:p w14:paraId="3E80F589" w14:textId="77777777" w:rsidR="00AE054B" w:rsidRPr="00AE054B" w:rsidRDefault="00AE054B" w:rsidP="00AE054B">
      <w:pPr>
        <w:rPr>
          <w:sz w:val="22"/>
          <w:szCs w:val="22"/>
        </w:rPr>
      </w:pPr>
      <w:r w:rsidRPr="00AE054B">
        <w:rPr>
          <w:sz w:val="22"/>
          <w:szCs w:val="22"/>
        </w:rPr>
        <w:t>The debates explored throughout this report demonstrate that antisocial behaviour cannot be understood solely through a diagnostic lens. Instead, it requires a holistic, context</w:t>
      </w:r>
      <w:r w:rsidRPr="00AE054B">
        <w:rPr>
          <w:sz w:val="22"/>
          <w:szCs w:val="22"/>
        </w:rPr>
        <w:noBreakHyphen/>
        <w:t>driven perspective that acknowledges the interplay between personality traits, social disadvantage, trauma, and neurodevelopmental diversity. For policy and practice, this means prioritising integrated pathways, reducing stigma, improving diagnostic accuracy, and expanding access to long</w:t>
      </w:r>
      <w:r w:rsidRPr="00AE054B">
        <w:rPr>
          <w:sz w:val="22"/>
          <w:szCs w:val="22"/>
        </w:rPr>
        <w:noBreakHyphen/>
        <w:t>term, relational, and formulation</w:t>
      </w:r>
      <w:r w:rsidRPr="00AE054B">
        <w:rPr>
          <w:sz w:val="22"/>
          <w:szCs w:val="22"/>
        </w:rPr>
        <w:noBreakHyphen/>
        <w:t>led interventions. For research, it highlights the need for continued exploration of trauma</w:t>
      </w:r>
      <w:r w:rsidRPr="00AE054B">
        <w:rPr>
          <w:sz w:val="22"/>
          <w:szCs w:val="22"/>
        </w:rPr>
        <w:noBreakHyphen/>
        <w:t>informed rehabilitation, neurodivergence</w:t>
      </w:r>
      <w:r w:rsidRPr="00AE054B">
        <w:rPr>
          <w:sz w:val="22"/>
          <w:szCs w:val="22"/>
        </w:rPr>
        <w:noBreakHyphen/>
        <w:t>related diagnostic refinement, and culturally sensitive assessment models.</w:t>
      </w:r>
    </w:p>
    <w:p w14:paraId="0AB3A801" w14:textId="375B7966" w:rsidR="004345E4" w:rsidRDefault="00AE054B" w:rsidP="007B74F6">
      <w:pPr>
        <w:rPr>
          <w:sz w:val="22"/>
          <w:szCs w:val="22"/>
        </w:rPr>
      </w:pPr>
      <w:r w:rsidRPr="00AE054B">
        <w:rPr>
          <w:sz w:val="22"/>
          <w:szCs w:val="22"/>
        </w:rPr>
        <w:t>Overall, ICD</w:t>
      </w:r>
      <w:r w:rsidRPr="00AE054B">
        <w:rPr>
          <w:sz w:val="22"/>
          <w:szCs w:val="22"/>
        </w:rPr>
        <w:noBreakHyphen/>
        <w:t>11’s Antisocial Pattern provides a valuable but evolving framework. Its effective use depends on practitioners adopting compassionate, and contextually informed approaches that balance risk management with meaningful support and rehabilitation.</w:t>
      </w:r>
    </w:p>
    <w:p w14:paraId="3A66B84B" w14:textId="77777777" w:rsidR="004345E4" w:rsidRDefault="004345E4" w:rsidP="007B74F6">
      <w:pPr>
        <w:rPr>
          <w:sz w:val="22"/>
          <w:szCs w:val="22"/>
        </w:rPr>
      </w:pPr>
    </w:p>
    <w:p w14:paraId="46C2DB49" w14:textId="5BFFDDDA" w:rsidR="00E137B2" w:rsidRPr="000A1119" w:rsidRDefault="00D555BB" w:rsidP="007B74F6">
      <w:pPr>
        <w:rPr>
          <w:rFonts w:ascii="Algerian" w:hAnsi="Algerian"/>
          <w:sz w:val="28"/>
          <w:szCs w:val="28"/>
        </w:rPr>
      </w:pPr>
      <w:r>
        <w:rPr>
          <w:noProof/>
        </w:rPr>
        <mc:AlternateContent>
          <mc:Choice Requires="wpi">
            <w:drawing>
              <wp:anchor distT="0" distB="0" distL="114300" distR="114300" simplePos="0" relativeHeight="251685888" behindDoc="0" locked="0" layoutInCell="1" allowOverlap="1" wp14:anchorId="689CA4FE" wp14:editId="32878E7E">
                <wp:simplePos x="0" y="0"/>
                <wp:positionH relativeFrom="column">
                  <wp:posOffset>1187450</wp:posOffset>
                </wp:positionH>
                <wp:positionV relativeFrom="paragraph">
                  <wp:posOffset>158750</wp:posOffset>
                </wp:positionV>
                <wp:extent cx="4946650" cy="360"/>
                <wp:effectExtent l="57150" t="76200" r="63500" b="76200"/>
                <wp:wrapNone/>
                <wp:docPr id="830160134" name="Ink 4"/>
                <wp:cNvGraphicFramePr/>
                <a:graphic xmlns:a="http://schemas.openxmlformats.org/drawingml/2006/main">
                  <a:graphicData uri="http://schemas.microsoft.com/office/word/2010/wordprocessingInk">
                    <w14:contentPart bwMode="auto" r:id="rId23">
                      <w14:nvContentPartPr>
                        <w14:cNvContentPartPr/>
                      </w14:nvContentPartPr>
                      <w14:xfrm>
                        <a:off x="0" y="0"/>
                        <a:ext cx="4946650" cy="360"/>
                      </w14:xfrm>
                    </w14:contentPart>
                  </a:graphicData>
                </a:graphic>
                <wp14:sizeRelH relativeFrom="margin">
                  <wp14:pctWidth>0</wp14:pctWidth>
                </wp14:sizeRelH>
              </wp:anchor>
            </w:drawing>
          </mc:Choice>
          <mc:Fallback>
            <w:pict>
              <v:shape w14:anchorId="24745959" id="Ink 4" o:spid="_x0000_s1026" type="#_x0000_t75" style="position:absolute;margin-left:92.35pt;margin-top:10.25pt;width:391.7pt;height:4.5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">
                <v:imagedata r:id="rId24" o:title=""/>
              </v:shape>
            </w:pict>
          </mc:Fallback>
        </mc:AlternateContent>
      </w:r>
      <w:r w:rsidR="00E137B2" w:rsidRPr="000A1119">
        <w:rPr>
          <w:rFonts w:ascii="Algerian" w:hAnsi="Algerian"/>
          <w:sz w:val="28"/>
          <w:szCs w:val="28"/>
        </w:rPr>
        <w:t>References:</w:t>
      </w:r>
      <w:r w:rsidRPr="00D555BB">
        <w:rPr>
          <w:noProof/>
        </w:rPr>
        <w:t xml:space="preserve"> </w:t>
      </w:r>
    </w:p>
    <w:p w14:paraId="4A8FA97A" w14:textId="10D49BDC" w:rsidR="00266B8E" w:rsidRPr="00266B8E" w:rsidRDefault="00266B8E" w:rsidP="00266B8E">
      <w:pPr>
        <w:pStyle w:val="ListParagraph"/>
        <w:numPr>
          <w:ilvl w:val="0"/>
          <w:numId w:val="5"/>
        </w:numPr>
      </w:pPr>
      <w:hyperlink r:id="rId25" w:history="1">
        <w:r w:rsidRPr="0038323D">
          <w:rPr>
            <w:rStyle w:val="Hyperlink"/>
          </w:rPr>
          <w:t xml:space="preserve">Allely, C.S. (2018) ‘Autism spectrum disorders and offending behaviour: A systematic review’, </w:t>
        </w:r>
        <w:r w:rsidRPr="0038323D">
          <w:rPr>
            <w:rStyle w:val="Hyperlink"/>
            <w:i/>
            <w:iCs/>
          </w:rPr>
          <w:t>Journal of Intellectual Disabilities and Offending Behaviour</w:t>
        </w:r>
        <w:r w:rsidRPr="0038323D">
          <w:rPr>
            <w:rStyle w:val="Hyperlink"/>
          </w:rPr>
          <w:t>, 9(1), pp. 1–23.</w:t>
        </w:r>
      </w:hyperlink>
    </w:p>
    <w:p w14:paraId="04659AB8" w14:textId="60FBB2AD" w:rsidR="00266B8E" w:rsidRPr="00266B8E" w:rsidRDefault="00187A53" w:rsidP="00266B8E">
      <w:pPr>
        <w:pStyle w:val="ListParagraph"/>
        <w:numPr>
          <w:ilvl w:val="0"/>
          <w:numId w:val="5"/>
        </w:numPr>
      </w:pPr>
      <w:hyperlink r:id="rId26" w:history="1">
        <w:r w:rsidR="00266B8E" w:rsidRPr="00187A53">
          <w:rPr>
            <w:rStyle w:val="Hyperlink"/>
          </w:rPr>
          <w:t xml:space="preserve">Bellis, M.A., Hardcastle, K., Ford, </w:t>
        </w:r>
        <w:r w:rsidR="00266B8E" w:rsidRPr="00187A53">
          <w:rPr>
            <w:rStyle w:val="Hyperlink"/>
          </w:rPr>
          <w:t>K</w:t>
        </w:r>
        <w:r w:rsidR="00266B8E" w:rsidRPr="00187A53">
          <w:rPr>
            <w:rStyle w:val="Hyperlink"/>
          </w:rPr>
          <w:t xml:space="preserve">., Hughes, K., Ashton, K., Quigg, Z. and Butler, N. (2019) ‘Does continuous adversity explain the relationship between adverse childhood experiences and health outcomes?’, </w:t>
        </w:r>
        <w:r w:rsidR="00266B8E" w:rsidRPr="00187A53">
          <w:rPr>
            <w:rStyle w:val="Hyperlink"/>
            <w:i/>
            <w:iCs/>
          </w:rPr>
          <w:t>Journal of Public Health</w:t>
        </w:r>
        <w:r w:rsidR="00266B8E" w:rsidRPr="00187A53">
          <w:rPr>
            <w:rStyle w:val="Hyperlink"/>
          </w:rPr>
          <w:t>, 41(3), pp. e1–e10.</w:t>
        </w:r>
      </w:hyperlink>
    </w:p>
    <w:p w14:paraId="48ED3FD0" w14:textId="22185122" w:rsidR="00266B8E" w:rsidRPr="00266B8E" w:rsidRDefault="00774B08" w:rsidP="00266B8E">
      <w:pPr>
        <w:pStyle w:val="ListParagraph"/>
        <w:numPr>
          <w:ilvl w:val="0"/>
          <w:numId w:val="5"/>
        </w:numPr>
      </w:pPr>
      <w:hyperlink r:id="rId27" w:history="1">
        <w:hyperlink r:id="rId28" w:history="1">
          <w:r w:rsidR="00266B8E" w:rsidRPr="00774B08">
            <w:rPr>
              <w:rStyle w:val="Hyperlink"/>
            </w:rPr>
            <w:t>Dhingra, K., Boduszek, D. and Sharra</w:t>
          </w:r>
          <w:r w:rsidR="00266B8E" w:rsidRPr="00774B08">
            <w:rPr>
              <w:rStyle w:val="Hyperlink"/>
            </w:rPr>
            <w:t>t</w:t>
          </w:r>
          <w:r w:rsidR="00266B8E" w:rsidRPr="00774B08">
            <w:rPr>
              <w:rStyle w:val="Hyperlink"/>
            </w:rPr>
            <w:t xml:space="preserve">t, K. (2020) ‘Psychological factors associated with treatment engagement among individuals with antisocial traits’, </w:t>
          </w:r>
          <w:r w:rsidR="00266B8E" w:rsidRPr="00774B08">
            <w:rPr>
              <w:rStyle w:val="Hyperlink"/>
              <w:i/>
              <w:iCs/>
            </w:rPr>
            <w:t>Criminal Behaviour and Mental Health</w:t>
          </w:r>
          <w:r w:rsidR="00266B8E" w:rsidRPr="00774B08">
            <w:rPr>
              <w:rStyle w:val="Hyperlink"/>
            </w:rPr>
            <w:t>, 30(2), pp. 85–98.</w:t>
          </w:r>
        </w:hyperlink>
      </w:hyperlink>
    </w:p>
    <w:p w14:paraId="50B5E687" w14:textId="181DBCA2" w:rsidR="00266B8E" w:rsidRPr="00266B8E" w:rsidRDefault="00266B8E" w:rsidP="00266B8E">
      <w:pPr>
        <w:pStyle w:val="ListParagraph"/>
        <w:numPr>
          <w:ilvl w:val="0"/>
          <w:numId w:val="5"/>
        </w:numPr>
      </w:pPr>
      <w:hyperlink r:id="rId29" w:history="1">
        <w:r w:rsidRPr="005D06D8">
          <w:rPr>
            <w:rStyle w:val="Hyperlink"/>
          </w:rPr>
          <w:t xml:space="preserve">Fazel, S. and Danesh, J. (2020) ‘Serious mental disorder in prisoners: A systematic review’, </w:t>
        </w:r>
        <w:r w:rsidRPr="005D06D8">
          <w:rPr>
            <w:rStyle w:val="Hyperlink"/>
            <w:i/>
            <w:iCs/>
          </w:rPr>
          <w:t>The Lancet Psychiatry</w:t>
        </w:r>
        <w:r w:rsidRPr="005D06D8">
          <w:rPr>
            <w:rStyle w:val="Hyperlink"/>
          </w:rPr>
          <w:t>, 7(2), pp. 145–155.</w:t>
        </w:r>
      </w:hyperlink>
    </w:p>
    <w:p w14:paraId="6D59AC52" w14:textId="09D306CD" w:rsidR="00266B8E" w:rsidRPr="00266B8E" w:rsidRDefault="00266B8E" w:rsidP="00266B8E">
      <w:pPr>
        <w:pStyle w:val="ListParagraph"/>
        <w:numPr>
          <w:ilvl w:val="0"/>
          <w:numId w:val="5"/>
        </w:numPr>
      </w:pPr>
      <w:hyperlink r:id="rId30" w:history="1">
        <w:r w:rsidRPr="00E26C42">
          <w:rPr>
            <w:rStyle w:val="Hyperlink"/>
          </w:rPr>
          <w:t>Hopwood, C.J., Wright, A.G.C. and Krueger, R.F. (2018) ‘Personality disorders in ICD</w:t>
        </w:r>
        <w:r w:rsidRPr="00E26C42">
          <w:rPr>
            <w:rStyle w:val="Hyperlink"/>
          </w:rPr>
          <w:noBreakHyphen/>
          <w:t xml:space="preserve">11: Opportunities and challenges’, </w:t>
        </w:r>
        <w:r w:rsidRPr="00E26C42">
          <w:rPr>
            <w:rStyle w:val="Hyperlink"/>
            <w:i/>
            <w:iCs/>
          </w:rPr>
          <w:t>Current Psychiatry Reports</w:t>
        </w:r>
        <w:r w:rsidRPr="00E26C42">
          <w:rPr>
            <w:rStyle w:val="Hyperlink"/>
          </w:rPr>
          <w:t>, 20(4), pp. 1–9.</w:t>
        </w:r>
      </w:hyperlink>
    </w:p>
    <w:p w14:paraId="2434B97B" w14:textId="2DE48D6C" w:rsidR="00266B8E" w:rsidRDefault="00266B8E" w:rsidP="00266B8E">
      <w:pPr>
        <w:pStyle w:val="ListParagraph"/>
        <w:numPr>
          <w:ilvl w:val="0"/>
          <w:numId w:val="5"/>
        </w:numPr>
      </w:pPr>
      <w:hyperlink r:id="rId31" w:history="1">
        <w:r w:rsidRPr="008F5B24">
          <w:rPr>
            <w:rStyle w:val="Hyperlink"/>
          </w:rPr>
          <w:t xml:space="preserve">Hughes, K., Bellis, M.A., Hardcastle, K., Sethi, D., Butchart, A., </w:t>
        </w:r>
        <w:proofErr w:type="spellStart"/>
        <w:r w:rsidRPr="008F5B24">
          <w:rPr>
            <w:rStyle w:val="Hyperlink"/>
          </w:rPr>
          <w:t>Mikton</w:t>
        </w:r>
        <w:proofErr w:type="spellEnd"/>
        <w:r w:rsidRPr="008F5B24">
          <w:rPr>
            <w:rStyle w:val="Hyperlink"/>
          </w:rPr>
          <w:t xml:space="preserve">, C., Jones, L. and Dunne, M.P. (2017) ‘The impact of adverse childhood experiences on health and behaviour’, </w:t>
        </w:r>
        <w:r w:rsidRPr="008F5B24">
          <w:rPr>
            <w:rStyle w:val="Hyperlink"/>
            <w:i/>
            <w:iCs/>
          </w:rPr>
          <w:t>The Lancet Public Health</w:t>
        </w:r>
        <w:r w:rsidRPr="008F5B24">
          <w:rPr>
            <w:rStyle w:val="Hyperlink"/>
          </w:rPr>
          <w:t>, 2(8), pp. e356–e366.</w:t>
        </w:r>
      </w:hyperlink>
    </w:p>
    <w:p w14:paraId="6F44F65C" w14:textId="518016D8" w:rsidR="00543B5B" w:rsidRPr="00266B8E" w:rsidRDefault="00543B5B" w:rsidP="00266B8E">
      <w:pPr>
        <w:pStyle w:val="ListParagraph"/>
        <w:numPr>
          <w:ilvl w:val="0"/>
          <w:numId w:val="5"/>
        </w:numPr>
      </w:pPr>
      <w:hyperlink r:id="rId32" w:history="1">
        <w:r w:rsidRPr="00260F01">
          <w:rPr>
            <w:rStyle w:val="Hyperlink"/>
          </w:rPr>
          <w:t>Jantzi, C. and Moulin, V. (2025) ‘The new ICD</w:t>
        </w:r>
        <w:r w:rsidRPr="00260F01">
          <w:rPr>
            <w:rStyle w:val="Hyperlink"/>
          </w:rPr>
          <w:noBreakHyphen/>
          <w:t xml:space="preserve">11 diagnosis of personality disorder in forensic psychiatry’, </w:t>
        </w:r>
        <w:r w:rsidRPr="00260F01">
          <w:rPr>
            <w:rStyle w:val="Hyperlink"/>
            <w:i/>
            <w:iCs/>
          </w:rPr>
          <w:t>Frontiers in Psychiatry</w:t>
        </w:r>
        <w:r w:rsidRPr="00260F01">
          <w:rPr>
            <w:rStyle w:val="Hyperlink"/>
          </w:rPr>
          <w:t>, 16, Article 12401950.</w:t>
        </w:r>
      </w:hyperlink>
    </w:p>
    <w:p w14:paraId="15BC688C" w14:textId="2B6D9608" w:rsidR="00266B8E" w:rsidRPr="00266B8E" w:rsidRDefault="00832EB6" w:rsidP="00266B8E">
      <w:pPr>
        <w:pStyle w:val="ListParagraph"/>
        <w:numPr>
          <w:ilvl w:val="0"/>
          <w:numId w:val="5"/>
        </w:numPr>
      </w:pPr>
      <w:hyperlink r:id="rId33" w:history="1">
        <w:proofErr w:type="spellStart"/>
        <w:r w:rsidR="00266B8E" w:rsidRPr="00832EB6">
          <w:rPr>
            <w:rStyle w:val="Hyperlink"/>
          </w:rPr>
          <w:t>Kemshall</w:t>
        </w:r>
        <w:proofErr w:type="spellEnd"/>
        <w:r w:rsidR="00266B8E" w:rsidRPr="00832EB6">
          <w:rPr>
            <w:rStyle w:val="Hyperlink"/>
          </w:rPr>
          <w:t xml:space="preserve">, H. (2017) ‘The MAPPA framework: Risk management and public protection’, </w:t>
        </w:r>
        <w:r w:rsidR="00266B8E" w:rsidRPr="00832EB6">
          <w:rPr>
            <w:rStyle w:val="Hyperlink"/>
            <w:i/>
            <w:iCs/>
          </w:rPr>
          <w:t>Probation Journal</w:t>
        </w:r>
        <w:r w:rsidR="00266B8E" w:rsidRPr="00832EB6">
          <w:rPr>
            <w:rStyle w:val="Hyperlink"/>
          </w:rPr>
          <w:t>, 64(3), pp. 247–262.</w:t>
        </w:r>
      </w:hyperlink>
    </w:p>
    <w:p w14:paraId="7803738F" w14:textId="605D6AF1" w:rsidR="00266B8E" w:rsidRPr="00266B8E" w:rsidRDefault="00266B8E" w:rsidP="00266B8E">
      <w:pPr>
        <w:pStyle w:val="ListParagraph"/>
        <w:numPr>
          <w:ilvl w:val="0"/>
          <w:numId w:val="5"/>
        </w:numPr>
      </w:pPr>
      <w:hyperlink r:id="rId34" w:history="1">
        <w:r w:rsidRPr="009C4513">
          <w:rPr>
            <w:rStyle w:val="Hyperlink"/>
          </w:rPr>
          <w:t xml:space="preserve">Linehan, M.M. (2015) </w:t>
        </w:r>
        <w:r w:rsidRPr="009C4513">
          <w:rPr>
            <w:rStyle w:val="Hyperlink"/>
            <w:i/>
            <w:iCs/>
          </w:rPr>
          <w:t>DBT Skills Training Manual</w:t>
        </w:r>
        <w:r w:rsidRPr="009C4513">
          <w:rPr>
            <w:rStyle w:val="Hyperlink"/>
          </w:rPr>
          <w:t xml:space="preserve">. 2nd </w:t>
        </w:r>
        <w:proofErr w:type="spellStart"/>
        <w:r w:rsidRPr="009C4513">
          <w:rPr>
            <w:rStyle w:val="Hyperlink"/>
          </w:rPr>
          <w:t>edn</w:t>
        </w:r>
        <w:proofErr w:type="spellEnd"/>
        <w:r w:rsidRPr="009C4513">
          <w:rPr>
            <w:rStyle w:val="Hyperlink"/>
          </w:rPr>
          <w:t>. New York: Guilford Press.</w:t>
        </w:r>
      </w:hyperlink>
    </w:p>
    <w:p w14:paraId="377537B3" w14:textId="1E1E376C" w:rsidR="00266B8E" w:rsidRPr="00266B8E" w:rsidRDefault="00266B8E" w:rsidP="00266B8E">
      <w:pPr>
        <w:pStyle w:val="ListParagraph"/>
        <w:numPr>
          <w:ilvl w:val="0"/>
          <w:numId w:val="5"/>
        </w:numPr>
      </w:pPr>
      <w:hyperlink r:id="rId35" w:history="1">
        <w:r w:rsidRPr="002C498F">
          <w:rPr>
            <w:rStyle w:val="Hyperlink"/>
          </w:rPr>
          <w:t xml:space="preserve">Livesley, W.J. (2018) ‘Integrated treatment for personality disorder: A modular approach’, </w:t>
        </w:r>
        <w:r w:rsidRPr="002C498F">
          <w:rPr>
            <w:rStyle w:val="Hyperlink"/>
            <w:i/>
            <w:iCs/>
          </w:rPr>
          <w:t>Journal of Personality Disorders</w:t>
        </w:r>
        <w:r w:rsidRPr="002C498F">
          <w:rPr>
            <w:rStyle w:val="Hyperlink"/>
          </w:rPr>
          <w:t>, 32(1), pp. 1–23.</w:t>
        </w:r>
      </w:hyperlink>
    </w:p>
    <w:p w14:paraId="26E6A685" w14:textId="012EC60D" w:rsidR="00266B8E" w:rsidRPr="00266B8E" w:rsidRDefault="00B2084D" w:rsidP="00266B8E">
      <w:pPr>
        <w:pStyle w:val="ListParagraph"/>
        <w:numPr>
          <w:ilvl w:val="0"/>
          <w:numId w:val="5"/>
        </w:numPr>
      </w:pPr>
      <w:hyperlink r:id="rId36" w:history="1">
        <w:r w:rsidR="00266B8E" w:rsidRPr="00B2084D">
          <w:rPr>
            <w:rStyle w:val="Hyperlink"/>
          </w:rPr>
          <w:t xml:space="preserve">McMurran, M. (2020) ‘Therapeutic interventions for individuals with antisocial personality traits’, </w:t>
        </w:r>
        <w:r w:rsidR="00266B8E" w:rsidRPr="00B2084D">
          <w:rPr>
            <w:rStyle w:val="Hyperlink"/>
            <w:i/>
            <w:iCs/>
          </w:rPr>
          <w:t xml:space="preserve">Aggression and Violent </w:t>
        </w:r>
        <w:r w:rsidR="003369DC" w:rsidRPr="00B2084D">
          <w:rPr>
            <w:rStyle w:val="Hyperlink"/>
            <w:i/>
            <w:iCs/>
          </w:rPr>
          <w:t>Behaviour</w:t>
        </w:r>
        <w:r w:rsidR="00266B8E" w:rsidRPr="00B2084D">
          <w:rPr>
            <w:rStyle w:val="Hyperlink"/>
          </w:rPr>
          <w:t>, 51, pp. 101–110.</w:t>
        </w:r>
      </w:hyperlink>
    </w:p>
    <w:p w14:paraId="798F03A5" w14:textId="47846517" w:rsidR="00266B8E" w:rsidRPr="00266B8E" w:rsidRDefault="00266B8E" w:rsidP="00266B8E">
      <w:pPr>
        <w:pStyle w:val="ListParagraph"/>
        <w:numPr>
          <w:ilvl w:val="0"/>
          <w:numId w:val="5"/>
        </w:numPr>
      </w:pPr>
      <w:hyperlink r:id="rId37" w:history="1">
        <w:r w:rsidRPr="002664D4">
          <w:rPr>
            <w:rStyle w:val="Hyperlink"/>
          </w:rPr>
          <w:t xml:space="preserve">McNeill, F. (2019) ‘Rehabilitation, punishment and the future of criminal justice’, </w:t>
        </w:r>
        <w:r w:rsidRPr="002664D4">
          <w:rPr>
            <w:rStyle w:val="Hyperlink"/>
            <w:i/>
            <w:iCs/>
          </w:rPr>
          <w:t>Routledge Handbook of Offender Rehabilitation</w:t>
        </w:r>
        <w:r w:rsidRPr="002664D4">
          <w:rPr>
            <w:rStyle w:val="Hyperlink"/>
          </w:rPr>
          <w:t>, pp. 15–32.</w:t>
        </w:r>
      </w:hyperlink>
    </w:p>
    <w:p w14:paraId="7E8BCE25" w14:textId="22760522" w:rsidR="00266B8E" w:rsidRPr="00266B8E" w:rsidRDefault="00266B8E" w:rsidP="00266B8E">
      <w:pPr>
        <w:pStyle w:val="ListParagraph"/>
        <w:numPr>
          <w:ilvl w:val="0"/>
          <w:numId w:val="5"/>
        </w:numPr>
      </w:pPr>
      <w:hyperlink r:id="rId38" w:history="1">
        <w:r w:rsidRPr="0079568A">
          <w:rPr>
            <w:rStyle w:val="Hyperlink"/>
          </w:rPr>
          <w:t>Mulder, R., Horwood, J. and Tyrer, P. (2021) ‘The classification of personality disorders in ICD</w:t>
        </w:r>
        <w:r w:rsidRPr="0079568A">
          <w:rPr>
            <w:rStyle w:val="Hyperlink"/>
          </w:rPr>
          <w:noBreakHyphen/>
          <w:t xml:space="preserve">11’, </w:t>
        </w:r>
        <w:r w:rsidRPr="0079568A">
          <w:rPr>
            <w:rStyle w:val="Hyperlink"/>
            <w:i/>
            <w:iCs/>
          </w:rPr>
          <w:t>Australian and New Zealand Journal of Psychiatry</w:t>
        </w:r>
        <w:r w:rsidRPr="0079568A">
          <w:rPr>
            <w:rStyle w:val="Hyperlink"/>
          </w:rPr>
          <w:t>, 55(4), pp. 351–353.</w:t>
        </w:r>
      </w:hyperlink>
    </w:p>
    <w:p w14:paraId="54704F5C" w14:textId="0CFAA0EB" w:rsidR="00266B8E" w:rsidRPr="00266B8E" w:rsidRDefault="008763B6" w:rsidP="00266B8E">
      <w:pPr>
        <w:pStyle w:val="ListParagraph"/>
        <w:numPr>
          <w:ilvl w:val="0"/>
          <w:numId w:val="5"/>
        </w:numPr>
      </w:pPr>
      <w:hyperlink r:id="rId39" w:history="1">
        <w:r w:rsidR="00266B8E" w:rsidRPr="008763B6">
          <w:rPr>
            <w:rStyle w:val="Hyperlink"/>
          </w:rPr>
          <w:t>Tyrer, P. (2020) ‘The new ICD</w:t>
        </w:r>
        <w:r w:rsidR="00266B8E" w:rsidRPr="008763B6">
          <w:rPr>
            <w:rStyle w:val="Hyperlink"/>
          </w:rPr>
          <w:noBreakHyphen/>
        </w:r>
        <w:r w:rsidR="00266B8E" w:rsidRPr="008763B6">
          <w:rPr>
            <w:rStyle w:val="Hyperlink"/>
          </w:rPr>
          <w:t>1</w:t>
        </w:r>
        <w:r w:rsidR="00266B8E" w:rsidRPr="008763B6">
          <w:rPr>
            <w:rStyle w:val="Hyperlink"/>
          </w:rPr>
          <w:t xml:space="preserve">1 classification of personality disorder: A welcome paradigm shift’, </w:t>
        </w:r>
        <w:r w:rsidR="00266B8E" w:rsidRPr="008763B6">
          <w:rPr>
            <w:rStyle w:val="Hyperlink"/>
            <w:i/>
            <w:iCs/>
          </w:rPr>
          <w:t>British Journal of Psychiatry</w:t>
        </w:r>
        <w:r w:rsidR="00266B8E" w:rsidRPr="008763B6">
          <w:rPr>
            <w:rStyle w:val="Hyperlink"/>
          </w:rPr>
          <w:t>, 216(1), pp. 1–3.</w:t>
        </w:r>
      </w:hyperlink>
    </w:p>
    <w:p w14:paraId="73A1683E" w14:textId="71C148A3" w:rsidR="00266B8E" w:rsidRPr="00266B8E" w:rsidRDefault="00266B8E" w:rsidP="00266B8E">
      <w:pPr>
        <w:pStyle w:val="ListParagraph"/>
        <w:numPr>
          <w:ilvl w:val="0"/>
          <w:numId w:val="5"/>
        </w:numPr>
      </w:pPr>
      <w:hyperlink r:id="rId40" w:history="1">
        <w:r w:rsidRPr="00A4674B">
          <w:rPr>
            <w:rStyle w:val="Hyperlink"/>
          </w:rPr>
          <w:t>Viding, E. and McCrory, E. (2019) ‘Understanding callous</w:t>
        </w:r>
        <w:r w:rsidRPr="00A4674B">
          <w:rPr>
            <w:rStyle w:val="Hyperlink"/>
          </w:rPr>
          <w:noBreakHyphen/>
          <w:t xml:space="preserve">unemotional traits in children’, </w:t>
        </w:r>
        <w:r w:rsidRPr="00A4674B">
          <w:rPr>
            <w:rStyle w:val="Hyperlink"/>
            <w:i/>
            <w:iCs/>
          </w:rPr>
          <w:t>Annual Review of Clinical Psychology</w:t>
        </w:r>
        <w:r w:rsidRPr="00A4674B">
          <w:rPr>
            <w:rStyle w:val="Hyperlink"/>
          </w:rPr>
          <w:t>, 15, pp. 529–556.</w:t>
        </w:r>
      </w:hyperlink>
    </w:p>
    <w:p w14:paraId="3F32807A" w14:textId="4B41D933" w:rsidR="009A10F5" w:rsidRPr="009A10F5" w:rsidRDefault="009A10F5" w:rsidP="00266B8E">
      <w:pPr>
        <w:pStyle w:val="ListParagraph"/>
        <w:numPr>
          <w:ilvl w:val="0"/>
          <w:numId w:val="5"/>
        </w:numPr>
      </w:pPr>
      <w:hyperlink r:id="rId41" w:history="1">
        <w:r w:rsidRPr="00DC3C65">
          <w:rPr>
            <w:rStyle w:val="Hyperlink"/>
          </w:rPr>
          <w:t>Wong, S.C.P., Gordon, A. and Gu, D. (2007) ‘Assessment and treatment of violence</w:t>
        </w:r>
        <w:r w:rsidRPr="00DC3C65">
          <w:rPr>
            <w:rStyle w:val="Hyperlink"/>
          </w:rPr>
          <w:noBreakHyphen/>
          <w:t xml:space="preserve">prone forensic clients: an integrated approach’, </w:t>
        </w:r>
        <w:r w:rsidRPr="00DC3C65">
          <w:rPr>
            <w:rStyle w:val="Hyperlink"/>
            <w:i/>
            <w:iCs/>
          </w:rPr>
          <w:t>The British Journal of Psychiatry</w:t>
        </w:r>
        <w:r w:rsidRPr="00DC3C65">
          <w:rPr>
            <w:rStyle w:val="Hyperlink"/>
          </w:rPr>
          <w:t>, 190(S49), pp. s66–s74.</w:t>
        </w:r>
      </w:hyperlink>
    </w:p>
    <w:p w14:paraId="49310463" w14:textId="3E32D56D" w:rsidR="00266B8E" w:rsidRPr="00266B8E" w:rsidRDefault="00266B8E" w:rsidP="00266B8E">
      <w:pPr>
        <w:pStyle w:val="ListParagraph"/>
        <w:numPr>
          <w:ilvl w:val="0"/>
          <w:numId w:val="5"/>
        </w:numPr>
      </w:pPr>
      <w:hyperlink r:id="rId42" w:history="1">
        <w:r w:rsidRPr="00384862">
          <w:rPr>
            <w:rStyle w:val="Hyperlink"/>
          </w:rPr>
          <w:t xml:space="preserve">World Health Organization (2019) </w:t>
        </w:r>
        <w:r w:rsidRPr="00384862">
          <w:rPr>
            <w:rStyle w:val="Hyperlink"/>
            <w:i/>
            <w:iCs/>
          </w:rPr>
          <w:t>International Classification of Diseases 11th Revision (ICD</w:t>
        </w:r>
        <w:r w:rsidRPr="00384862">
          <w:rPr>
            <w:rStyle w:val="Hyperlink"/>
            <w:i/>
            <w:iCs/>
          </w:rPr>
          <w:noBreakHyphen/>
          <w:t>11): Clinical Descriptions and Diagnostic Guidelines</w:t>
        </w:r>
        <w:r w:rsidRPr="00384862">
          <w:rPr>
            <w:rStyle w:val="Hyperlink"/>
          </w:rPr>
          <w:t>. Geneva: WHO.</w:t>
        </w:r>
      </w:hyperlink>
    </w:p>
    <w:p w14:paraId="78823350" w14:textId="786E4D53" w:rsidR="00266B8E" w:rsidRPr="00266B8E" w:rsidRDefault="00266B8E" w:rsidP="00266B8E">
      <w:pPr>
        <w:pStyle w:val="ListParagraph"/>
        <w:numPr>
          <w:ilvl w:val="0"/>
          <w:numId w:val="5"/>
        </w:numPr>
      </w:pPr>
      <w:hyperlink r:id="rId43" w:history="1">
        <w:r w:rsidRPr="006D5996">
          <w:rPr>
            <w:rStyle w:val="Hyperlink"/>
          </w:rPr>
          <w:t xml:space="preserve">Young, S., </w:t>
        </w:r>
        <w:proofErr w:type="spellStart"/>
        <w:r w:rsidRPr="006D5996">
          <w:rPr>
            <w:rStyle w:val="Hyperlink"/>
          </w:rPr>
          <w:t>Cocallis</w:t>
        </w:r>
        <w:proofErr w:type="spellEnd"/>
        <w:r w:rsidRPr="006D5996">
          <w:rPr>
            <w:rStyle w:val="Hyperlink"/>
          </w:rPr>
          <w:t xml:space="preserve">, M., Gudjonsson, G. and Asherson, P. (2021) ‘ADHD, emotional dysregulation and offending behaviour’, </w:t>
        </w:r>
        <w:r w:rsidRPr="006D5996">
          <w:rPr>
            <w:rStyle w:val="Hyperlink"/>
            <w:i/>
            <w:iCs/>
          </w:rPr>
          <w:t>Journal of Neural Transmission</w:t>
        </w:r>
        <w:r w:rsidRPr="006D5996">
          <w:rPr>
            <w:rStyle w:val="Hyperlink"/>
          </w:rPr>
          <w:t>, 128(7), pp. 1021–1034.</w:t>
        </w:r>
      </w:hyperlink>
    </w:p>
    <w:p w14:paraId="35F76CBD" w14:textId="1A49DBF2" w:rsidR="00266B8E" w:rsidRPr="00266B8E" w:rsidRDefault="00266B8E" w:rsidP="00266B8E">
      <w:pPr>
        <w:pStyle w:val="ListParagraph"/>
        <w:numPr>
          <w:ilvl w:val="0"/>
          <w:numId w:val="5"/>
        </w:numPr>
      </w:pPr>
      <w:hyperlink r:id="rId44" w:history="1">
        <w:r w:rsidRPr="00A13B71">
          <w:rPr>
            <w:rStyle w:val="Hyperlink"/>
          </w:rPr>
          <w:t>Zimmermann, J., Kerber, A., Rek, K., Hopwood, C.J. and Krueger, R.F. (2022) ‘A brief overview of ICD</w:t>
        </w:r>
        <w:r w:rsidRPr="00A13B71">
          <w:rPr>
            <w:rStyle w:val="Hyperlink"/>
          </w:rPr>
          <w:noBreakHyphen/>
          <w:t xml:space="preserve">11 personality disorder classification’, </w:t>
        </w:r>
        <w:r w:rsidRPr="00A13B71">
          <w:rPr>
            <w:rStyle w:val="Hyperlink"/>
            <w:i/>
            <w:iCs/>
          </w:rPr>
          <w:t>World Psychiatry</w:t>
        </w:r>
        <w:r w:rsidRPr="00A13B71">
          <w:rPr>
            <w:rStyle w:val="Hyperlink"/>
          </w:rPr>
          <w:t>, 21(2), pp. 239–240</w:t>
        </w:r>
      </w:hyperlink>
      <w:r w:rsidRPr="00266B8E">
        <w:t>.</w:t>
      </w:r>
    </w:p>
    <w:p w14:paraId="3FB28881" w14:textId="77777777" w:rsidR="00E137B2" w:rsidRPr="007B74F6" w:rsidRDefault="00E137B2" w:rsidP="007B74F6">
      <w:pPr>
        <w:rPr>
          <w:sz w:val="22"/>
          <w:szCs w:val="22"/>
        </w:rPr>
      </w:pPr>
    </w:p>
    <w:sectPr w:rsidR="00E137B2" w:rsidRPr="007B74F6" w:rsidSect="00430CFD">
      <w:footerReference w:type="default" r:id="rId45"/>
      <w:pgSz w:w="11906" w:h="16838"/>
      <w:pgMar w:top="1440" w:right="1440" w:bottom="1440" w:left="1440" w:header="708" w:footer="708" w:gutter="0"/>
      <w:pgBorders w:offsetFrom="page">
        <w:top w:val="thinThickThinMediumGap" w:sz="24" w:space="24" w:color="156082" w:themeColor="accent1"/>
        <w:left w:val="thinThickThinMediumGap" w:sz="24" w:space="24" w:color="156082" w:themeColor="accent1"/>
        <w:bottom w:val="thinThickThinMediumGap" w:sz="24" w:space="24" w:color="156082" w:themeColor="accent1"/>
        <w:right w:val="thinThickThinMediumGap" w:sz="24" w:space="24" w:color="156082"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A80DA" w14:textId="77777777" w:rsidR="0091431A" w:rsidRDefault="0091431A" w:rsidP="00FF5B22">
      <w:pPr>
        <w:spacing w:after="0" w:line="240" w:lineRule="auto"/>
      </w:pPr>
      <w:r>
        <w:separator/>
      </w:r>
    </w:p>
  </w:endnote>
  <w:endnote w:type="continuationSeparator" w:id="0">
    <w:p w14:paraId="6FA2C904" w14:textId="77777777" w:rsidR="0091431A" w:rsidRDefault="0091431A" w:rsidP="00FF5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Elephant">
    <w:panose1 w:val="02020904090505020303"/>
    <w:charset w:val="00"/>
    <w:family w:val="roman"/>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2858301"/>
      <w:docPartObj>
        <w:docPartGallery w:val="Page Numbers (Bottom of Page)"/>
        <w:docPartUnique/>
      </w:docPartObj>
    </w:sdtPr>
    <w:sdtEndPr>
      <w:rPr>
        <w:color w:val="7F7F7F" w:themeColor="background1" w:themeShade="7F"/>
        <w:spacing w:val="60"/>
      </w:rPr>
    </w:sdtEndPr>
    <w:sdtContent>
      <w:p w14:paraId="63AE691C" w14:textId="7DC048BF" w:rsidR="00FF5B22" w:rsidRDefault="00FF5B2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38CF4D8" w14:textId="77777777" w:rsidR="00FF5B22" w:rsidRDefault="00FF5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F3955" w14:textId="77777777" w:rsidR="0091431A" w:rsidRDefault="0091431A" w:rsidP="00FF5B22">
      <w:pPr>
        <w:spacing w:after="0" w:line="240" w:lineRule="auto"/>
      </w:pPr>
      <w:r>
        <w:separator/>
      </w:r>
    </w:p>
  </w:footnote>
  <w:footnote w:type="continuationSeparator" w:id="0">
    <w:p w14:paraId="3790187C" w14:textId="77777777" w:rsidR="0091431A" w:rsidRDefault="0091431A" w:rsidP="00FF5B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F6D6A"/>
    <w:multiLevelType w:val="hybridMultilevel"/>
    <w:tmpl w:val="5A98FF24"/>
    <w:lvl w:ilvl="0" w:tplc="E7A0796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4739B"/>
    <w:multiLevelType w:val="hybridMultilevel"/>
    <w:tmpl w:val="C34487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B1DAF"/>
    <w:multiLevelType w:val="hybridMultilevel"/>
    <w:tmpl w:val="E88CCB3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A2009A"/>
    <w:multiLevelType w:val="hybridMultilevel"/>
    <w:tmpl w:val="461AC1E0"/>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1531786"/>
    <w:multiLevelType w:val="hybridMultilevel"/>
    <w:tmpl w:val="69882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0397073">
    <w:abstractNumId w:val="4"/>
  </w:num>
  <w:num w:numId="2" w16cid:durableId="126825625">
    <w:abstractNumId w:val="1"/>
  </w:num>
  <w:num w:numId="3" w16cid:durableId="147673729">
    <w:abstractNumId w:val="0"/>
  </w:num>
  <w:num w:numId="4" w16cid:durableId="247540088">
    <w:abstractNumId w:val="2"/>
  </w:num>
  <w:num w:numId="5" w16cid:durableId="14159323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0F4"/>
    <w:rsid w:val="000042E0"/>
    <w:rsid w:val="000219BB"/>
    <w:rsid w:val="00022F65"/>
    <w:rsid w:val="0008533C"/>
    <w:rsid w:val="000A1119"/>
    <w:rsid w:val="00133EAD"/>
    <w:rsid w:val="00187A53"/>
    <w:rsid w:val="002034D0"/>
    <w:rsid w:val="00212600"/>
    <w:rsid w:val="002259BE"/>
    <w:rsid w:val="00260F01"/>
    <w:rsid w:val="002664D4"/>
    <w:rsid w:val="00266B8E"/>
    <w:rsid w:val="002B3A1B"/>
    <w:rsid w:val="002B6506"/>
    <w:rsid w:val="002C498F"/>
    <w:rsid w:val="002C78EB"/>
    <w:rsid w:val="002D1D4F"/>
    <w:rsid w:val="003369DC"/>
    <w:rsid w:val="00356A67"/>
    <w:rsid w:val="0038323D"/>
    <w:rsid w:val="00384862"/>
    <w:rsid w:val="003C18FF"/>
    <w:rsid w:val="003D2E92"/>
    <w:rsid w:val="004116C2"/>
    <w:rsid w:val="00430CFD"/>
    <w:rsid w:val="004345E4"/>
    <w:rsid w:val="004357B9"/>
    <w:rsid w:val="004410F4"/>
    <w:rsid w:val="004D66A8"/>
    <w:rsid w:val="005025D3"/>
    <w:rsid w:val="0051258D"/>
    <w:rsid w:val="005407A6"/>
    <w:rsid w:val="00543B5B"/>
    <w:rsid w:val="00543E04"/>
    <w:rsid w:val="005518E3"/>
    <w:rsid w:val="005534E8"/>
    <w:rsid w:val="005C686F"/>
    <w:rsid w:val="005D06D8"/>
    <w:rsid w:val="006810D9"/>
    <w:rsid w:val="006C22A2"/>
    <w:rsid w:val="006D5996"/>
    <w:rsid w:val="007331AF"/>
    <w:rsid w:val="00735F2F"/>
    <w:rsid w:val="00736168"/>
    <w:rsid w:val="0077273B"/>
    <w:rsid w:val="00774B08"/>
    <w:rsid w:val="0079568A"/>
    <w:rsid w:val="007B74F6"/>
    <w:rsid w:val="007F1F0B"/>
    <w:rsid w:val="008077AD"/>
    <w:rsid w:val="00813E65"/>
    <w:rsid w:val="00822C05"/>
    <w:rsid w:val="00824DF8"/>
    <w:rsid w:val="00832EB6"/>
    <w:rsid w:val="00842A19"/>
    <w:rsid w:val="00842A1C"/>
    <w:rsid w:val="008763B6"/>
    <w:rsid w:val="00881352"/>
    <w:rsid w:val="008C3F1C"/>
    <w:rsid w:val="008D5175"/>
    <w:rsid w:val="008D686C"/>
    <w:rsid w:val="008E4D06"/>
    <w:rsid w:val="008F5B24"/>
    <w:rsid w:val="0091431A"/>
    <w:rsid w:val="00973B02"/>
    <w:rsid w:val="009761DE"/>
    <w:rsid w:val="009A10F5"/>
    <w:rsid w:val="009C4513"/>
    <w:rsid w:val="009F4093"/>
    <w:rsid w:val="00A13B71"/>
    <w:rsid w:val="00A4674B"/>
    <w:rsid w:val="00A61BBE"/>
    <w:rsid w:val="00AE054B"/>
    <w:rsid w:val="00B2084D"/>
    <w:rsid w:val="00B703B7"/>
    <w:rsid w:val="00BD3126"/>
    <w:rsid w:val="00BD3D01"/>
    <w:rsid w:val="00BD7DC9"/>
    <w:rsid w:val="00BF49F2"/>
    <w:rsid w:val="00C36852"/>
    <w:rsid w:val="00CB4543"/>
    <w:rsid w:val="00CB78E1"/>
    <w:rsid w:val="00D061A2"/>
    <w:rsid w:val="00D14C07"/>
    <w:rsid w:val="00D244F3"/>
    <w:rsid w:val="00D44A56"/>
    <w:rsid w:val="00D555BB"/>
    <w:rsid w:val="00D62755"/>
    <w:rsid w:val="00D7492C"/>
    <w:rsid w:val="00DA64B6"/>
    <w:rsid w:val="00DC1382"/>
    <w:rsid w:val="00DC3C65"/>
    <w:rsid w:val="00DE21F5"/>
    <w:rsid w:val="00E137B2"/>
    <w:rsid w:val="00E26C42"/>
    <w:rsid w:val="00E434D4"/>
    <w:rsid w:val="00F15A9D"/>
    <w:rsid w:val="00F236CB"/>
    <w:rsid w:val="00FD3F17"/>
    <w:rsid w:val="00FF5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8999A"/>
  <w15:chartTrackingRefBased/>
  <w15:docId w15:val="{E771137A-CBDA-43C6-9971-9FACBA859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9F2"/>
    <w:rPr>
      <w:rFonts w:eastAsiaTheme="minorEastAsia"/>
      <w:lang w:eastAsia="en-GB"/>
    </w:rPr>
  </w:style>
  <w:style w:type="paragraph" w:styleId="Heading1">
    <w:name w:val="heading 1"/>
    <w:basedOn w:val="Normal"/>
    <w:next w:val="Normal"/>
    <w:link w:val="Heading1Char"/>
    <w:uiPriority w:val="9"/>
    <w:qFormat/>
    <w:rsid w:val="004410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10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10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10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10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10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10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10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10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10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10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10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10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10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10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10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10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10F4"/>
    <w:rPr>
      <w:rFonts w:eastAsiaTheme="majorEastAsia" w:cstheme="majorBidi"/>
      <w:color w:val="272727" w:themeColor="text1" w:themeTint="D8"/>
    </w:rPr>
  </w:style>
  <w:style w:type="paragraph" w:styleId="Title">
    <w:name w:val="Title"/>
    <w:basedOn w:val="Normal"/>
    <w:next w:val="Normal"/>
    <w:link w:val="TitleChar"/>
    <w:uiPriority w:val="10"/>
    <w:qFormat/>
    <w:rsid w:val="004410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10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10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10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10F4"/>
    <w:pPr>
      <w:spacing w:before="160"/>
      <w:jc w:val="center"/>
    </w:pPr>
    <w:rPr>
      <w:i/>
      <w:iCs/>
      <w:color w:val="404040" w:themeColor="text1" w:themeTint="BF"/>
    </w:rPr>
  </w:style>
  <w:style w:type="character" w:customStyle="1" w:styleId="QuoteChar">
    <w:name w:val="Quote Char"/>
    <w:basedOn w:val="DefaultParagraphFont"/>
    <w:link w:val="Quote"/>
    <w:uiPriority w:val="29"/>
    <w:rsid w:val="004410F4"/>
    <w:rPr>
      <w:i/>
      <w:iCs/>
      <w:color w:val="404040" w:themeColor="text1" w:themeTint="BF"/>
    </w:rPr>
  </w:style>
  <w:style w:type="paragraph" w:styleId="ListParagraph">
    <w:name w:val="List Paragraph"/>
    <w:basedOn w:val="Normal"/>
    <w:uiPriority w:val="34"/>
    <w:qFormat/>
    <w:rsid w:val="004410F4"/>
    <w:pPr>
      <w:ind w:left="720"/>
      <w:contextualSpacing/>
    </w:pPr>
  </w:style>
  <w:style w:type="character" w:styleId="IntenseEmphasis">
    <w:name w:val="Intense Emphasis"/>
    <w:basedOn w:val="DefaultParagraphFont"/>
    <w:uiPriority w:val="21"/>
    <w:qFormat/>
    <w:rsid w:val="004410F4"/>
    <w:rPr>
      <w:i/>
      <w:iCs/>
      <w:color w:val="0F4761" w:themeColor="accent1" w:themeShade="BF"/>
    </w:rPr>
  </w:style>
  <w:style w:type="paragraph" w:styleId="IntenseQuote">
    <w:name w:val="Intense Quote"/>
    <w:basedOn w:val="Normal"/>
    <w:next w:val="Normal"/>
    <w:link w:val="IntenseQuoteChar"/>
    <w:uiPriority w:val="30"/>
    <w:qFormat/>
    <w:rsid w:val="004410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10F4"/>
    <w:rPr>
      <w:i/>
      <w:iCs/>
      <w:color w:val="0F4761" w:themeColor="accent1" w:themeShade="BF"/>
    </w:rPr>
  </w:style>
  <w:style w:type="character" w:styleId="IntenseReference">
    <w:name w:val="Intense Reference"/>
    <w:basedOn w:val="DefaultParagraphFont"/>
    <w:uiPriority w:val="32"/>
    <w:qFormat/>
    <w:rsid w:val="004410F4"/>
    <w:rPr>
      <w:b/>
      <w:bCs/>
      <w:smallCaps/>
      <w:color w:val="0F4761" w:themeColor="accent1" w:themeShade="BF"/>
      <w:spacing w:val="5"/>
    </w:rPr>
  </w:style>
  <w:style w:type="paragraph" w:styleId="Header">
    <w:name w:val="header"/>
    <w:basedOn w:val="Normal"/>
    <w:link w:val="HeaderChar"/>
    <w:uiPriority w:val="99"/>
    <w:unhideWhenUsed/>
    <w:rsid w:val="00FF5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B22"/>
    <w:rPr>
      <w:rFonts w:eastAsiaTheme="minorEastAsia"/>
      <w:lang w:eastAsia="en-GB"/>
    </w:rPr>
  </w:style>
  <w:style w:type="paragraph" w:styleId="Footer">
    <w:name w:val="footer"/>
    <w:basedOn w:val="Normal"/>
    <w:link w:val="FooterChar"/>
    <w:uiPriority w:val="99"/>
    <w:unhideWhenUsed/>
    <w:rsid w:val="00FF5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B22"/>
    <w:rPr>
      <w:rFonts w:eastAsiaTheme="minorEastAsia"/>
      <w:lang w:eastAsia="en-GB"/>
    </w:rPr>
  </w:style>
  <w:style w:type="character" w:styleId="Hyperlink">
    <w:name w:val="Hyperlink"/>
    <w:basedOn w:val="DefaultParagraphFont"/>
    <w:uiPriority w:val="99"/>
    <w:unhideWhenUsed/>
    <w:rsid w:val="00DE21F5"/>
    <w:rPr>
      <w:color w:val="467886" w:themeColor="hyperlink"/>
      <w:u w:val="single"/>
    </w:rPr>
  </w:style>
  <w:style w:type="character" w:styleId="UnresolvedMention">
    <w:name w:val="Unresolved Mention"/>
    <w:basedOn w:val="DefaultParagraphFont"/>
    <w:uiPriority w:val="99"/>
    <w:semiHidden/>
    <w:unhideWhenUsed/>
    <w:rsid w:val="00DE21F5"/>
    <w:rPr>
      <w:color w:val="605E5C"/>
      <w:shd w:val="clear" w:color="auto" w:fill="E1DFDD"/>
    </w:rPr>
  </w:style>
  <w:style w:type="character" w:styleId="FollowedHyperlink">
    <w:name w:val="FollowedHyperlink"/>
    <w:basedOn w:val="DefaultParagraphFont"/>
    <w:uiPriority w:val="99"/>
    <w:semiHidden/>
    <w:unhideWhenUsed/>
    <w:rsid w:val="002C78E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4.xml"/><Relationship Id="rId18" Type="http://schemas.openxmlformats.org/officeDocument/2006/relationships/image" Target="media/image5.emf"/><Relationship Id="rId26" Type="http://schemas.openxmlformats.org/officeDocument/2006/relationships/hyperlink" Target="https://academic.oup.com/jpubhealth/issue/41/1" TargetMode="External"/><Relationship Id="rId39" Type="http://schemas.openxmlformats.org/officeDocument/2006/relationships/hyperlink" Target="https://pubmed.ncbi.nlm.nih.gov/30601688/" TargetMode="External"/><Relationship Id="rId21" Type="http://schemas.openxmlformats.org/officeDocument/2006/relationships/customXml" Target="ink/ink8.xml"/><Relationship Id="rId34" Type="http://schemas.openxmlformats.org/officeDocument/2006/relationships/hyperlink" Target="https://books.google.co.uk/books?hl=en&amp;lr=&amp;id=QsJ9EQAAQBAJ&amp;oi=fnd&amp;pg=PP1&amp;dq=%EF%83%98%09Linehan,+M.M.+(2015)+DBT+Skills+Training+Manual.+2nd+edn.+New+York:+Guilford+Press.&amp;ots=AaYkGgjJnE&amp;sig=Rp4crZKOvZ_Ub1-oJASqRVE6LR0" TargetMode="External"/><Relationship Id="rId42" Type="http://schemas.openxmlformats.org/officeDocument/2006/relationships/hyperlink" Target="https://books.google.com/books?hl=en&amp;lr=&amp;id=84gOEQAAQBAJ&amp;oi=fnd&amp;pg=PR3&amp;dq=WHO%2B2019%2BICD-11%2Bclinical%2Bdescriptions%2Bdiagnostic%2Bguidelines&amp;ots=OhfNMDqrSb&amp;sig=kCGoFwNmvRcxOqwegy7AeKHuMZY" TargetMode="External"/><Relationship Id="rId47" Type="http://schemas.openxmlformats.org/officeDocument/2006/relationships/theme" Target="theme/theme1.xml"/><Relationship Id="rId7" Type="http://schemas.openxmlformats.org/officeDocument/2006/relationships/customXml" Target="ink/ink1.xml"/><Relationship Id="rId2" Type="http://schemas.openxmlformats.org/officeDocument/2006/relationships/styles" Target="styles.xml"/><Relationship Id="rId16" Type="http://schemas.openxmlformats.org/officeDocument/2006/relationships/image" Target="media/image4.emf"/><Relationship Id="rId29" Type="http://schemas.openxmlformats.org/officeDocument/2006/relationships/hyperlink" Target="https://pubmed.ncbi.nlm.nih.gov/1186710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3.xml"/><Relationship Id="rId24" Type="http://schemas.openxmlformats.org/officeDocument/2006/relationships/image" Target="media/image8.emf"/><Relationship Id="rId32" Type="http://schemas.openxmlformats.org/officeDocument/2006/relationships/hyperlink" Target="https://pmc.ncbi.nlm.nih.gov/articles/PMC12401950/" TargetMode="External"/><Relationship Id="rId37" Type="http://schemas.openxmlformats.org/officeDocument/2006/relationships/hyperlink" Target="https://www.researchgate.net/publication/332119314_McNeill_F_Graham_H_2019_'Conceptualising_Rehabilitation_Four_Forms_Two_Models_One_Process_and_a_Plethora_of_Challenges'_in_Ugwudike_P_Graham_H_McNeill_F_Raynor_P_Taxman_F_Trotter_C_eds_The_Routledge_C" TargetMode="External"/><Relationship Id="rId40" Type="http://schemas.openxmlformats.org/officeDocument/2006/relationships/hyperlink" Target="https://pubmed.ncbi.nlm.nih.gov/22383762/"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ink/ink5.xml"/><Relationship Id="rId23" Type="http://schemas.openxmlformats.org/officeDocument/2006/relationships/customXml" Target="ink/ink9.xml"/><Relationship Id="rId28" Type="http://schemas.openxmlformats.org/officeDocument/2006/relationships/hyperlink" Target="https://www.emerald.com/search-results?q=%ef%83%98%09Dhingra%2c+K.%2c+Boduszek%2c+D.+and+Sharratt%2c+K.+(2020)+%e2%80%98Psychological+factors+associated+with+treatment+engagement+among+individuals+with+antisocial+traits%e2%80%99%2c+Criminal+Behaviour+and+Mental+Health%2c+30(2)%2c+pp.+85%e2%80%9398.&amp;rg_PublicationDate=%20TO" TargetMode="External"/><Relationship Id="rId36" Type="http://schemas.openxmlformats.org/officeDocument/2006/relationships/hyperlink" Target="https://www.sciencedirect.com/journal/aggression-and-violent-behavior" TargetMode="External"/><Relationship Id="rId10" Type="http://schemas.openxmlformats.org/officeDocument/2006/relationships/image" Target="media/image1.png"/><Relationship Id="rId19" Type="http://schemas.openxmlformats.org/officeDocument/2006/relationships/customXml" Target="ink/ink7.xml"/><Relationship Id="rId31" Type="http://schemas.openxmlformats.org/officeDocument/2006/relationships/hyperlink" Target="https://www.bing.com/ck/a?!&amp;&amp;p=ca4a108386b125c162ac7498d67b9c70f2078dcd07ac63968b06948a1031769dJmltdHM9MTc4NDQxOTIwMA&amp;ptn=3&amp;ver=2&amp;hsh=4&amp;fclid=22f63b91-afdb-6667-23a7-2db6aea16721&amp;psq=%22https%3a%2f%2fwww.thelancet.com%2fjournals%2flanpub%2farticle%2fPIIS2468-2667(17)30118-4%2ffulltext%22&amp;u=a1aHR0cHM6Ly93d3cudGhlbGFuY2V0LmNvbS9qb3VybmFscy9sYW5wdWIvYXJ0aWNsZS9QSUlTMjQ2OC0yNjY3KDE3KTMwMTE4LTQvZnVsbHRleHQ" TargetMode="External"/><Relationship Id="rId44" Type="http://schemas.openxmlformats.org/officeDocument/2006/relationships/hyperlink" Target="https://pmc.ncbi.nlm.nih.gov/articles/PMC8973542/" TargetMode="Externa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hyperlink" Target="https://www.emerald.com/" TargetMode="External"/><Relationship Id="rId30" Type="http://schemas.openxmlformats.org/officeDocument/2006/relationships/hyperlink" Target="https://link.springer.com/article/10.1007/s11920-019-1079-z" TargetMode="External"/><Relationship Id="rId35" Type="http://schemas.openxmlformats.org/officeDocument/2006/relationships/hyperlink" Target="https://www.guilford.com/excerpts/livesley4.pdf?srsltid=AfmBOopN0Xq_ZEJrFNWFtGA3FX5Not2PhZXdue9jyixZffvHSqZklMLu" TargetMode="External"/><Relationship Id="rId43" Type="http://schemas.openxmlformats.org/officeDocument/2006/relationships/hyperlink" Target="https://link.springer.com/article/10.1007/s00702-021-02308-0" TargetMode="External"/><Relationship Id="rId8" Type="http://schemas.openxmlformats.org/officeDocument/2006/relationships/image" Target="media/image1.emf"/><Relationship Id="rId3"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customXml" Target="ink/ink6.xml"/><Relationship Id="rId25" Type="http://schemas.openxmlformats.org/officeDocument/2006/relationships/hyperlink" Target="https://www.researchgate.net/publication/235283327_Autism_spectrum_disorders_and_offending" TargetMode="External"/><Relationship Id="rId33" Type="http://schemas.openxmlformats.org/officeDocument/2006/relationships/hyperlink" Target="https://journals.sagepub.com/home/prb" TargetMode="External"/><Relationship Id="rId38" Type="http://schemas.openxmlformats.org/officeDocument/2006/relationships/hyperlink" Target="file:///C:\Users\rembu\Downloads\fpsyt-12-655548%20(1).pdf" TargetMode="External"/><Relationship Id="rId46" Type="http://schemas.openxmlformats.org/officeDocument/2006/relationships/fontTable" Target="fontTable.xml"/><Relationship Id="rId20" Type="http://schemas.openxmlformats.org/officeDocument/2006/relationships/image" Target="media/image6.emf"/><Relationship Id="rId41" Type="http://schemas.openxmlformats.org/officeDocument/2006/relationships/hyperlink" Target="https://www.cambridge.org/core/journals/the-british-journal-of-psychiatry/article/assessment-and-treatment-of-violenceprone-forensic-clients-an-integrated-approach/602C0819737ED9456193DF508E4F7E93"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8T14:26:58.672"/>
    </inkml:context>
    <inkml:brush xml:id="br0">
      <inkml:brushProperty name="width" value="0.3" units="cm"/>
      <inkml:brushProperty name="height" value="0.6" units="cm"/>
      <inkml:brushProperty name="color" value="#A9D8FF"/>
      <inkml:brushProperty name="tip" value="rectangle"/>
      <inkml:brushProperty name="rasterOp" value="maskPen"/>
      <inkml:brushProperty name="ignorePressure" value="1"/>
    </inkml:brush>
  </inkml:definitions>
  <inkml:trace contextRef="#ctx0" brushRef="#br0">4422 1,'-4407'0,"4392"0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8T14:26:40.807"/>
    </inkml:context>
    <inkml:brush xml:id="br0">
      <inkml:brushProperty name="width" value="0.3" units="cm"/>
      <inkml:brushProperty name="height" value="0.6" units="cm"/>
      <inkml:brushProperty name="color" value="#A9D8FF"/>
      <inkml:brushProperty name="tip" value="rectangle"/>
      <inkml:brushProperty name="rasterOp" value="maskPen"/>
      <inkml:brushProperty name="ignorePressure" value="1"/>
    </inkml:brush>
  </inkml:definitions>
  <inkml:trace contextRef="#ctx0" brushRef="#br0">4422 1,'-4407'0,"4392"0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5-24T16:49:07.769"/>
    </inkml:context>
    <inkml:brush xml:id="br0">
      <inkml:brushProperty name="width" value="0.07938" units="cm"/>
      <inkml:brushProperty name="height" value="0.15875" units="cm"/>
      <inkml:brushProperty name="color" value="#A9D8FF"/>
      <inkml:brushProperty name="tip" value="rectangle"/>
      <inkml:brushProperty name="rasterOp" value="maskPen"/>
      <inkml:brushProperty name="ignorePressure" value="1"/>
    </inkml:brush>
  </inkml:definitions>
  <inkml:trace contextRef="#ctx0" brushRef="#br0">13457 1,'-13411'0,"13365"0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8T15:00:58.895"/>
    </inkml:context>
    <inkml:brush xml:id="br0">
      <inkml:brushProperty name="width" value="0.07938" units="cm"/>
      <inkml:brushProperty name="height" value="0.15875" units="cm"/>
      <inkml:brushProperty name="color" value="#A9D8FF"/>
      <inkml:brushProperty name="tip" value="rectangle"/>
      <inkml:brushProperty name="rasterOp" value="maskPen"/>
      <inkml:brushProperty name="ignorePressure" value="1"/>
    </inkml:brush>
  </inkml:definitions>
  <inkml:trace contextRef="#ctx0" brushRef="#br0">9366 1,'-9334'0,"9302"0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8T15:01:34.016"/>
    </inkml:context>
    <inkml:brush xml:id="br0">
      <inkml:brushProperty name="width" value="0.07938" units="cm"/>
      <inkml:brushProperty name="height" value="0.15875" units="cm"/>
      <inkml:brushProperty name="color" value="#A9D8FF"/>
      <inkml:brushProperty name="tip" value="rectangle"/>
      <inkml:brushProperty name="rasterOp" value="maskPen"/>
      <inkml:brushProperty name="ignorePressure" value="1"/>
    </inkml:brush>
  </inkml:definitions>
  <inkml:trace contextRef="#ctx0" brushRef="#br0">8889 1,'-8859'0,"8829"0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8T15:02:06.970"/>
    </inkml:context>
    <inkml:brush xml:id="br0">
      <inkml:brushProperty name="width" value="0.07938" units="cm"/>
      <inkml:brushProperty name="height" value="0.15875" units="cm"/>
      <inkml:brushProperty name="color" value="#A9D8FF"/>
      <inkml:brushProperty name="tip" value="rectangle"/>
      <inkml:brushProperty name="rasterOp" value="maskPen"/>
      <inkml:brushProperty name="ignorePressure" value="1"/>
    </inkml:brush>
  </inkml:definitions>
  <inkml:trace contextRef="#ctx0" brushRef="#br0">6949 1,'-6925'0,"6901"0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8T15:02:19.252"/>
    </inkml:context>
    <inkml:brush xml:id="br0">
      <inkml:brushProperty name="width" value="0.07938" units="cm"/>
      <inkml:brushProperty name="height" value="0.15875" units="cm"/>
      <inkml:brushProperty name="color" value="#A9D8FF"/>
      <inkml:brushProperty name="tip" value="rectangle"/>
      <inkml:brushProperty name="rasterOp" value="maskPen"/>
      <inkml:brushProperty name="ignorePressure" value="1"/>
    </inkml:brush>
  </inkml:definitions>
  <inkml:trace contextRef="#ctx0" brushRef="#br0">12258 1,'-12216'0,"12174"0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8T15:02:42.772"/>
    </inkml:context>
    <inkml:brush xml:id="br0">
      <inkml:brushProperty name="width" value="0.07938" units="cm"/>
      <inkml:brushProperty name="height" value="0.15875" units="cm"/>
      <inkml:brushProperty name="color" value="#A9D8FF"/>
      <inkml:brushProperty name="tip" value="rectangle"/>
      <inkml:brushProperty name="rasterOp" value="maskPen"/>
      <inkml:brushProperty name="ignorePressure" value="1"/>
    </inkml:brush>
  </inkml:definitions>
  <inkml:trace contextRef="#ctx0" brushRef="#br0">14004 1,'-13956'0,"13908"0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8T15:02:55.727"/>
    </inkml:context>
    <inkml:brush xml:id="br0">
      <inkml:brushProperty name="width" value="0.07938" units="cm"/>
      <inkml:brushProperty name="height" value="0.15875" units="cm"/>
      <inkml:brushProperty name="color" value="#A9D8FF"/>
      <inkml:brushProperty name="tip" value="rectangle"/>
      <inkml:brushProperty name="rasterOp" value="maskPen"/>
      <inkml:brushProperty name="ignorePressure" value="1"/>
    </inkml:brush>
  </inkml:definitions>
  <inkml:trace contextRef="#ctx0" brushRef="#br0">13740 1,'-13693'0,"13646"0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209</TotalTime>
  <Pages>8</Pages>
  <Words>3573</Words>
  <Characters>20368</Characters>
  <Application>Microsoft Office Word</Application>
  <DocSecurity>0</DocSecurity>
  <Lines>169</Lines>
  <Paragraphs>47</Paragraphs>
  <ScaleCrop>false</ScaleCrop>
  <Company/>
  <LinksUpToDate>false</LinksUpToDate>
  <CharactersWithSpaces>23894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K</dc:creator>
  <cp:keywords/>
  <dc:description/>
  <cp:lastModifiedBy>S K</cp:lastModifiedBy>
  <cp:revision>89</cp:revision>
  <dcterms:created xsi:type="dcterms:W3CDTF">2026-07-18T14:17:00Z</dcterms:created>
  <dcterms:modified xsi:type="dcterms:W3CDTF">2026-07-20T11:41:00Z</dcterms:modified>
</cp:coreProperties>
</file>