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4C04" w:rsidRDefault="00944C04" w:rsidP="00944C04">
      <w:pPr>
        <w:spacing w:after="0" w:line="360" w:lineRule="auto"/>
        <w:textAlignment w:val="baseline"/>
        <w:rPr>
          <w:rFonts w:eastAsia="Times New Roman"/>
          <w:bCs w:val="0"/>
          <w:spacing w:val="0"/>
          <w:sz w:val="24"/>
          <w:szCs w:val="24"/>
          <w:lang w:eastAsia="en-GB"/>
        </w:rPr>
      </w:pPr>
      <w:r w:rsidRPr="00944C04">
        <w:rPr>
          <w:rFonts w:eastAsia="Times New Roman"/>
          <w:bCs w:val="0"/>
          <w:spacing w:val="0"/>
          <w:sz w:val="24"/>
          <w:szCs w:val="24"/>
          <w:lang w:eastAsia="en-GB"/>
        </w:rPr>
        <w:t>Throughout this assignment, the author will analyse the teaching and learning of literacy numeracy and digital competence using cross-curricular methods and will critically evaluate the impact of cross-curricular pedagogies in literacy, numeracy and digital competence on pupil progress. The author will also discuss the benefits and limitations of teaching in a cross-curricular way and critically reflect on Professional Teaching Experiences (PTE) to support this discussion. Finally, the author will make personal recommendations and recommendations for teachers in education to ensure that cross-curricular teaching and learning is incorporated effectively in the primary school.  </w:t>
      </w:r>
      <w:bookmarkStart w:id="0" w:name="_GoBack"/>
      <w:bookmarkEnd w:id="0"/>
    </w:p>
    <w:p w:rsidR="00944C04" w:rsidRPr="00944C04" w:rsidRDefault="00944C04" w:rsidP="00944C04">
      <w:pPr>
        <w:spacing w:after="0" w:line="360" w:lineRule="auto"/>
        <w:textAlignment w:val="baseline"/>
        <w:rPr>
          <w:rFonts w:ascii="Segoe UI" w:eastAsia="Times New Roman" w:hAnsi="Segoe UI" w:cs="Segoe UI"/>
          <w:bCs w:val="0"/>
          <w:spacing w:val="0"/>
          <w:sz w:val="18"/>
          <w:szCs w:val="18"/>
          <w:lang w:eastAsia="en-GB"/>
        </w:rPr>
      </w:pPr>
    </w:p>
    <w:p w:rsidR="00944C04" w:rsidRDefault="00944C04" w:rsidP="00944C04">
      <w:pPr>
        <w:spacing w:after="0" w:line="360" w:lineRule="auto"/>
        <w:textAlignment w:val="baseline"/>
        <w:rPr>
          <w:rFonts w:eastAsia="Times New Roman"/>
          <w:bCs w:val="0"/>
          <w:spacing w:val="0"/>
          <w:sz w:val="24"/>
          <w:szCs w:val="24"/>
          <w:lang w:eastAsia="en-GB"/>
        </w:rPr>
      </w:pPr>
      <w:r w:rsidRPr="00944C04">
        <w:rPr>
          <w:rFonts w:eastAsia="Times New Roman"/>
          <w:bCs w:val="0"/>
          <w:color w:val="000000"/>
          <w:spacing w:val="0"/>
          <w:sz w:val="24"/>
          <w:szCs w:val="24"/>
          <w:lang w:eastAsia="en-GB"/>
        </w:rPr>
        <w:t>The Welsh Assembly Government’s (WAG) aim is to implement literacy, numeracy and digital competence into schools across Wales.  This is because literacy, numeracy and digital competence are the foundations for almost all children’s learning and are essential to incorporate to encourage participation successfully and confidently into the changing modern world. WAG, (2015). As stated in Donaldson (2015) </w:t>
      </w:r>
      <w:r w:rsidRPr="00944C04">
        <w:rPr>
          <w:rFonts w:eastAsia="Times New Roman"/>
          <w:bCs w:val="0"/>
          <w:spacing w:val="0"/>
          <w:sz w:val="24"/>
          <w:szCs w:val="24"/>
          <w:lang w:eastAsia="en-GB"/>
        </w:rPr>
        <w:t>“literacy, numeracy and digital competence should be Cross-curriculum Responsibilities for all teachers and people who work with children and young people.” This is to ensure that children and young people have opportunities to develop high levels of competence in these aspects so they can develop, extend and apply these aspects across the curriculum. Ofsted (2012) suggested that to develop levels of reading and writing in schools, there needs to be a policy put in place where children can develop their literacy skills in all subjects across the curriculum. They also stated that in order for children to be prepared for the literacy challenges in work or further education in their future, the standards in primary and secondary schools need to rise. In Donaldson’s (2015) most recent review, he states that priority has been given </w:t>
      </w:r>
      <w:r w:rsidRPr="00944C04">
        <w:rPr>
          <w:rFonts w:eastAsia="Times New Roman"/>
          <w:bCs w:val="0"/>
          <w:color w:val="000000"/>
          <w:spacing w:val="0"/>
          <w:sz w:val="24"/>
          <w:szCs w:val="24"/>
          <w:lang w:eastAsia="en-GB"/>
        </w:rPr>
        <w:t>to literacy and numeracy within the Welsh curriculum through the Literacy and Numeracy Framework (LNF) and that digital competence is “increasingly fundamental to learning and life and that it should have similar status within the curriculum to that of literacy and numeracy.” As the world is becoming more</w:t>
      </w:r>
      <w:r>
        <w:rPr>
          <w:rFonts w:eastAsia="Times New Roman"/>
          <w:bCs w:val="0"/>
          <w:color w:val="000000"/>
          <w:spacing w:val="0"/>
          <w:sz w:val="24"/>
          <w:szCs w:val="24"/>
          <w:lang w:eastAsia="en-GB"/>
        </w:rPr>
        <w:t xml:space="preserve"> digital</w:t>
      </w:r>
      <w:r w:rsidRPr="00944C04">
        <w:rPr>
          <w:rFonts w:eastAsia="Times New Roman"/>
          <w:bCs w:val="0"/>
          <w:color w:val="000000"/>
          <w:spacing w:val="0"/>
          <w:sz w:val="24"/>
          <w:szCs w:val="24"/>
          <w:lang w:eastAsia="en-GB"/>
        </w:rPr>
        <w:t>, digital competence has become a necessity for children in schools as they are required to develop their own digital competence skills which will broaden their opportunities in the future. Digital competency was targeted in Donaldson (2015) and in the WAG report as a national mission and a responsibility that needs to be developed, as it provides our children with “</w:t>
      </w:r>
      <w:r w:rsidRPr="00944C04">
        <w:rPr>
          <w:rFonts w:eastAsia="Times New Roman"/>
          <w:bCs w:val="0"/>
          <w:spacing w:val="0"/>
          <w:sz w:val="24"/>
          <w:szCs w:val="24"/>
          <w:lang w:eastAsia="en-GB"/>
        </w:rPr>
        <w:t xml:space="preserve">high-level digital skills to ensure </w:t>
      </w:r>
      <w:r w:rsidRPr="00944C04">
        <w:rPr>
          <w:rFonts w:eastAsia="Times New Roman"/>
          <w:bCs w:val="0"/>
          <w:spacing w:val="0"/>
          <w:sz w:val="24"/>
          <w:szCs w:val="24"/>
          <w:lang w:eastAsia="en-GB"/>
        </w:rPr>
        <w:lastRenderedPageBreak/>
        <w:t>our young people are digitally competent, and evolve into enterprising, creative and critical thinkers.” WAG, (2018)  </w:t>
      </w:r>
    </w:p>
    <w:p w:rsidR="00944C04" w:rsidRPr="00944C04" w:rsidRDefault="00944C04" w:rsidP="00944C04">
      <w:pPr>
        <w:spacing w:after="0" w:line="360" w:lineRule="auto"/>
        <w:textAlignment w:val="baseline"/>
        <w:rPr>
          <w:rFonts w:ascii="Segoe UI" w:eastAsia="Times New Roman" w:hAnsi="Segoe UI" w:cs="Segoe UI"/>
          <w:bCs w:val="0"/>
          <w:spacing w:val="0"/>
          <w:sz w:val="18"/>
          <w:szCs w:val="18"/>
          <w:lang w:eastAsia="en-GB"/>
        </w:rPr>
      </w:pPr>
    </w:p>
    <w:p w:rsidR="00944C04" w:rsidRPr="00944C04" w:rsidRDefault="00944C04" w:rsidP="00944C04">
      <w:pPr>
        <w:spacing w:after="0" w:line="360" w:lineRule="auto"/>
        <w:textAlignment w:val="baseline"/>
        <w:rPr>
          <w:rFonts w:ascii="Segoe UI" w:eastAsia="Times New Roman" w:hAnsi="Segoe UI" w:cs="Segoe UI"/>
          <w:bCs w:val="0"/>
          <w:spacing w:val="0"/>
          <w:sz w:val="18"/>
          <w:szCs w:val="18"/>
          <w:lang w:eastAsia="en-GB"/>
        </w:rPr>
      </w:pPr>
      <w:r w:rsidRPr="00944C04">
        <w:rPr>
          <w:rFonts w:eastAsia="Times New Roman"/>
          <w:bCs w:val="0"/>
          <w:spacing w:val="0"/>
          <w:sz w:val="24"/>
          <w:szCs w:val="24"/>
          <w:lang w:eastAsia="en-GB"/>
        </w:rPr>
        <w:t>Looking at the most recent Programme for International Student Assessment (PISA) Tests, Welsh students have scored significantly less in Science, Reading and Maths than students in the other UK nations. Scores of Welsh students in these subjects were below the average of 72 countries and economies that took part in this major study. (Hume, 2016) Following the 2010 Pisa results, which were again significantly low in comparison to other nations, the Literacy and Numeracy Frameworks were introduced to help develop and increase the children’s abilities in these tests. It is obvious that there needs to be significant changes to raise future standards in these tests and the author believes these students should have opportunities to study these subjects from a younger age. By developing literacy, numeracy and digital competency into lessons throughout the curriculum, this will provide the children with opportunities to enhance their skills in these subject areas without realising. This in turn should help to enhance their knowledge ready for the tests they will undertake in the future.   </w:t>
      </w:r>
    </w:p>
    <w:p w:rsidR="00944C04" w:rsidRPr="00944C04" w:rsidRDefault="00944C04" w:rsidP="00944C04">
      <w:pPr>
        <w:spacing w:after="0" w:line="360" w:lineRule="auto"/>
        <w:textAlignment w:val="baseline"/>
        <w:rPr>
          <w:rFonts w:ascii="Segoe UI" w:eastAsia="Times New Roman" w:hAnsi="Segoe UI" w:cs="Segoe UI"/>
          <w:bCs w:val="0"/>
          <w:spacing w:val="0"/>
          <w:sz w:val="18"/>
          <w:szCs w:val="18"/>
          <w:lang w:eastAsia="en-GB"/>
        </w:rPr>
      </w:pPr>
      <w:r w:rsidRPr="00944C04">
        <w:rPr>
          <w:rFonts w:eastAsia="Times New Roman"/>
          <w:bCs w:val="0"/>
          <w:spacing w:val="0"/>
          <w:sz w:val="24"/>
          <w:szCs w:val="24"/>
          <w:lang w:eastAsia="en-GB"/>
        </w:rPr>
        <w:t> </w:t>
      </w:r>
    </w:p>
    <w:p w:rsidR="00944C04" w:rsidRPr="00944C04" w:rsidRDefault="00944C04" w:rsidP="00944C04">
      <w:pPr>
        <w:spacing w:after="0" w:line="360" w:lineRule="auto"/>
        <w:textAlignment w:val="baseline"/>
        <w:rPr>
          <w:rFonts w:ascii="Segoe UI" w:eastAsia="Times New Roman" w:hAnsi="Segoe UI" w:cs="Segoe UI"/>
          <w:bCs w:val="0"/>
          <w:spacing w:val="0"/>
          <w:sz w:val="18"/>
          <w:szCs w:val="18"/>
          <w:lang w:eastAsia="en-GB"/>
        </w:rPr>
      </w:pPr>
      <w:r w:rsidRPr="00944C04">
        <w:rPr>
          <w:rFonts w:eastAsia="Times New Roman"/>
          <w:bCs w:val="0"/>
          <w:spacing w:val="0"/>
          <w:sz w:val="24"/>
          <w:szCs w:val="24"/>
          <w:lang w:eastAsia="en-GB"/>
        </w:rPr>
        <w:t>Barnes (2015) stated that “cross-curricular learning occurs when the skills, knowledge and attitudes of a number of different disciplines are applied to a single theme, problem, idea or experience.” There are eight distinct types of cross-curricular teaching and learning which Barnes (2015) ident</w:t>
      </w:r>
      <w:r>
        <w:rPr>
          <w:rFonts w:eastAsia="Times New Roman"/>
          <w:bCs w:val="0"/>
          <w:spacing w:val="0"/>
          <w:sz w:val="24"/>
          <w:szCs w:val="24"/>
          <w:lang w:eastAsia="en-GB"/>
        </w:rPr>
        <w:t xml:space="preserve">ified from lesson observations </w:t>
      </w:r>
      <w:r w:rsidRPr="00944C04">
        <w:rPr>
          <w:rFonts w:eastAsia="Times New Roman"/>
          <w:bCs w:val="0"/>
          <w:spacing w:val="0"/>
          <w:sz w:val="24"/>
          <w:szCs w:val="24"/>
          <w:lang w:eastAsia="en-GB"/>
        </w:rPr>
        <w:t xml:space="preserve">and teaching experiences, and he stated that sometimes these types of cross-curricular teaching and learning can overlap. These eight approaches all help to incorporate different subjects and skills into a pupils learning and helps to develop not only the child’s knowledge in these areas of study but promotes pupils’ cognitive, personal and social development in an integrated way. It is important to ensure these cross-curricular subjects are not forced as these links should be at the core of the lessons, and the links made between subjects should be beneficial to the children’s development. It is a teacher's job to ensure that links to literacy, numeracy and digital competence are made in all subjects, not only to ensure that the children's skills are being developed but also to provide the children with opportunities to apply these skills for a better understanding of the lessons that are being taught. This is supported by Didau (2014) as he states that “our job is to find the literacy within </w:t>
      </w:r>
      <w:r w:rsidRPr="00944C04">
        <w:rPr>
          <w:rFonts w:eastAsia="Times New Roman"/>
          <w:bCs w:val="0"/>
          <w:spacing w:val="0"/>
          <w:sz w:val="24"/>
          <w:szCs w:val="24"/>
          <w:lang w:eastAsia="en-GB"/>
        </w:rPr>
        <w:lastRenderedPageBreak/>
        <w:t>our subjects and make explicit our expectations of how pupils will read, write and speak in a way that they will better understand the lessons we’re teaching.” </w:t>
      </w:r>
    </w:p>
    <w:p w:rsidR="00944C04" w:rsidRDefault="00944C04" w:rsidP="00944C04">
      <w:pPr>
        <w:spacing w:after="0" w:line="360" w:lineRule="auto"/>
        <w:textAlignment w:val="baseline"/>
        <w:rPr>
          <w:rFonts w:eastAsia="Times New Roman"/>
          <w:bCs w:val="0"/>
          <w:spacing w:val="0"/>
          <w:sz w:val="24"/>
          <w:szCs w:val="24"/>
          <w:lang w:eastAsia="en-GB"/>
        </w:rPr>
      </w:pPr>
    </w:p>
    <w:p w:rsidR="00944C04" w:rsidRDefault="00944C04" w:rsidP="00944C04">
      <w:pPr>
        <w:spacing w:after="0" w:line="360" w:lineRule="auto"/>
        <w:textAlignment w:val="baseline"/>
        <w:rPr>
          <w:rFonts w:eastAsia="Times New Roman"/>
          <w:bCs w:val="0"/>
          <w:spacing w:val="0"/>
          <w:sz w:val="24"/>
          <w:szCs w:val="24"/>
          <w:lang w:eastAsia="en-GB"/>
        </w:rPr>
      </w:pPr>
      <w:r w:rsidRPr="00944C04">
        <w:rPr>
          <w:rFonts w:eastAsia="Times New Roman"/>
          <w:bCs w:val="0"/>
          <w:spacing w:val="0"/>
          <w:sz w:val="24"/>
          <w:szCs w:val="24"/>
          <w:lang w:eastAsia="en-GB"/>
        </w:rPr>
        <w:t xml:space="preserve">There are many benefits of using cross-curricular learning and teaching, and the use of the LNF and DCF in schools. As mentioned by Faultley and Savage (2012), cross-curricular methods have been recognised to have motivating, inclusive, sensitizing, enriching and uniting effects on pupils in these lessons. Barnes (2015) supports this as he states that cross-curricular methods can help to raise the standard of practice in schools, as these methods can be effective in sustaining pupil interest, in building motivation when working individually or as a group, in raising standards and by teaching and reaching ethical solutions. The author believes that by incorporating cross-curricular learning and the LNF and DCF into classrooms, this can provide opportunities for creative teaching to help develop ideas and enhance the children’s skills, knowledge and understanding of the subjects. This is supported by Didau (2014) as he states that “providing a clear, understandable framework for how to structure these ideas will actually help pupils to be more creative.” Rose (2009) also discusses the benefits of cross-curricular teaching as he states that “cross-curricular studies strengthen the learning of the subjects which make up its content.” He believes that making links between different subjects enriches and enlivens children's learning experiences, especially in subjects such as history and geography. Hayes (2010) agrees with this statement as he states that advocates suggest, barriers can be made in the minds of young children if the subjects that are being taught are emphasised as separate and not integrated and this could in turn </w:t>
      </w:r>
      <w:r w:rsidR="007D1F30" w:rsidRPr="00944C04">
        <w:rPr>
          <w:rFonts w:eastAsia="Times New Roman"/>
          <w:bCs w:val="0"/>
          <w:spacing w:val="0"/>
          <w:sz w:val="24"/>
          <w:szCs w:val="24"/>
          <w:lang w:eastAsia="en-GB"/>
        </w:rPr>
        <w:t>affect</w:t>
      </w:r>
      <w:r w:rsidRPr="00944C04">
        <w:rPr>
          <w:rFonts w:eastAsia="Times New Roman"/>
          <w:bCs w:val="0"/>
          <w:spacing w:val="0"/>
          <w:sz w:val="24"/>
          <w:szCs w:val="24"/>
          <w:lang w:eastAsia="en-GB"/>
        </w:rPr>
        <w:t xml:space="preserve"> the children in making “secure connections between knowledge components.” (Hayes, 2010). </w:t>
      </w:r>
    </w:p>
    <w:p w:rsidR="00944C04" w:rsidRPr="00944C04" w:rsidRDefault="00944C04" w:rsidP="00944C04">
      <w:pPr>
        <w:spacing w:after="0" w:line="360" w:lineRule="auto"/>
        <w:textAlignment w:val="baseline"/>
        <w:rPr>
          <w:rFonts w:ascii="Segoe UI" w:eastAsia="Times New Roman" w:hAnsi="Segoe UI" w:cs="Segoe UI"/>
          <w:bCs w:val="0"/>
          <w:spacing w:val="0"/>
          <w:sz w:val="18"/>
          <w:szCs w:val="18"/>
          <w:lang w:eastAsia="en-GB"/>
        </w:rPr>
      </w:pPr>
    </w:p>
    <w:p w:rsidR="00944C04" w:rsidRDefault="00944C04" w:rsidP="00944C04">
      <w:pPr>
        <w:spacing w:after="0" w:line="360" w:lineRule="auto"/>
        <w:textAlignment w:val="baseline"/>
        <w:rPr>
          <w:rFonts w:eastAsia="Times New Roman"/>
          <w:bCs w:val="0"/>
          <w:spacing w:val="0"/>
          <w:sz w:val="24"/>
          <w:szCs w:val="24"/>
          <w:lang w:eastAsia="en-GB"/>
        </w:rPr>
      </w:pPr>
      <w:r w:rsidRPr="00944C04">
        <w:rPr>
          <w:rFonts w:eastAsia="Times New Roman"/>
          <w:bCs w:val="0"/>
          <w:spacing w:val="0"/>
          <w:sz w:val="24"/>
          <w:szCs w:val="24"/>
          <w:lang w:eastAsia="en-GB"/>
        </w:rPr>
        <w:t xml:space="preserve">The author believes that it is important to incorporate LNF and DCF into lessons as this can help children to develop skills that can assist them in later life, for job opportunities and possibly further education. This is another benefit to a cross-curricular approach, and this is supported by Brynner and Parsons (1997 in Askew 2016, p.91) where data from the National Child Development Study (NCDS) was studied. In this study it was recognised that 70 per cent of people tested were deemed competent in literacy and numeracy. However, those with evidence of poor numeracy skills had more difficulty finding and maintaining employment and </w:t>
      </w:r>
      <w:r w:rsidRPr="00944C04">
        <w:rPr>
          <w:rFonts w:eastAsia="Times New Roman"/>
          <w:bCs w:val="0"/>
          <w:spacing w:val="0"/>
          <w:sz w:val="24"/>
          <w:szCs w:val="24"/>
          <w:lang w:eastAsia="en-GB"/>
        </w:rPr>
        <w:lastRenderedPageBreak/>
        <w:t xml:space="preserve">would generally receive </w:t>
      </w:r>
      <w:r w:rsidR="007D1F30">
        <w:rPr>
          <w:rFonts w:eastAsia="Times New Roman"/>
          <w:bCs w:val="0"/>
          <w:spacing w:val="0"/>
          <w:sz w:val="24"/>
          <w:szCs w:val="24"/>
          <w:lang w:eastAsia="en-GB"/>
        </w:rPr>
        <w:t xml:space="preserve">poorly paid and low-grade jobs (Askew, </w:t>
      </w:r>
      <w:r w:rsidRPr="00944C04">
        <w:rPr>
          <w:rFonts w:eastAsia="Times New Roman"/>
          <w:bCs w:val="0"/>
          <w:spacing w:val="0"/>
          <w:sz w:val="24"/>
          <w:szCs w:val="24"/>
          <w:lang w:eastAsia="en-GB"/>
        </w:rPr>
        <w:t>2016). By providing children with opportunities to practice these LNF and DCF skills in everyday life, this can help to encourage and guide the development of these skills which could in turn enhance their future opportunities. The use of technology is increasing in today’s culture, and instead of preventing this the author believes that by encouraging the use of technology, it could not only enhance the children’s digital competence and digital literacy skills, it could also encourage motivation and engagement in the lessons. This is supported by Futurelab (2010) as they state that “a focus on digital literacy in the classroom can help them to expand and extend their use of technology for creativity and self-expression and to develop a greater understanding of the complexities of what they’re doing.” By incorporating the use of technology into teaching, this is a way of ensuring the subject learning is relevant to the children and it can encourage the children to make connections to previous subject knowledge.   </w:t>
      </w:r>
    </w:p>
    <w:p w:rsidR="00944C04" w:rsidRPr="00944C04" w:rsidRDefault="00944C04" w:rsidP="00944C04">
      <w:pPr>
        <w:spacing w:after="0" w:line="360" w:lineRule="auto"/>
        <w:textAlignment w:val="baseline"/>
        <w:rPr>
          <w:rFonts w:ascii="Segoe UI" w:eastAsia="Times New Roman" w:hAnsi="Segoe UI" w:cs="Segoe UI"/>
          <w:bCs w:val="0"/>
          <w:spacing w:val="0"/>
          <w:sz w:val="18"/>
          <w:szCs w:val="18"/>
          <w:lang w:eastAsia="en-GB"/>
        </w:rPr>
      </w:pPr>
    </w:p>
    <w:p w:rsidR="00944C04" w:rsidRDefault="00944C04" w:rsidP="007D1F30">
      <w:pPr>
        <w:spacing w:after="0" w:line="360" w:lineRule="auto"/>
        <w:ind w:right="-188"/>
        <w:textAlignment w:val="baseline"/>
        <w:rPr>
          <w:rFonts w:eastAsia="Times New Roman"/>
          <w:bCs w:val="0"/>
          <w:spacing w:val="0"/>
          <w:sz w:val="24"/>
          <w:szCs w:val="24"/>
          <w:lang w:eastAsia="en-GB"/>
        </w:rPr>
      </w:pPr>
      <w:r w:rsidRPr="00944C04">
        <w:rPr>
          <w:rFonts w:eastAsia="Times New Roman"/>
          <w:bCs w:val="0"/>
          <w:spacing w:val="0"/>
          <w:sz w:val="24"/>
          <w:szCs w:val="24"/>
          <w:lang w:eastAsia="en-GB"/>
        </w:rPr>
        <w:t>By using approaches such as Barnes’ (2015) theme-based or opportunistic approaches, this can provide plenty of opportunity for pupil voice as the children can dictate the direction of the learning and also </w:t>
      </w:r>
      <w:r w:rsidR="007D1F30">
        <w:rPr>
          <w:rFonts w:eastAsia="Times New Roman"/>
          <w:bCs w:val="0"/>
          <w:spacing w:val="0"/>
          <w:sz w:val="24"/>
          <w:szCs w:val="24"/>
          <w:lang w:eastAsia="en-GB"/>
        </w:rPr>
        <w:t>provides</w:t>
      </w:r>
      <w:r w:rsidRPr="00944C04">
        <w:rPr>
          <w:rFonts w:eastAsia="Times New Roman"/>
          <w:bCs w:val="0"/>
          <w:spacing w:val="0"/>
          <w:sz w:val="24"/>
          <w:szCs w:val="24"/>
          <w:lang w:eastAsia="en-GB"/>
        </w:rPr>
        <w:t xml:space="preserve"> opportunity for the theme for the term to be generated from shared interests in the classroom. The opportunistic approach is a child-led model which places the child at the centre of the learning, </w:t>
      </w:r>
      <w:r w:rsidR="007D1F30">
        <w:rPr>
          <w:rFonts w:eastAsia="Times New Roman"/>
          <w:bCs w:val="0"/>
          <w:spacing w:val="0"/>
          <w:sz w:val="24"/>
          <w:szCs w:val="24"/>
          <w:lang w:eastAsia="en-GB"/>
        </w:rPr>
        <w:t>which</w:t>
      </w:r>
      <w:r w:rsidRPr="00944C04">
        <w:rPr>
          <w:rFonts w:eastAsia="Times New Roman"/>
          <w:bCs w:val="0"/>
          <w:spacing w:val="0"/>
          <w:sz w:val="24"/>
          <w:szCs w:val="24"/>
          <w:lang w:eastAsia="en-GB"/>
        </w:rPr>
        <w:t xml:space="preserve"> can be unplanned and unexpected. Pupil voice in the classroom has become more prominent and as a result of this teachers are required to have </w:t>
      </w:r>
      <w:r w:rsidR="007D1F30" w:rsidRPr="00944C04">
        <w:rPr>
          <w:rFonts w:eastAsia="Times New Roman"/>
          <w:bCs w:val="0"/>
          <w:spacing w:val="0"/>
          <w:sz w:val="24"/>
          <w:szCs w:val="24"/>
          <w:lang w:eastAsia="en-GB"/>
        </w:rPr>
        <w:t>good</w:t>
      </w:r>
      <w:r w:rsidRPr="00944C04">
        <w:rPr>
          <w:rFonts w:eastAsia="Times New Roman"/>
          <w:bCs w:val="0"/>
          <w:spacing w:val="0"/>
          <w:sz w:val="24"/>
          <w:szCs w:val="24"/>
          <w:lang w:eastAsia="en-GB"/>
        </w:rPr>
        <w:t xml:space="preserve"> subject knowledge. This is to ensure teachers are able to respond effectively and help guide the children in their learning, whatever direction they may have chosen. Jamieson and Wikeley (2002 quoted in </w:t>
      </w:r>
      <w:r w:rsidR="00550FD2">
        <w:rPr>
          <w:rFonts w:eastAsia="Times New Roman"/>
          <w:bCs w:val="0"/>
          <w:spacing w:val="0"/>
          <w:sz w:val="24"/>
          <w:szCs w:val="24"/>
          <w:lang w:eastAsia="en-GB"/>
        </w:rPr>
        <w:t>Rudduck</w:t>
      </w:r>
      <w:r w:rsidRPr="00944C04">
        <w:rPr>
          <w:rFonts w:eastAsia="Times New Roman"/>
          <w:bCs w:val="0"/>
          <w:spacing w:val="0"/>
          <w:sz w:val="24"/>
          <w:szCs w:val="24"/>
          <w:lang w:eastAsia="en-GB"/>
        </w:rPr>
        <w:t xml:space="preserve">, J and </w:t>
      </w:r>
      <w:r w:rsidR="00550FD2">
        <w:rPr>
          <w:rFonts w:eastAsia="Times New Roman"/>
          <w:bCs w:val="0"/>
          <w:spacing w:val="0"/>
          <w:sz w:val="24"/>
          <w:szCs w:val="24"/>
          <w:lang w:eastAsia="en-GB"/>
        </w:rPr>
        <w:t>Flutter</w:t>
      </w:r>
      <w:r w:rsidRPr="00944C04">
        <w:rPr>
          <w:rFonts w:eastAsia="Times New Roman"/>
          <w:bCs w:val="0"/>
          <w:spacing w:val="0"/>
          <w:sz w:val="24"/>
          <w:szCs w:val="24"/>
          <w:lang w:eastAsia="en-GB"/>
        </w:rPr>
        <w:t xml:space="preserve">, J 2004, </w:t>
      </w:r>
      <w:r w:rsidR="007D1F30">
        <w:rPr>
          <w:rFonts w:eastAsia="Times New Roman"/>
          <w:bCs w:val="0"/>
          <w:spacing w:val="0"/>
          <w:sz w:val="24"/>
          <w:szCs w:val="24"/>
          <w:lang w:eastAsia="en-GB"/>
        </w:rPr>
        <w:t>p</w:t>
      </w:r>
      <w:r w:rsidRPr="00944C04">
        <w:rPr>
          <w:rFonts w:eastAsia="Times New Roman"/>
          <w:bCs w:val="0"/>
          <w:spacing w:val="0"/>
          <w:sz w:val="24"/>
          <w:szCs w:val="24"/>
          <w:lang w:eastAsia="en-GB"/>
        </w:rPr>
        <w:t>.11) suggest that “schools need to systematically find out as much as they can about the interests and concerns of their young people and use this information as a starting point to debate and work with young people.” The author agrees with this statement, as by learning the interests of the children in a class and using this as a starting point for the children's learning, this can open up opportunities for children to take control of their own learning. By using the children’s interests as a topic of study, this can generate involvement in the lessons and can motivate them to work harder. This is support by Barnes (2015) as he states that “cross-curricular themes that touch upon children’s culturally or genetically determined interests in any area are more likely to generate involvement.”  </w:t>
      </w:r>
    </w:p>
    <w:p w:rsidR="00944C04" w:rsidRPr="00944C04" w:rsidRDefault="00944C04" w:rsidP="00944C04">
      <w:pPr>
        <w:spacing w:after="0" w:line="360" w:lineRule="auto"/>
        <w:textAlignment w:val="baseline"/>
        <w:rPr>
          <w:rFonts w:eastAsia="Times New Roman"/>
          <w:bCs w:val="0"/>
          <w:spacing w:val="0"/>
          <w:sz w:val="24"/>
          <w:szCs w:val="24"/>
          <w:lang w:eastAsia="en-GB"/>
        </w:rPr>
      </w:pPr>
      <w:r w:rsidRPr="00944C04">
        <w:rPr>
          <w:rFonts w:eastAsia="Times New Roman"/>
          <w:bCs w:val="0"/>
          <w:spacing w:val="0"/>
          <w:sz w:val="24"/>
          <w:szCs w:val="24"/>
          <w:lang w:eastAsia="en-GB"/>
        </w:rPr>
        <w:lastRenderedPageBreak/>
        <w:t>However, Hayes (2010) discusses some limitations of using a cross-curricular approach in schools. He argues that there are sceptics that suggest an integrated approach is not </w:t>
      </w:r>
      <w:r>
        <w:rPr>
          <w:rFonts w:eastAsia="Times New Roman"/>
          <w:bCs w:val="0"/>
          <w:spacing w:val="0"/>
          <w:sz w:val="24"/>
          <w:szCs w:val="24"/>
          <w:lang w:eastAsia="en-GB"/>
        </w:rPr>
        <w:t>sufficient</w:t>
      </w:r>
      <w:r w:rsidR="007D1F30">
        <w:rPr>
          <w:rFonts w:eastAsia="Times New Roman"/>
          <w:bCs w:val="0"/>
          <w:spacing w:val="0"/>
          <w:sz w:val="24"/>
          <w:szCs w:val="24"/>
          <w:lang w:eastAsia="en-GB"/>
        </w:rPr>
        <w:t xml:space="preserve"> enough to ensure pupils receive regular </w:t>
      </w:r>
      <w:r w:rsidRPr="00944C04">
        <w:rPr>
          <w:rFonts w:eastAsia="Times New Roman"/>
          <w:bCs w:val="0"/>
          <w:spacing w:val="0"/>
          <w:sz w:val="24"/>
          <w:szCs w:val="24"/>
          <w:lang w:eastAsia="en-GB"/>
        </w:rPr>
        <w:t xml:space="preserve">opportunities to gain skills and knowledge in these cross-curricular subjects. There is a risk of teaching in a cross-curricular way through the tokenistic approach as there could be a lack of teacher subject knowledge. A tokenistic approach is only cross-curricular in the name itself, according to Barnes (2015) “genuine connections are not made between subjects; there is no particular aim for the second subject and learning is only increased in the main subject.” If a teacher lacks the subject knowledge, it is most likely that they will produce weak links to the subject which does not enhance any learning in the second subject. Teachers might also have complications when implementing DCF into their teaching, this could be that not all teachers are confident with digital competence and technology and are not aware of how technology works. The author believes that these teachers should undergo training to improve their understanding and to help encourage the children to develop their skills and this training and support is available and is being led by the Pioneer Network, working with the regional </w:t>
      </w:r>
      <w:r w:rsidR="0088193A">
        <w:rPr>
          <w:rFonts w:eastAsia="Times New Roman"/>
          <w:bCs w:val="0"/>
          <w:spacing w:val="0"/>
          <w:sz w:val="24"/>
          <w:szCs w:val="24"/>
          <w:lang w:eastAsia="en-GB"/>
        </w:rPr>
        <w:t>consortia as stated in WAG (2018</w:t>
      </w:r>
      <w:r w:rsidRPr="00944C04">
        <w:rPr>
          <w:rFonts w:eastAsia="Times New Roman"/>
          <w:bCs w:val="0"/>
          <w:spacing w:val="0"/>
          <w:sz w:val="24"/>
          <w:szCs w:val="24"/>
          <w:lang w:eastAsia="en-GB"/>
        </w:rPr>
        <w:t>). </w:t>
      </w:r>
    </w:p>
    <w:p w:rsidR="00944C04" w:rsidRDefault="00944C04" w:rsidP="00944C04">
      <w:pPr>
        <w:spacing w:after="0" w:line="360" w:lineRule="auto"/>
        <w:textAlignment w:val="baseline"/>
        <w:rPr>
          <w:rFonts w:eastAsia="Times New Roman"/>
          <w:bCs w:val="0"/>
          <w:spacing w:val="0"/>
          <w:sz w:val="24"/>
          <w:szCs w:val="24"/>
          <w:lang w:eastAsia="en-GB"/>
        </w:rPr>
      </w:pPr>
    </w:p>
    <w:p w:rsidR="00944C04" w:rsidRDefault="00944C04" w:rsidP="00944C04">
      <w:pPr>
        <w:spacing w:after="0" w:line="360" w:lineRule="auto"/>
        <w:textAlignment w:val="baseline"/>
        <w:rPr>
          <w:rFonts w:eastAsia="Times New Roman"/>
          <w:bCs w:val="0"/>
          <w:spacing w:val="0"/>
          <w:sz w:val="24"/>
          <w:szCs w:val="24"/>
          <w:lang w:eastAsia="en-GB"/>
        </w:rPr>
      </w:pPr>
      <w:r w:rsidRPr="00944C04">
        <w:rPr>
          <w:rFonts w:eastAsia="Times New Roman"/>
          <w:bCs w:val="0"/>
          <w:spacing w:val="0"/>
          <w:sz w:val="24"/>
          <w:szCs w:val="24"/>
          <w:lang w:eastAsia="en-GB"/>
        </w:rPr>
        <w:t>A limitation of using the opportunistic approach in a cross-curricular way is that by providing too many opportunities for pupil voice and pupil-led learning this could allow pupils to guide the learning away from subjects that they find hard or do not enjoy. This is supported by Hayes (2010) as he states that opponents have suggested that “too much pupil choice – a feature of topic and thematic work – allows children to avoid areas of learning that they find hard, thereby inculcating poor work habits and attitudes.” By following one theme throughout a term this could possibly affect the children's want to learn, as some children might begin to lose interest in the theme if it has been studied for a long period of time. This could have a negative impact on the child’s learning and development of their skills and this is why it is important to choose a theme that is authentic and generated by shared interest, related to the rich resources of the community, is able to be sustained throughout a term, is well-planned to ensure children meet specific outcomes and subject targets and can be well-assessed with targets to link to further learning (Barnes, 2015).  </w:t>
      </w:r>
    </w:p>
    <w:p w:rsidR="00944C04" w:rsidRPr="00944C04" w:rsidRDefault="00944C04" w:rsidP="00944C04">
      <w:pPr>
        <w:spacing w:after="0" w:line="360" w:lineRule="auto"/>
        <w:textAlignment w:val="baseline"/>
        <w:rPr>
          <w:rFonts w:eastAsia="Times New Roman"/>
          <w:bCs w:val="0"/>
          <w:spacing w:val="0"/>
          <w:sz w:val="24"/>
          <w:szCs w:val="24"/>
          <w:lang w:eastAsia="en-GB"/>
        </w:rPr>
      </w:pPr>
      <w:r w:rsidRPr="00944C04">
        <w:rPr>
          <w:rFonts w:eastAsia="Times New Roman"/>
          <w:bCs w:val="0"/>
          <w:spacing w:val="0"/>
          <w:sz w:val="24"/>
          <w:szCs w:val="24"/>
          <w:lang w:eastAsia="en-GB"/>
        </w:rPr>
        <w:lastRenderedPageBreak/>
        <w:t>Whilst on PTE, the author taught an opportunistic approach based on ‘The Digestive System’ where several different lessons took place. The author will talk about two separate science sessions that she planned that incorporated literacy, numeracy and digital competence which the children enjoyed and were motivated to do. In the first lesson, the children had to recall their prior knowledge of the digestive system and created a poster in pairs that described what happens to food when we eat it. This lesson focused on literacy, as they were asked to show and explain their posters to the rest of the class throughout the lesson. This developed the children’s oracy skills as they were required to “</w:t>
      </w:r>
      <w:r w:rsidRPr="00944C04">
        <w:rPr>
          <w:rFonts w:eastAsia="Times New Roman"/>
          <w:bCs w:val="0"/>
          <w:color w:val="2D2D2D"/>
          <w:spacing w:val="0"/>
          <w:sz w:val="24"/>
          <w:szCs w:val="24"/>
          <w:lang w:eastAsia="en-GB"/>
        </w:rPr>
        <w:t>organise talk so that different audiences can follow what is being said” (WAG, 2014), their reading skills as they were required to “use understanding of sentence structure and punctuation to make meaning” (WAG, 2014) and their writing skills as the children needed to “explain main idea(s) with supporting details, including observations and explanations where relevant”. (WAG, 2014). As stated by Estyn (2017) oracy skills are often developed through children “</w:t>
      </w:r>
      <w:r w:rsidRPr="00944C04">
        <w:rPr>
          <w:rFonts w:eastAsia="Times New Roman"/>
          <w:bCs w:val="0"/>
          <w:spacing w:val="0"/>
          <w:sz w:val="24"/>
          <w:szCs w:val="24"/>
          <w:lang w:eastAsia="en-GB"/>
        </w:rPr>
        <w:t>discussing their ideas with the class or explaining their scientific thinking.” </w:t>
      </w:r>
      <w:r w:rsidRPr="00944C04">
        <w:rPr>
          <w:rFonts w:eastAsia="Times New Roman"/>
          <w:bCs w:val="0"/>
          <w:color w:val="2D2D2D"/>
          <w:spacing w:val="0"/>
          <w:sz w:val="24"/>
          <w:szCs w:val="24"/>
          <w:lang w:eastAsia="en-GB"/>
        </w:rPr>
        <w:t>Prior to this lesson I had demonstrated the digestive system science experiment to the children and tested their knowledge throughout. For this lesson the children worked in groups to recreate the digestive system experiment and after they had completed this, the children worked in groups to create a flow chart on the laptops and iPads. This lesson developed the children's numeracy skills as they were required to “identify the appropriate steps and information needed to complete the task or reach a solution” (WAG, 2014), their literacy skills as they “e</w:t>
      </w:r>
      <w:r w:rsidRPr="00944C04">
        <w:rPr>
          <w:rFonts w:eastAsia="Times New Roman"/>
          <w:bCs w:val="0"/>
          <w:spacing w:val="0"/>
          <w:sz w:val="24"/>
          <w:szCs w:val="24"/>
          <w:lang w:eastAsia="en-GB"/>
        </w:rPr>
        <w:t>xplained information and ideas using supportive resources” and “</w:t>
      </w:r>
      <w:r w:rsidRPr="00944C04">
        <w:rPr>
          <w:rFonts w:eastAsia="Times New Roman"/>
          <w:bCs w:val="0"/>
          <w:color w:val="2D2D2D"/>
          <w:spacing w:val="0"/>
          <w:sz w:val="24"/>
          <w:szCs w:val="24"/>
          <w:lang w:eastAsia="en-GB"/>
        </w:rPr>
        <w:t>contribute to group discussion and help everyone take part” (WAG, 2014) and their digital competence skills as they “manage an online file, adding and responding to comments”. (WAG, 2016) The author believes it is important to </w:t>
      </w:r>
      <w:r w:rsidRPr="00944C04">
        <w:rPr>
          <w:rFonts w:eastAsia="Times New Roman"/>
          <w:bCs w:val="0"/>
          <w:spacing w:val="0"/>
          <w:sz w:val="24"/>
          <w:szCs w:val="24"/>
          <w:lang w:eastAsia="en-GB"/>
        </w:rPr>
        <w:t>give pupils a wide range of opportunities to develop subject, literacy, numeracy and digital competence skills and she felt that throughout this lesson the children w</w:t>
      </w:r>
      <w:r w:rsidRPr="00944C04">
        <w:rPr>
          <w:rFonts w:eastAsia="Times New Roman"/>
          <w:bCs w:val="0"/>
          <w:color w:val="2D2D2D"/>
          <w:spacing w:val="0"/>
          <w:sz w:val="24"/>
          <w:szCs w:val="24"/>
          <w:lang w:eastAsia="en-GB"/>
        </w:rPr>
        <w:t>ere all engaged, motivated and on task as it was something the children decided that they wanted to learn about. Keates and Coaker (2009) support this in an article they wrote as they stated that</w:t>
      </w:r>
      <w:r w:rsidRPr="00944C04">
        <w:rPr>
          <w:rFonts w:eastAsia="Times New Roman"/>
          <w:bCs w:val="0"/>
          <w:spacing w:val="0"/>
          <w:sz w:val="24"/>
          <w:szCs w:val="24"/>
          <w:lang w:eastAsia="en-GB"/>
        </w:rPr>
        <w:t> “it's therefore right for pupils to be encouraged to take increasing responsibility for their learning through participation in decision-making and for schools to consult pupils on a range of issues.” </w:t>
      </w:r>
    </w:p>
    <w:p w:rsidR="00944C04" w:rsidRPr="00944C04" w:rsidRDefault="00944C04" w:rsidP="00944C04">
      <w:pPr>
        <w:spacing w:after="0" w:line="360" w:lineRule="auto"/>
        <w:textAlignment w:val="baseline"/>
        <w:rPr>
          <w:rFonts w:ascii="Segoe UI" w:eastAsia="Times New Roman" w:hAnsi="Segoe UI" w:cs="Segoe UI"/>
          <w:bCs w:val="0"/>
          <w:spacing w:val="0"/>
          <w:sz w:val="18"/>
          <w:szCs w:val="18"/>
          <w:lang w:eastAsia="en-GB"/>
        </w:rPr>
      </w:pPr>
      <w:r w:rsidRPr="00944C04">
        <w:rPr>
          <w:rFonts w:eastAsia="Times New Roman"/>
          <w:bCs w:val="0"/>
          <w:spacing w:val="0"/>
          <w:sz w:val="24"/>
          <w:szCs w:val="24"/>
          <w:lang w:eastAsia="en-GB"/>
        </w:rPr>
        <w:lastRenderedPageBreak/>
        <w:t>In conclusion, the author believes that cross-curricular teaching and learning is important to incorporate throughout the primary school as it helps to develop skills and knowledge and understanding. As a personal recommendation, the author will include and teach more cross-curricular lessons throughout PTE3. The author will aim to encourage pupil voice and participation during the planning of her lessons as this ensures that the work is child-led and is relatable for the children. By learning the children’s interests and what they want to learn, this can help to motivate and encourage the children to work hard which will have a positive effect on their knowledge and understanding. Flutter and Rudduck (2004) support this as they state that “participation can be defined as the process of sharing in decisions which affect one’s life and the life of the community in which one lives.”  </w:t>
      </w:r>
    </w:p>
    <w:p w:rsidR="00944C04" w:rsidRPr="00944C04" w:rsidRDefault="00944C04" w:rsidP="00944C04">
      <w:pPr>
        <w:spacing w:after="0" w:line="360" w:lineRule="auto"/>
        <w:textAlignment w:val="baseline"/>
        <w:rPr>
          <w:rFonts w:ascii="Segoe UI" w:eastAsia="Times New Roman" w:hAnsi="Segoe UI" w:cs="Segoe UI"/>
          <w:bCs w:val="0"/>
          <w:spacing w:val="0"/>
          <w:sz w:val="18"/>
          <w:szCs w:val="18"/>
          <w:lang w:eastAsia="en-GB"/>
        </w:rPr>
      </w:pPr>
    </w:p>
    <w:p w:rsidR="00944C04" w:rsidRDefault="00944C04" w:rsidP="00944C04">
      <w:pPr>
        <w:spacing w:after="0" w:line="360" w:lineRule="auto"/>
        <w:textAlignment w:val="baseline"/>
        <w:rPr>
          <w:rFonts w:eastAsia="Times New Roman"/>
          <w:bCs w:val="0"/>
          <w:spacing w:val="0"/>
          <w:sz w:val="24"/>
          <w:szCs w:val="24"/>
          <w:lang w:eastAsia="en-GB"/>
        </w:rPr>
      </w:pPr>
      <w:r w:rsidRPr="00944C04">
        <w:rPr>
          <w:rFonts w:eastAsia="Times New Roman"/>
          <w:bCs w:val="0"/>
          <w:spacing w:val="0"/>
          <w:sz w:val="24"/>
          <w:szCs w:val="24"/>
          <w:lang w:eastAsia="en-GB"/>
        </w:rPr>
        <w:t>As a recommendation for primary schools, the author would suggest that there is ongoing support and training available to staff to ensure that the children are able to develop their literacy, numeracy and digital competence skills as often and as efficiently as possible. These cross-curricular responsibilities have become a priority over the last few years, especially as children are expected to become more digitally competent to support them and provide them with opportunities in their futures, as a result of this the author believes it is important for teachers and teaching staff to be able to incorporate these skills into their teaching as often as possible. This is supported by Ofsted (2011) who states that schools should “ensure that all teaching and support staff receive regular training in developments in teaching literacy” to be able to support and guide the children for the future. </w:t>
      </w: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944C04">
      <w:pPr>
        <w:spacing w:after="0" w:line="360" w:lineRule="auto"/>
        <w:textAlignment w:val="baseline"/>
        <w:rPr>
          <w:rFonts w:eastAsia="Times New Roman"/>
          <w:bCs w:val="0"/>
          <w:spacing w:val="0"/>
          <w:sz w:val="24"/>
          <w:szCs w:val="24"/>
          <w:lang w:eastAsia="en-GB"/>
        </w:rPr>
      </w:pPr>
      <w:r>
        <w:rPr>
          <w:rFonts w:eastAsia="Times New Roman"/>
          <w:bCs w:val="0"/>
          <w:spacing w:val="0"/>
          <w:sz w:val="24"/>
          <w:szCs w:val="24"/>
          <w:lang w:eastAsia="en-GB"/>
        </w:rPr>
        <w:t xml:space="preserve">Word count: 2744. </w:t>
      </w: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944C04">
      <w:pPr>
        <w:spacing w:after="0" w:line="360" w:lineRule="auto"/>
        <w:textAlignment w:val="baseline"/>
        <w:rPr>
          <w:rFonts w:eastAsia="Times New Roman"/>
          <w:bCs w:val="0"/>
          <w:spacing w:val="0"/>
          <w:sz w:val="24"/>
          <w:szCs w:val="24"/>
          <w:lang w:eastAsia="en-GB"/>
        </w:rPr>
      </w:pPr>
    </w:p>
    <w:p w:rsidR="00824FC0" w:rsidRDefault="00824FC0" w:rsidP="00824FC0">
      <w:pPr>
        <w:pStyle w:val="paragraph"/>
        <w:spacing w:before="0" w:beforeAutospacing="0" w:after="0" w:afterAutospacing="0"/>
        <w:textAlignment w:val="baseline"/>
        <w:rPr>
          <w:rStyle w:val="normaltextrun"/>
          <w:rFonts w:ascii="Arial" w:hAnsi="Arial" w:cs="Arial"/>
          <w:u w:val="single"/>
        </w:rPr>
      </w:pPr>
      <w:r>
        <w:rPr>
          <w:rStyle w:val="normaltextrun"/>
          <w:rFonts w:ascii="Arial" w:hAnsi="Arial" w:cs="Arial"/>
          <w:u w:val="single"/>
        </w:rPr>
        <w:lastRenderedPageBreak/>
        <w:t>Reference List</w:t>
      </w:r>
    </w:p>
    <w:p w:rsidR="00824FC0" w:rsidRPr="002C4D39"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Style w:val="eop"/>
          <w:rFonts w:ascii="Arial" w:hAnsi="Arial" w:cs="Arial"/>
        </w:rPr>
      </w:pPr>
      <w:r>
        <w:rPr>
          <w:rStyle w:val="normaltextrun"/>
          <w:rFonts w:ascii="Arial" w:hAnsi="Arial" w:cs="Arial"/>
        </w:rPr>
        <w:t>Askew, M (2016) </w:t>
      </w:r>
      <w:r>
        <w:rPr>
          <w:rStyle w:val="normaltextrun"/>
          <w:rFonts w:ascii="Arial" w:hAnsi="Arial" w:cs="Arial"/>
          <w:i/>
          <w:iCs/>
        </w:rPr>
        <w:t>Transforming Primary Mathematics. </w:t>
      </w:r>
      <w:r>
        <w:rPr>
          <w:rStyle w:val="normaltextrun"/>
          <w:rFonts w:ascii="Arial" w:hAnsi="Arial" w:cs="Arial"/>
        </w:rPr>
        <w:t>Oxon: Routledge.</w:t>
      </w:r>
      <w:r>
        <w:rPr>
          <w:rStyle w:val="eop"/>
          <w:rFonts w:ascii="Arial" w:hAnsi="Arial" w:cs="Arial"/>
        </w:rPr>
        <w:t> </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Style w:val="eop"/>
          <w:rFonts w:ascii="Arial" w:hAnsi="Arial" w:cs="Arial"/>
        </w:rPr>
      </w:pPr>
      <w:r>
        <w:rPr>
          <w:rStyle w:val="normaltextrun"/>
          <w:rFonts w:ascii="Arial" w:hAnsi="Arial" w:cs="Arial"/>
        </w:rPr>
        <w:t>Barnes, J. (2015) </w:t>
      </w:r>
      <w:r>
        <w:rPr>
          <w:rStyle w:val="normaltextrun"/>
          <w:rFonts w:ascii="Arial" w:hAnsi="Arial" w:cs="Arial"/>
          <w:i/>
          <w:iCs/>
        </w:rPr>
        <w:t>Cross-curricular learning 3-14 (3rd edition) </w:t>
      </w:r>
      <w:r>
        <w:rPr>
          <w:rStyle w:val="normaltextrun"/>
          <w:rFonts w:ascii="Arial" w:hAnsi="Arial" w:cs="Arial"/>
        </w:rPr>
        <w:t>London: SAGE. </w:t>
      </w:r>
      <w:r>
        <w:rPr>
          <w:rStyle w:val="eop"/>
          <w:rFonts w:ascii="Arial" w:hAnsi="Arial" w:cs="Arial"/>
        </w:rPr>
        <w:t> </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Style w:val="eop"/>
          <w:rFonts w:ascii="Arial" w:hAnsi="Arial" w:cs="Arial"/>
        </w:rPr>
      </w:pPr>
      <w:r>
        <w:rPr>
          <w:rStyle w:val="spellingerror"/>
          <w:rFonts w:ascii="Arial" w:hAnsi="Arial" w:cs="Arial"/>
        </w:rPr>
        <w:t>Didau</w:t>
      </w:r>
      <w:r>
        <w:rPr>
          <w:rStyle w:val="normaltextrun"/>
          <w:rFonts w:ascii="Arial" w:hAnsi="Arial" w:cs="Arial"/>
        </w:rPr>
        <w:t>, D. (2014) </w:t>
      </w:r>
      <w:r>
        <w:rPr>
          <w:rStyle w:val="normaltextrun"/>
          <w:rFonts w:ascii="Arial" w:hAnsi="Arial" w:cs="Arial"/>
          <w:i/>
          <w:iCs/>
        </w:rPr>
        <w:t>The Secret of Literacy.</w:t>
      </w:r>
      <w:r>
        <w:rPr>
          <w:rStyle w:val="normaltextrun"/>
          <w:rFonts w:ascii="Arial" w:hAnsi="Arial" w:cs="Arial"/>
        </w:rPr>
        <w:t> Carmarthen: Independent Thinking Press.</w:t>
      </w:r>
      <w:r>
        <w:rPr>
          <w:rStyle w:val="eop"/>
          <w:rFonts w:ascii="Arial" w:hAnsi="Arial" w:cs="Arial"/>
        </w:rPr>
        <w:t> </w:t>
      </w:r>
    </w:p>
    <w:p w:rsidR="00824FC0" w:rsidRDefault="00824FC0" w:rsidP="00824FC0">
      <w:pPr>
        <w:pStyle w:val="paragraph"/>
        <w:spacing w:before="0" w:beforeAutospacing="0" w:after="0" w:afterAutospacing="0"/>
        <w:textAlignment w:val="baseline"/>
        <w:rPr>
          <w:rFonts w:ascii="Segoe UI" w:hAnsi="Segoe UI" w:cs="Segoe UI"/>
          <w:sz w:val="18"/>
          <w:szCs w:val="18"/>
        </w:rPr>
      </w:pPr>
    </w:p>
    <w:p w:rsidR="00824FC0" w:rsidRDefault="00824FC0" w:rsidP="00824FC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Donaldson, G. (2015) </w:t>
      </w:r>
      <w:r>
        <w:rPr>
          <w:rStyle w:val="normaltextrun"/>
          <w:rFonts w:ascii="Arial" w:hAnsi="Arial" w:cs="Arial"/>
          <w:i/>
          <w:iCs/>
        </w:rPr>
        <w:t>Successful Futures. </w:t>
      </w:r>
      <w:r>
        <w:rPr>
          <w:rStyle w:val="normaltextrun"/>
          <w:rFonts w:ascii="Arial" w:hAnsi="Arial" w:cs="Arial"/>
        </w:rPr>
        <w:t>Available at: </w:t>
      </w:r>
      <w:r>
        <w:rPr>
          <w:rStyle w:val="eop"/>
          <w:rFonts w:ascii="Arial" w:hAnsi="Arial" w:cs="Arial"/>
        </w:rPr>
        <w:t> </w:t>
      </w:r>
    </w:p>
    <w:p w:rsidR="00824FC0" w:rsidRDefault="00824FC0" w:rsidP="00824FC0">
      <w:pPr>
        <w:pStyle w:val="paragraph"/>
        <w:spacing w:before="0" w:beforeAutospacing="0" w:after="0" w:afterAutospacing="0"/>
        <w:jc w:val="both"/>
        <w:textAlignment w:val="baseline"/>
        <w:rPr>
          <w:rStyle w:val="eop"/>
          <w:rFonts w:ascii="Arial" w:hAnsi="Arial" w:cs="Arial"/>
        </w:rPr>
      </w:pPr>
      <w:hyperlink r:id="rId7" w:tgtFrame="_blank" w:history="1">
        <w:r>
          <w:rPr>
            <w:rStyle w:val="normaltextrun"/>
            <w:rFonts w:ascii="Arial" w:hAnsi="Arial" w:cs="Arial"/>
            <w:color w:val="0563C1"/>
            <w:u w:val="single"/>
          </w:rPr>
          <w:t>https://gov.wales/docs/dcells/publications/150225-successful-futures-en.pdf</w:t>
        </w:r>
      </w:hyperlink>
      <w:r>
        <w:rPr>
          <w:rStyle w:val="normaltextrun"/>
          <w:rFonts w:ascii="Arial" w:hAnsi="Arial" w:cs="Arial"/>
          <w:color w:val="0563C1"/>
          <w:u w:val="single"/>
        </w:rPr>
        <w:t> </w:t>
      </w:r>
      <w:r>
        <w:rPr>
          <w:rStyle w:val="eop"/>
          <w:rFonts w:ascii="Arial" w:hAnsi="Arial" w:cs="Arial"/>
        </w:rPr>
        <w:t> </w:t>
      </w:r>
    </w:p>
    <w:p w:rsidR="00824FC0" w:rsidRDefault="00824FC0" w:rsidP="00824FC0">
      <w:pPr>
        <w:pStyle w:val="paragraph"/>
        <w:spacing w:before="0" w:beforeAutospacing="0" w:after="0" w:afterAutospacing="0"/>
        <w:jc w:val="both"/>
        <w:textAlignment w:val="baseline"/>
        <w:rPr>
          <w:rFonts w:ascii="Segoe UI" w:hAnsi="Segoe UI" w:cs="Segoe UI"/>
          <w:sz w:val="18"/>
          <w:szCs w:val="18"/>
        </w:rPr>
      </w:pP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Estyn (2017) </w:t>
      </w:r>
      <w:r>
        <w:rPr>
          <w:rStyle w:val="normaltextrun"/>
          <w:rFonts w:ascii="Arial" w:hAnsi="Arial" w:cs="Arial"/>
          <w:i/>
          <w:iCs/>
        </w:rPr>
        <w:t>Science and design and technology at key stage 2. </w:t>
      </w:r>
      <w:r>
        <w:rPr>
          <w:rStyle w:val="normaltextrun"/>
          <w:rFonts w:ascii="Arial" w:hAnsi="Arial" w:cs="Arial"/>
        </w:rPr>
        <w:t>[Online]  Available at: </w:t>
      </w:r>
      <w:hyperlink r:id="rId8" w:tgtFrame="_blank" w:history="1">
        <w:r>
          <w:rPr>
            <w:rStyle w:val="normaltextrun"/>
            <w:rFonts w:ascii="Arial" w:hAnsi="Arial" w:cs="Arial"/>
            <w:color w:val="0563C1"/>
            <w:u w:val="single"/>
          </w:rPr>
          <w:t>https://www.estyn.gov.wales/sites/default/files/documents/Science%20and%20design%20and%20technology%20%28004%29.pdf</w:t>
        </w:r>
      </w:hyperlink>
      <w:r>
        <w:rPr>
          <w:rStyle w:val="normaltextrun"/>
          <w:rFonts w:ascii="Arial" w:hAnsi="Arial" w:cs="Arial"/>
        </w:rPr>
        <w:t> </w:t>
      </w:r>
      <w:r>
        <w:rPr>
          <w:rStyle w:val="eop"/>
          <w:rFonts w:ascii="Arial" w:hAnsi="Arial" w:cs="Arial"/>
        </w:rPr>
        <w:t> </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Style w:val="eop"/>
          <w:rFonts w:ascii="Arial" w:hAnsi="Arial" w:cs="Arial"/>
        </w:rPr>
      </w:pPr>
      <w:r>
        <w:rPr>
          <w:rStyle w:val="spellingerror"/>
          <w:rFonts w:ascii="Arial" w:hAnsi="Arial" w:cs="Arial"/>
        </w:rPr>
        <w:t>Faultley</w:t>
      </w:r>
      <w:r>
        <w:rPr>
          <w:rStyle w:val="normaltextrun"/>
          <w:rFonts w:ascii="Arial" w:hAnsi="Arial" w:cs="Arial"/>
        </w:rPr>
        <w:t>, M and Savage, J. (2012) </w:t>
      </w:r>
      <w:r>
        <w:rPr>
          <w:rStyle w:val="normaltextrun"/>
          <w:rFonts w:ascii="Arial" w:hAnsi="Arial" w:cs="Arial"/>
          <w:i/>
          <w:iCs/>
        </w:rPr>
        <w:t>Cross-Curricular Teaching and Learning in the Secondary School: The Arts. </w:t>
      </w:r>
      <w:r>
        <w:rPr>
          <w:rStyle w:val="normaltextrun"/>
          <w:rFonts w:ascii="Arial" w:hAnsi="Arial" w:cs="Arial"/>
        </w:rPr>
        <w:t>London: Routledge.</w:t>
      </w:r>
      <w:r>
        <w:rPr>
          <w:rStyle w:val="eop"/>
          <w:rFonts w:ascii="Arial" w:hAnsi="Arial" w:cs="Arial"/>
        </w:rPr>
        <w:t> </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Flutter, J and Rudduck, J. (2004) </w:t>
      </w:r>
      <w:r>
        <w:rPr>
          <w:rStyle w:val="normaltextrun"/>
          <w:rFonts w:ascii="Arial" w:hAnsi="Arial" w:cs="Arial"/>
          <w:i/>
          <w:iCs/>
        </w:rPr>
        <w:t>Consulting Pupils. </w:t>
      </w:r>
      <w:r>
        <w:rPr>
          <w:rStyle w:val="normaltextrun"/>
          <w:rFonts w:ascii="Arial" w:hAnsi="Arial" w:cs="Arial"/>
        </w:rPr>
        <w:t>London: </w:t>
      </w:r>
      <w:r>
        <w:rPr>
          <w:rStyle w:val="spellingerror"/>
          <w:rFonts w:ascii="Arial" w:hAnsi="Arial" w:cs="Arial"/>
        </w:rPr>
        <w:t>RoutledgeFalmer</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spellingerror"/>
          <w:rFonts w:ascii="Arial" w:hAnsi="Arial" w:cs="Arial"/>
        </w:rPr>
        <w:t>Futurelab</w:t>
      </w:r>
      <w:r>
        <w:rPr>
          <w:rStyle w:val="normaltextrun"/>
          <w:rFonts w:ascii="Arial" w:hAnsi="Arial" w:cs="Arial"/>
        </w:rPr>
        <w:t> (2010) </w:t>
      </w:r>
      <w:r>
        <w:rPr>
          <w:rStyle w:val="normaltextrun"/>
          <w:rFonts w:ascii="Arial" w:hAnsi="Arial" w:cs="Arial"/>
          <w:i/>
          <w:iCs/>
        </w:rPr>
        <w:t>Digital literacy across the curriculum. </w:t>
      </w:r>
      <w:r>
        <w:rPr>
          <w:rStyle w:val="normaltextrun"/>
          <w:rFonts w:ascii="Arial" w:hAnsi="Arial" w:cs="Arial"/>
        </w:rPr>
        <w:t>[Online]  Available at: </w:t>
      </w:r>
      <w:hyperlink r:id="rId9" w:tgtFrame="_blank" w:history="1">
        <w:r>
          <w:rPr>
            <w:rStyle w:val="normaltextrun"/>
            <w:rFonts w:ascii="Arial" w:hAnsi="Arial" w:cs="Arial"/>
            <w:color w:val="0563C1"/>
            <w:u w:val="single"/>
          </w:rPr>
          <w:t>https://www.nfer.ac.uk/publications/FUTL06/FUTL06.pdf</w:t>
        </w:r>
      </w:hyperlink>
      <w:r>
        <w:rPr>
          <w:rStyle w:val="normaltextrun"/>
          <w:rFonts w:ascii="Arial" w:hAnsi="Arial" w:cs="Arial"/>
        </w:rPr>
        <w:t> </w:t>
      </w:r>
      <w:r>
        <w:rPr>
          <w:rStyle w:val="eop"/>
          <w:rFonts w:ascii="Arial" w:hAnsi="Arial" w:cs="Arial"/>
        </w:rPr>
        <w:t> </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Hayes, D. (2010) The seductive charms of a cross-curricular approach, Education 3- 13, 38:4, 381-387 </w:t>
      </w:r>
      <w:r>
        <w:rPr>
          <w:rStyle w:val="eop"/>
          <w:rFonts w:ascii="Arial" w:hAnsi="Arial" w:cs="Arial"/>
        </w:rPr>
        <w:t> </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Hume, C. (2016). </w:t>
      </w:r>
      <w:r>
        <w:rPr>
          <w:rStyle w:val="normaltextrun"/>
          <w:rFonts w:ascii="Arial" w:hAnsi="Arial" w:cs="Arial"/>
          <w:i/>
          <w:iCs/>
        </w:rPr>
        <w:t>Pisa: Wales does worse than rest of UK</w:t>
      </w:r>
      <w:r>
        <w:rPr>
          <w:rStyle w:val="normaltextrun"/>
          <w:rFonts w:ascii="Arial" w:hAnsi="Arial" w:cs="Arial"/>
        </w:rPr>
        <w:t>. [online] BBC News. Available at: https://www.bbc.co.uk/news/uk-wales-38208738 [Accessed 9 Dec. 2018].</w:t>
      </w:r>
      <w:r>
        <w:rPr>
          <w:rStyle w:val="eop"/>
          <w:rFonts w:ascii="Arial" w:hAnsi="Arial" w:cs="Arial"/>
        </w:rPr>
        <w:t> </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Style w:val="contextualspellingandgrammarerror"/>
          <w:rFonts w:ascii="Arial" w:hAnsi="Arial" w:cs="Arial"/>
          <w:sz w:val="22"/>
          <w:szCs w:val="22"/>
        </w:rPr>
      </w:pPr>
      <w:r>
        <w:rPr>
          <w:rStyle w:val="normaltextrun"/>
          <w:rFonts w:ascii="Arial" w:hAnsi="Arial" w:cs="Arial"/>
        </w:rPr>
        <w:t>Keates, C and Coaker, V. (2009) ‘Should we push pupil voice further?’, T</w:t>
      </w:r>
      <w:r>
        <w:rPr>
          <w:rStyle w:val="normaltextrun"/>
          <w:rFonts w:ascii="Arial" w:hAnsi="Arial" w:cs="Arial"/>
          <w:i/>
          <w:iCs/>
        </w:rPr>
        <w:t>he Times Educational Supplement. </w:t>
      </w:r>
      <w:r>
        <w:rPr>
          <w:rStyle w:val="normaltextrun"/>
          <w:rFonts w:ascii="Arial" w:hAnsi="Arial" w:cs="Arial"/>
        </w:rPr>
        <w:t>Available at: </w:t>
      </w:r>
      <w:hyperlink r:id="rId10" w:tgtFrame="_blank" w:history="1">
        <w:r>
          <w:rPr>
            <w:rStyle w:val="normaltextrun"/>
            <w:rFonts w:ascii="Arial" w:hAnsi="Arial" w:cs="Arial"/>
            <w:color w:val="0563C1"/>
            <w:sz w:val="22"/>
            <w:szCs w:val="22"/>
            <w:u w:val="single"/>
          </w:rPr>
          <w:t>https://search-proquest-com.ezproxy.uwtsd.ac.uk/docview/209486580?accountid=130472&amp;rfr_id=info%3Axri%2Fsid%3Aprimo</w:t>
        </w:r>
      </w:hyperlink>
      <w:r>
        <w:rPr>
          <w:rStyle w:val="normaltextrun"/>
          <w:rFonts w:ascii="Arial" w:hAnsi="Arial" w:cs="Arial"/>
          <w:sz w:val="22"/>
          <w:szCs w:val="22"/>
        </w:rPr>
        <w:t> (Accessed 10</w:t>
      </w:r>
      <w:r>
        <w:rPr>
          <w:rStyle w:val="normaltextrun"/>
          <w:rFonts w:ascii="Arial" w:hAnsi="Arial" w:cs="Arial"/>
          <w:sz w:val="17"/>
          <w:szCs w:val="17"/>
          <w:vertAlign w:val="superscript"/>
        </w:rPr>
        <w:t>th</w:t>
      </w:r>
      <w:r>
        <w:rPr>
          <w:rStyle w:val="normaltextrun"/>
          <w:rFonts w:ascii="Arial" w:hAnsi="Arial" w:cs="Arial"/>
          <w:sz w:val="22"/>
          <w:szCs w:val="22"/>
        </w:rPr>
        <w:t> December 2018</w:t>
      </w:r>
      <w:r>
        <w:rPr>
          <w:rStyle w:val="contextualspellingandgrammarerror"/>
          <w:rFonts w:ascii="Arial" w:hAnsi="Arial" w:cs="Arial"/>
          <w:sz w:val="22"/>
          <w:szCs w:val="22"/>
        </w:rPr>
        <w:t>)</w:t>
      </w:r>
    </w:p>
    <w:p w:rsidR="00824FC0" w:rsidRDefault="00824FC0" w:rsidP="00824FC0">
      <w:pPr>
        <w:pStyle w:val="paragraph"/>
        <w:spacing w:before="0" w:beforeAutospacing="0" w:after="0" w:afterAutospacing="0"/>
        <w:textAlignment w:val="baseline"/>
        <w:rPr>
          <w:rFonts w:ascii="Segoe UI" w:hAnsi="Segoe UI" w:cs="Segoe UI"/>
          <w:sz w:val="18"/>
          <w:szCs w:val="18"/>
        </w:rPr>
      </w:pP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Ofsted. (2011) </w:t>
      </w:r>
      <w:r>
        <w:rPr>
          <w:rStyle w:val="normaltextrun"/>
          <w:rFonts w:ascii="Arial" w:hAnsi="Arial" w:cs="Arial"/>
          <w:i/>
          <w:iCs/>
        </w:rPr>
        <w:t>Removing barriers to literacy. </w:t>
      </w:r>
      <w:r>
        <w:rPr>
          <w:rStyle w:val="normaltextrun"/>
          <w:rFonts w:ascii="Arial" w:hAnsi="Arial" w:cs="Arial"/>
        </w:rPr>
        <w:t>[Online] Available at: </w:t>
      </w:r>
      <w:hyperlink r:id="rId11" w:tgtFrame="_blank" w:history="1">
        <w:r>
          <w:rPr>
            <w:rStyle w:val="normaltextrun"/>
            <w:rFonts w:ascii="Arial" w:hAnsi="Arial" w:cs="Arial"/>
            <w:color w:val="0563C1"/>
            <w:u w:val="single"/>
          </w:rPr>
          <w:t>https://dera.ioe.ac.uk/2152/1/Removing%20barriers%20to%20literacy.pdf</w:t>
        </w:r>
      </w:hyperlink>
      <w:r>
        <w:rPr>
          <w:rStyle w:val="eop"/>
          <w:rFonts w:ascii="Calibri" w:hAnsi="Calibri" w:cs="Calibri"/>
          <w:sz w:val="22"/>
          <w:szCs w:val="22"/>
        </w:rPr>
        <w:t> </w:t>
      </w: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824FC0" w:rsidRDefault="00824FC0" w:rsidP="00824FC0">
      <w:pPr>
        <w:pStyle w:val="paragraph"/>
        <w:spacing w:before="0" w:beforeAutospacing="0" w:after="0" w:afterAutospacing="0"/>
        <w:textAlignment w:val="baseline"/>
        <w:rPr>
          <w:rStyle w:val="eop"/>
          <w:rFonts w:ascii="Arial" w:hAnsi="Arial" w:cs="Arial"/>
        </w:rPr>
      </w:pPr>
      <w:r>
        <w:rPr>
          <w:rStyle w:val="normaltextrun"/>
          <w:rFonts w:ascii="Arial" w:hAnsi="Arial" w:cs="Arial"/>
        </w:rPr>
        <w:t>Ofsted. (2012) </w:t>
      </w:r>
      <w:r>
        <w:rPr>
          <w:rStyle w:val="normaltextrun"/>
          <w:rFonts w:ascii="Arial" w:hAnsi="Arial" w:cs="Arial"/>
          <w:i/>
          <w:iCs/>
        </w:rPr>
        <w:t>Moving English Forward. </w:t>
      </w:r>
      <w:r>
        <w:rPr>
          <w:rStyle w:val="normaltextrun"/>
          <w:rFonts w:ascii="Arial" w:hAnsi="Arial" w:cs="Arial"/>
        </w:rPr>
        <w:t>[Online] Available at: </w:t>
      </w:r>
      <w:hyperlink r:id="rId12" w:tgtFrame="_blank" w:history="1">
        <w:r>
          <w:rPr>
            <w:rStyle w:val="normaltextrun"/>
            <w:rFonts w:ascii="Arial" w:hAnsi="Arial" w:cs="Arial"/>
            <w:color w:val="0563C1"/>
            <w:u w:val="single"/>
          </w:rPr>
          <w:t>https://assets.publishing.service.gov.uk/government/uploads/system/uploads/attachment_data/file/181204/110118.pdf</w:t>
        </w:r>
      </w:hyperlink>
      <w:r>
        <w:rPr>
          <w:rStyle w:val="normaltextrun"/>
          <w:rFonts w:ascii="Arial" w:hAnsi="Arial" w:cs="Arial"/>
        </w:rPr>
        <w:t> </w:t>
      </w:r>
      <w:r>
        <w:rPr>
          <w:rStyle w:val="eop"/>
          <w:rFonts w:ascii="Arial" w:hAnsi="Arial" w:cs="Arial"/>
        </w:rPr>
        <w:t> </w:t>
      </w:r>
    </w:p>
    <w:p w:rsidR="00824FC0" w:rsidRPr="002C4D39" w:rsidRDefault="00824FC0" w:rsidP="00824FC0">
      <w:pPr>
        <w:pStyle w:val="paragraph"/>
        <w:spacing w:before="0" w:beforeAutospacing="0" w:after="0" w:afterAutospacing="0"/>
        <w:textAlignment w:val="baseline"/>
        <w:rPr>
          <w:rFonts w:ascii="Arial" w:hAnsi="Arial" w:cs="Arial"/>
        </w:rPr>
      </w:pP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Rose, J. (2009) </w:t>
      </w:r>
      <w:r>
        <w:rPr>
          <w:rStyle w:val="normaltextrun"/>
          <w:rFonts w:ascii="Arial" w:hAnsi="Arial" w:cs="Arial"/>
          <w:i/>
          <w:iCs/>
        </w:rPr>
        <w:t>Independent Review of the Primary Curriculum: Final Report</w:t>
      </w:r>
      <w:r>
        <w:rPr>
          <w:rStyle w:val="normaltextrun"/>
          <w:rFonts w:ascii="Arial" w:hAnsi="Arial" w:cs="Arial"/>
        </w:rPr>
        <w:t>. [Online] Available at: </w:t>
      </w:r>
      <w:hyperlink r:id="rId13" w:tgtFrame="_blank" w:history="1">
        <w:r>
          <w:rPr>
            <w:rStyle w:val="normaltextrun"/>
            <w:rFonts w:ascii="Arial" w:hAnsi="Arial" w:cs="Arial"/>
            <w:color w:val="0563C1"/>
            <w:u w:val="single"/>
          </w:rPr>
          <w:t>http://www.educationengland.org.uk/documents/pdfs/2009-IRPC-final-report.pdf</w:t>
        </w:r>
      </w:hyperlink>
      <w:r>
        <w:rPr>
          <w:rStyle w:val="eop"/>
          <w:rFonts w:ascii="Arial" w:hAnsi="Arial" w:cs="Arial"/>
        </w:rPr>
        <w:t> </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Rudduck, J and Flutter J. (2004) </w:t>
      </w:r>
      <w:r>
        <w:rPr>
          <w:rStyle w:val="normaltextrun"/>
          <w:rFonts w:ascii="Arial" w:hAnsi="Arial" w:cs="Arial"/>
          <w:i/>
          <w:iCs/>
        </w:rPr>
        <w:t>How to improve your school. </w:t>
      </w:r>
      <w:r>
        <w:rPr>
          <w:rStyle w:val="normaltextrun"/>
          <w:rFonts w:ascii="Arial" w:hAnsi="Arial" w:cs="Arial"/>
        </w:rPr>
        <w:t>London: Continuum</w:t>
      </w:r>
    </w:p>
    <w:p w:rsidR="00824FC0" w:rsidRDefault="00824FC0" w:rsidP="00824FC0">
      <w:pPr>
        <w:pStyle w:val="paragraph"/>
        <w:spacing w:before="0" w:beforeAutospacing="0" w:after="0" w:afterAutospacing="0"/>
        <w:textAlignment w:val="baseline"/>
        <w:rPr>
          <w:rStyle w:val="normaltextrun"/>
          <w:rFonts w:ascii="Arial" w:hAnsi="Arial" w:cs="Arial"/>
        </w:rPr>
      </w:pP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Welsh Assembly Government (2015) </w:t>
      </w:r>
      <w:r>
        <w:rPr>
          <w:rStyle w:val="normaltextrun"/>
          <w:rFonts w:ascii="Arial" w:hAnsi="Arial" w:cs="Arial"/>
          <w:i/>
          <w:iCs/>
        </w:rPr>
        <w:t>A Curriculum for Wales.</w:t>
      </w:r>
      <w:r>
        <w:rPr>
          <w:rStyle w:val="normaltextrun"/>
          <w:rFonts w:ascii="Arial" w:hAnsi="Arial" w:cs="Arial"/>
        </w:rPr>
        <w:t> [Online] Available at: </w:t>
      </w:r>
      <w:hyperlink r:id="rId14" w:tgtFrame="_blank" w:history="1">
        <w:r>
          <w:rPr>
            <w:rStyle w:val="normaltextrun"/>
            <w:rFonts w:ascii="Arial" w:hAnsi="Arial" w:cs="Arial"/>
            <w:color w:val="0563C1"/>
            <w:u w:val="single"/>
          </w:rPr>
          <w:t>https://gov.wales/docs/dcells/publications/151021-a-curriculum-for-wales-a-curriculum-for-life-en.pdf</w:t>
        </w:r>
      </w:hyperlink>
      <w:r>
        <w:rPr>
          <w:rStyle w:val="eop"/>
          <w:rFonts w:ascii="Calibri" w:hAnsi="Calibri" w:cs="Calibri"/>
          <w:sz w:val="22"/>
          <w:szCs w:val="22"/>
        </w:rPr>
        <w:t> </w:t>
      </w: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824FC0" w:rsidRDefault="00824FC0" w:rsidP="00824FC0">
      <w:pPr>
        <w:pStyle w:val="paragraph"/>
        <w:spacing w:before="0" w:beforeAutospacing="0" w:after="0" w:afterAutospacing="0"/>
        <w:textAlignment w:val="baseline"/>
        <w:rPr>
          <w:rStyle w:val="eop"/>
          <w:rFonts w:ascii="Arial" w:hAnsi="Arial" w:cs="Arial"/>
        </w:rPr>
      </w:pPr>
      <w:r>
        <w:rPr>
          <w:rStyle w:val="normaltextrun"/>
          <w:rFonts w:ascii="Arial" w:hAnsi="Arial" w:cs="Arial"/>
        </w:rPr>
        <w:t>Welsh Assembly Government. (2014) </w:t>
      </w:r>
      <w:r>
        <w:rPr>
          <w:rStyle w:val="normaltextrun"/>
          <w:rFonts w:ascii="Arial" w:hAnsi="Arial" w:cs="Arial"/>
          <w:i/>
          <w:iCs/>
        </w:rPr>
        <w:t>National Literacy and Numeracy Framework. </w:t>
      </w:r>
      <w:r>
        <w:rPr>
          <w:rStyle w:val="normaltextrun"/>
          <w:rFonts w:ascii="Arial" w:hAnsi="Arial" w:cs="Arial"/>
        </w:rPr>
        <w:t>Cardiff [Online] Available at: </w:t>
      </w:r>
      <w:hyperlink r:id="rId15" w:tgtFrame="_blank" w:history="1">
        <w:r>
          <w:rPr>
            <w:rStyle w:val="normaltextrun"/>
            <w:rFonts w:ascii="Arial" w:hAnsi="Arial" w:cs="Arial"/>
            <w:color w:val="0563C1"/>
            <w:u w:val="single"/>
          </w:rPr>
          <w:t>http://learning.gov.wales/resources/browse-all/nlnf/framework?lang=en</w:t>
        </w:r>
      </w:hyperlink>
      <w:r>
        <w:rPr>
          <w:rStyle w:val="normaltextrun"/>
          <w:rFonts w:ascii="Arial" w:hAnsi="Arial" w:cs="Arial"/>
          <w:color w:val="0563C1"/>
          <w:u w:val="single"/>
        </w:rPr>
        <w:t>  </w:t>
      </w:r>
      <w:r>
        <w:rPr>
          <w:rStyle w:val="normaltextrun"/>
          <w:rFonts w:ascii="Arial" w:hAnsi="Arial" w:cs="Arial"/>
        </w:rPr>
        <w:t>  </w:t>
      </w:r>
      <w:r>
        <w:rPr>
          <w:rStyle w:val="eop"/>
          <w:rFonts w:ascii="Arial" w:hAnsi="Arial" w:cs="Arial"/>
        </w:rPr>
        <w:t> </w:t>
      </w:r>
    </w:p>
    <w:p w:rsidR="00824FC0" w:rsidRDefault="00824FC0" w:rsidP="00824FC0">
      <w:pPr>
        <w:pStyle w:val="paragraph"/>
        <w:spacing w:before="0" w:beforeAutospacing="0" w:after="0" w:afterAutospacing="0"/>
        <w:textAlignment w:val="baseline"/>
        <w:rPr>
          <w:rFonts w:ascii="Segoe UI" w:hAnsi="Segoe UI" w:cs="Segoe UI"/>
          <w:sz w:val="18"/>
          <w:szCs w:val="18"/>
        </w:rPr>
      </w:pPr>
    </w:p>
    <w:p w:rsidR="00824FC0" w:rsidRDefault="00824FC0" w:rsidP="00824FC0">
      <w:pPr>
        <w:pStyle w:val="paragraph"/>
        <w:spacing w:before="0" w:beforeAutospacing="0" w:after="0" w:afterAutospacing="0"/>
        <w:textAlignment w:val="baseline"/>
        <w:rPr>
          <w:rStyle w:val="eop"/>
          <w:rFonts w:ascii="Arial" w:hAnsi="Arial" w:cs="Arial"/>
        </w:rPr>
      </w:pPr>
      <w:r>
        <w:rPr>
          <w:rStyle w:val="normaltextrun"/>
          <w:rFonts w:ascii="Arial" w:hAnsi="Arial" w:cs="Arial"/>
        </w:rPr>
        <w:t>Welsh Assembly Government. (2016) </w:t>
      </w:r>
      <w:r>
        <w:rPr>
          <w:rStyle w:val="normaltextrun"/>
          <w:rFonts w:ascii="Arial" w:hAnsi="Arial" w:cs="Arial"/>
          <w:i/>
          <w:iCs/>
        </w:rPr>
        <w:t>The Digital Competence Framework. </w:t>
      </w:r>
      <w:r>
        <w:rPr>
          <w:rStyle w:val="normaltextrun"/>
          <w:rFonts w:ascii="Arial" w:hAnsi="Arial" w:cs="Arial"/>
        </w:rPr>
        <w:t>Cardiff [Online] Available at: </w:t>
      </w:r>
      <w:hyperlink r:id="rId16" w:tgtFrame="_blank" w:history="1">
        <w:r>
          <w:rPr>
            <w:rStyle w:val="normaltextrun"/>
            <w:rFonts w:ascii="Arial" w:hAnsi="Arial" w:cs="Arial"/>
            <w:color w:val="0563C1"/>
            <w:u w:val="single"/>
          </w:rPr>
          <w:t>http://learning.gov.wales/resources/browse-all/digital-competence-framework/framework?lang=en</w:t>
        </w:r>
      </w:hyperlink>
      <w:r>
        <w:rPr>
          <w:rStyle w:val="normaltextrun"/>
          <w:rFonts w:ascii="Arial" w:hAnsi="Arial" w:cs="Arial"/>
          <w:color w:val="0563C1"/>
          <w:u w:val="single"/>
        </w:rPr>
        <w:t> </w:t>
      </w:r>
      <w:r>
        <w:rPr>
          <w:rStyle w:val="normaltextrun"/>
          <w:rFonts w:ascii="Arial" w:hAnsi="Arial" w:cs="Arial"/>
        </w:rPr>
        <w:t>  </w:t>
      </w:r>
      <w:r>
        <w:rPr>
          <w:rStyle w:val="eop"/>
          <w:rFonts w:ascii="Arial" w:hAnsi="Arial" w:cs="Arial"/>
        </w:rPr>
        <w:t> </w:t>
      </w:r>
    </w:p>
    <w:p w:rsidR="00824FC0" w:rsidRDefault="00824FC0" w:rsidP="00824FC0">
      <w:pPr>
        <w:pStyle w:val="paragraph"/>
        <w:spacing w:before="0" w:beforeAutospacing="0" w:after="0" w:afterAutospacing="0"/>
        <w:textAlignment w:val="baseline"/>
        <w:rPr>
          <w:rFonts w:ascii="Segoe UI" w:hAnsi="Segoe UI" w:cs="Segoe UI"/>
          <w:sz w:val="18"/>
          <w:szCs w:val="18"/>
        </w:rPr>
      </w:pPr>
    </w:p>
    <w:p w:rsidR="00824FC0" w:rsidRPr="002C4D39" w:rsidRDefault="00824FC0" w:rsidP="00824FC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Assembly Government. (2018) </w:t>
      </w:r>
      <w:r>
        <w:rPr>
          <w:rStyle w:val="normaltextrun"/>
          <w:rFonts w:ascii="Arial" w:hAnsi="Arial" w:cs="Arial"/>
          <w:i/>
          <w:iCs/>
        </w:rPr>
        <w:t xml:space="preserve">Digital Competence Framework. Your questions answered. </w:t>
      </w:r>
      <w:r>
        <w:rPr>
          <w:rStyle w:val="normaltextrun"/>
          <w:rFonts w:ascii="Arial" w:hAnsi="Arial" w:cs="Arial"/>
          <w:iCs/>
        </w:rPr>
        <w:t xml:space="preserve">[Online] Available at: </w:t>
      </w:r>
      <w:hyperlink r:id="rId17" w:tgtFrame="_blank" w:history="1">
        <w:r>
          <w:rPr>
            <w:rStyle w:val="normaltextrun"/>
            <w:rFonts w:ascii="Arial" w:hAnsi="Arial" w:cs="Arial"/>
            <w:color w:val="0563C1"/>
            <w:u w:val="single"/>
          </w:rPr>
          <w:t>http://learning.gov.wales/docs/learningwales/publications/180620-dcf-your-questions-</w:t>
        </w:r>
        <w:r>
          <w:rPr>
            <w:rStyle w:val="normaltextrun"/>
            <w:rFonts w:ascii="Arial" w:hAnsi="Arial" w:cs="Arial"/>
            <w:color w:val="0563C1"/>
            <w:u w:val="single"/>
          </w:rPr>
          <w:t>a</w:t>
        </w:r>
        <w:r>
          <w:rPr>
            <w:rStyle w:val="normaltextrun"/>
            <w:rFonts w:ascii="Arial" w:hAnsi="Arial" w:cs="Arial"/>
            <w:color w:val="0563C1"/>
            <w:u w:val="single"/>
          </w:rPr>
          <w:t>nswered-2018-en.pdf</w:t>
        </w:r>
      </w:hyperlink>
      <w:r>
        <w:rPr>
          <w:rStyle w:val="normaltextrun"/>
          <w:rFonts w:ascii="Arial" w:hAnsi="Arial" w:cs="Arial"/>
        </w:rPr>
        <w:t> </w:t>
      </w:r>
      <w:r>
        <w:rPr>
          <w:rStyle w:val="eop"/>
          <w:rFonts w:ascii="Arial" w:hAnsi="Arial" w:cs="Arial"/>
        </w:rPr>
        <w:t> </w:t>
      </w:r>
    </w:p>
    <w:p w:rsidR="00824FC0" w:rsidRDefault="00824FC0" w:rsidP="00824FC0">
      <w:pPr>
        <w:pStyle w:val="paragraph"/>
        <w:spacing w:before="0" w:beforeAutospacing="0" w:after="0" w:afterAutospacing="0"/>
        <w:textAlignment w:val="baseline"/>
        <w:rPr>
          <w:rStyle w:val="eop"/>
          <w:rFonts w:ascii="Arial" w:hAnsi="Arial" w:cs="Arial"/>
        </w:rPr>
      </w:pPr>
      <w:r>
        <w:rPr>
          <w:rStyle w:val="eop"/>
          <w:rFonts w:ascii="Arial" w:hAnsi="Arial" w:cs="Arial"/>
        </w:rPr>
        <w:t> </w:t>
      </w:r>
    </w:p>
    <w:p w:rsidR="00824FC0" w:rsidRDefault="00824FC0" w:rsidP="00824FC0">
      <w:pPr>
        <w:pStyle w:val="paragraph"/>
        <w:spacing w:before="0" w:beforeAutospacing="0" w:after="0" w:afterAutospacing="0"/>
        <w:textAlignment w:val="baseline"/>
        <w:rPr>
          <w:rFonts w:ascii="Segoe UI" w:hAnsi="Segoe UI" w:cs="Segoe UI"/>
          <w:sz w:val="18"/>
          <w:szCs w:val="18"/>
        </w:rPr>
      </w:pPr>
    </w:p>
    <w:p w:rsidR="00824FC0" w:rsidRDefault="00824FC0" w:rsidP="00824FC0">
      <w:pPr>
        <w:pStyle w:val="paragraph"/>
        <w:spacing w:before="0" w:beforeAutospacing="0" w:after="0" w:afterAutospacing="0"/>
        <w:textAlignment w:val="baseline"/>
        <w:rPr>
          <w:rFonts w:ascii="Segoe UI" w:hAnsi="Segoe UI" w:cs="Segoe UI"/>
          <w:sz w:val="18"/>
          <w:szCs w:val="18"/>
        </w:rPr>
      </w:pPr>
    </w:p>
    <w:p w:rsidR="00824FC0" w:rsidRDefault="00824FC0" w:rsidP="00824FC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824FC0" w:rsidRPr="00944C04" w:rsidRDefault="00824FC0" w:rsidP="00944C04">
      <w:pPr>
        <w:spacing w:after="0" w:line="360" w:lineRule="auto"/>
        <w:textAlignment w:val="baseline"/>
        <w:rPr>
          <w:rFonts w:ascii="Segoe UI" w:eastAsia="Times New Roman" w:hAnsi="Segoe UI" w:cs="Segoe UI"/>
          <w:bCs w:val="0"/>
          <w:spacing w:val="0"/>
          <w:sz w:val="18"/>
          <w:szCs w:val="18"/>
          <w:lang w:eastAsia="en-GB"/>
        </w:rPr>
      </w:pPr>
    </w:p>
    <w:p w:rsidR="00A43377" w:rsidRDefault="00A43377"/>
    <w:sectPr w:rsidR="00A43377">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4931" w:rsidRDefault="00464931" w:rsidP="00824FC0">
      <w:pPr>
        <w:spacing w:after="0" w:line="240" w:lineRule="auto"/>
      </w:pPr>
      <w:r>
        <w:separator/>
      </w:r>
    </w:p>
  </w:endnote>
  <w:endnote w:type="continuationSeparator" w:id="0">
    <w:p w:rsidR="00464931" w:rsidRDefault="00464931" w:rsidP="00824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659505"/>
      <w:docPartObj>
        <w:docPartGallery w:val="Page Numbers (Bottom of Page)"/>
        <w:docPartUnique/>
      </w:docPartObj>
    </w:sdtPr>
    <w:sdtEndPr>
      <w:rPr>
        <w:noProof/>
      </w:rPr>
    </w:sdtEndPr>
    <w:sdtContent>
      <w:p w:rsidR="00824FC0" w:rsidRDefault="00824FC0">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rsidR="00824FC0" w:rsidRDefault="00824F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4931" w:rsidRDefault="00464931" w:rsidP="00824FC0">
      <w:pPr>
        <w:spacing w:after="0" w:line="240" w:lineRule="auto"/>
      </w:pPr>
      <w:r>
        <w:separator/>
      </w:r>
    </w:p>
  </w:footnote>
  <w:footnote w:type="continuationSeparator" w:id="0">
    <w:p w:rsidR="00464931" w:rsidRDefault="00464931" w:rsidP="00824FC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24FC0" w:rsidRDefault="00824FC0">
    <w:pPr>
      <w:pStyle w:val="Header"/>
    </w:pPr>
    <w:r>
      <w:t>1601186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4C04"/>
    <w:rsid w:val="00464931"/>
    <w:rsid w:val="004E2557"/>
    <w:rsid w:val="00550FD2"/>
    <w:rsid w:val="007D1F30"/>
    <w:rsid w:val="00824FC0"/>
    <w:rsid w:val="0088193A"/>
    <w:rsid w:val="00944C04"/>
    <w:rsid w:val="00A43377"/>
    <w:rsid w:val="00BB4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bCs/>
        <w:spacing w:val="5"/>
        <w:sz w:val="28"/>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25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2557"/>
    <w:pPr>
      <w:ind w:left="720"/>
      <w:contextualSpacing/>
    </w:pPr>
  </w:style>
  <w:style w:type="character" w:styleId="IntenseReference">
    <w:name w:val="Intense Reference"/>
    <w:basedOn w:val="DefaultParagraphFont"/>
    <w:uiPriority w:val="32"/>
    <w:qFormat/>
    <w:rsid w:val="004E2557"/>
    <w:rPr>
      <w:b/>
      <w:bCs w:val="0"/>
      <w:smallCaps/>
      <w:color w:val="CF543F" w:themeColor="accent2"/>
      <w:spacing w:val="5"/>
      <w:u w:val="single"/>
    </w:rPr>
  </w:style>
  <w:style w:type="paragraph" w:customStyle="1" w:styleId="paragraph">
    <w:name w:val="paragraph"/>
    <w:basedOn w:val="Normal"/>
    <w:rsid w:val="00944C04"/>
    <w:pPr>
      <w:spacing w:before="100" w:beforeAutospacing="1" w:after="100" w:afterAutospacing="1" w:line="240" w:lineRule="auto"/>
    </w:pPr>
    <w:rPr>
      <w:rFonts w:ascii="Times New Roman" w:eastAsia="Times New Roman" w:hAnsi="Times New Roman" w:cs="Times New Roman"/>
      <w:bCs w:val="0"/>
      <w:spacing w:val="0"/>
      <w:sz w:val="24"/>
      <w:szCs w:val="24"/>
      <w:lang w:eastAsia="en-GB"/>
    </w:rPr>
  </w:style>
  <w:style w:type="character" w:customStyle="1" w:styleId="textrun">
    <w:name w:val="textrun"/>
    <w:basedOn w:val="DefaultParagraphFont"/>
    <w:rsid w:val="00944C04"/>
  </w:style>
  <w:style w:type="character" w:customStyle="1" w:styleId="normaltextrun">
    <w:name w:val="normaltextrun"/>
    <w:basedOn w:val="DefaultParagraphFont"/>
    <w:rsid w:val="00944C04"/>
  </w:style>
  <w:style w:type="character" w:customStyle="1" w:styleId="eop">
    <w:name w:val="eop"/>
    <w:basedOn w:val="DefaultParagraphFont"/>
    <w:rsid w:val="00944C04"/>
  </w:style>
  <w:style w:type="character" w:customStyle="1" w:styleId="advancedproofingissue">
    <w:name w:val="advancedproofingissue"/>
    <w:basedOn w:val="DefaultParagraphFont"/>
    <w:rsid w:val="00944C04"/>
  </w:style>
  <w:style w:type="character" w:customStyle="1" w:styleId="contextualspellingandgrammarerror">
    <w:name w:val="contextualspellingandgrammarerror"/>
    <w:basedOn w:val="DefaultParagraphFont"/>
    <w:rsid w:val="00944C04"/>
  </w:style>
  <w:style w:type="character" w:customStyle="1" w:styleId="spellingerror">
    <w:name w:val="spellingerror"/>
    <w:basedOn w:val="DefaultParagraphFont"/>
    <w:rsid w:val="00944C04"/>
  </w:style>
  <w:style w:type="paragraph" w:styleId="Header">
    <w:name w:val="header"/>
    <w:basedOn w:val="Normal"/>
    <w:link w:val="HeaderChar"/>
    <w:uiPriority w:val="99"/>
    <w:unhideWhenUsed/>
    <w:rsid w:val="00824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FC0"/>
  </w:style>
  <w:style w:type="paragraph" w:styleId="Footer">
    <w:name w:val="footer"/>
    <w:basedOn w:val="Normal"/>
    <w:link w:val="FooterChar"/>
    <w:uiPriority w:val="99"/>
    <w:unhideWhenUsed/>
    <w:rsid w:val="00824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FC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Arial"/>
        <w:bCs/>
        <w:spacing w:val="5"/>
        <w:sz w:val="28"/>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25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2557"/>
    <w:pPr>
      <w:ind w:left="720"/>
      <w:contextualSpacing/>
    </w:pPr>
  </w:style>
  <w:style w:type="character" w:styleId="IntenseReference">
    <w:name w:val="Intense Reference"/>
    <w:basedOn w:val="DefaultParagraphFont"/>
    <w:uiPriority w:val="32"/>
    <w:qFormat/>
    <w:rsid w:val="004E2557"/>
    <w:rPr>
      <w:b/>
      <w:bCs w:val="0"/>
      <w:smallCaps/>
      <w:color w:val="CF543F" w:themeColor="accent2"/>
      <w:spacing w:val="5"/>
      <w:u w:val="single"/>
    </w:rPr>
  </w:style>
  <w:style w:type="paragraph" w:customStyle="1" w:styleId="paragraph">
    <w:name w:val="paragraph"/>
    <w:basedOn w:val="Normal"/>
    <w:rsid w:val="00944C04"/>
    <w:pPr>
      <w:spacing w:before="100" w:beforeAutospacing="1" w:after="100" w:afterAutospacing="1" w:line="240" w:lineRule="auto"/>
    </w:pPr>
    <w:rPr>
      <w:rFonts w:ascii="Times New Roman" w:eastAsia="Times New Roman" w:hAnsi="Times New Roman" w:cs="Times New Roman"/>
      <w:bCs w:val="0"/>
      <w:spacing w:val="0"/>
      <w:sz w:val="24"/>
      <w:szCs w:val="24"/>
      <w:lang w:eastAsia="en-GB"/>
    </w:rPr>
  </w:style>
  <w:style w:type="character" w:customStyle="1" w:styleId="textrun">
    <w:name w:val="textrun"/>
    <w:basedOn w:val="DefaultParagraphFont"/>
    <w:rsid w:val="00944C04"/>
  </w:style>
  <w:style w:type="character" w:customStyle="1" w:styleId="normaltextrun">
    <w:name w:val="normaltextrun"/>
    <w:basedOn w:val="DefaultParagraphFont"/>
    <w:rsid w:val="00944C04"/>
  </w:style>
  <w:style w:type="character" w:customStyle="1" w:styleId="eop">
    <w:name w:val="eop"/>
    <w:basedOn w:val="DefaultParagraphFont"/>
    <w:rsid w:val="00944C04"/>
  </w:style>
  <w:style w:type="character" w:customStyle="1" w:styleId="advancedproofingissue">
    <w:name w:val="advancedproofingissue"/>
    <w:basedOn w:val="DefaultParagraphFont"/>
    <w:rsid w:val="00944C04"/>
  </w:style>
  <w:style w:type="character" w:customStyle="1" w:styleId="contextualspellingandgrammarerror">
    <w:name w:val="contextualspellingandgrammarerror"/>
    <w:basedOn w:val="DefaultParagraphFont"/>
    <w:rsid w:val="00944C04"/>
  </w:style>
  <w:style w:type="character" w:customStyle="1" w:styleId="spellingerror">
    <w:name w:val="spellingerror"/>
    <w:basedOn w:val="DefaultParagraphFont"/>
    <w:rsid w:val="00944C04"/>
  </w:style>
  <w:style w:type="paragraph" w:styleId="Header">
    <w:name w:val="header"/>
    <w:basedOn w:val="Normal"/>
    <w:link w:val="HeaderChar"/>
    <w:uiPriority w:val="99"/>
    <w:unhideWhenUsed/>
    <w:rsid w:val="00824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FC0"/>
  </w:style>
  <w:style w:type="paragraph" w:styleId="Footer">
    <w:name w:val="footer"/>
    <w:basedOn w:val="Normal"/>
    <w:link w:val="FooterChar"/>
    <w:uiPriority w:val="99"/>
    <w:unhideWhenUsed/>
    <w:rsid w:val="00824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9149238">
      <w:bodyDiv w:val="1"/>
      <w:marLeft w:val="0"/>
      <w:marRight w:val="0"/>
      <w:marTop w:val="0"/>
      <w:marBottom w:val="0"/>
      <w:divBdr>
        <w:top w:val="none" w:sz="0" w:space="0" w:color="auto"/>
        <w:left w:val="none" w:sz="0" w:space="0" w:color="auto"/>
        <w:bottom w:val="none" w:sz="0" w:space="0" w:color="auto"/>
        <w:right w:val="none" w:sz="0" w:space="0" w:color="auto"/>
      </w:divBdr>
      <w:divsChild>
        <w:div w:id="1130321376">
          <w:marLeft w:val="0"/>
          <w:marRight w:val="0"/>
          <w:marTop w:val="0"/>
          <w:marBottom w:val="0"/>
          <w:divBdr>
            <w:top w:val="none" w:sz="0" w:space="0" w:color="auto"/>
            <w:left w:val="none" w:sz="0" w:space="0" w:color="auto"/>
            <w:bottom w:val="none" w:sz="0" w:space="0" w:color="auto"/>
            <w:right w:val="none" w:sz="0" w:space="0" w:color="auto"/>
          </w:divBdr>
        </w:div>
        <w:div w:id="471020685">
          <w:marLeft w:val="0"/>
          <w:marRight w:val="0"/>
          <w:marTop w:val="0"/>
          <w:marBottom w:val="0"/>
          <w:divBdr>
            <w:top w:val="none" w:sz="0" w:space="0" w:color="auto"/>
            <w:left w:val="none" w:sz="0" w:space="0" w:color="auto"/>
            <w:bottom w:val="none" w:sz="0" w:space="0" w:color="auto"/>
            <w:right w:val="none" w:sz="0" w:space="0" w:color="auto"/>
          </w:divBdr>
        </w:div>
        <w:div w:id="431242253">
          <w:marLeft w:val="0"/>
          <w:marRight w:val="0"/>
          <w:marTop w:val="0"/>
          <w:marBottom w:val="0"/>
          <w:divBdr>
            <w:top w:val="none" w:sz="0" w:space="0" w:color="auto"/>
            <w:left w:val="none" w:sz="0" w:space="0" w:color="auto"/>
            <w:bottom w:val="none" w:sz="0" w:space="0" w:color="auto"/>
            <w:right w:val="none" w:sz="0" w:space="0" w:color="auto"/>
          </w:divBdr>
        </w:div>
        <w:div w:id="1682926592">
          <w:marLeft w:val="0"/>
          <w:marRight w:val="0"/>
          <w:marTop w:val="0"/>
          <w:marBottom w:val="0"/>
          <w:divBdr>
            <w:top w:val="none" w:sz="0" w:space="0" w:color="auto"/>
            <w:left w:val="none" w:sz="0" w:space="0" w:color="auto"/>
            <w:bottom w:val="none" w:sz="0" w:space="0" w:color="auto"/>
            <w:right w:val="none" w:sz="0" w:space="0" w:color="auto"/>
          </w:divBdr>
        </w:div>
        <w:div w:id="1465344594">
          <w:marLeft w:val="0"/>
          <w:marRight w:val="0"/>
          <w:marTop w:val="0"/>
          <w:marBottom w:val="0"/>
          <w:divBdr>
            <w:top w:val="none" w:sz="0" w:space="0" w:color="auto"/>
            <w:left w:val="none" w:sz="0" w:space="0" w:color="auto"/>
            <w:bottom w:val="none" w:sz="0" w:space="0" w:color="auto"/>
            <w:right w:val="none" w:sz="0" w:space="0" w:color="auto"/>
          </w:divBdr>
        </w:div>
        <w:div w:id="112215758">
          <w:marLeft w:val="0"/>
          <w:marRight w:val="0"/>
          <w:marTop w:val="0"/>
          <w:marBottom w:val="0"/>
          <w:divBdr>
            <w:top w:val="none" w:sz="0" w:space="0" w:color="auto"/>
            <w:left w:val="none" w:sz="0" w:space="0" w:color="auto"/>
            <w:bottom w:val="none" w:sz="0" w:space="0" w:color="auto"/>
            <w:right w:val="none" w:sz="0" w:space="0" w:color="auto"/>
          </w:divBdr>
        </w:div>
        <w:div w:id="1982149245">
          <w:marLeft w:val="0"/>
          <w:marRight w:val="0"/>
          <w:marTop w:val="0"/>
          <w:marBottom w:val="0"/>
          <w:divBdr>
            <w:top w:val="none" w:sz="0" w:space="0" w:color="auto"/>
            <w:left w:val="none" w:sz="0" w:space="0" w:color="auto"/>
            <w:bottom w:val="none" w:sz="0" w:space="0" w:color="auto"/>
            <w:right w:val="none" w:sz="0" w:space="0" w:color="auto"/>
          </w:divBdr>
        </w:div>
        <w:div w:id="30615612">
          <w:marLeft w:val="0"/>
          <w:marRight w:val="0"/>
          <w:marTop w:val="0"/>
          <w:marBottom w:val="0"/>
          <w:divBdr>
            <w:top w:val="none" w:sz="0" w:space="0" w:color="auto"/>
            <w:left w:val="none" w:sz="0" w:space="0" w:color="auto"/>
            <w:bottom w:val="none" w:sz="0" w:space="0" w:color="auto"/>
            <w:right w:val="none" w:sz="0" w:space="0" w:color="auto"/>
          </w:divBdr>
        </w:div>
        <w:div w:id="198250280">
          <w:marLeft w:val="0"/>
          <w:marRight w:val="0"/>
          <w:marTop w:val="0"/>
          <w:marBottom w:val="0"/>
          <w:divBdr>
            <w:top w:val="none" w:sz="0" w:space="0" w:color="auto"/>
            <w:left w:val="none" w:sz="0" w:space="0" w:color="auto"/>
            <w:bottom w:val="none" w:sz="0" w:space="0" w:color="auto"/>
            <w:right w:val="none" w:sz="0" w:space="0" w:color="auto"/>
          </w:divBdr>
        </w:div>
        <w:div w:id="2119569077">
          <w:marLeft w:val="0"/>
          <w:marRight w:val="0"/>
          <w:marTop w:val="0"/>
          <w:marBottom w:val="0"/>
          <w:divBdr>
            <w:top w:val="none" w:sz="0" w:space="0" w:color="auto"/>
            <w:left w:val="none" w:sz="0" w:space="0" w:color="auto"/>
            <w:bottom w:val="none" w:sz="0" w:space="0" w:color="auto"/>
            <w:right w:val="none" w:sz="0" w:space="0" w:color="auto"/>
          </w:divBdr>
        </w:div>
        <w:div w:id="1094935311">
          <w:marLeft w:val="0"/>
          <w:marRight w:val="0"/>
          <w:marTop w:val="0"/>
          <w:marBottom w:val="0"/>
          <w:divBdr>
            <w:top w:val="none" w:sz="0" w:space="0" w:color="auto"/>
            <w:left w:val="none" w:sz="0" w:space="0" w:color="auto"/>
            <w:bottom w:val="none" w:sz="0" w:space="0" w:color="auto"/>
            <w:right w:val="none" w:sz="0" w:space="0" w:color="auto"/>
          </w:divBdr>
        </w:div>
        <w:div w:id="1450003478">
          <w:marLeft w:val="0"/>
          <w:marRight w:val="0"/>
          <w:marTop w:val="0"/>
          <w:marBottom w:val="0"/>
          <w:divBdr>
            <w:top w:val="none" w:sz="0" w:space="0" w:color="auto"/>
            <w:left w:val="none" w:sz="0" w:space="0" w:color="auto"/>
            <w:bottom w:val="none" w:sz="0" w:space="0" w:color="auto"/>
            <w:right w:val="none" w:sz="0" w:space="0" w:color="auto"/>
          </w:divBdr>
        </w:div>
        <w:div w:id="2075157069">
          <w:marLeft w:val="0"/>
          <w:marRight w:val="0"/>
          <w:marTop w:val="0"/>
          <w:marBottom w:val="0"/>
          <w:divBdr>
            <w:top w:val="none" w:sz="0" w:space="0" w:color="auto"/>
            <w:left w:val="none" w:sz="0" w:space="0" w:color="auto"/>
            <w:bottom w:val="none" w:sz="0" w:space="0" w:color="auto"/>
            <w:right w:val="none" w:sz="0" w:space="0" w:color="auto"/>
          </w:divBdr>
        </w:div>
        <w:div w:id="979117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Science%20and%20design%20and%20technology%20%28004%29.pdf" TargetMode="External"/><Relationship Id="rId13" Type="http://schemas.openxmlformats.org/officeDocument/2006/relationships/hyperlink" Target="http://www.educationengland.org.uk/documents/pdfs/2009-IRPC-final-report.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ov.wales/docs/dcells/publications/150225-successful-futures-en.pdf" TargetMode="External"/><Relationship Id="rId12" Type="http://schemas.openxmlformats.org/officeDocument/2006/relationships/hyperlink" Target="https://assets.publishing.service.gov.uk/government/uploads/system/uploads/attachment_data/file/181204/110118.pdf" TargetMode="External"/><Relationship Id="rId17" Type="http://schemas.openxmlformats.org/officeDocument/2006/relationships/hyperlink" Target="http://learning.gov.wales/docs/learningwales/publications/180620-dcf-your-questions-answered-2018-en.pdf" TargetMode="External"/><Relationship Id="rId2" Type="http://schemas.microsoft.com/office/2007/relationships/stylesWithEffects" Target="stylesWithEffects.xml"/><Relationship Id="rId16" Type="http://schemas.openxmlformats.org/officeDocument/2006/relationships/hyperlink" Target="http://learning.gov.wales/resources/browse-all/digital-competence-framework/framework?lang=e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dera.ioe.ac.uk/2152/1/Removing%20barriers%20to%20literacy.pdf" TargetMode="External"/><Relationship Id="rId5" Type="http://schemas.openxmlformats.org/officeDocument/2006/relationships/footnotes" Target="footnotes.xml"/><Relationship Id="rId15" Type="http://schemas.openxmlformats.org/officeDocument/2006/relationships/hyperlink" Target="http://learning.gov.wales/resources/browse-all/nlnf/framework?lang=en" TargetMode="External"/><Relationship Id="rId10" Type="http://schemas.openxmlformats.org/officeDocument/2006/relationships/hyperlink" Target="https://search-proquest-com.ezproxy.uwtsd.ac.uk/docview/209486580?accountid=130472&amp;rfr_id=info%3Axri%2Fsid%3Aprimo"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fer.ac.uk/publications/FUTL06/FUTL06.pdf" TargetMode="External"/><Relationship Id="rId14" Type="http://schemas.openxmlformats.org/officeDocument/2006/relationships/hyperlink" Target="https://gov.wales/docs/dcells/publications/151021-a-curriculum-for-wales-a-curriculum-for-life-en.pdf" TargetMode="External"/></Relationships>
</file>

<file path=word/theme/theme1.xml><?xml version="1.0" encoding="utf-8"?>
<a:theme xmlns:a="http://schemas.openxmlformats.org/drawingml/2006/main" name="Office Theme">
  <a:themeElements>
    <a:clrScheme name="Apothecary">
      <a:dk1>
        <a:sysClr val="windowText" lastClr="000000"/>
      </a:dk1>
      <a:lt1>
        <a:sysClr val="window" lastClr="FFFFFF"/>
      </a:lt1>
      <a:dk2>
        <a:srgbClr val="564B3C"/>
      </a:dk2>
      <a:lt2>
        <a:srgbClr val="ECEDD1"/>
      </a:lt2>
      <a:accent1>
        <a:srgbClr val="93A299"/>
      </a:accent1>
      <a:accent2>
        <a:srgbClr val="CF543F"/>
      </a:accent2>
      <a:accent3>
        <a:srgbClr val="B5AE53"/>
      </a:accent3>
      <a:accent4>
        <a:srgbClr val="848058"/>
      </a:accent4>
      <a:accent5>
        <a:srgbClr val="E8B54D"/>
      </a:accent5>
      <a:accent6>
        <a:srgbClr val="786C71"/>
      </a:accent6>
      <a:hlink>
        <a:srgbClr val="CCCC00"/>
      </a:hlink>
      <a:folHlink>
        <a:srgbClr val="B2B2B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3230</Words>
  <Characters>18413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dc:creator>
  <cp:lastModifiedBy>Kev</cp:lastModifiedBy>
  <cp:revision>2</cp:revision>
  <dcterms:created xsi:type="dcterms:W3CDTF">2018-12-13T18:29:00Z</dcterms:created>
  <dcterms:modified xsi:type="dcterms:W3CDTF">2018-12-13T18:29:00Z</dcterms:modified>
</cp:coreProperties>
</file>