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B45F3" w14:textId="77777777" w:rsidR="00FB6F8E" w:rsidRPr="00C77DD2" w:rsidRDefault="00FB6F8E" w:rsidP="00FB6F8E"/>
    <w:p w14:paraId="62A763BA" w14:textId="77777777" w:rsidR="00FB6F8E" w:rsidRPr="006F6E46" w:rsidRDefault="00FB6F8E" w:rsidP="00FB6F8E">
      <w:pPr>
        <w:jc w:val="center"/>
      </w:pPr>
      <w:r w:rsidRPr="006F6E46">
        <w:rPr>
          <w:noProof/>
          <w:lang w:val="en-IN" w:eastAsia="en-IN"/>
        </w:rPr>
        <w:drawing>
          <wp:inline distT="0" distB="0" distL="0" distR="0" wp14:anchorId="33C6D783" wp14:editId="6E469B39">
            <wp:extent cx="3985260" cy="1371600"/>
            <wp:effectExtent l="0" t="0" r="0" b="0"/>
            <wp:docPr id="2080421357" name="Picture 1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21357" name="Picture 1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5260" cy="1371600"/>
                    </a:xfrm>
                    <a:prstGeom prst="rect">
                      <a:avLst/>
                    </a:prstGeom>
                    <a:noFill/>
                    <a:ln>
                      <a:noFill/>
                    </a:ln>
                  </pic:spPr>
                </pic:pic>
              </a:graphicData>
            </a:graphic>
          </wp:inline>
        </w:drawing>
      </w:r>
    </w:p>
    <w:p w14:paraId="4AA9B85A" w14:textId="77777777" w:rsidR="00FB6F8E" w:rsidRPr="00C77DD2" w:rsidRDefault="00FB6F8E" w:rsidP="00FB6F8E"/>
    <w:p w14:paraId="6C12301B" w14:textId="77777777" w:rsidR="00FB6F8E" w:rsidRPr="00C77DD2" w:rsidRDefault="00FB6F8E" w:rsidP="00FB6F8E"/>
    <w:p w14:paraId="10CC6CBB" w14:textId="77777777" w:rsidR="00FB6F8E" w:rsidRPr="00C77DD2" w:rsidRDefault="00FB6F8E" w:rsidP="00FB6F8E"/>
    <w:p w14:paraId="0D73EB39" w14:textId="77777777" w:rsidR="00FB6F8E" w:rsidRDefault="00FB6F8E" w:rsidP="00FB6F8E">
      <w:pPr>
        <w:ind w:left="2160" w:firstLine="720"/>
        <w:rPr>
          <w:b/>
          <w:bCs/>
          <w:sz w:val="32"/>
          <w:szCs w:val="28"/>
        </w:rPr>
      </w:pPr>
      <w:r w:rsidRPr="00C77DD2">
        <w:rPr>
          <w:b/>
          <w:bCs/>
          <w:sz w:val="32"/>
          <w:szCs w:val="28"/>
        </w:rPr>
        <w:t>Financial Management</w:t>
      </w:r>
    </w:p>
    <w:p w14:paraId="3313A068" w14:textId="77777777" w:rsidR="00FB6F8E" w:rsidRDefault="00FB6F8E" w:rsidP="00FB6F8E">
      <w:pPr>
        <w:ind w:left="2880" w:firstLine="720"/>
        <w:rPr>
          <w:b/>
          <w:bCs/>
          <w:sz w:val="32"/>
          <w:szCs w:val="28"/>
        </w:rPr>
      </w:pPr>
      <w:r>
        <w:rPr>
          <w:b/>
          <w:bCs/>
          <w:sz w:val="32"/>
          <w:szCs w:val="28"/>
        </w:rPr>
        <w:t>BMIH5007</w:t>
      </w:r>
    </w:p>
    <w:p w14:paraId="12FD8030" w14:textId="5827B174" w:rsidR="00FB6F8E" w:rsidRDefault="00FB6F8E" w:rsidP="00FB6F8E">
      <w:pPr>
        <w:ind w:left="84"/>
        <w:rPr>
          <w:b/>
          <w:bCs/>
          <w:sz w:val="32"/>
          <w:szCs w:val="28"/>
        </w:rPr>
      </w:pPr>
      <w:r>
        <w:rPr>
          <w:b/>
          <w:bCs/>
          <w:sz w:val="32"/>
          <w:szCs w:val="28"/>
        </w:rPr>
        <w:t>Business Report -</w:t>
      </w:r>
      <w:r w:rsidR="00412C97">
        <w:rPr>
          <w:b/>
          <w:bCs/>
          <w:sz w:val="32"/>
          <w:szCs w:val="28"/>
        </w:rPr>
        <w:t xml:space="preserve"> </w:t>
      </w:r>
      <w:r>
        <w:rPr>
          <w:b/>
          <w:bCs/>
          <w:sz w:val="32"/>
          <w:szCs w:val="28"/>
        </w:rPr>
        <w:t xml:space="preserve">Comparison of Mandarin Oriental Hotel Group  </w:t>
      </w:r>
    </w:p>
    <w:p w14:paraId="222B7314" w14:textId="77777777" w:rsidR="00FB6F8E" w:rsidRDefault="00FB6F8E" w:rsidP="00FB6F8E">
      <w:pPr>
        <w:ind w:left="84"/>
        <w:rPr>
          <w:b/>
          <w:bCs/>
          <w:sz w:val="32"/>
          <w:szCs w:val="28"/>
        </w:rPr>
      </w:pPr>
      <w:r>
        <w:rPr>
          <w:b/>
          <w:bCs/>
          <w:sz w:val="32"/>
          <w:szCs w:val="28"/>
        </w:rPr>
        <w:t xml:space="preserve">                                    and Premier Inn</w:t>
      </w:r>
    </w:p>
    <w:p w14:paraId="77EA7E3C" w14:textId="77777777" w:rsidR="00FB6F8E" w:rsidRDefault="00FB6F8E" w:rsidP="00FB6F8E">
      <w:pPr>
        <w:jc w:val="center"/>
        <w:rPr>
          <w:b/>
          <w:bCs/>
          <w:sz w:val="32"/>
          <w:szCs w:val="28"/>
        </w:rPr>
      </w:pPr>
    </w:p>
    <w:p w14:paraId="79F9B7EF" w14:textId="77777777" w:rsidR="00FB6F8E" w:rsidRDefault="00FB6F8E" w:rsidP="00FB6F8E">
      <w:pPr>
        <w:jc w:val="center"/>
        <w:rPr>
          <w:rFonts w:eastAsia="Times New Roman"/>
          <w:color w:val="000000"/>
          <w:kern w:val="24"/>
          <w:sz w:val="36"/>
          <w:szCs w:val="36"/>
          <w:lang w:val="en-US"/>
        </w:rPr>
      </w:pPr>
      <w:r>
        <w:rPr>
          <w:b/>
          <w:bCs/>
          <w:sz w:val="32"/>
          <w:szCs w:val="28"/>
        </w:rPr>
        <w:t>Student Name: Maria Magdalena Radu</w:t>
      </w:r>
      <w:r w:rsidRPr="006F6E46">
        <w:rPr>
          <w:rFonts w:eastAsia="Times New Roman"/>
          <w:color w:val="000000"/>
          <w:kern w:val="24"/>
          <w:sz w:val="36"/>
          <w:szCs w:val="36"/>
          <w:lang w:val="en-US"/>
        </w:rPr>
        <w:t xml:space="preserve"> </w:t>
      </w:r>
    </w:p>
    <w:p w14:paraId="7C123AA4" w14:textId="77777777" w:rsidR="00FB6F8E" w:rsidRDefault="00FB6F8E" w:rsidP="00FB6F8E">
      <w:pPr>
        <w:jc w:val="center"/>
        <w:rPr>
          <w:rFonts w:eastAsia="Times New Roman"/>
          <w:b/>
          <w:bCs/>
          <w:color w:val="000000"/>
          <w:kern w:val="24"/>
          <w:sz w:val="32"/>
          <w:szCs w:val="32"/>
          <w:lang w:val="en-US"/>
        </w:rPr>
      </w:pPr>
      <w:r w:rsidRPr="006F6E46">
        <w:rPr>
          <w:rFonts w:eastAsia="Times New Roman"/>
          <w:b/>
          <w:bCs/>
          <w:color w:val="000000"/>
          <w:kern w:val="24"/>
          <w:sz w:val="32"/>
          <w:szCs w:val="32"/>
          <w:lang w:val="en-US"/>
        </w:rPr>
        <w:t>Student id: 2126508</w:t>
      </w:r>
    </w:p>
    <w:p w14:paraId="6260984B" w14:textId="77777777" w:rsidR="00FB6F8E" w:rsidRDefault="00FB6F8E" w:rsidP="00FB6F8E">
      <w:pPr>
        <w:jc w:val="center"/>
        <w:rPr>
          <w:rFonts w:eastAsia="Times New Roman"/>
          <w:b/>
          <w:bCs/>
          <w:color w:val="000000"/>
          <w:kern w:val="24"/>
          <w:sz w:val="32"/>
          <w:szCs w:val="32"/>
          <w:lang w:val="en-US"/>
        </w:rPr>
      </w:pPr>
    </w:p>
    <w:p w14:paraId="2EBF52AF" w14:textId="77777777" w:rsidR="00FB6F8E" w:rsidRPr="006F6E46" w:rsidRDefault="00FB6F8E" w:rsidP="00FB6F8E">
      <w:pPr>
        <w:jc w:val="center"/>
        <w:rPr>
          <w:b/>
          <w:bCs/>
          <w:sz w:val="32"/>
          <w:szCs w:val="32"/>
        </w:rPr>
      </w:pPr>
      <w:r>
        <w:rPr>
          <w:rFonts w:eastAsia="Times New Roman"/>
          <w:b/>
          <w:bCs/>
          <w:color w:val="000000"/>
          <w:kern w:val="24"/>
          <w:sz w:val="32"/>
          <w:szCs w:val="32"/>
          <w:lang w:val="en-US"/>
        </w:rPr>
        <w:t>Lecturer: Tristan Hawkins</w:t>
      </w:r>
    </w:p>
    <w:p w14:paraId="7CD3CA74" w14:textId="77777777" w:rsidR="00FB6F8E" w:rsidRPr="00C77DD2" w:rsidRDefault="00FB6F8E" w:rsidP="00FB6F8E">
      <w:pPr>
        <w:jc w:val="center"/>
        <w:rPr>
          <w:b/>
          <w:bCs/>
          <w:sz w:val="32"/>
          <w:szCs w:val="28"/>
        </w:rPr>
      </w:pPr>
    </w:p>
    <w:p w14:paraId="640ABDE6" w14:textId="77777777" w:rsidR="00FB6F8E" w:rsidRPr="00C77DD2" w:rsidRDefault="00FB6F8E" w:rsidP="00FB6F8E">
      <w:pPr>
        <w:spacing w:line="259" w:lineRule="auto"/>
        <w:jc w:val="left"/>
        <w:rPr>
          <w:b/>
          <w:bCs/>
          <w:sz w:val="32"/>
          <w:szCs w:val="28"/>
        </w:rPr>
      </w:pPr>
      <w:r w:rsidRPr="00C77DD2">
        <w:rPr>
          <w:b/>
          <w:bCs/>
          <w:sz w:val="32"/>
          <w:szCs w:val="28"/>
        </w:rPr>
        <w:br w:type="page"/>
      </w:r>
    </w:p>
    <w:sdt>
      <w:sdtPr>
        <w:rPr>
          <w:rFonts w:ascii="Times New Roman" w:eastAsiaTheme="minorHAnsi" w:hAnsi="Times New Roman" w:cstheme="minorBidi"/>
          <w:color w:val="auto"/>
          <w:kern w:val="2"/>
          <w:sz w:val="24"/>
          <w:szCs w:val="22"/>
          <w:lang w:val="en-GB"/>
          <w14:ligatures w14:val="standardContextual"/>
        </w:rPr>
        <w:id w:val="-2025546585"/>
        <w:docPartObj>
          <w:docPartGallery w:val="Table of Contents"/>
          <w:docPartUnique/>
        </w:docPartObj>
      </w:sdtPr>
      <w:sdtEndPr>
        <w:rPr>
          <w:b/>
          <w:bCs/>
          <w:kern w:val="0"/>
          <w14:ligatures w14:val="none"/>
        </w:rPr>
      </w:sdtEndPr>
      <w:sdtContent>
        <w:p w14:paraId="0B2400D7" w14:textId="77777777" w:rsidR="00FB6F8E" w:rsidRPr="00C77DD2" w:rsidRDefault="00FB6F8E" w:rsidP="00FB6F8E">
          <w:pPr>
            <w:pStyle w:val="TOCHeading"/>
            <w:jc w:val="center"/>
            <w:rPr>
              <w:rFonts w:ascii="Times New Roman" w:hAnsi="Times New Roman" w:cs="Times New Roman"/>
              <w:b/>
              <w:bCs/>
              <w:color w:val="auto"/>
              <w:sz w:val="24"/>
              <w:szCs w:val="24"/>
              <w:lang w:val="en-GB"/>
            </w:rPr>
          </w:pPr>
          <w:r w:rsidRPr="00C77DD2">
            <w:rPr>
              <w:rFonts w:ascii="Times New Roman" w:hAnsi="Times New Roman" w:cs="Times New Roman"/>
              <w:b/>
              <w:bCs/>
              <w:color w:val="auto"/>
              <w:sz w:val="24"/>
              <w:szCs w:val="24"/>
              <w:lang w:val="en-GB"/>
            </w:rPr>
            <w:t>Table of Contents</w:t>
          </w:r>
        </w:p>
        <w:p w14:paraId="7F40FB3D" w14:textId="77777777" w:rsidR="00FB6F8E" w:rsidRDefault="00FB6F8E" w:rsidP="00FB6F8E">
          <w:pPr>
            <w:pStyle w:val="TOC1"/>
            <w:tabs>
              <w:tab w:val="right" w:leader="dot" w:pos="9016"/>
            </w:tabs>
            <w:rPr>
              <w:rFonts w:asciiTheme="minorHAnsi" w:eastAsiaTheme="minorEastAsia" w:hAnsiTheme="minorHAnsi"/>
              <w:noProof/>
              <w:sz w:val="22"/>
              <w:lang w:val="en-IN" w:eastAsia="en-IN"/>
            </w:rPr>
          </w:pPr>
          <w:r w:rsidRPr="00C77DD2">
            <w:fldChar w:fldCharType="begin"/>
          </w:r>
          <w:r w:rsidRPr="00C77DD2">
            <w:instrText xml:space="preserve"> TOC \o "1-3" \h \z \u </w:instrText>
          </w:r>
          <w:r w:rsidRPr="00C77DD2">
            <w:fldChar w:fldCharType="separate"/>
          </w:r>
          <w:hyperlink w:anchor="_Toc148375733" w:history="1">
            <w:r w:rsidRPr="003B4A4B">
              <w:rPr>
                <w:rStyle w:val="Hyperlink"/>
                <w:noProof/>
              </w:rPr>
              <w:t>Introduction</w:t>
            </w:r>
            <w:r>
              <w:rPr>
                <w:noProof/>
                <w:webHidden/>
              </w:rPr>
              <w:tab/>
            </w:r>
            <w:r>
              <w:rPr>
                <w:noProof/>
                <w:webHidden/>
              </w:rPr>
              <w:fldChar w:fldCharType="begin"/>
            </w:r>
            <w:r>
              <w:rPr>
                <w:noProof/>
                <w:webHidden/>
              </w:rPr>
              <w:instrText xml:space="preserve"> PAGEREF _Toc148375733 \h </w:instrText>
            </w:r>
            <w:r>
              <w:rPr>
                <w:noProof/>
                <w:webHidden/>
              </w:rPr>
            </w:r>
            <w:r>
              <w:rPr>
                <w:noProof/>
                <w:webHidden/>
              </w:rPr>
              <w:fldChar w:fldCharType="separate"/>
            </w:r>
            <w:r>
              <w:rPr>
                <w:noProof/>
                <w:webHidden/>
              </w:rPr>
              <w:t>2</w:t>
            </w:r>
            <w:r>
              <w:rPr>
                <w:noProof/>
                <w:webHidden/>
              </w:rPr>
              <w:fldChar w:fldCharType="end"/>
            </w:r>
          </w:hyperlink>
        </w:p>
        <w:p w14:paraId="7AF349C5" w14:textId="77777777" w:rsidR="00FB6F8E" w:rsidRDefault="00000000" w:rsidP="00FB6F8E">
          <w:pPr>
            <w:pStyle w:val="TOC1"/>
            <w:tabs>
              <w:tab w:val="right" w:leader="dot" w:pos="9016"/>
            </w:tabs>
            <w:rPr>
              <w:rFonts w:asciiTheme="minorHAnsi" w:eastAsiaTheme="minorEastAsia" w:hAnsiTheme="minorHAnsi"/>
              <w:noProof/>
              <w:sz w:val="22"/>
              <w:lang w:val="en-IN" w:eastAsia="en-IN"/>
            </w:rPr>
          </w:pPr>
          <w:hyperlink w:anchor="_Toc148375734" w:history="1">
            <w:r w:rsidR="00FB6F8E" w:rsidRPr="003B4A4B">
              <w:rPr>
                <w:rStyle w:val="Hyperlink"/>
                <w:noProof/>
              </w:rPr>
              <w:t>Total revenue</w:t>
            </w:r>
            <w:r w:rsidR="00FB6F8E">
              <w:rPr>
                <w:noProof/>
                <w:webHidden/>
              </w:rPr>
              <w:tab/>
            </w:r>
            <w:r w:rsidR="00FB6F8E">
              <w:rPr>
                <w:noProof/>
                <w:webHidden/>
              </w:rPr>
              <w:fldChar w:fldCharType="begin"/>
            </w:r>
            <w:r w:rsidR="00FB6F8E">
              <w:rPr>
                <w:noProof/>
                <w:webHidden/>
              </w:rPr>
              <w:instrText xml:space="preserve"> PAGEREF _Toc148375734 \h </w:instrText>
            </w:r>
            <w:r w:rsidR="00FB6F8E">
              <w:rPr>
                <w:noProof/>
                <w:webHidden/>
              </w:rPr>
            </w:r>
            <w:r w:rsidR="00FB6F8E">
              <w:rPr>
                <w:noProof/>
                <w:webHidden/>
              </w:rPr>
              <w:fldChar w:fldCharType="separate"/>
            </w:r>
            <w:r w:rsidR="00FB6F8E">
              <w:rPr>
                <w:noProof/>
                <w:webHidden/>
              </w:rPr>
              <w:t>2</w:t>
            </w:r>
            <w:r w:rsidR="00FB6F8E">
              <w:rPr>
                <w:noProof/>
                <w:webHidden/>
              </w:rPr>
              <w:fldChar w:fldCharType="end"/>
            </w:r>
          </w:hyperlink>
        </w:p>
        <w:p w14:paraId="6261F915" w14:textId="77777777" w:rsidR="00FB6F8E" w:rsidRDefault="00000000" w:rsidP="00FB6F8E">
          <w:pPr>
            <w:pStyle w:val="TOC1"/>
            <w:tabs>
              <w:tab w:val="right" w:leader="dot" w:pos="9016"/>
            </w:tabs>
            <w:rPr>
              <w:rFonts w:asciiTheme="minorHAnsi" w:eastAsiaTheme="minorEastAsia" w:hAnsiTheme="minorHAnsi"/>
              <w:noProof/>
              <w:sz w:val="22"/>
              <w:lang w:val="en-IN" w:eastAsia="en-IN"/>
            </w:rPr>
          </w:pPr>
          <w:hyperlink w:anchor="_Toc148375735" w:history="1">
            <w:r w:rsidR="00FB6F8E" w:rsidRPr="003B4A4B">
              <w:rPr>
                <w:rStyle w:val="Hyperlink"/>
                <w:rFonts w:eastAsia="Times New Roman"/>
                <w:noProof/>
                <w:lang w:eastAsia="en-IN"/>
              </w:rPr>
              <w:t>Market position</w:t>
            </w:r>
            <w:r w:rsidR="00FB6F8E">
              <w:rPr>
                <w:noProof/>
                <w:webHidden/>
              </w:rPr>
              <w:tab/>
            </w:r>
            <w:r w:rsidR="00FB6F8E">
              <w:rPr>
                <w:noProof/>
                <w:webHidden/>
              </w:rPr>
              <w:fldChar w:fldCharType="begin"/>
            </w:r>
            <w:r w:rsidR="00FB6F8E">
              <w:rPr>
                <w:noProof/>
                <w:webHidden/>
              </w:rPr>
              <w:instrText xml:space="preserve"> PAGEREF _Toc148375735 \h </w:instrText>
            </w:r>
            <w:r w:rsidR="00FB6F8E">
              <w:rPr>
                <w:noProof/>
                <w:webHidden/>
              </w:rPr>
            </w:r>
            <w:r w:rsidR="00FB6F8E">
              <w:rPr>
                <w:noProof/>
                <w:webHidden/>
              </w:rPr>
              <w:fldChar w:fldCharType="separate"/>
            </w:r>
            <w:r w:rsidR="00FB6F8E">
              <w:rPr>
                <w:noProof/>
                <w:webHidden/>
              </w:rPr>
              <w:t>3</w:t>
            </w:r>
            <w:r w:rsidR="00FB6F8E">
              <w:rPr>
                <w:noProof/>
                <w:webHidden/>
              </w:rPr>
              <w:fldChar w:fldCharType="end"/>
            </w:r>
          </w:hyperlink>
        </w:p>
        <w:p w14:paraId="639D97D5" w14:textId="77777777" w:rsidR="00FB6F8E" w:rsidRDefault="00000000" w:rsidP="00FB6F8E">
          <w:pPr>
            <w:pStyle w:val="TOC1"/>
            <w:tabs>
              <w:tab w:val="right" w:leader="dot" w:pos="9016"/>
            </w:tabs>
            <w:rPr>
              <w:rFonts w:asciiTheme="minorHAnsi" w:eastAsiaTheme="minorEastAsia" w:hAnsiTheme="minorHAnsi"/>
              <w:noProof/>
              <w:sz w:val="22"/>
              <w:lang w:val="en-IN" w:eastAsia="en-IN"/>
            </w:rPr>
          </w:pPr>
          <w:hyperlink w:anchor="_Toc148375736" w:history="1">
            <w:r w:rsidR="00FB6F8E" w:rsidRPr="003B4A4B">
              <w:rPr>
                <w:rStyle w:val="Hyperlink"/>
                <w:rFonts w:eastAsia="Times New Roman"/>
                <w:noProof/>
                <w:lang w:eastAsia="en-IN"/>
              </w:rPr>
              <w:t>Growth potential</w:t>
            </w:r>
            <w:r w:rsidR="00FB6F8E">
              <w:rPr>
                <w:noProof/>
                <w:webHidden/>
              </w:rPr>
              <w:tab/>
            </w:r>
            <w:r w:rsidR="00FB6F8E">
              <w:rPr>
                <w:noProof/>
                <w:webHidden/>
              </w:rPr>
              <w:fldChar w:fldCharType="begin"/>
            </w:r>
            <w:r w:rsidR="00FB6F8E">
              <w:rPr>
                <w:noProof/>
                <w:webHidden/>
              </w:rPr>
              <w:instrText xml:space="preserve"> PAGEREF _Toc148375736 \h </w:instrText>
            </w:r>
            <w:r w:rsidR="00FB6F8E">
              <w:rPr>
                <w:noProof/>
                <w:webHidden/>
              </w:rPr>
            </w:r>
            <w:r w:rsidR="00FB6F8E">
              <w:rPr>
                <w:noProof/>
                <w:webHidden/>
              </w:rPr>
              <w:fldChar w:fldCharType="separate"/>
            </w:r>
            <w:r w:rsidR="00FB6F8E">
              <w:rPr>
                <w:noProof/>
                <w:webHidden/>
              </w:rPr>
              <w:t>4</w:t>
            </w:r>
            <w:r w:rsidR="00FB6F8E">
              <w:rPr>
                <w:noProof/>
                <w:webHidden/>
              </w:rPr>
              <w:fldChar w:fldCharType="end"/>
            </w:r>
          </w:hyperlink>
        </w:p>
        <w:p w14:paraId="2FD6B43A" w14:textId="77777777" w:rsidR="00FB6F8E" w:rsidRDefault="00000000" w:rsidP="00FB6F8E">
          <w:pPr>
            <w:pStyle w:val="TOC1"/>
            <w:tabs>
              <w:tab w:val="right" w:leader="dot" w:pos="9016"/>
            </w:tabs>
            <w:rPr>
              <w:rFonts w:asciiTheme="minorHAnsi" w:eastAsiaTheme="minorEastAsia" w:hAnsiTheme="minorHAnsi"/>
              <w:noProof/>
              <w:sz w:val="22"/>
              <w:lang w:val="en-IN" w:eastAsia="en-IN"/>
            </w:rPr>
          </w:pPr>
          <w:hyperlink w:anchor="_Toc148375737" w:history="1">
            <w:r w:rsidR="00FB6F8E" w:rsidRPr="003B4A4B">
              <w:rPr>
                <w:rStyle w:val="Hyperlink"/>
                <w:rFonts w:eastAsia="Times New Roman"/>
                <w:noProof/>
                <w:lang w:eastAsia="en-IN"/>
              </w:rPr>
              <w:t>Financial commitment to CSR</w:t>
            </w:r>
            <w:r w:rsidR="00FB6F8E">
              <w:rPr>
                <w:noProof/>
                <w:webHidden/>
              </w:rPr>
              <w:tab/>
            </w:r>
            <w:r w:rsidR="00FB6F8E">
              <w:rPr>
                <w:noProof/>
                <w:webHidden/>
              </w:rPr>
              <w:fldChar w:fldCharType="begin"/>
            </w:r>
            <w:r w:rsidR="00FB6F8E">
              <w:rPr>
                <w:noProof/>
                <w:webHidden/>
              </w:rPr>
              <w:instrText xml:space="preserve"> PAGEREF _Toc148375737 \h </w:instrText>
            </w:r>
            <w:r w:rsidR="00FB6F8E">
              <w:rPr>
                <w:noProof/>
                <w:webHidden/>
              </w:rPr>
            </w:r>
            <w:r w:rsidR="00FB6F8E">
              <w:rPr>
                <w:noProof/>
                <w:webHidden/>
              </w:rPr>
              <w:fldChar w:fldCharType="separate"/>
            </w:r>
            <w:r w:rsidR="00FB6F8E">
              <w:rPr>
                <w:noProof/>
                <w:webHidden/>
              </w:rPr>
              <w:t>5</w:t>
            </w:r>
            <w:r w:rsidR="00FB6F8E">
              <w:rPr>
                <w:noProof/>
                <w:webHidden/>
              </w:rPr>
              <w:fldChar w:fldCharType="end"/>
            </w:r>
          </w:hyperlink>
        </w:p>
        <w:p w14:paraId="5ACCD37C" w14:textId="77777777" w:rsidR="00FB6F8E" w:rsidRDefault="00000000" w:rsidP="00FB6F8E">
          <w:pPr>
            <w:pStyle w:val="TOC1"/>
            <w:tabs>
              <w:tab w:val="right" w:leader="dot" w:pos="9016"/>
            </w:tabs>
            <w:rPr>
              <w:rFonts w:asciiTheme="minorHAnsi" w:eastAsiaTheme="minorEastAsia" w:hAnsiTheme="minorHAnsi"/>
              <w:noProof/>
              <w:sz w:val="22"/>
              <w:lang w:val="en-IN" w:eastAsia="en-IN"/>
            </w:rPr>
          </w:pPr>
          <w:hyperlink w:anchor="_Toc148375738" w:history="1">
            <w:r w:rsidR="00FB6F8E" w:rsidRPr="003B4A4B">
              <w:rPr>
                <w:rStyle w:val="Hyperlink"/>
                <w:noProof/>
                <w:lang w:eastAsia="en-IN"/>
              </w:rPr>
              <w:t>Research and Resources</w:t>
            </w:r>
            <w:r w:rsidR="00FB6F8E">
              <w:rPr>
                <w:noProof/>
                <w:webHidden/>
              </w:rPr>
              <w:tab/>
            </w:r>
            <w:r w:rsidR="00FB6F8E">
              <w:rPr>
                <w:noProof/>
                <w:webHidden/>
              </w:rPr>
              <w:fldChar w:fldCharType="begin"/>
            </w:r>
            <w:r w:rsidR="00FB6F8E">
              <w:rPr>
                <w:noProof/>
                <w:webHidden/>
              </w:rPr>
              <w:instrText xml:space="preserve"> PAGEREF _Toc148375738 \h </w:instrText>
            </w:r>
            <w:r w:rsidR="00FB6F8E">
              <w:rPr>
                <w:noProof/>
                <w:webHidden/>
              </w:rPr>
            </w:r>
            <w:r w:rsidR="00FB6F8E">
              <w:rPr>
                <w:noProof/>
                <w:webHidden/>
              </w:rPr>
              <w:fldChar w:fldCharType="separate"/>
            </w:r>
            <w:r w:rsidR="00FB6F8E">
              <w:rPr>
                <w:noProof/>
                <w:webHidden/>
              </w:rPr>
              <w:t>7</w:t>
            </w:r>
            <w:r w:rsidR="00FB6F8E">
              <w:rPr>
                <w:noProof/>
                <w:webHidden/>
              </w:rPr>
              <w:fldChar w:fldCharType="end"/>
            </w:r>
          </w:hyperlink>
        </w:p>
        <w:p w14:paraId="7EDA21A5" w14:textId="77777777" w:rsidR="00FB6F8E" w:rsidRDefault="00000000" w:rsidP="00FB6F8E">
          <w:pPr>
            <w:pStyle w:val="TOC1"/>
            <w:tabs>
              <w:tab w:val="right" w:leader="dot" w:pos="9016"/>
            </w:tabs>
            <w:rPr>
              <w:rFonts w:asciiTheme="minorHAnsi" w:eastAsiaTheme="minorEastAsia" w:hAnsiTheme="minorHAnsi"/>
              <w:noProof/>
              <w:sz w:val="22"/>
              <w:lang w:val="en-IN" w:eastAsia="en-IN"/>
            </w:rPr>
          </w:pPr>
          <w:hyperlink w:anchor="_Toc148375739" w:history="1">
            <w:r w:rsidR="00FB6F8E" w:rsidRPr="003B4A4B">
              <w:rPr>
                <w:rStyle w:val="Hyperlink"/>
                <w:rFonts w:eastAsia="Times New Roman"/>
                <w:noProof/>
                <w:lang w:eastAsia="en-IN"/>
              </w:rPr>
              <w:t>Recommendations</w:t>
            </w:r>
            <w:r w:rsidR="00FB6F8E">
              <w:rPr>
                <w:noProof/>
                <w:webHidden/>
              </w:rPr>
              <w:tab/>
            </w:r>
            <w:r w:rsidR="00FB6F8E">
              <w:rPr>
                <w:noProof/>
                <w:webHidden/>
              </w:rPr>
              <w:fldChar w:fldCharType="begin"/>
            </w:r>
            <w:r w:rsidR="00FB6F8E">
              <w:rPr>
                <w:noProof/>
                <w:webHidden/>
              </w:rPr>
              <w:instrText xml:space="preserve"> PAGEREF _Toc148375739 \h </w:instrText>
            </w:r>
            <w:r w:rsidR="00FB6F8E">
              <w:rPr>
                <w:noProof/>
                <w:webHidden/>
              </w:rPr>
            </w:r>
            <w:r w:rsidR="00FB6F8E">
              <w:rPr>
                <w:noProof/>
                <w:webHidden/>
              </w:rPr>
              <w:fldChar w:fldCharType="separate"/>
            </w:r>
            <w:r w:rsidR="00FB6F8E">
              <w:rPr>
                <w:noProof/>
                <w:webHidden/>
              </w:rPr>
              <w:t>10</w:t>
            </w:r>
            <w:r w:rsidR="00FB6F8E">
              <w:rPr>
                <w:noProof/>
                <w:webHidden/>
              </w:rPr>
              <w:fldChar w:fldCharType="end"/>
            </w:r>
          </w:hyperlink>
        </w:p>
        <w:p w14:paraId="1149C2D6" w14:textId="77777777" w:rsidR="00FB6F8E" w:rsidRDefault="00000000" w:rsidP="00FB6F8E">
          <w:pPr>
            <w:pStyle w:val="TOC1"/>
            <w:tabs>
              <w:tab w:val="right" w:leader="dot" w:pos="9016"/>
            </w:tabs>
            <w:rPr>
              <w:rFonts w:asciiTheme="minorHAnsi" w:eastAsiaTheme="minorEastAsia" w:hAnsiTheme="minorHAnsi"/>
              <w:noProof/>
              <w:sz w:val="22"/>
              <w:lang w:val="en-IN" w:eastAsia="en-IN"/>
            </w:rPr>
          </w:pPr>
          <w:hyperlink w:anchor="_Toc148375740" w:history="1">
            <w:r w:rsidR="00FB6F8E" w:rsidRPr="003B4A4B">
              <w:rPr>
                <w:rStyle w:val="Hyperlink"/>
                <w:noProof/>
              </w:rPr>
              <w:t>Conclusion</w:t>
            </w:r>
            <w:r w:rsidR="00FB6F8E">
              <w:rPr>
                <w:noProof/>
                <w:webHidden/>
              </w:rPr>
              <w:tab/>
            </w:r>
            <w:r w:rsidR="00FB6F8E">
              <w:rPr>
                <w:noProof/>
                <w:webHidden/>
              </w:rPr>
              <w:fldChar w:fldCharType="begin"/>
            </w:r>
            <w:r w:rsidR="00FB6F8E">
              <w:rPr>
                <w:noProof/>
                <w:webHidden/>
              </w:rPr>
              <w:instrText xml:space="preserve"> PAGEREF _Toc148375740 \h </w:instrText>
            </w:r>
            <w:r w:rsidR="00FB6F8E">
              <w:rPr>
                <w:noProof/>
                <w:webHidden/>
              </w:rPr>
            </w:r>
            <w:r w:rsidR="00FB6F8E">
              <w:rPr>
                <w:noProof/>
                <w:webHidden/>
              </w:rPr>
              <w:fldChar w:fldCharType="separate"/>
            </w:r>
            <w:r w:rsidR="00FB6F8E">
              <w:rPr>
                <w:noProof/>
                <w:webHidden/>
              </w:rPr>
              <w:t>11</w:t>
            </w:r>
            <w:r w:rsidR="00FB6F8E">
              <w:rPr>
                <w:noProof/>
                <w:webHidden/>
              </w:rPr>
              <w:fldChar w:fldCharType="end"/>
            </w:r>
          </w:hyperlink>
        </w:p>
        <w:p w14:paraId="55C44403" w14:textId="77777777" w:rsidR="00FB6F8E" w:rsidRDefault="00000000" w:rsidP="00FB6F8E">
          <w:pPr>
            <w:pStyle w:val="TOC1"/>
            <w:tabs>
              <w:tab w:val="right" w:leader="dot" w:pos="9016"/>
            </w:tabs>
            <w:rPr>
              <w:rFonts w:asciiTheme="minorHAnsi" w:eastAsiaTheme="minorEastAsia" w:hAnsiTheme="minorHAnsi"/>
              <w:noProof/>
              <w:sz w:val="22"/>
              <w:lang w:val="en-IN" w:eastAsia="en-IN"/>
            </w:rPr>
          </w:pPr>
          <w:hyperlink w:anchor="_Toc148375741" w:history="1">
            <w:r w:rsidR="00FB6F8E" w:rsidRPr="003B4A4B">
              <w:rPr>
                <w:rStyle w:val="Hyperlink"/>
                <w:noProof/>
              </w:rPr>
              <w:t>References</w:t>
            </w:r>
            <w:r w:rsidR="00FB6F8E">
              <w:rPr>
                <w:noProof/>
                <w:webHidden/>
              </w:rPr>
              <w:tab/>
            </w:r>
            <w:r w:rsidR="00FB6F8E">
              <w:rPr>
                <w:noProof/>
                <w:webHidden/>
              </w:rPr>
              <w:fldChar w:fldCharType="begin"/>
            </w:r>
            <w:r w:rsidR="00FB6F8E">
              <w:rPr>
                <w:noProof/>
                <w:webHidden/>
              </w:rPr>
              <w:instrText xml:space="preserve"> PAGEREF _Toc148375741 \h </w:instrText>
            </w:r>
            <w:r w:rsidR="00FB6F8E">
              <w:rPr>
                <w:noProof/>
                <w:webHidden/>
              </w:rPr>
            </w:r>
            <w:r w:rsidR="00FB6F8E">
              <w:rPr>
                <w:noProof/>
                <w:webHidden/>
              </w:rPr>
              <w:fldChar w:fldCharType="separate"/>
            </w:r>
            <w:r w:rsidR="00FB6F8E">
              <w:rPr>
                <w:noProof/>
                <w:webHidden/>
              </w:rPr>
              <w:t>13</w:t>
            </w:r>
            <w:r w:rsidR="00FB6F8E">
              <w:rPr>
                <w:noProof/>
                <w:webHidden/>
              </w:rPr>
              <w:fldChar w:fldCharType="end"/>
            </w:r>
          </w:hyperlink>
        </w:p>
        <w:p w14:paraId="657210BD" w14:textId="77777777" w:rsidR="00FB6F8E" w:rsidRPr="00C77DD2" w:rsidRDefault="00FB6F8E" w:rsidP="00FB6F8E">
          <w:r w:rsidRPr="00C77DD2">
            <w:rPr>
              <w:b/>
              <w:bCs/>
            </w:rPr>
            <w:fldChar w:fldCharType="end"/>
          </w:r>
        </w:p>
      </w:sdtContent>
    </w:sdt>
    <w:p w14:paraId="63F900D8" w14:textId="77777777" w:rsidR="00FB6F8E" w:rsidRPr="00C77DD2" w:rsidRDefault="00FB6F8E" w:rsidP="00FB6F8E">
      <w:pPr>
        <w:spacing w:line="259" w:lineRule="auto"/>
        <w:jc w:val="left"/>
        <w:rPr>
          <w:b/>
          <w:bCs/>
          <w:sz w:val="32"/>
          <w:szCs w:val="28"/>
        </w:rPr>
      </w:pPr>
    </w:p>
    <w:p w14:paraId="62A244AB" w14:textId="77777777" w:rsidR="00FB6F8E" w:rsidRPr="00C77DD2" w:rsidRDefault="00FB6F8E" w:rsidP="00FB6F8E">
      <w:pPr>
        <w:spacing w:line="259" w:lineRule="auto"/>
        <w:jc w:val="left"/>
        <w:rPr>
          <w:rFonts w:eastAsiaTheme="majorEastAsia" w:cstheme="majorBidi"/>
          <w:b/>
          <w:sz w:val="28"/>
          <w:szCs w:val="32"/>
        </w:rPr>
      </w:pPr>
      <w:r w:rsidRPr="00C77DD2">
        <w:br w:type="page"/>
      </w:r>
    </w:p>
    <w:p w14:paraId="06314B09" w14:textId="77777777" w:rsidR="00FB6F8E" w:rsidRPr="00C77DD2" w:rsidRDefault="00FB6F8E" w:rsidP="00FB6F8E">
      <w:pPr>
        <w:pStyle w:val="Heading1"/>
      </w:pPr>
      <w:bookmarkStart w:id="0" w:name="_Toc148375733"/>
      <w:r w:rsidRPr="00C77DD2">
        <w:lastRenderedPageBreak/>
        <w:t>Introduction</w:t>
      </w:r>
      <w:bookmarkEnd w:id="0"/>
    </w:p>
    <w:p w14:paraId="2C1855DD" w14:textId="77777777" w:rsidR="00FB6F8E" w:rsidRPr="00C77DD2" w:rsidRDefault="00FB6F8E" w:rsidP="00FB6F8E">
      <w:r w:rsidRPr="00C77DD2">
        <w:t xml:space="preserve">Premier Inn, operated by Whitbread, is a leading budget to mid-range hotel chain with over 800 properties across the UK and internationally. The organization is known for affordable accommodations and consistent quality. The organization further caters to both leisure and business travellers, focusing on providing value for money. The strategic presence and commitment to customer satisfaction have established the organization as a market leader in the budget hotel segment. On the contrary, Mandarin Oriental Hotel Group is a renowned luxury hotel brand, synonymous with sophistication and exclusivity. Moreover, with a global portfolio of upscale properties, Mandarin Oriental offers personalized services, exquisite dining, and luxurious amenities, catering to discerning travellers seeking high-end experiences. The emphasis on premium value propositions and exceptional customer service has positioned the organization as a symbol of luxury and indulgence in the hospitality industry. </w:t>
      </w:r>
    </w:p>
    <w:p w14:paraId="3CA2BE9A" w14:textId="77777777" w:rsidR="00FB6F8E" w:rsidRPr="00C77DD2" w:rsidRDefault="00FB6F8E" w:rsidP="00FB6F8E">
      <w:pPr>
        <w:pStyle w:val="Heading1"/>
      </w:pPr>
      <w:bookmarkStart w:id="1" w:name="_Toc148375734"/>
      <w:r w:rsidRPr="00C77DD2">
        <w:t>Total revenue</w:t>
      </w:r>
      <w:bookmarkEnd w:id="1"/>
    </w:p>
    <w:p w14:paraId="4A76E014" w14:textId="77777777" w:rsidR="00FB6F8E" w:rsidRPr="00C77DD2" w:rsidRDefault="00FB6F8E" w:rsidP="00FB6F8E">
      <w:r w:rsidRPr="00C77DD2">
        <w:t xml:space="preserve">Mandarin Oriental Hotel Group, positioned as a luxury hotel brand, reported a total revenue of approximately $774.7 million in the most recent fiscal year (Lietz and Bracken, 2019). Luxury lodging, fine dining, and exclusive spa treatments account for a sizeable amount of Mandarin Oriental's income. </w:t>
      </w:r>
      <w:proofErr w:type="gramStart"/>
      <w:r w:rsidRPr="00C77DD2">
        <w:t>The majority of</w:t>
      </w:r>
      <w:proofErr w:type="gramEnd"/>
      <w:r w:rsidRPr="00C77DD2">
        <w:t xml:space="preserve"> their customers are wealthy tourists looking for opulent and private accommodations. The group's revenue trend demonstrates consistency and is backed by its strategic position in key global hubs, which attracts discerning clients prepared to pay more for top-notch services. On the contrary Premier Inn, run by Whitbread, reported higher overall revenues for the same </w:t>
      </w:r>
      <w:proofErr w:type="gramStart"/>
      <w:r w:rsidRPr="00C77DD2">
        <w:t>time period</w:t>
      </w:r>
      <w:proofErr w:type="gramEnd"/>
      <w:r w:rsidRPr="00C77DD2">
        <w:t xml:space="preserve"> of about £2.04 billion (Mackillop, 2021). Revenue at Premier Inn comes from a variety of sources, including reservations for rooms, food and beverage services, and conference centres. </w:t>
      </w:r>
    </w:p>
    <w:p w14:paraId="4D7F39B4" w14:textId="77777777" w:rsidR="00FB6F8E" w:rsidRDefault="00FB6F8E" w:rsidP="00FB6F8E">
      <w:r w:rsidRPr="00C77DD2">
        <w:t>The strategy is to offer cosy but economical lodging, catering to travellers on a tight budget and business clientele. The revenue trajectory for Premier Inn shows steady growth, which is delivered by deliberate development into high-demand areas and a reputation for dependable and affordable services (Zeng, 2021). The high occupancy rates in prestigious locations, exclusive products, and development into new luxury markets are all contributing factors to revenue growth of Mandarin Oriental. The extensive network of locations, constant service standards, and low pricing of Premier Inn, which draws a wide variety of consumers, are all aspects that contribute to revenue development.</w:t>
      </w:r>
    </w:p>
    <w:p w14:paraId="091D66FF" w14:textId="77777777" w:rsidR="004906BC" w:rsidRPr="00C77DD2" w:rsidRDefault="004906BC" w:rsidP="00FB6F8E"/>
    <w:p w14:paraId="24D59173" w14:textId="77777777" w:rsidR="00FB6F8E" w:rsidRPr="00C77DD2" w:rsidRDefault="00FB6F8E" w:rsidP="00FB6F8E">
      <w:pPr>
        <w:pStyle w:val="Heading1"/>
        <w:rPr>
          <w:lang w:eastAsia="en-IN"/>
        </w:rPr>
      </w:pPr>
      <w:bookmarkStart w:id="2" w:name="_Toc148375735"/>
      <w:r w:rsidRPr="00C77DD2">
        <w:rPr>
          <w:lang w:eastAsia="en-IN"/>
        </w:rPr>
        <w:lastRenderedPageBreak/>
        <w:t>Market position</w:t>
      </w:r>
      <w:bookmarkEnd w:id="2"/>
    </w:p>
    <w:p w14:paraId="3039A133" w14:textId="77777777" w:rsidR="00FB6F8E" w:rsidRPr="00C77DD2" w:rsidRDefault="00FB6F8E" w:rsidP="00FB6F8E">
      <w:pPr>
        <w:rPr>
          <w:lang w:eastAsia="en-IN"/>
        </w:rPr>
      </w:pPr>
      <w:r w:rsidRPr="00C77DD2">
        <w:rPr>
          <w:lang w:eastAsia="en-IN"/>
        </w:rPr>
        <w:t>Premier Inn is considered a premier chain of low to mid-priced hotels, with a sizable network of more than 800 locations throughout the UK and worldwide (</w:t>
      </w:r>
      <w:proofErr w:type="spellStart"/>
      <w:r w:rsidRPr="00C77DD2">
        <w:t>Vandkilde</w:t>
      </w:r>
      <w:proofErr w:type="spellEnd"/>
      <w:r w:rsidRPr="00C77DD2">
        <w:t>, 2019)</w:t>
      </w:r>
      <w:r w:rsidRPr="00C77DD2">
        <w:rPr>
          <w:lang w:eastAsia="en-IN"/>
        </w:rPr>
        <w:t>. The strength is offering dependable, pleasant, and reasonable lodging, which makes it especially well-liked among families, leisure travellers, and businesspeople looking for value. The market share of Premier Inn is sizable, particularly in the UK, where it dominates the market for low-cost lodging. The company is viewed as practical, reliable, and family-friendly, which appeals to a wide range of consumers who value price without sacrificing quality (</w:t>
      </w:r>
      <w:r w:rsidRPr="00C77DD2">
        <w:t xml:space="preserve">Manns </w:t>
      </w:r>
      <w:r w:rsidRPr="00C77DD2">
        <w:rPr>
          <w:i/>
          <w:iCs/>
        </w:rPr>
        <w:t>et al.,</w:t>
      </w:r>
      <w:r w:rsidRPr="00C77DD2">
        <w:t xml:space="preserve"> 2019)</w:t>
      </w:r>
      <w:r w:rsidRPr="00C77DD2">
        <w:rPr>
          <w:lang w:eastAsia="en-IN"/>
        </w:rPr>
        <w:t xml:space="preserve">. On the contrary, Mandarin Oriental Hotel Group engages in the luxury hotel business and positions itself as a premium and exclusive brand. </w:t>
      </w:r>
    </w:p>
    <w:p w14:paraId="2DE9F2C0" w14:textId="77777777" w:rsidR="00FB6F8E" w:rsidRPr="00C77DD2" w:rsidRDefault="00FB6F8E" w:rsidP="00FB6F8E">
      <w:pPr>
        <w:rPr>
          <w:lang w:eastAsia="en-IN"/>
        </w:rPr>
      </w:pPr>
      <w:r w:rsidRPr="00C77DD2">
        <w:rPr>
          <w:lang w:eastAsia="en-IN"/>
        </w:rPr>
        <w:t xml:space="preserve">Mandarin Oriental offers upscale rooms, delectable cuisine, and individualised services to affluent tourists, famous people, and high-net-worth individuals. The brand is famous for its great customer experience and opulent amenities, </w:t>
      </w:r>
      <w:proofErr w:type="gramStart"/>
      <w:r w:rsidRPr="00C77DD2">
        <w:rPr>
          <w:lang w:eastAsia="en-IN"/>
        </w:rPr>
        <w:t>despite the fact that</w:t>
      </w:r>
      <w:proofErr w:type="gramEnd"/>
      <w:r w:rsidRPr="00C77DD2">
        <w:rPr>
          <w:lang w:eastAsia="en-IN"/>
        </w:rPr>
        <w:t xml:space="preserve"> its market share is relatively smaller owing to the exclusive nature of its services. Customers of Mandarin Oriental are affluent travellers who value personalised services, distinctive cultural encounters, and sumptuous surroundings (</w:t>
      </w:r>
      <w:r w:rsidRPr="00C77DD2">
        <w:t>Eckhardt, 2020)</w:t>
      </w:r>
      <w:r w:rsidRPr="00C77DD2">
        <w:rPr>
          <w:lang w:eastAsia="en-IN"/>
        </w:rPr>
        <w:t>. Regarding brand perception, Premier Inn is usually regarded as a sensible and trustworthy option that is renowned for its reliability and accessibility. Mandarin Oriental, on the other hand, is seen as a representation of wealth and refinement, as well as of indulgence and high calibre.</w:t>
      </w:r>
    </w:p>
    <w:p w14:paraId="031285B2" w14:textId="77777777" w:rsidR="00FB6F8E" w:rsidRDefault="00FB6F8E" w:rsidP="00FB6F8E">
      <w:pPr>
        <w:rPr>
          <w:lang w:eastAsia="en-IN"/>
        </w:rPr>
      </w:pPr>
      <w:r w:rsidRPr="00C77DD2">
        <w:rPr>
          <w:lang w:eastAsia="en-IN"/>
        </w:rPr>
        <w:t>Premier Inn, on the other hand, has a stronghold on the low to mid-range market and caters to practical travellers looking for price and dependability. Mandarin Oriental, on the other hand, caters to affluent clients who are willing to pay more for exceptional experiences and exclusivity. Both companies successfully target their different consumer segments by capitalising on their distinct market positions to create a solid presence in the cutthroat hotel sector.</w:t>
      </w:r>
    </w:p>
    <w:p w14:paraId="026FE50C" w14:textId="77777777" w:rsidR="004906BC" w:rsidRDefault="004906BC" w:rsidP="00FB6F8E">
      <w:pPr>
        <w:rPr>
          <w:lang w:eastAsia="en-IN"/>
        </w:rPr>
      </w:pPr>
    </w:p>
    <w:p w14:paraId="622E3A32" w14:textId="77777777" w:rsidR="004906BC" w:rsidRDefault="004906BC" w:rsidP="00FB6F8E">
      <w:pPr>
        <w:rPr>
          <w:lang w:eastAsia="en-IN"/>
        </w:rPr>
      </w:pPr>
    </w:p>
    <w:p w14:paraId="3CE0EAEA" w14:textId="77777777" w:rsidR="004906BC" w:rsidRDefault="004906BC" w:rsidP="00FB6F8E">
      <w:pPr>
        <w:rPr>
          <w:lang w:eastAsia="en-IN"/>
        </w:rPr>
      </w:pPr>
    </w:p>
    <w:p w14:paraId="76693400" w14:textId="77777777" w:rsidR="004906BC" w:rsidRDefault="004906BC" w:rsidP="00FB6F8E">
      <w:pPr>
        <w:rPr>
          <w:lang w:eastAsia="en-IN"/>
        </w:rPr>
      </w:pPr>
    </w:p>
    <w:p w14:paraId="48AA590F" w14:textId="77777777" w:rsidR="004906BC" w:rsidRPr="00C77DD2" w:rsidRDefault="004906BC" w:rsidP="00FB6F8E">
      <w:pPr>
        <w:rPr>
          <w:lang w:eastAsia="en-IN"/>
        </w:rPr>
      </w:pPr>
    </w:p>
    <w:p w14:paraId="789FBE40" w14:textId="77777777" w:rsidR="00FB6F8E" w:rsidRPr="00C77DD2" w:rsidRDefault="00FB6F8E" w:rsidP="00FB6F8E">
      <w:pPr>
        <w:pStyle w:val="Heading1"/>
        <w:rPr>
          <w:lang w:eastAsia="en-IN"/>
        </w:rPr>
      </w:pPr>
      <w:bookmarkStart w:id="3" w:name="_Toc148375736"/>
      <w:r w:rsidRPr="00C77DD2">
        <w:rPr>
          <w:lang w:eastAsia="en-IN"/>
        </w:rPr>
        <w:lastRenderedPageBreak/>
        <w:t>Growth potential</w:t>
      </w:r>
      <w:bookmarkEnd w:id="3"/>
    </w:p>
    <w:p w14:paraId="23528D1F" w14:textId="77777777" w:rsidR="00FB6F8E" w:rsidRPr="00C77DD2" w:rsidRDefault="00FB6F8E" w:rsidP="00FB6F8E">
      <w:pPr>
        <w:jc w:val="center"/>
        <w:rPr>
          <w:lang w:eastAsia="en-IN"/>
        </w:rPr>
      </w:pPr>
      <w:r w:rsidRPr="00C77DD2">
        <w:rPr>
          <w:noProof/>
        </w:rPr>
        <w:drawing>
          <wp:inline distT="0" distB="0" distL="0" distR="0" wp14:anchorId="25BDC35C" wp14:editId="7BFC5864">
            <wp:extent cx="4186274" cy="2979420"/>
            <wp:effectExtent l="0" t="0" r="5080" b="0"/>
            <wp:docPr id="518454474" name="Picture 2" descr="Global tourism sector market size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bal tourism sector market size 2023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0321" cy="2982301"/>
                    </a:xfrm>
                    <a:prstGeom prst="rect">
                      <a:avLst/>
                    </a:prstGeom>
                    <a:noFill/>
                    <a:ln>
                      <a:noFill/>
                    </a:ln>
                  </pic:spPr>
                </pic:pic>
              </a:graphicData>
            </a:graphic>
          </wp:inline>
        </w:drawing>
      </w:r>
    </w:p>
    <w:p w14:paraId="30FCB002" w14:textId="77777777" w:rsidR="00FB6F8E" w:rsidRPr="00C77DD2" w:rsidRDefault="00FB6F8E" w:rsidP="00FB6F8E">
      <w:pPr>
        <w:jc w:val="center"/>
        <w:rPr>
          <w:b/>
          <w:bCs/>
          <w:lang w:eastAsia="en-IN"/>
        </w:rPr>
      </w:pPr>
      <w:r w:rsidRPr="00C77DD2">
        <w:rPr>
          <w:b/>
          <w:bCs/>
          <w:lang w:eastAsia="en-IN"/>
        </w:rPr>
        <w:t xml:space="preserve">Figure 1: Global tourism growth </w:t>
      </w:r>
    </w:p>
    <w:p w14:paraId="68F91D15" w14:textId="77777777" w:rsidR="00FB6F8E" w:rsidRPr="00C77DD2" w:rsidRDefault="00FB6F8E" w:rsidP="00FB6F8E">
      <w:pPr>
        <w:jc w:val="center"/>
        <w:rPr>
          <w:lang w:eastAsia="en-IN"/>
        </w:rPr>
      </w:pPr>
      <w:r w:rsidRPr="00C77DD2">
        <w:rPr>
          <w:lang w:eastAsia="en-IN"/>
        </w:rPr>
        <w:t xml:space="preserve">(Source: </w:t>
      </w:r>
      <w:r w:rsidRPr="00C77DD2">
        <w:t>Statista, 2023)</w:t>
      </w:r>
    </w:p>
    <w:p w14:paraId="37DD9F19" w14:textId="77777777" w:rsidR="00FB6F8E" w:rsidRPr="00C77DD2" w:rsidRDefault="00FB6F8E" w:rsidP="00FB6F8E">
      <w:pPr>
        <w:rPr>
          <w:lang w:eastAsia="en-IN"/>
        </w:rPr>
      </w:pPr>
      <w:r w:rsidRPr="002C44EA">
        <w:rPr>
          <w:lang w:eastAsia="en-IN"/>
        </w:rPr>
        <w:t>With the well-established reputation and dedication to excellence, Premier Inn should seriously explore strategically entering new markets inside of Saudi Arabia</w:t>
      </w:r>
      <w:r w:rsidRPr="00C77DD2">
        <w:rPr>
          <w:lang w:eastAsia="en-IN"/>
        </w:rPr>
        <w:t>. Numerous opportunities exist in the global hospitality business for expansion and diversification. The World Travel &amp; Tourism Council estimates that in 2018, the travel and tourism industry employed over 319 million people and made up 10.4% of the global GDP (</w:t>
      </w:r>
      <w:r w:rsidRPr="00C77DD2">
        <w:t xml:space="preserve">Wilkins and </w:t>
      </w:r>
      <w:proofErr w:type="spellStart"/>
      <w:r w:rsidRPr="00C77DD2">
        <w:t>Emik</w:t>
      </w:r>
      <w:proofErr w:type="spellEnd"/>
      <w:r w:rsidRPr="00C77DD2">
        <w:t>, 2021)</w:t>
      </w:r>
      <w:r w:rsidRPr="00C77DD2">
        <w:rPr>
          <w:lang w:eastAsia="en-IN"/>
        </w:rPr>
        <w:t>. The enormous market that Premier Inn can access is because of the strong demand for travel services. Moreover, by considering the demand and supply theory, Premier Inn can deliberately pinpoint areas where there is a greater demand than supply for high-quality lodging, allowing the company to fill the gap.</w:t>
      </w:r>
    </w:p>
    <w:p w14:paraId="4C2D4E35" w14:textId="77777777" w:rsidR="00FB6F8E" w:rsidRPr="00C77DD2" w:rsidRDefault="00FB6F8E" w:rsidP="00FB6F8E">
      <w:pPr>
        <w:rPr>
          <w:lang w:eastAsia="en-IN"/>
        </w:rPr>
      </w:pPr>
      <w:r w:rsidRPr="00C77DD2">
        <w:rPr>
          <w:lang w:eastAsia="en-IN"/>
        </w:rPr>
        <w:t>Additionally, the future development of Premier Inn fits with current travel trends worldwide. International tourist arrivals globally hit 1.5 billion in 2019, indicating a consistent rise in international travel (</w:t>
      </w:r>
      <w:r w:rsidRPr="00C77DD2">
        <w:t>Negi and Lohani, 2021)</w:t>
      </w:r>
      <w:r w:rsidRPr="00C77DD2">
        <w:rPr>
          <w:lang w:eastAsia="en-IN"/>
        </w:rPr>
        <w:t xml:space="preserve">. This upward trend suggests a steady need for lodging services, creating a favourable climate for Premier Inn's expansion plans. Premier Inn can successfully position itself in these high-demand international markets by utilising its expertise in catering to different client demands and preferences, thereby changing the demand curve in its favour. Moreover, Premier Inn's expansion into a variety of areas promotes </w:t>
      </w:r>
      <w:r w:rsidRPr="00C77DD2">
        <w:rPr>
          <w:lang w:eastAsia="en-IN"/>
        </w:rPr>
        <w:lastRenderedPageBreak/>
        <w:t>economic development and job prospects. The organisation encourages entrepreneurship and entrepreneurial activity by making investments in local economies.</w:t>
      </w:r>
    </w:p>
    <w:p w14:paraId="011E3614" w14:textId="77777777" w:rsidR="00FB6F8E" w:rsidRPr="00C77DD2" w:rsidRDefault="00FB6F8E" w:rsidP="00FB6F8E">
      <w:pPr>
        <w:rPr>
          <w:lang w:eastAsia="en-IN"/>
        </w:rPr>
      </w:pPr>
      <w:r w:rsidRPr="00C77DD2">
        <w:rPr>
          <w:lang w:eastAsia="en-IN"/>
        </w:rPr>
        <w:t>With its cost-effective strategy and ambitious expansion plans, Premier Inn continues to profit from the expanding demand for inexpensive hotels around the world. Premier Inn intends to considerably increase the number of rooms it offers, with a heavy emphasis on portfolio diversification and foraying into new regions. Mandarin Oriental, in contrast, capitalises on the rising demand for premium and upscale travel experiences by concentrating on targeted luxury market penetration (</w:t>
      </w:r>
      <w:r w:rsidRPr="00C77DD2">
        <w:t>Golia, 2021)</w:t>
      </w:r>
      <w:r w:rsidRPr="00C77DD2">
        <w:rPr>
          <w:lang w:eastAsia="en-IN"/>
        </w:rPr>
        <w:t>. The organizations aspire for a more selective expansion strategy by concentrating on wealthy tourists in strategic locations. However, obstacles including fierce competition, erratic economic conditions, and regulatory difficulties continue for both. Finding optimal locations is crucial since Mandarin Oriental confronts obstacles connected to the exclusivity of its products while Premier Inn struggles to maintain consistent quality over a vast number of buildings.</w:t>
      </w:r>
    </w:p>
    <w:p w14:paraId="7F0D432D" w14:textId="77777777" w:rsidR="00FB6F8E" w:rsidRPr="00C77DD2" w:rsidRDefault="00FB6F8E" w:rsidP="00FB6F8E">
      <w:pPr>
        <w:pStyle w:val="Heading1"/>
        <w:rPr>
          <w:lang w:eastAsia="en-IN"/>
        </w:rPr>
      </w:pPr>
      <w:bookmarkStart w:id="4" w:name="_Toc148375737"/>
      <w:r w:rsidRPr="00C77DD2">
        <w:rPr>
          <w:lang w:eastAsia="en-IN"/>
        </w:rPr>
        <w:t>Financial commitment to CSR</w:t>
      </w:r>
      <w:bookmarkEnd w:id="4"/>
    </w:p>
    <w:p w14:paraId="3AD7121B" w14:textId="77777777" w:rsidR="00FB6F8E" w:rsidRPr="00C77DD2" w:rsidRDefault="00FB6F8E" w:rsidP="00FB6F8E">
      <w:pPr>
        <w:rPr>
          <w:b/>
          <w:bCs/>
          <w:lang w:eastAsia="en-IN"/>
        </w:rPr>
      </w:pPr>
      <w:r w:rsidRPr="00C77DD2">
        <w:rPr>
          <w:b/>
          <w:bCs/>
          <w:lang w:eastAsia="en-IN"/>
        </w:rPr>
        <w:t>Premier Inn Financial Commitment to CSR Initiatives</w:t>
      </w:r>
    </w:p>
    <w:p w14:paraId="67DE6575" w14:textId="77777777" w:rsidR="00FB6F8E" w:rsidRPr="00C77DD2" w:rsidRDefault="00FB6F8E" w:rsidP="00FB6F8E">
      <w:pPr>
        <w:rPr>
          <w:lang w:eastAsia="en-IN"/>
        </w:rPr>
      </w:pPr>
      <w:r w:rsidRPr="00C77DD2">
        <w:rPr>
          <w:lang w:eastAsia="en-IN"/>
        </w:rPr>
        <w:t xml:space="preserve">Corporate Social Responsibility (CSR) activities, which cover environmental practises, community participation and moral business practises, have received considerable financial support from Premier Inn. Whitbread, the parent company of Premier Inn, contributed £8 million to </w:t>
      </w:r>
      <w:proofErr w:type="gramStart"/>
      <w:r w:rsidRPr="00C77DD2">
        <w:rPr>
          <w:lang w:eastAsia="en-IN"/>
        </w:rPr>
        <w:t>a number of</w:t>
      </w:r>
      <w:proofErr w:type="gramEnd"/>
      <w:r w:rsidRPr="00C77DD2">
        <w:rPr>
          <w:lang w:eastAsia="en-IN"/>
        </w:rPr>
        <w:t xml:space="preserve"> neighbourhood projects and philanthropic endeavours for the fiscal year 2021 (Woo </w:t>
      </w:r>
      <w:r w:rsidRPr="00C77DD2">
        <w:rPr>
          <w:i/>
          <w:iCs/>
          <w:lang w:eastAsia="en-IN"/>
        </w:rPr>
        <w:t>et al.,</w:t>
      </w:r>
      <w:r w:rsidRPr="00C77DD2">
        <w:rPr>
          <w:lang w:eastAsia="en-IN"/>
        </w:rPr>
        <w:t xml:space="preserve"> 2019). They have strong sustainability policies such as by 2040, Premier Inn wants to have net-zero carbon emissions. The organization further demonstrated their dedication to environmental sustainability by cutting </w:t>
      </w:r>
      <w:r>
        <w:rPr>
          <w:lang w:eastAsia="en-IN"/>
        </w:rPr>
        <w:t>its</w:t>
      </w:r>
      <w:r w:rsidRPr="00C77DD2">
        <w:rPr>
          <w:lang w:eastAsia="en-IN"/>
        </w:rPr>
        <w:t xml:space="preserve"> carbon emissions by 24% per square metre in 2020 when compared to their baseline emissions in 2017 (Zhang and Potter, 2022).</w:t>
      </w:r>
    </w:p>
    <w:p w14:paraId="59E71690" w14:textId="77777777" w:rsidR="00FB6F8E" w:rsidRPr="00C77DD2" w:rsidRDefault="00FB6F8E" w:rsidP="00FB6F8E">
      <w:pPr>
        <w:rPr>
          <w:b/>
          <w:bCs/>
          <w:i/>
          <w:iCs/>
          <w:lang w:eastAsia="en-IN"/>
        </w:rPr>
      </w:pPr>
      <w:r w:rsidRPr="00C77DD2">
        <w:rPr>
          <w:b/>
          <w:bCs/>
          <w:i/>
          <w:iCs/>
          <w:lang w:eastAsia="en-IN"/>
        </w:rPr>
        <w:t>Community Engagement</w:t>
      </w:r>
    </w:p>
    <w:p w14:paraId="11598315" w14:textId="77777777" w:rsidR="00FB6F8E" w:rsidRPr="00C77DD2" w:rsidRDefault="00FB6F8E" w:rsidP="00FB6F8E">
      <w:pPr>
        <w:rPr>
          <w:lang w:eastAsia="en-IN"/>
        </w:rPr>
      </w:pPr>
      <w:r w:rsidRPr="00C77DD2">
        <w:rPr>
          <w:lang w:eastAsia="en-IN"/>
        </w:rPr>
        <w:t>Premier Inn actively participates in the neighbourhood with its Force for Good initiative. They gave local communities approximately £2.5 million in 2020 to support programmes for employment, health, and education (Zhang and Potter, 2022). To further demonstrate their commitment to healthcare and children's welfare, they are actively active in the Great Ormond Street Hospital Children's Charity. This involvement represents a significant financial investment in the growth and well-being of the community.</w:t>
      </w:r>
    </w:p>
    <w:p w14:paraId="32067E44" w14:textId="77777777" w:rsidR="00FB6F8E" w:rsidRPr="00C77DD2" w:rsidRDefault="00FB6F8E" w:rsidP="00FB6F8E">
      <w:pPr>
        <w:rPr>
          <w:b/>
          <w:bCs/>
          <w:i/>
          <w:iCs/>
          <w:lang w:eastAsia="en-IN"/>
        </w:rPr>
      </w:pPr>
      <w:r w:rsidRPr="00C77DD2">
        <w:rPr>
          <w:b/>
          <w:bCs/>
          <w:i/>
          <w:iCs/>
          <w:lang w:eastAsia="en-IN"/>
        </w:rPr>
        <w:t>"Ethical Business Practises"</w:t>
      </w:r>
    </w:p>
    <w:p w14:paraId="3E26D50A" w14:textId="77777777" w:rsidR="00FB6F8E" w:rsidRPr="00C77DD2" w:rsidRDefault="00FB6F8E" w:rsidP="00FB6F8E">
      <w:pPr>
        <w:rPr>
          <w:lang w:eastAsia="en-IN"/>
        </w:rPr>
      </w:pPr>
      <w:r w:rsidRPr="00C77DD2">
        <w:rPr>
          <w:lang w:eastAsia="en-IN"/>
        </w:rPr>
        <w:lastRenderedPageBreak/>
        <w:t xml:space="preserve">The code of Premier Inn includes ethical business conduct, which follow the Modern Slavery Act, making sure there is no forced labour in their supply networks. Additionally, they support diversity and inclusion within their workforce through programmes to boost gender diversity and ethnic minority representation. They demonstrated their dedication to gender equality in 2020 by having 42% women on their executive team (Woo </w:t>
      </w:r>
      <w:r w:rsidRPr="00C77DD2">
        <w:rPr>
          <w:i/>
          <w:iCs/>
          <w:lang w:eastAsia="en-IN"/>
        </w:rPr>
        <w:t>et al.,</w:t>
      </w:r>
      <w:r w:rsidRPr="00C77DD2">
        <w:rPr>
          <w:lang w:eastAsia="en-IN"/>
        </w:rPr>
        <w:t xml:space="preserve"> 2019).</w:t>
      </w:r>
    </w:p>
    <w:p w14:paraId="72C7AE68" w14:textId="77777777" w:rsidR="00FB6F8E" w:rsidRPr="00C77DD2" w:rsidRDefault="00FB6F8E" w:rsidP="00FB6F8E">
      <w:pPr>
        <w:rPr>
          <w:b/>
          <w:bCs/>
          <w:lang w:eastAsia="en-IN"/>
        </w:rPr>
      </w:pPr>
      <w:r w:rsidRPr="00C77DD2">
        <w:rPr>
          <w:b/>
          <w:bCs/>
          <w:lang w:eastAsia="en-IN"/>
        </w:rPr>
        <w:t>Mandarin Oriental Hotel Group's Financial Commitment to CSR Initiatives</w:t>
      </w:r>
    </w:p>
    <w:p w14:paraId="717ABA73" w14:textId="77777777" w:rsidR="00FB6F8E" w:rsidRPr="00C77DD2" w:rsidRDefault="00FB6F8E" w:rsidP="00FB6F8E">
      <w:pPr>
        <w:rPr>
          <w:lang w:eastAsia="en-IN"/>
        </w:rPr>
      </w:pPr>
      <w:r w:rsidRPr="00C77DD2">
        <w:rPr>
          <w:lang w:eastAsia="en-IN"/>
        </w:rPr>
        <w:t xml:space="preserve">The Mandarin Oriental Hotel Group is well known for providing luxurious services, and their financial support of CSR programmes fits with their luxury brand reputation. Mandarin Oriental places a strong emphasis on high-impact, community-focused projects and sustainable practises, even though precise financial information is not easily accessible to the </w:t>
      </w:r>
      <w:proofErr w:type="gramStart"/>
      <w:r w:rsidRPr="00C77DD2">
        <w:rPr>
          <w:lang w:eastAsia="en-IN"/>
        </w:rPr>
        <w:t>general public</w:t>
      </w:r>
      <w:proofErr w:type="gramEnd"/>
      <w:r w:rsidRPr="00C77DD2">
        <w:rPr>
          <w:lang w:eastAsia="en-IN"/>
        </w:rPr>
        <w:t>.</w:t>
      </w:r>
    </w:p>
    <w:p w14:paraId="0C4FB28F" w14:textId="77777777" w:rsidR="00FB6F8E" w:rsidRPr="00C77DD2" w:rsidRDefault="00FB6F8E" w:rsidP="00FB6F8E">
      <w:pPr>
        <w:rPr>
          <w:b/>
          <w:bCs/>
          <w:i/>
          <w:iCs/>
          <w:lang w:eastAsia="en-IN"/>
        </w:rPr>
      </w:pPr>
      <w:r w:rsidRPr="00C77DD2">
        <w:rPr>
          <w:b/>
          <w:bCs/>
          <w:i/>
          <w:iCs/>
          <w:lang w:eastAsia="en-IN"/>
        </w:rPr>
        <w:t>Sustainable Business Practises</w:t>
      </w:r>
    </w:p>
    <w:p w14:paraId="6881D743" w14:textId="77777777" w:rsidR="00FB6F8E" w:rsidRPr="00C77DD2" w:rsidRDefault="00FB6F8E" w:rsidP="00FB6F8E">
      <w:pPr>
        <w:rPr>
          <w:lang w:eastAsia="en-IN"/>
        </w:rPr>
      </w:pPr>
      <w:r w:rsidRPr="00C77DD2">
        <w:rPr>
          <w:lang w:eastAsia="en-IN"/>
        </w:rPr>
        <w:t xml:space="preserve">The Mandarin Oriental is committed to protecting the environment. For instance, their hotel in Bangkok implemented programmes like garbage composting, rooftop organic farming, and energy-efficient lighting. The organisation wants to use less water and energy on </w:t>
      </w:r>
      <w:proofErr w:type="gramStart"/>
      <w:r w:rsidRPr="00C77DD2">
        <w:rPr>
          <w:lang w:eastAsia="en-IN"/>
        </w:rPr>
        <w:t>all of</w:t>
      </w:r>
      <w:proofErr w:type="gramEnd"/>
      <w:r w:rsidRPr="00C77DD2">
        <w:rPr>
          <w:lang w:eastAsia="en-IN"/>
        </w:rPr>
        <w:t xml:space="preserve"> their properties (Cardon, 2022). Such projects necessitate significant financial investments in environmentally friendly practices and technologies, proving their dedication to environmental responsibility.</w:t>
      </w:r>
    </w:p>
    <w:p w14:paraId="582C11D6" w14:textId="77777777" w:rsidR="00FB6F8E" w:rsidRPr="00C77DD2" w:rsidRDefault="00FB6F8E" w:rsidP="00FB6F8E">
      <w:pPr>
        <w:rPr>
          <w:b/>
          <w:bCs/>
          <w:i/>
          <w:iCs/>
          <w:lang w:eastAsia="en-IN"/>
        </w:rPr>
      </w:pPr>
      <w:r w:rsidRPr="00C77DD2">
        <w:rPr>
          <w:b/>
          <w:bCs/>
          <w:i/>
          <w:iCs/>
          <w:lang w:eastAsia="en-IN"/>
        </w:rPr>
        <w:t>Community engagement:</w:t>
      </w:r>
    </w:p>
    <w:p w14:paraId="2DB5192F" w14:textId="77777777" w:rsidR="00FB6F8E" w:rsidRPr="00C77DD2" w:rsidRDefault="00FB6F8E" w:rsidP="00FB6F8E">
      <w:pPr>
        <w:rPr>
          <w:lang w:eastAsia="en-IN"/>
        </w:rPr>
      </w:pPr>
      <w:r w:rsidRPr="00C77DD2">
        <w:rPr>
          <w:lang w:eastAsia="en-IN"/>
        </w:rPr>
        <w:t xml:space="preserve">Through programmes like their 'Fans of M.O.' charity programme, which helps regional nonprofits, Mandarin Oriental engages with communities. Additionally, they have partnered with organisations that emphasise female empowerment and poverty reduction, such as the </w:t>
      </w:r>
      <w:proofErr w:type="spellStart"/>
      <w:r w:rsidRPr="00C77DD2">
        <w:rPr>
          <w:lang w:eastAsia="en-IN"/>
        </w:rPr>
        <w:t>MicroLoan</w:t>
      </w:r>
      <w:proofErr w:type="spellEnd"/>
      <w:r w:rsidRPr="00C77DD2">
        <w:rPr>
          <w:lang w:eastAsia="en-IN"/>
        </w:rPr>
        <w:t xml:space="preserve"> Foundation (Golia, 2021). Even if the precise financial details of these projects are not made public, it is clear from their impact on the neighbourhood that a strong commitment to community engagement has been made.</w:t>
      </w:r>
    </w:p>
    <w:p w14:paraId="1793DCC5" w14:textId="77777777" w:rsidR="00FB6F8E" w:rsidRPr="00C77DD2" w:rsidRDefault="00FB6F8E" w:rsidP="00FB6F8E">
      <w:pPr>
        <w:rPr>
          <w:b/>
          <w:bCs/>
          <w:i/>
          <w:iCs/>
          <w:lang w:eastAsia="en-IN"/>
        </w:rPr>
      </w:pPr>
      <w:r w:rsidRPr="00C77DD2">
        <w:rPr>
          <w:b/>
          <w:bCs/>
          <w:i/>
          <w:iCs/>
          <w:lang w:eastAsia="en-IN"/>
        </w:rPr>
        <w:t>"Ethical Business Practises"</w:t>
      </w:r>
    </w:p>
    <w:p w14:paraId="1E8929FD" w14:textId="77777777" w:rsidR="00FB6F8E" w:rsidRPr="00C77DD2" w:rsidRDefault="00FB6F8E" w:rsidP="00FB6F8E">
      <w:pPr>
        <w:rPr>
          <w:lang w:eastAsia="en-IN"/>
        </w:rPr>
      </w:pPr>
      <w:r w:rsidRPr="00C77DD2">
        <w:rPr>
          <w:lang w:eastAsia="en-IN"/>
        </w:rPr>
        <w:t xml:space="preserve">High ethical standards are upheld by Mandarin Oriental, ensuring openness, truthfulness, and integrity in all business dealings. Even while precise financial data pertaining to these practises is not readily available, their reputation for moral behaviour is a key component of their brand identity, demonstrating a dedication to moral business practises (Wilkins and </w:t>
      </w:r>
      <w:proofErr w:type="spellStart"/>
      <w:r w:rsidRPr="00C77DD2">
        <w:rPr>
          <w:lang w:eastAsia="en-IN"/>
        </w:rPr>
        <w:t>Emik</w:t>
      </w:r>
      <w:proofErr w:type="spellEnd"/>
      <w:r w:rsidRPr="00C77DD2">
        <w:rPr>
          <w:lang w:eastAsia="en-IN"/>
        </w:rPr>
        <w:t>, 2021).</w:t>
      </w:r>
    </w:p>
    <w:p w14:paraId="0F1CA023" w14:textId="77777777" w:rsidR="00FB6F8E" w:rsidRPr="00C77DD2" w:rsidRDefault="00FB6F8E" w:rsidP="00FB6F8E">
      <w:pPr>
        <w:rPr>
          <w:lang w:eastAsia="en-IN"/>
        </w:rPr>
      </w:pPr>
    </w:p>
    <w:p w14:paraId="58380E4B" w14:textId="77777777" w:rsidR="00FB6F8E" w:rsidRPr="00C77DD2" w:rsidRDefault="00FB6F8E" w:rsidP="00FB6F8E">
      <w:pPr>
        <w:rPr>
          <w:lang w:eastAsia="en-IN"/>
        </w:rPr>
      </w:pPr>
      <w:r w:rsidRPr="00C77DD2">
        <w:rPr>
          <w:lang w:eastAsia="en-IN"/>
        </w:rPr>
        <w:t>Henceforth, it should be noted that both Premier Inn and Mandarin Oriental Hotel Group make outstanding financial contributions to CSR programmes. Premier Inn demonstrates a strong commitment to social responsibility through its open reporting practises, significant financial commitments in neighbourhood projects, and sustainability initiatives (Negi and Lohani, 2021). Despite not providing detailed financial information, Mandarin Oriental has a focus on effective, community-focused activities and environmental protection, in line with its luxury brand image. Both organisations demonstrate their commitment to having a beneficial impact on the world by making major contributions to social welfare, environmental sustainability, and ethical business practices.</w:t>
      </w:r>
    </w:p>
    <w:p w14:paraId="79893A32" w14:textId="77777777" w:rsidR="00FB6F8E" w:rsidRDefault="00FB6F8E" w:rsidP="00FB6F8E">
      <w:pPr>
        <w:pStyle w:val="Heading1"/>
        <w:rPr>
          <w:lang w:eastAsia="en-IN"/>
        </w:rPr>
      </w:pPr>
      <w:bookmarkStart w:id="5" w:name="_Toc148375738"/>
      <w:r>
        <w:rPr>
          <w:lang w:eastAsia="en-IN"/>
        </w:rPr>
        <w:t>Research and Resources</w:t>
      </w:r>
      <w:bookmarkEnd w:id="5"/>
    </w:p>
    <w:p w14:paraId="208A8009" w14:textId="77777777" w:rsidR="00FB6F8E" w:rsidRPr="00E702F5" w:rsidRDefault="00FB6F8E" w:rsidP="00FB6F8E">
      <w:pPr>
        <w:rPr>
          <w:b/>
          <w:bCs/>
          <w:i/>
          <w:iCs/>
          <w:lang w:eastAsia="en-IN"/>
        </w:rPr>
      </w:pPr>
      <w:r w:rsidRPr="00E702F5">
        <w:rPr>
          <w:b/>
          <w:bCs/>
          <w:i/>
          <w:iCs/>
          <w:lang w:eastAsia="en-IN"/>
        </w:rPr>
        <w:t>Pr</w:t>
      </w:r>
      <w:r>
        <w:rPr>
          <w:b/>
          <w:bCs/>
          <w:i/>
          <w:iCs/>
          <w:lang w:eastAsia="en-IN"/>
        </w:rPr>
        <w:t>e</w:t>
      </w:r>
      <w:r w:rsidRPr="00E702F5">
        <w:rPr>
          <w:b/>
          <w:bCs/>
          <w:i/>
          <w:iCs/>
          <w:lang w:eastAsia="en-IN"/>
        </w:rPr>
        <w:t>m</w:t>
      </w:r>
      <w:r>
        <w:rPr>
          <w:b/>
          <w:bCs/>
          <w:i/>
          <w:iCs/>
          <w:lang w:eastAsia="en-IN"/>
        </w:rPr>
        <w:t>i</w:t>
      </w:r>
      <w:r w:rsidRPr="00E702F5">
        <w:rPr>
          <w:b/>
          <w:bCs/>
          <w:i/>
          <w:iCs/>
          <w:lang w:eastAsia="en-IN"/>
        </w:rPr>
        <w:t>er Inn</w:t>
      </w:r>
    </w:p>
    <w:tbl>
      <w:tblPr>
        <w:tblStyle w:val="GridTable4-Accent1"/>
        <w:tblW w:w="0" w:type="auto"/>
        <w:tblLook w:val="04A0" w:firstRow="1" w:lastRow="0" w:firstColumn="1" w:lastColumn="0" w:noHBand="0" w:noVBand="1"/>
      </w:tblPr>
      <w:tblGrid>
        <w:gridCol w:w="1975"/>
        <w:gridCol w:w="3214"/>
        <w:gridCol w:w="3827"/>
      </w:tblGrid>
      <w:tr w:rsidR="00FB6F8E" w:rsidRPr="00C77DD2" w14:paraId="5A9EE733" w14:textId="77777777" w:rsidTr="00E46820">
        <w:trPr>
          <w:cnfStyle w:val="100000000000" w:firstRow="1" w:lastRow="0" w:firstColumn="0" w:lastColumn="0" w:oddVBand="0" w:evenVBand="0" w:oddHBand="0" w:evenHBand="0" w:firstRowFirstColumn="0" w:firstRowLastColumn="0" w:lastRowFirstColumn="0" w:lastRowLastColumn="0"/>
          <w:trHeight w:val="710"/>
        </w:trPr>
        <w:tc>
          <w:tcPr>
            <w:cnfStyle w:val="001000000000" w:firstRow="0" w:lastRow="0" w:firstColumn="1" w:lastColumn="0" w:oddVBand="0" w:evenVBand="0" w:oddHBand="0" w:evenHBand="0" w:firstRowFirstColumn="0" w:firstRowLastColumn="0" w:lastRowFirstColumn="0" w:lastRowLastColumn="0"/>
            <w:tcW w:w="0" w:type="auto"/>
            <w:hideMark/>
          </w:tcPr>
          <w:p w14:paraId="7C5E9416" w14:textId="77777777" w:rsidR="00FB6F8E" w:rsidRPr="00C77DD2" w:rsidRDefault="00FB6F8E" w:rsidP="00E46820">
            <w:pPr>
              <w:jc w:val="center"/>
              <w:rPr>
                <w:b w:val="0"/>
                <w:bCs w:val="0"/>
                <w:lang w:eastAsia="en-IN"/>
              </w:rPr>
            </w:pPr>
            <w:r w:rsidRPr="00C77DD2">
              <w:rPr>
                <w:lang w:eastAsia="en-IN"/>
              </w:rPr>
              <w:t>Aspect</w:t>
            </w:r>
          </w:p>
        </w:tc>
        <w:tc>
          <w:tcPr>
            <w:tcW w:w="0" w:type="auto"/>
            <w:hideMark/>
          </w:tcPr>
          <w:p w14:paraId="53640062" w14:textId="77777777" w:rsidR="00FB6F8E" w:rsidRPr="00C77DD2" w:rsidRDefault="00FB6F8E" w:rsidP="00E46820">
            <w:pPr>
              <w:jc w:val="center"/>
              <w:cnfStyle w:val="100000000000" w:firstRow="1" w:lastRow="0" w:firstColumn="0" w:lastColumn="0" w:oddVBand="0" w:evenVBand="0" w:oddHBand="0" w:evenHBand="0" w:firstRowFirstColumn="0" w:firstRowLastColumn="0" w:lastRowFirstColumn="0" w:lastRowLastColumn="0"/>
              <w:rPr>
                <w:b w:val="0"/>
                <w:bCs w:val="0"/>
                <w:lang w:eastAsia="en-IN"/>
              </w:rPr>
            </w:pPr>
            <w:r w:rsidRPr="00C77DD2">
              <w:rPr>
                <w:lang w:eastAsia="en-IN"/>
              </w:rPr>
              <w:t>Necessary Resources</w:t>
            </w:r>
          </w:p>
        </w:tc>
        <w:tc>
          <w:tcPr>
            <w:tcW w:w="0" w:type="auto"/>
            <w:hideMark/>
          </w:tcPr>
          <w:p w14:paraId="3E6F9B20" w14:textId="77777777" w:rsidR="00FB6F8E" w:rsidRPr="00C77DD2" w:rsidRDefault="00FB6F8E" w:rsidP="00E46820">
            <w:pPr>
              <w:jc w:val="center"/>
              <w:cnfStyle w:val="100000000000" w:firstRow="1" w:lastRow="0" w:firstColumn="0" w:lastColumn="0" w:oddVBand="0" w:evenVBand="0" w:oddHBand="0" w:evenHBand="0" w:firstRowFirstColumn="0" w:firstRowLastColumn="0" w:lastRowFirstColumn="0" w:lastRowLastColumn="0"/>
              <w:rPr>
                <w:b w:val="0"/>
                <w:bCs w:val="0"/>
                <w:lang w:eastAsia="en-IN"/>
              </w:rPr>
            </w:pPr>
            <w:r w:rsidRPr="00C77DD2">
              <w:rPr>
                <w:lang w:eastAsia="en-IN"/>
              </w:rPr>
              <w:t>Unique Resources</w:t>
            </w:r>
          </w:p>
        </w:tc>
      </w:tr>
      <w:tr w:rsidR="00FB6F8E" w:rsidRPr="00C77DD2" w14:paraId="6DA0DC89" w14:textId="77777777" w:rsidTr="00E46820">
        <w:trPr>
          <w:cnfStyle w:val="000000100000" w:firstRow="0" w:lastRow="0" w:firstColumn="0" w:lastColumn="0" w:oddVBand="0" w:evenVBand="0" w:oddHBand="1" w:evenHBand="0" w:firstRowFirstColumn="0" w:firstRowLastColumn="0" w:lastRowFirstColumn="0" w:lastRowLastColumn="0"/>
          <w:trHeight w:val="1415"/>
        </w:trPr>
        <w:tc>
          <w:tcPr>
            <w:cnfStyle w:val="001000000000" w:firstRow="0" w:lastRow="0" w:firstColumn="1" w:lastColumn="0" w:oddVBand="0" w:evenVBand="0" w:oddHBand="0" w:evenHBand="0" w:firstRowFirstColumn="0" w:firstRowLastColumn="0" w:lastRowFirstColumn="0" w:lastRowLastColumn="0"/>
            <w:tcW w:w="0" w:type="auto"/>
            <w:hideMark/>
          </w:tcPr>
          <w:p w14:paraId="1D1881CC" w14:textId="77777777" w:rsidR="00FB6F8E" w:rsidRPr="00C77DD2" w:rsidRDefault="00FB6F8E" w:rsidP="00E46820">
            <w:pPr>
              <w:rPr>
                <w:lang w:eastAsia="en-IN"/>
              </w:rPr>
            </w:pPr>
            <w:r w:rsidRPr="00C77DD2">
              <w:rPr>
                <w:lang w:eastAsia="en-IN"/>
              </w:rPr>
              <w:t>Brand Recognition</w:t>
            </w:r>
          </w:p>
        </w:tc>
        <w:tc>
          <w:tcPr>
            <w:tcW w:w="0" w:type="auto"/>
            <w:hideMark/>
          </w:tcPr>
          <w:p w14:paraId="503822A9" w14:textId="77777777" w:rsidR="00FB6F8E" w:rsidRPr="00C77DD2" w:rsidRDefault="00FB6F8E" w:rsidP="00E46820">
            <w:pPr>
              <w:cnfStyle w:val="000000100000" w:firstRow="0" w:lastRow="0" w:firstColumn="0" w:lastColumn="0" w:oddVBand="0" w:evenVBand="0" w:oddHBand="1" w:evenHBand="0" w:firstRowFirstColumn="0" w:firstRowLastColumn="0" w:lastRowFirstColumn="0" w:lastRowLastColumn="0"/>
              <w:rPr>
                <w:lang w:eastAsia="en-IN"/>
              </w:rPr>
            </w:pPr>
            <w:r w:rsidRPr="00C77DD2">
              <w:rPr>
                <w:lang w:eastAsia="en-IN"/>
              </w:rPr>
              <w:t>Established brand identity and reputation within the hospitality industry.</w:t>
            </w:r>
          </w:p>
        </w:tc>
        <w:tc>
          <w:tcPr>
            <w:tcW w:w="0" w:type="auto"/>
            <w:hideMark/>
          </w:tcPr>
          <w:p w14:paraId="1496860A" w14:textId="77777777" w:rsidR="00FB6F8E" w:rsidRPr="00C77DD2" w:rsidRDefault="00FB6F8E" w:rsidP="00E46820">
            <w:pPr>
              <w:cnfStyle w:val="000000100000" w:firstRow="0" w:lastRow="0" w:firstColumn="0" w:lastColumn="0" w:oddVBand="0" w:evenVBand="0" w:oddHBand="1" w:evenHBand="0" w:firstRowFirstColumn="0" w:firstRowLastColumn="0" w:lastRowFirstColumn="0" w:lastRowLastColumn="0"/>
              <w:rPr>
                <w:lang w:eastAsia="en-IN"/>
              </w:rPr>
            </w:pPr>
            <w:r>
              <w:rPr>
                <w:lang w:eastAsia="en-IN"/>
              </w:rPr>
              <w:t>A recognizable</w:t>
            </w:r>
            <w:r w:rsidRPr="00C77DD2">
              <w:rPr>
                <w:lang w:eastAsia="en-IN"/>
              </w:rPr>
              <w:t xml:space="preserve"> brand synonymous with quality and affordability.</w:t>
            </w:r>
          </w:p>
        </w:tc>
      </w:tr>
      <w:tr w:rsidR="00FB6F8E" w:rsidRPr="00C77DD2" w14:paraId="06B172F1" w14:textId="77777777" w:rsidTr="00E46820">
        <w:trPr>
          <w:trHeight w:val="1415"/>
        </w:trPr>
        <w:tc>
          <w:tcPr>
            <w:cnfStyle w:val="001000000000" w:firstRow="0" w:lastRow="0" w:firstColumn="1" w:lastColumn="0" w:oddVBand="0" w:evenVBand="0" w:oddHBand="0" w:evenHBand="0" w:firstRowFirstColumn="0" w:firstRowLastColumn="0" w:lastRowFirstColumn="0" w:lastRowLastColumn="0"/>
            <w:tcW w:w="0" w:type="auto"/>
            <w:hideMark/>
          </w:tcPr>
          <w:p w14:paraId="4F3968BB" w14:textId="77777777" w:rsidR="00FB6F8E" w:rsidRPr="00C77DD2" w:rsidRDefault="00FB6F8E" w:rsidP="00E46820">
            <w:pPr>
              <w:rPr>
                <w:lang w:eastAsia="en-IN"/>
              </w:rPr>
            </w:pPr>
            <w:r w:rsidRPr="00C77DD2">
              <w:rPr>
                <w:lang w:eastAsia="en-IN"/>
              </w:rPr>
              <w:t>Global Presence</w:t>
            </w:r>
          </w:p>
        </w:tc>
        <w:tc>
          <w:tcPr>
            <w:tcW w:w="0" w:type="auto"/>
            <w:hideMark/>
          </w:tcPr>
          <w:p w14:paraId="6873BC9A" w14:textId="77777777" w:rsidR="00FB6F8E" w:rsidRPr="00C77DD2" w:rsidRDefault="00FB6F8E" w:rsidP="00E46820">
            <w:pPr>
              <w:cnfStyle w:val="000000000000" w:firstRow="0" w:lastRow="0" w:firstColumn="0" w:lastColumn="0" w:oddVBand="0" w:evenVBand="0" w:oddHBand="0" w:evenHBand="0" w:firstRowFirstColumn="0" w:firstRowLastColumn="0" w:lastRowFirstColumn="0" w:lastRowLastColumn="0"/>
              <w:rPr>
                <w:lang w:eastAsia="en-IN"/>
              </w:rPr>
            </w:pPr>
            <w:r w:rsidRPr="00C77DD2">
              <w:rPr>
                <w:lang w:eastAsia="en-IN"/>
              </w:rPr>
              <w:t>Extensive network of over 800 hotels across the UK and international markets.</w:t>
            </w:r>
          </w:p>
        </w:tc>
        <w:tc>
          <w:tcPr>
            <w:tcW w:w="0" w:type="auto"/>
            <w:hideMark/>
          </w:tcPr>
          <w:p w14:paraId="3B1744A6" w14:textId="77777777" w:rsidR="00FB6F8E" w:rsidRPr="00C77DD2" w:rsidRDefault="00FB6F8E" w:rsidP="00E46820">
            <w:pPr>
              <w:cnfStyle w:val="000000000000" w:firstRow="0" w:lastRow="0" w:firstColumn="0" w:lastColumn="0" w:oddVBand="0" w:evenVBand="0" w:oddHBand="0" w:evenHBand="0" w:firstRowFirstColumn="0" w:firstRowLastColumn="0" w:lastRowFirstColumn="0" w:lastRowLastColumn="0"/>
              <w:rPr>
                <w:lang w:eastAsia="en-IN"/>
              </w:rPr>
            </w:pPr>
            <w:r w:rsidRPr="00C77DD2">
              <w:rPr>
                <w:lang w:eastAsia="en-IN"/>
              </w:rPr>
              <w:t>Strategic presence in high-demand regions, providing a diverse range of accommodations.</w:t>
            </w:r>
          </w:p>
        </w:tc>
      </w:tr>
      <w:tr w:rsidR="00FB6F8E" w:rsidRPr="00C77DD2" w14:paraId="71D5F585" w14:textId="77777777" w:rsidTr="00E46820">
        <w:trPr>
          <w:cnfStyle w:val="000000100000" w:firstRow="0" w:lastRow="0" w:firstColumn="0" w:lastColumn="0" w:oddVBand="0" w:evenVBand="0" w:oddHBand="1" w:evenHBand="0" w:firstRowFirstColumn="0" w:firstRowLastColumn="0" w:lastRowFirstColumn="0" w:lastRowLastColumn="0"/>
          <w:trHeight w:val="1415"/>
        </w:trPr>
        <w:tc>
          <w:tcPr>
            <w:cnfStyle w:val="001000000000" w:firstRow="0" w:lastRow="0" w:firstColumn="1" w:lastColumn="0" w:oddVBand="0" w:evenVBand="0" w:oddHBand="0" w:evenHBand="0" w:firstRowFirstColumn="0" w:firstRowLastColumn="0" w:lastRowFirstColumn="0" w:lastRowLastColumn="0"/>
            <w:tcW w:w="0" w:type="auto"/>
            <w:hideMark/>
          </w:tcPr>
          <w:p w14:paraId="60934AD6" w14:textId="77777777" w:rsidR="00FB6F8E" w:rsidRPr="00C77DD2" w:rsidRDefault="00FB6F8E" w:rsidP="00E46820">
            <w:pPr>
              <w:rPr>
                <w:lang w:eastAsia="en-IN"/>
              </w:rPr>
            </w:pPr>
            <w:r w:rsidRPr="00C77DD2">
              <w:rPr>
                <w:lang w:eastAsia="en-IN"/>
              </w:rPr>
              <w:t>Customer Base</w:t>
            </w:r>
          </w:p>
        </w:tc>
        <w:tc>
          <w:tcPr>
            <w:tcW w:w="0" w:type="auto"/>
            <w:hideMark/>
          </w:tcPr>
          <w:p w14:paraId="0DAAD1EE" w14:textId="77777777" w:rsidR="00FB6F8E" w:rsidRPr="00C77DD2" w:rsidRDefault="00FB6F8E" w:rsidP="00E46820">
            <w:pPr>
              <w:cnfStyle w:val="000000100000" w:firstRow="0" w:lastRow="0" w:firstColumn="0" w:lastColumn="0" w:oddVBand="0" w:evenVBand="0" w:oddHBand="1" w:evenHBand="0" w:firstRowFirstColumn="0" w:firstRowLastColumn="0" w:lastRowFirstColumn="0" w:lastRowLastColumn="0"/>
              <w:rPr>
                <w:lang w:eastAsia="en-IN"/>
              </w:rPr>
            </w:pPr>
            <w:r w:rsidRPr="00C77DD2">
              <w:rPr>
                <w:lang w:eastAsia="en-IN"/>
              </w:rPr>
              <w:t>Large customer base, including both leisure and business travellers.</w:t>
            </w:r>
          </w:p>
        </w:tc>
        <w:tc>
          <w:tcPr>
            <w:tcW w:w="0" w:type="auto"/>
            <w:hideMark/>
          </w:tcPr>
          <w:p w14:paraId="6D44574C" w14:textId="77777777" w:rsidR="00FB6F8E" w:rsidRPr="00C77DD2" w:rsidRDefault="00FB6F8E" w:rsidP="00E46820">
            <w:pPr>
              <w:cnfStyle w:val="000000100000" w:firstRow="0" w:lastRow="0" w:firstColumn="0" w:lastColumn="0" w:oddVBand="0" w:evenVBand="0" w:oddHBand="1" w:evenHBand="0" w:firstRowFirstColumn="0" w:firstRowLastColumn="0" w:lastRowFirstColumn="0" w:lastRowLastColumn="0"/>
              <w:rPr>
                <w:lang w:eastAsia="en-IN"/>
              </w:rPr>
            </w:pPr>
            <w:r w:rsidRPr="00C77DD2">
              <w:rPr>
                <w:lang w:eastAsia="en-IN"/>
              </w:rPr>
              <w:t>Loyal customer base due to consistent quality and competitive pricing.</w:t>
            </w:r>
          </w:p>
        </w:tc>
      </w:tr>
      <w:tr w:rsidR="00FB6F8E" w:rsidRPr="00C77DD2" w14:paraId="27396F00" w14:textId="77777777" w:rsidTr="00E46820">
        <w:trPr>
          <w:trHeight w:val="1415"/>
        </w:trPr>
        <w:tc>
          <w:tcPr>
            <w:cnfStyle w:val="001000000000" w:firstRow="0" w:lastRow="0" w:firstColumn="1" w:lastColumn="0" w:oddVBand="0" w:evenVBand="0" w:oddHBand="0" w:evenHBand="0" w:firstRowFirstColumn="0" w:firstRowLastColumn="0" w:lastRowFirstColumn="0" w:lastRowLastColumn="0"/>
            <w:tcW w:w="0" w:type="auto"/>
            <w:hideMark/>
          </w:tcPr>
          <w:p w14:paraId="3838D359" w14:textId="77777777" w:rsidR="00FB6F8E" w:rsidRPr="00C77DD2" w:rsidRDefault="00FB6F8E" w:rsidP="00E46820">
            <w:pPr>
              <w:rPr>
                <w:lang w:eastAsia="en-IN"/>
              </w:rPr>
            </w:pPr>
            <w:r w:rsidRPr="00C77DD2">
              <w:rPr>
                <w:lang w:eastAsia="en-IN"/>
              </w:rPr>
              <w:t>Operational Efficiency</w:t>
            </w:r>
          </w:p>
        </w:tc>
        <w:tc>
          <w:tcPr>
            <w:tcW w:w="0" w:type="auto"/>
            <w:hideMark/>
          </w:tcPr>
          <w:p w14:paraId="7710C3B0" w14:textId="77777777" w:rsidR="00FB6F8E" w:rsidRPr="00C77DD2" w:rsidRDefault="00FB6F8E" w:rsidP="00E46820">
            <w:pPr>
              <w:cnfStyle w:val="000000000000" w:firstRow="0" w:lastRow="0" w:firstColumn="0" w:lastColumn="0" w:oddVBand="0" w:evenVBand="0" w:oddHBand="0" w:evenHBand="0" w:firstRowFirstColumn="0" w:firstRowLastColumn="0" w:lastRowFirstColumn="0" w:lastRowLastColumn="0"/>
              <w:rPr>
                <w:lang w:eastAsia="en-IN"/>
              </w:rPr>
            </w:pPr>
            <w:r w:rsidRPr="00C77DD2">
              <w:rPr>
                <w:lang w:eastAsia="en-IN"/>
              </w:rPr>
              <w:t>Standardized operational processes and efficient supply chain management.</w:t>
            </w:r>
          </w:p>
        </w:tc>
        <w:tc>
          <w:tcPr>
            <w:tcW w:w="0" w:type="auto"/>
            <w:hideMark/>
          </w:tcPr>
          <w:p w14:paraId="59302648" w14:textId="77777777" w:rsidR="00FB6F8E" w:rsidRPr="00C77DD2" w:rsidRDefault="00FB6F8E" w:rsidP="00E46820">
            <w:pPr>
              <w:cnfStyle w:val="000000000000" w:firstRow="0" w:lastRow="0" w:firstColumn="0" w:lastColumn="0" w:oddVBand="0" w:evenVBand="0" w:oddHBand="0" w:evenHBand="0" w:firstRowFirstColumn="0" w:firstRowLastColumn="0" w:lastRowFirstColumn="0" w:lastRowLastColumn="0"/>
              <w:rPr>
                <w:lang w:eastAsia="en-IN"/>
              </w:rPr>
            </w:pPr>
            <w:r w:rsidRPr="00C77DD2">
              <w:rPr>
                <w:lang w:eastAsia="en-IN"/>
              </w:rPr>
              <w:t>Streamlined operations, ensuring cost-effectiveness and reliability.</w:t>
            </w:r>
          </w:p>
        </w:tc>
      </w:tr>
      <w:tr w:rsidR="00FB6F8E" w:rsidRPr="00C77DD2" w14:paraId="6156521F" w14:textId="77777777" w:rsidTr="00E46820">
        <w:trPr>
          <w:cnfStyle w:val="000000100000" w:firstRow="0" w:lastRow="0" w:firstColumn="0" w:lastColumn="0" w:oddVBand="0" w:evenVBand="0" w:oddHBand="1" w:evenHBand="0" w:firstRowFirstColumn="0" w:firstRowLastColumn="0" w:lastRowFirstColumn="0" w:lastRowLastColumn="0"/>
          <w:trHeight w:val="1415"/>
        </w:trPr>
        <w:tc>
          <w:tcPr>
            <w:cnfStyle w:val="001000000000" w:firstRow="0" w:lastRow="0" w:firstColumn="1" w:lastColumn="0" w:oddVBand="0" w:evenVBand="0" w:oddHBand="0" w:evenHBand="0" w:firstRowFirstColumn="0" w:firstRowLastColumn="0" w:lastRowFirstColumn="0" w:lastRowLastColumn="0"/>
            <w:tcW w:w="0" w:type="auto"/>
            <w:hideMark/>
          </w:tcPr>
          <w:p w14:paraId="61641A7B" w14:textId="77777777" w:rsidR="00FB6F8E" w:rsidRPr="00C77DD2" w:rsidRDefault="00FB6F8E" w:rsidP="00E46820">
            <w:pPr>
              <w:rPr>
                <w:lang w:eastAsia="en-IN"/>
              </w:rPr>
            </w:pPr>
            <w:r w:rsidRPr="00C77DD2">
              <w:rPr>
                <w:lang w:eastAsia="en-IN"/>
              </w:rPr>
              <w:t>Technological Integration</w:t>
            </w:r>
          </w:p>
        </w:tc>
        <w:tc>
          <w:tcPr>
            <w:tcW w:w="0" w:type="auto"/>
            <w:hideMark/>
          </w:tcPr>
          <w:p w14:paraId="5858C576" w14:textId="77777777" w:rsidR="00FB6F8E" w:rsidRPr="00C77DD2" w:rsidRDefault="00FB6F8E" w:rsidP="00E46820">
            <w:pPr>
              <w:cnfStyle w:val="000000100000" w:firstRow="0" w:lastRow="0" w:firstColumn="0" w:lastColumn="0" w:oddVBand="0" w:evenVBand="0" w:oddHBand="1" w:evenHBand="0" w:firstRowFirstColumn="0" w:firstRowLastColumn="0" w:lastRowFirstColumn="0" w:lastRowLastColumn="0"/>
              <w:rPr>
                <w:lang w:eastAsia="en-IN"/>
              </w:rPr>
            </w:pPr>
            <w:r w:rsidRPr="00C77DD2">
              <w:rPr>
                <w:lang w:eastAsia="en-IN"/>
              </w:rPr>
              <w:t>Modern reservation systems and online booking platforms.</w:t>
            </w:r>
          </w:p>
        </w:tc>
        <w:tc>
          <w:tcPr>
            <w:tcW w:w="0" w:type="auto"/>
            <w:hideMark/>
          </w:tcPr>
          <w:p w14:paraId="609C2578" w14:textId="77777777" w:rsidR="00FB6F8E" w:rsidRPr="00C77DD2" w:rsidRDefault="00FB6F8E" w:rsidP="00E46820">
            <w:pPr>
              <w:cnfStyle w:val="000000100000" w:firstRow="0" w:lastRow="0" w:firstColumn="0" w:lastColumn="0" w:oddVBand="0" w:evenVBand="0" w:oddHBand="1" w:evenHBand="0" w:firstRowFirstColumn="0" w:firstRowLastColumn="0" w:lastRowFirstColumn="0" w:lastRowLastColumn="0"/>
              <w:rPr>
                <w:lang w:eastAsia="en-IN"/>
              </w:rPr>
            </w:pPr>
            <w:r w:rsidRPr="00C77DD2">
              <w:rPr>
                <w:lang w:eastAsia="en-IN"/>
              </w:rPr>
              <w:t>Integration of customer-friendly technologies, enhancing user experience and convenience.</w:t>
            </w:r>
          </w:p>
        </w:tc>
      </w:tr>
    </w:tbl>
    <w:p w14:paraId="47994DD2" w14:textId="77777777" w:rsidR="00FB6F8E" w:rsidRPr="00C77DD2" w:rsidRDefault="00FB6F8E" w:rsidP="00FB6F8E">
      <w:pPr>
        <w:spacing w:after="0" w:line="240" w:lineRule="auto"/>
        <w:jc w:val="center"/>
        <w:rPr>
          <w:rFonts w:eastAsia="Times New Roman" w:cs="Times New Roman"/>
          <w:color w:val="000000"/>
          <w:szCs w:val="24"/>
          <w:lang w:eastAsia="en-IN"/>
        </w:rPr>
      </w:pPr>
    </w:p>
    <w:p w14:paraId="5F4B53F8" w14:textId="77777777" w:rsidR="00FB6F8E" w:rsidRDefault="00FB6F8E" w:rsidP="00FB6F8E">
      <w:pPr>
        <w:rPr>
          <w:lang w:eastAsia="en-IN"/>
        </w:rPr>
      </w:pPr>
      <w:r w:rsidRPr="00C77DD2">
        <w:rPr>
          <w:lang w:eastAsia="en-IN"/>
        </w:rPr>
        <w:lastRenderedPageBreak/>
        <w:t>Premier Inn's brand recognition serves as a core capability, offering a unique value proposition. With over 800 hotels globally, it possesses a strategic presence, representing a unique resource that is difficult for competitors to imitate. Premier Inn's customer base and operational efficiency are threshold capabilities, essential for operating in the hospitality sector but not unique. Lastly, their technological integration acts as a unique resource, enabling a seamless booking experience, which competitors might find difficult to replicate. These resources and capabilities collectively empower Premier Inn to deliver better value for money and maintain a competitive edge in the market.</w:t>
      </w:r>
    </w:p>
    <w:p w14:paraId="67E13366" w14:textId="77777777" w:rsidR="00FB6F8E" w:rsidRDefault="00FB6F8E" w:rsidP="00FB6F8E">
      <w:pPr>
        <w:rPr>
          <w:b/>
          <w:bCs/>
          <w:i/>
          <w:iCs/>
          <w:lang w:eastAsia="en-IN"/>
        </w:rPr>
      </w:pPr>
      <w:r w:rsidRPr="00E702F5">
        <w:rPr>
          <w:b/>
          <w:bCs/>
          <w:i/>
          <w:iCs/>
          <w:lang w:eastAsia="en-IN"/>
        </w:rPr>
        <w:t>Mandarin Oriental Hotel group</w:t>
      </w:r>
    </w:p>
    <w:tbl>
      <w:tblPr>
        <w:tblStyle w:val="GridTable4-Accent3"/>
        <w:tblW w:w="0" w:type="auto"/>
        <w:tblLook w:val="04A0" w:firstRow="1" w:lastRow="0" w:firstColumn="1" w:lastColumn="0" w:noHBand="0" w:noVBand="1"/>
      </w:tblPr>
      <w:tblGrid>
        <w:gridCol w:w="1914"/>
        <w:gridCol w:w="3455"/>
        <w:gridCol w:w="3647"/>
      </w:tblGrid>
      <w:tr w:rsidR="00FB6F8E" w:rsidRPr="00E702F5" w14:paraId="31CD9585" w14:textId="77777777" w:rsidTr="00E46820">
        <w:trPr>
          <w:cnfStyle w:val="100000000000" w:firstRow="1" w:lastRow="0" w:firstColumn="0" w:lastColumn="0" w:oddVBand="0" w:evenVBand="0" w:oddHBand="0"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0" w:type="auto"/>
            <w:hideMark/>
          </w:tcPr>
          <w:p w14:paraId="457DB5E2" w14:textId="77777777" w:rsidR="00FB6F8E" w:rsidRPr="00E702F5" w:rsidRDefault="00FB6F8E" w:rsidP="00E46820">
            <w:pPr>
              <w:spacing w:after="380" w:line="240" w:lineRule="auto"/>
              <w:jc w:val="center"/>
              <w:rPr>
                <w:rFonts w:eastAsia="Times New Roman" w:cs="Times New Roman"/>
                <w:color w:val="auto"/>
                <w:szCs w:val="24"/>
                <w:lang w:eastAsia="en-IN"/>
              </w:rPr>
            </w:pPr>
            <w:r w:rsidRPr="00E702F5">
              <w:rPr>
                <w:rFonts w:eastAsia="Times New Roman" w:cs="Times New Roman"/>
                <w:color w:val="auto"/>
                <w:szCs w:val="24"/>
                <w:lang w:eastAsia="en-IN"/>
              </w:rPr>
              <w:t>Aspect</w:t>
            </w:r>
          </w:p>
        </w:tc>
        <w:tc>
          <w:tcPr>
            <w:tcW w:w="0" w:type="auto"/>
            <w:hideMark/>
          </w:tcPr>
          <w:p w14:paraId="02B7732D" w14:textId="77777777" w:rsidR="00FB6F8E" w:rsidRPr="00E702F5" w:rsidRDefault="00FB6F8E" w:rsidP="00E46820">
            <w:pPr>
              <w:spacing w:after="38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E702F5">
              <w:rPr>
                <w:rFonts w:eastAsia="Times New Roman" w:cs="Times New Roman"/>
                <w:color w:val="auto"/>
                <w:szCs w:val="24"/>
                <w:lang w:eastAsia="en-IN"/>
              </w:rPr>
              <w:t>Necessary Resources</w:t>
            </w:r>
          </w:p>
        </w:tc>
        <w:tc>
          <w:tcPr>
            <w:tcW w:w="0" w:type="auto"/>
            <w:hideMark/>
          </w:tcPr>
          <w:p w14:paraId="52CA312E" w14:textId="77777777" w:rsidR="00FB6F8E" w:rsidRPr="00E702F5" w:rsidRDefault="00FB6F8E" w:rsidP="00E46820">
            <w:pPr>
              <w:spacing w:after="38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E702F5">
              <w:rPr>
                <w:rFonts w:eastAsia="Times New Roman" w:cs="Times New Roman"/>
                <w:color w:val="auto"/>
                <w:szCs w:val="24"/>
                <w:lang w:eastAsia="en-IN"/>
              </w:rPr>
              <w:t>Unique Resources</w:t>
            </w:r>
          </w:p>
        </w:tc>
      </w:tr>
      <w:tr w:rsidR="00FB6F8E" w:rsidRPr="00E702F5" w14:paraId="527D0A23" w14:textId="77777777" w:rsidTr="00E46820">
        <w:trPr>
          <w:cnfStyle w:val="000000100000" w:firstRow="0" w:lastRow="0" w:firstColumn="0" w:lastColumn="0" w:oddVBand="0" w:evenVBand="0" w:oddHBand="1" w:evenHBand="0" w:firstRowFirstColumn="0" w:firstRowLastColumn="0" w:lastRowFirstColumn="0" w:lastRowLastColumn="0"/>
          <w:trHeight w:val="1055"/>
        </w:trPr>
        <w:tc>
          <w:tcPr>
            <w:cnfStyle w:val="001000000000" w:firstRow="0" w:lastRow="0" w:firstColumn="1" w:lastColumn="0" w:oddVBand="0" w:evenVBand="0" w:oddHBand="0" w:evenHBand="0" w:firstRowFirstColumn="0" w:firstRowLastColumn="0" w:lastRowFirstColumn="0" w:lastRowLastColumn="0"/>
            <w:tcW w:w="0" w:type="auto"/>
            <w:hideMark/>
          </w:tcPr>
          <w:p w14:paraId="36EDD7B3" w14:textId="77777777" w:rsidR="00FB6F8E" w:rsidRPr="00E702F5" w:rsidRDefault="00FB6F8E" w:rsidP="00E46820">
            <w:pPr>
              <w:spacing w:after="380" w:line="240" w:lineRule="auto"/>
              <w:jc w:val="left"/>
              <w:rPr>
                <w:rFonts w:eastAsia="Times New Roman" w:cs="Times New Roman"/>
                <w:szCs w:val="24"/>
                <w:lang w:eastAsia="en-IN"/>
              </w:rPr>
            </w:pPr>
            <w:r w:rsidRPr="00E702F5">
              <w:rPr>
                <w:rFonts w:eastAsia="Times New Roman" w:cs="Times New Roman"/>
                <w:szCs w:val="24"/>
                <w:lang w:eastAsia="en-IN"/>
              </w:rPr>
              <w:t>Brand Prestige</w:t>
            </w:r>
          </w:p>
        </w:tc>
        <w:tc>
          <w:tcPr>
            <w:tcW w:w="0" w:type="auto"/>
            <w:hideMark/>
          </w:tcPr>
          <w:p w14:paraId="5D78B356" w14:textId="77777777" w:rsidR="00FB6F8E" w:rsidRPr="00E702F5" w:rsidRDefault="00FB6F8E" w:rsidP="00E46820">
            <w:pPr>
              <w:spacing w:after="38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Established brand reputation within the luxury hospitality sector.</w:t>
            </w:r>
          </w:p>
        </w:tc>
        <w:tc>
          <w:tcPr>
            <w:tcW w:w="0" w:type="auto"/>
            <w:hideMark/>
          </w:tcPr>
          <w:p w14:paraId="7A84C4C1" w14:textId="77777777" w:rsidR="00FB6F8E" w:rsidRPr="00E702F5" w:rsidRDefault="00FB6F8E" w:rsidP="00E46820">
            <w:pPr>
              <w:spacing w:after="38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Iconic brand synonymous with luxury, attracting high-net-worth clients.</w:t>
            </w:r>
          </w:p>
        </w:tc>
      </w:tr>
      <w:tr w:rsidR="00FB6F8E" w:rsidRPr="00E702F5" w14:paraId="746F92CE" w14:textId="77777777" w:rsidTr="00E46820">
        <w:trPr>
          <w:trHeight w:val="1055"/>
        </w:trPr>
        <w:tc>
          <w:tcPr>
            <w:cnfStyle w:val="001000000000" w:firstRow="0" w:lastRow="0" w:firstColumn="1" w:lastColumn="0" w:oddVBand="0" w:evenVBand="0" w:oddHBand="0" w:evenHBand="0" w:firstRowFirstColumn="0" w:firstRowLastColumn="0" w:lastRowFirstColumn="0" w:lastRowLastColumn="0"/>
            <w:tcW w:w="0" w:type="auto"/>
            <w:hideMark/>
          </w:tcPr>
          <w:p w14:paraId="21FABB75" w14:textId="77777777" w:rsidR="00FB6F8E" w:rsidRPr="00E702F5" w:rsidRDefault="00FB6F8E" w:rsidP="00E46820">
            <w:pPr>
              <w:spacing w:after="380" w:line="240" w:lineRule="auto"/>
              <w:jc w:val="left"/>
              <w:rPr>
                <w:rFonts w:eastAsia="Times New Roman" w:cs="Times New Roman"/>
                <w:szCs w:val="24"/>
                <w:lang w:eastAsia="en-IN"/>
              </w:rPr>
            </w:pPr>
            <w:r w:rsidRPr="00E702F5">
              <w:rPr>
                <w:rFonts w:eastAsia="Times New Roman" w:cs="Times New Roman"/>
                <w:szCs w:val="24"/>
                <w:lang w:eastAsia="en-IN"/>
              </w:rPr>
              <w:t>Global Presence</w:t>
            </w:r>
          </w:p>
        </w:tc>
        <w:tc>
          <w:tcPr>
            <w:tcW w:w="0" w:type="auto"/>
            <w:hideMark/>
          </w:tcPr>
          <w:p w14:paraId="2AF629B5" w14:textId="77777777" w:rsidR="00FB6F8E" w:rsidRPr="00E702F5" w:rsidRDefault="00FB6F8E" w:rsidP="00E46820">
            <w:pPr>
              <w:spacing w:after="38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International network of upscale hotels in prime locations.</w:t>
            </w:r>
          </w:p>
        </w:tc>
        <w:tc>
          <w:tcPr>
            <w:tcW w:w="0" w:type="auto"/>
            <w:hideMark/>
          </w:tcPr>
          <w:p w14:paraId="40AAD30E" w14:textId="77777777" w:rsidR="00FB6F8E" w:rsidRPr="00E702F5" w:rsidRDefault="00FB6F8E" w:rsidP="00E46820">
            <w:pPr>
              <w:spacing w:after="38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Strategic presence in major global cities, offering exclusive experiences.</w:t>
            </w:r>
          </w:p>
        </w:tc>
      </w:tr>
      <w:tr w:rsidR="00FB6F8E" w:rsidRPr="00E702F5" w14:paraId="7B18B1E4" w14:textId="77777777" w:rsidTr="00E46820">
        <w:trPr>
          <w:cnfStyle w:val="000000100000" w:firstRow="0" w:lastRow="0" w:firstColumn="0" w:lastColumn="0" w:oddVBand="0" w:evenVBand="0" w:oddHBand="1" w:evenHBand="0" w:firstRowFirstColumn="0" w:firstRowLastColumn="0" w:lastRowFirstColumn="0" w:lastRowLastColumn="0"/>
          <w:trHeight w:val="1055"/>
        </w:trPr>
        <w:tc>
          <w:tcPr>
            <w:cnfStyle w:val="001000000000" w:firstRow="0" w:lastRow="0" w:firstColumn="1" w:lastColumn="0" w:oddVBand="0" w:evenVBand="0" w:oddHBand="0" w:evenHBand="0" w:firstRowFirstColumn="0" w:firstRowLastColumn="0" w:lastRowFirstColumn="0" w:lastRowLastColumn="0"/>
            <w:tcW w:w="0" w:type="auto"/>
            <w:hideMark/>
          </w:tcPr>
          <w:p w14:paraId="775FD70D" w14:textId="77777777" w:rsidR="00FB6F8E" w:rsidRPr="00E702F5" w:rsidRDefault="00FB6F8E" w:rsidP="00E46820">
            <w:pPr>
              <w:spacing w:after="380" w:line="240" w:lineRule="auto"/>
              <w:jc w:val="left"/>
              <w:rPr>
                <w:rFonts w:eastAsia="Times New Roman" w:cs="Times New Roman"/>
                <w:szCs w:val="24"/>
                <w:lang w:eastAsia="en-IN"/>
              </w:rPr>
            </w:pPr>
            <w:r w:rsidRPr="00E702F5">
              <w:rPr>
                <w:rFonts w:eastAsia="Times New Roman" w:cs="Times New Roman"/>
                <w:szCs w:val="24"/>
                <w:lang w:eastAsia="en-IN"/>
              </w:rPr>
              <w:t>Culinary Excellence</w:t>
            </w:r>
          </w:p>
        </w:tc>
        <w:tc>
          <w:tcPr>
            <w:tcW w:w="0" w:type="auto"/>
            <w:hideMark/>
          </w:tcPr>
          <w:p w14:paraId="32CA156B" w14:textId="77777777" w:rsidR="00FB6F8E" w:rsidRPr="00E702F5" w:rsidRDefault="00FB6F8E" w:rsidP="00E46820">
            <w:pPr>
              <w:spacing w:after="38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Highly skilled culinary staff and diverse menus.</w:t>
            </w:r>
          </w:p>
        </w:tc>
        <w:tc>
          <w:tcPr>
            <w:tcW w:w="0" w:type="auto"/>
            <w:hideMark/>
          </w:tcPr>
          <w:p w14:paraId="0DA481EA" w14:textId="77777777" w:rsidR="00FB6F8E" w:rsidRPr="00E702F5" w:rsidRDefault="00FB6F8E" w:rsidP="00E46820">
            <w:pPr>
              <w:spacing w:after="38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Award-winning restaurants and unique gastronomic experiences.</w:t>
            </w:r>
          </w:p>
        </w:tc>
      </w:tr>
      <w:tr w:rsidR="00FB6F8E" w:rsidRPr="00E702F5" w14:paraId="2FCA9081" w14:textId="77777777" w:rsidTr="00E46820">
        <w:trPr>
          <w:trHeight w:val="1055"/>
        </w:trPr>
        <w:tc>
          <w:tcPr>
            <w:cnfStyle w:val="001000000000" w:firstRow="0" w:lastRow="0" w:firstColumn="1" w:lastColumn="0" w:oddVBand="0" w:evenVBand="0" w:oddHBand="0" w:evenHBand="0" w:firstRowFirstColumn="0" w:firstRowLastColumn="0" w:lastRowFirstColumn="0" w:lastRowLastColumn="0"/>
            <w:tcW w:w="0" w:type="auto"/>
            <w:hideMark/>
          </w:tcPr>
          <w:p w14:paraId="7D6D6765" w14:textId="77777777" w:rsidR="00FB6F8E" w:rsidRPr="00E702F5" w:rsidRDefault="00FB6F8E" w:rsidP="00E46820">
            <w:pPr>
              <w:spacing w:after="380" w:line="240" w:lineRule="auto"/>
              <w:jc w:val="left"/>
              <w:rPr>
                <w:rFonts w:eastAsia="Times New Roman" w:cs="Times New Roman"/>
                <w:szCs w:val="24"/>
                <w:lang w:eastAsia="en-IN"/>
              </w:rPr>
            </w:pPr>
            <w:r w:rsidRPr="00E702F5">
              <w:rPr>
                <w:rFonts w:eastAsia="Times New Roman" w:cs="Times New Roman"/>
                <w:szCs w:val="24"/>
                <w:lang w:eastAsia="en-IN"/>
              </w:rPr>
              <w:t>Customer Experience</w:t>
            </w:r>
          </w:p>
        </w:tc>
        <w:tc>
          <w:tcPr>
            <w:tcW w:w="0" w:type="auto"/>
            <w:hideMark/>
          </w:tcPr>
          <w:p w14:paraId="6924795C" w14:textId="77777777" w:rsidR="00FB6F8E" w:rsidRPr="00E702F5" w:rsidRDefault="00FB6F8E" w:rsidP="00E46820">
            <w:pPr>
              <w:spacing w:after="38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Trained staff delivering exceptional personalized services.</w:t>
            </w:r>
          </w:p>
        </w:tc>
        <w:tc>
          <w:tcPr>
            <w:tcW w:w="0" w:type="auto"/>
            <w:hideMark/>
          </w:tcPr>
          <w:p w14:paraId="3750BF60" w14:textId="77777777" w:rsidR="00FB6F8E" w:rsidRPr="00E702F5" w:rsidRDefault="00FB6F8E" w:rsidP="00E46820">
            <w:pPr>
              <w:spacing w:after="38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Tailored services and unparalleled attention to guest preferences.</w:t>
            </w:r>
          </w:p>
        </w:tc>
      </w:tr>
      <w:tr w:rsidR="00FB6F8E" w:rsidRPr="00E702F5" w14:paraId="63D88C31" w14:textId="77777777" w:rsidTr="00E46820">
        <w:trPr>
          <w:cnfStyle w:val="000000100000" w:firstRow="0" w:lastRow="0" w:firstColumn="0" w:lastColumn="0" w:oddVBand="0" w:evenVBand="0" w:oddHBand="1" w:evenHBand="0" w:firstRowFirstColumn="0" w:firstRowLastColumn="0" w:lastRowFirstColumn="0" w:lastRowLastColumn="0"/>
          <w:trHeight w:val="1415"/>
        </w:trPr>
        <w:tc>
          <w:tcPr>
            <w:cnfStyle w:val="001000000000" w:firstRow="0" w:lastRow="0" w:firstColumn="1" w:lastColumn="0" w:oddVBand="0" w:evenVBand="0" w:oddHBand="0" w:evenHBand="0" w:firstRowFirstColumn="0" w:firstRowLastColumn="0" w:lastRowFirstColumn="0" w:lastRowLastColumn="0"/>
            <w:tcW w:w="0" w:type="auto"/>
            <w:hideMark/>
          </w:tcPr>
          <w:p w14:paraId="09167B69" w14:textId="77777777" w:rsidR="00FB6F8E" w:rsidRPr="00E702F5" w:rsidRDefault="00FB6F8E" w:rsidP="00E46820">
            <w:pPr>
              <w:spacing w:after="380" w:line="240" w:lineRule="auto"/>
              <w:jc w:val="left"/>
              <w:rPr>
                <w:rFonts w:eastAsia="Times New Roman" w:cs="Times New Roman"/>
                <w:szCs w:val="24"/>
                <w:lang w:eastAsia="en-IN"/>
              </w:rPr>
            </w:pPr>
            <w:r w:rsidRPr="00E702F5">
              <w:rPr>
                <w:rFonts w:eastAsia="Times New Roman" w:cs="Times New Roman"/>
                <w:szCs w:val="24"/>
                <w:lang w:eastAsia="en-IN"/>
              </w:rPr>
              <w:t>Architectural Design</w:t>
            </w:r>
          </w:p>
        </w:tc>
        <w:tc>
          <w:tcPr>
            <w:tcW w:w="0" w:type="auto"/>
            <w:hideMark/>
          </w:tcPr>
          <w:p w14:paraId="3E8916C1" w14:textId="77777777" w:rsidR="00FB6F8E" w:rsidRPr="00E702F5" w:rsidRDefault="00FB6F8E" w:rsidP="00E46820">
            <w:pPr>
              <w:spacing w:after="38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 xml:space="preserve">Expertise in architectural and interior design for luxurious </w:t>
            </w:r>
            <w:r>
              <w:rPr>
                <w:rFonts w:eastAsia="Times New Roman" w:cs="Times New Roman"/>
                <w:szCs w:val="24"/>
                <w:lang w:eastAsia="en-IN"/>
              </w:rPr>
              <w:t>ambience</w:t>
            </w:r>
            <w:r w:rsidRPr="00E702F5">
              <w:rPr>
                <w:rFonts w:eastAsia="Times New Roman" w:cs="Times New Roman"/>
                <w:szCs w:val="24"/>
                <w:lang w:eastAsia="en-IN"/>
              </w:rPr>
              <w:t>.</w:t>
            </w:r>
          </w:p>
        </w:tc>
        <w:tc>
          <w:tcPr>
            <w:tcW w:w="0" w:type="auto"/>
            <w:hideMark/>
          </w:tcPr>
          <w:p w14:paraId="2C3AB904" w14:textId="77777777" w:rsidR="00FB6F8E" w:rsidRPr="00E702F5" w:rsidRDefault="00FB6F8E" w:rsidP="00E46820">
            <w:pPr>
              <w:spacing w:after="38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E702F5">
              <w:rPr>
                <w:rFonts w:eastAsia="Times New Roman" w:cs="Times New Roman"/>
                <w:szCs w:val="24"/>
                <w:lang w:eastAsia="en-IN"/>
              </w:rPr>
              <w:t>Distinctive and elegant hotel designs, setting them apart from competitors.</w:t>
            </w:r>
          </w:p>
        </w:tc>
      </w:tr>
    </w:tbl>
    <w:p w14:paraId="0587276B" w14:textId="77777777" w:rsidR="00FB6F8E" w:rsidRDefault="00FB6F8E" w:rsidP="00FB6F8E"/>
    <w:p w14:paraId="05E36CB7" w14:textId="77777777" w:rsidR="004906BC" w:rsidRDefault="004906BC" w:rsidP="00FB6F8E"/>
    <w:p w14:paraId="2CFFF1C3" w14:textId="77777777" w:rsidR="00FB6F8E" w:rsidRPr="00C34BB8" w:rsidRDefault="00FB6F8E" w:rsidP="00FB6F8E">
      <w:r w:rsidRPr="00C34BB8">
        <w:t xml:space="preserve">Mandarin Oriental Hotel Group possesses brand prestige that serves as a core capability, attracting high-end clientele seeking luxurious experiences. </w:t>
      </w:r>
      <w:r>
        <w:t>The</w:t>
      </w:r>
      <w:r w:rsidRPr="00C34BB8">
        <w:t xml:space="preserve"> global presence</w:t>
      </w:r>
      <w:r>
        <w:t xml:space="preserve"> of the organization</w:t>
      </w:r>
      <w:r w:rsidRPr="00C34BB8">
        <w:t xml:space="preserve">, with hotels in major cities globally, represents a unique resource that is difficult for competitors to imitate. Culinary excellence is a threshold capability, crucial for any high-end hotel, while </w:t>
      </w:r>
      <w:r>
        <w:t xml:space="preserve">the </w:t>
      </w:r>
      <w:r w:rsidRPr="00C34BB8">
        <w:t xml:space="preserve">award-winning restaurants </w:t>
      </w:r>
      <w:r>
        <w:t xml:space="preserve">of the organization </w:t>
      </w:r>
      <w:r w:rsidRPr="00C34BB8">
        <w:t xml:space="preserve">represent a core capability, </w:t>
      </w:r>
      <w:r w:rsidRPr="00C34BB8">
        <w:lastRenderedPageBreak/>
        <w:t>providing unique gastronomic experiences. Customer experience is another core capability, where personalized services and meticulous attention to guest preferences contribute significantly to their competitive edge. Moreover, their architectural design expertise, creating distinctive and elegant hotel spaces, is a unique resource, setting them apart from competitors and enhancing their overall appeal to discerning customers.</w:t>
      </w:r>
    </w:p>
    <w:p w14:paraId="71EAA106" w14:textId="77777777" w:rsidR="00FB6F8E" w:rsidRPr="00A66371" w:rsidRDefault="00FB6F8E" w:rsidP="00FB6F8E">
      <w:pPr>
        <w:rPr>
          <w:b/>
          <w:bCs/>
        </w:rPr>
      </w:pPr>
      <w:r w:rsidRPr="00A66371">
        <w:rPr>
          <w:b/>
          <w:bCs/>
        </w:rPr>
        <w:t>Cost-driven / value-driven as a comparison </w:t>
      </w:r>
    </w:p>
    <w:p w14:paraId="5130658E" w14:textId="77777777" w:rsidR="00FB6F8E" w:rsidRPr="00C77DD2" w:rsidRDefault="00FB6F8E" w:rsidP="00FB6F8E">
      <w:r w:rsidRPr="00C77DD2">
        <w:rPr>
          <w:b/>
          <w:bCs/>
          <w:i/>
          <w:iCs/>
        </w:rPr>
        <w:t xml:space="preserve">Cost-Driven Approach: </w:t>
      </w:r>
      <w:r w:rsidRPr="00C77DD2">
        <w:t>Premier Inn adopts a cost-driven strategy by focusing on minimizing costs wherever possible. With a commitment to providing affordable accommodations, Premier Inn maintains a lean cost structure, offering competitive pricing to its customers. Through efficient supply chain management and automation, Premier Inn ensures cost-effectiveness in its operations. As of their last fiscal report, Premier Inn's cost-driven approach has contributed to their financial success, reflected in their substantial revenue figures and market presence.</w:t>
      </w:r>
    </w:p>
    <w:p w14:paraId="48B4D486" w14:textId="77777777" w:rsidR="00FB6F8E" w:rsidRPr="00C77DD2" w:rsidRDefault="00FB6F8E" w:rsidP="00FB6F8E">
      <w:r w:rsidRPr="00C77DD2">
        <w:rPr>
          <w:b/>
          <w:bCs/>
          <w:i/>
          <w:iCs/>
        </w:rPr>
        <w:t>Value-Driven Approach:</w:t>
      </w:r>
      <w:r w:rsidRPr="00C77DD2">
        <w:t xml:space="preserve"> In contrast, Mandarin Oriental Hotel Group embraces a value-driven approach, prioritizing value creation and premium services over stringent cost-cutting measures. Their primary goal is to provide their selective clientele with individualised and private experiences. The Mandarin Oriental is positioned in the high-end market sector thanks to its emphasis on opulent amenities, delicious cuisine, and first-rate customer service. Even while precise numbers are difficult to come by their premium value proposition is clear from the high average room prices and the affluent clientele they draw.</w:t>
      </w:r>
    </w:p>
    <w:p w14:paraId="5C49EDA6" w14:textId="77777777" w:rsidR="00FB6F8E" w:rsidRPr="00C77DD2" w:rsidRDefault="00FB6F8E" w:rsidP="00FB6F8E">
      <w:proofErr w:type="gramStart"/>
      <w:r w:rsidRPr="00C77DD2">
        <w:t>In order to</w:t>
      </w:r>
      <w:proofErr w:type="gramEnd"/>
      <w:r w:rsidRPr="00C77DD2">
        <w:t xml:space="preserve"> preserve affordability and appeal to a wider client base, Premier Inn uses a cost-driven strategy, which helps them reach a larger market and achieve higher occupancy rates. In the meantime, Mandarin Oriental's value-driven strategy portrays them as a premium brand, luring wealthy tourists looking for unmatched luxury and individualised services. In the cutthroat hotel sector, both strategies reflect the organisations' unique market positions by meeting a range of client wants and preferences.</w:t>
      </w:r>
    </w:p>
    <w:p w14:paraId="1B2ED266" w14:textId="77777777" w:rsidR="00FB6F8E" w:rsidRPr="00A66371" w:rsidRDefault="00FB6F8E" w:rsidP="00FB6F8E">
      <w:pPr>
        <w:rPr>
          <w:b/>
          <w:bCs/>
        </w:rPr>
      </w:pPr>
      <w:r w:rsidRPr="00A66371">
        <w:rPr>
          <w:b/>
          <w:bCs/>
        </w:rPr>
        <w:t>Sustainability and correspondence as a comparison</w:t>
      </w:r>
    </w:p>
    <w:p w14:paraId="6E4A4567" w14:textId="77777777" w:rsidR="00FB6F8E" w:rsidRPr="00C77DD2" w:rsidRDefault="00FB6F8E" w:rsidP="00FB6F8E">
      <w:r w:rsidRPr="00C77DD2">
        <w:rPr>
          <w:b/>
          <w:bCs/>
          <w:i/>
          <w:iCs/>
        </w:rPr>
        <w:t>Sustainability Initiatives:</w:t>
      </w:r>
      <w:r w:rsidRPr="00C77DD2">
        <w:t xml:space="preserve"> </w:t>
      </w:r>
    </w:p>
    <w:p w14:paraId="32558305" w14:textId="77777777" w:rsidR="00FB6F8E" w:rsidRPr="00C77DD2" w:rsidRDefault="00FB6F8E" w:rsidP="00FB6F8E">
      <w:r w:rsidRPr="00C77DD2">
        <w:t xml:space="preserve">Premier Inn places significant emphasis on sustainability, implementing various eco-friendly practices across its properties. As of their latest report, Premier Inn achieved a substantial 30% reduction in carbon emissions, reflecting their dedication to environmental conservation. They also actively invest in energy-efficient technologies and waste reduction programs, aiming to </w:t>
      </w:r>
      <w:r w:rsidRPr="00C77DD2">
        <w:lastRenderedPageBreak/>
        <w:t>create a more sustainable future. Premier Inn’s commitment to reducing its environmental impact is evident in its consistent efforts and achievements in sustainability. On the contrary, Mandarin Oriental also prioritizes sustainability, focusing on reducing its carbon footprint and conserving resources. While specific figures are not readily available, their commitment is reflected through initiatives like rooftop organic farming and waste composting in their properties. By investing in energy conservation and water efficiency programs, Mandarin Oriental demonstrates its dedication to environmentally responsible practices.</w:t>
      </w:r>
    </w:p>
    <w:p w14:paraId="1590215F" w14:textId="77777777" w:rsidR="00FB6F8E" w:rsidRPr="00C77DD2" w:rsidRDefault="00FB6F8E" w:rsidP="00FB6F8E">
      <w:pPr>
        <w:rPr>
          <w:b/>
          <w:bCs/>
          <w:i/>
          <w:iCs/>
        </w:rPr>
      </w:pPr>
      <w:r w:rsidRPr="00C77DD2">
        <w:rPr>
          <w:b/>
          <w:bCs/>
          <w:i/>
          <w:iCs/>
        </w:rPr>
        <w:t>Corporate Correspondence:</w:t>
      </w:r>
    </w:p>
    <w:p w14:paraId="555D0916" w14:textId="77777777" w:rsidR="00FB6F8E" w:rsidRPr="00C77DD2" w:rsidRDefault="00FB6F8E" w:rsidP="00FB6F8E">
      <w:r w:rsidRPr="00C77DD2">
        <w:t>Both Premier Inn and Mandarin Oriental Hotel Group align their sustainability practices with the global call for environmental stewardship. While Premier Inn showcases concrete figures, illustrating their significant reductions in carbon emissions, Mandarin Oriental emphasizes tangible initiatives like organic farming. Both organizations exhibit a commitment to sustainable practices, showcasing their awareness of the importance of corporate social responsibility in the hospitality sector.</w:t>
      </w:r>
    </w:p>
    <w:p w14:paraId="6D326715" w14:textId="77777777" w:rsidR="00FB6F8E" w:rsidRPr="00C77DD2" w:rsidRDefault="00FB6F8E" w:rsidP="00FB6F8E">
      <w:pPr>
        <w:pStyle w:val="Heading1"/>
        <w:rPr>
          <w:lang w:eastAsia="en-IN"/>
        </w:rPr>
      </w:pPr>
      <w:bookmarkStart w:id="6" w:name="_Toc148375739"/>
      <w:r w:rsidRPr="00C77DD2">
        <w:rPr>
          <w:lang w:eastAsia="en-IN"/>
        </w:rPr>
        <w:t>Recommendations</w:t>
      </w:r>
      <w:bookmarkEnd w:id="6"/>
    </w:p>
    <w:p w14:paraId="41A98584" w14:textId="77777777" w:rsidR="00FB6F8E" w:rsidRPr="00C77DD2" w:rsidRDefault="00FB6F8E" w:rsidP="00FB6F8E">
      <w:pPr>
        <w:rPr>
          <w:b/>
          <w:bCs/>
          <w:lang w:eastAsia="en-IN"/>
        </w:rPr>
      </w:pPr>
      <w:r w:rsidRPr="00C77DD2">
        <w:rPr>
          <w:b/>
          <w:bCs/>
          <w:lang w:eastAsia="en-IN"/>
        </w:rPr>
        <w:t>Recommendations for Premier Inn:</w:t>
      </w:r>
    </w:p>
    <w:p w14:paraId="1F740095" w14:textId="77777777" w:rsidR="00FB6F8E" w:rsidRPr="00C77DD2" w:rsidRDefault="00FB6F8E" w:rsidP="00FB6F8E">
      <w:pPr>
        <w:rPr>
          <w:lang w:eastAsia="en-IN"/>
        </w:rPr>
      </w:pPr>
      <w:r w:rsidRPr="00C77DD2">
        <w:rPr>
          <w:lang w:eastAsia="en-IN"/>
        </w:rPr>
        <w:t>Based on the analysis conducted, Premier Inn should focus on further expanding its global presence, especially in emerging markets with growing tourism sectors. Countries like India, where the tourism industry is expanding rapidly, present significant opportunities. According to the World Travel &amp; Tourism Council, India's travel and tourism sector's total contribution to GDP was 6.7% in 2019, and it is expected to rise by 6.7% per annum from 2020 to 2029 (</w:t>
      </w:r>
      <w:r w:rsidRPr="00C77DD2">
        <w:t>Sinha and Ekka, 2021)</w:t>
      </w:r>
      <w:r w:rsidRPr="00C77DD2">
        <w:rPr>
          <w:lang w:eastAsia="en-IN"/>
        </w:rPr>
        <w:t xml:space="preserve">. </w:t>
      </w:r>
      <w:r w:rsidRPr="002C44EA">
        <w:rPr>
          <w:lang w:eastAsia="en-IN"/>
        </w:rPr>
        <w:t>Premier Inn can leverage this trend by strategically entering the market of Saudi Arab and capturing a new customer base</w:t>
      </w:r>
      <w:r w:rsidRPr="00C77DD2">
        <w:rPr>
          <w:lang w:eastAsia="en-IN"/>
        </w:rPr>
        <w:t xml:space="preserve">. This expansion aligns with Premier Inn's existing strategies of providing affordable yet comfortable accommodations, meeting the demands of budget-conscious travellers. By investing in key locations and understanding the cultural nuances of the target market, Premier Inn can establish </w:t>
      </w:r>
      <w:r w:rsidRPr="002C44EA">
        <w:rPr>
          <w:lang w:eastAsia="en-IN"/>
        </w:rPr>
        <w:t xml:space="preserve">a strong foothold in Saudi Arab, </w:t>
      </w:r>
      <w:r w:rsidRPr="00C77DD2">
        <w:rPr>
          <w:lang w:eastAsia="en-IN"/>
        </w:rPr>
        <w:t>driving revenue growth and brand recognition.</w:t>
      </w:r>
    </w:p>
    <w:p w14:paraId="40470F9F" w14:textId="77777777" w:rsidR="00FB6F8E" w:rsidRPr="00C77DD2" w:rsidRDefault="00FB6F8E" w:rsidP="00FB6F8E">
      <w:pPr>
        <w:jc w:val="center"/>
        <w:rPr>
          <w:lang w:eastAsia="en-IN"/>
        </w:rPr>
      </w:pPr>
      <w:r w:rsidRPr="00C77DD2">
        <w:rPr>
          <w:noProof/>
          <w:lang w:eastAsia="en-IN"/>
        </w:rPr>
        <w:lastRenderedPageBreak/>
        <w:drawing>
          <wp:inline distT="0" distB="0" distL="0" distR="0" wp14:anchorId="1AD7E878" wp14:editId="67FE0C0C">
            <wp:extent cx="5364480" cy="3460226"/>
            <wp:effectExtent l="0" t="0" r="7620" b="6985"/>
            <wp:docPr id="205886052"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86052" name="Picture 1" descr="A graph of blue bars&#10;&#10;Description automatically generated"/>
                    <pic:cNvPicPr/>
                  </pic:nvPicPr>
                  <pic:blipFill>
                    <a:blip r:embed="rId9"/>
                    <a:stretch>
                      <a:fillRect/>
                    </a:stretch>
                  </pic:blipFill>
                  <pic:spPr>
                    <a:xfrm>
                      <a:off x="0" y="0"/>
                      <a:ext cx="5365908" cy="3461147"/>
                    </a:xfrm>
                    <a:prstGeom prst="rect">
                      <a:avLst/>
                    </a:prstGeom>
                  </pic:spPr>
                </pic:pic>
              </a:graphicData>
            </a:graphic>
          </wp:inline>
        </w:drawing>
      </w:r>
    </w:p>
    <w:p w14:paraId="012F2926" w14:textId="77777777" w:rsidR="00FB6F8E" w:rsidRPr="00C77DD2" w:rsidRDefault="00FB6F8E" w:rsidP="00FB6F8E">
      <w:pPr>
        <w:jc w:val="center"/>
        <w:rPr>
          <w:b/>
          <w:bCs/>
          <w:lang w:eastAsia="en-IN"/>
        </w:rPr>
      </w:pPr>
      <w:r w:rsidRPr="00C77DD2">
        <w:rPr>
          <w:b/>
          <w:bCs/>
          <w:lang w:eastAsia="en-IN"/>
        </w:rPr>
        <w:t>Figure 2: GDP of Saudi Arab</w:t>
      </w:r>
    </w:p>
    <w:p w14:paraId="094A36E1" w14:textId="77777777" w:rsidR="00FB6F8E" w:rsidRPr="00C77DD2" w:rsidRDefault="00FB6F8E" w:rsidP="00FB6F8E">
      <w:pPr>
        <w:jc w:val="center"/>
        <w:rPr>
          <w:lang w:eastAsia="en-IN"/>
        </w:rPr>
      </w:pPr>
      <w:r w:rsidRPr="00C77DD2">
        <w:t>(Source: Saudi Arabia’s GDP, 2022)</w:t>
      </w:r>
    </w:p>
    <w:p w14:paraId="7F27FF52" w14:textId="77777777" w:rsidR="00FB6F8E" w:rsidRPr="00C77DD2" w:rsidRDefault="00FB6F8E" w:rsidP="00FB6F8E">
      <w:pPr>
        <w:rPr>
          <w:b/>
          <w:bCs/>
          <w:lang w:eastAsia="en-IN"/>
        </w:rPr>
      </w:pPr>
      <w:r w:rsidRPr="00C77DD2">
        <w:rPr>
          <w:b/>
          <w:bCs/>
          <w:lang w:eastAsia="en-IN"/>
        </w:rPr>
        <w:t>Recommendations for Mandarin Oriental Hotel Group:</w:t>
      </w:r>
    </w:p>
    <w:p w14:paraId="3C7AF13A" w14:textId="77777777" w:rsidR="00FB6F8E" w:rsidRPr="00C77DD2" w:rsidRDefault="00FB6F8E" w:rsidP="00FB6F8E">
      <w:pPr>
        <w:rPr>
          <w:lang w:eastAsia="en-IN"/>
        </w:rPr>
      </w:pPr>
      <w:r w:rsidRPr="00C77DD2">
        <w:rPr>
          <w:lang w:eastAsia="en-IN"/>
        </w:rPr>
        <w:t>For Mandarin Oriental Hotel Group, the recommendation centres on enhancing the digital presence and customer engagement strategies. While the luxury segment traditionally relies on personalized services, the digital landscape plays an increasingly vital role in customer interactions. According to a study by Accenture, 83% of luxury consumers in China use digital tools to research brands and products (</w:t>
      </w:r>
      <w:proofErr w:type="spellStart"/>
      <w:r w:rsidRPr="00C77DD2">
        <w:t>Bekbulatova</w:t>
      </w:r>
      <w:proofErr w:type="spellEnd"/>
      <w:r w:rsidRPr="00C77DD2">
        <w:rPr>
          <w:i/>
          <w:iCs/>
        </w:rPr>
        <w:t xml:space="preserve"> et al.,</w:t>
      </w:r>
      <w:r w:rsidRPr="00C77DD2">
        <w:t xml:space="preserve"> 2022)</w:t>
      </w:r>
      <w:r w:rsidRPr="00C77DD2">
        <w:rPr>
          <w:lang w:eastAsia="en-IN"/>
        </w:rPr>
        <w:t>. Mandarin Oriental should invest in user-friendly mobile apps and online platforms, offering seamless booking experiences and personalized services. Incorporating AI-driven chatbots for customer queries and preferences can enhance engagement. Additionally, leveraging social media platforms for targeted marketing campaigns can expand their reach among potential high-net-worth customers. By embracing digital innovations, Mandarin Oriental can maintain its reputation for personalized luxury while adapting to the evolving preferences of the modern affluent traveller, ultimately driving customer loyalty and revenue growth.</w:t>
      </w:r>
    </w:p>
    <w:p w14:paraId="538506AD" w14:textId="77777777" w:rsidR="00FB6F8E" w:rsidRPr="00C77DD2" w:rsidRDefault="00FB6F8E" w:rsidP="00FB6F8E">
      <w:pPr>
        <w:pStyle w:val="Heading1"/>
      </w:pPr>
      <w:bookmarkStart w:id="7" w:name="_Toc148375740"/>
      <w:r w:rsidRPr="00C77DD2">
        <w:t>Conclusion</w:t>
      </w:r>
      <w:bookmarkEnd w:id="7"/>
    </w:p>
    <w:p w14:paraId="315DF510" w14:textId="77777777" w:rsidR="00FB6F8E" w:rsidRPr="00F7474D" w:rsidRDefault="00FB6F8E" w:rsidP="00FB6F8E">
      <w:pPr>
        <w:rPr>
          <w:color w:val="FF0000"/>
        </w:rPr>
      </w:pPr>
      <w:r w:rsidRPr="00C77DD2">
        <w:t>The report provided analysis of total revenue for the potential expansion of the organization</w:t>
      </w:r>
      <w:r>
        <w:t xml:space="preserve"> namely Premier Inn</w:t>
      </w:r>
      <w:r w:rsidRPr="00C77DD2">
        <w:t xml:space="preserve"> </w:t>
      </w:r>
      <w:r w:rsidRPr="002C44EA">
        <w:t xml:space="preserve">as well </w:t>
      </w:r>
      <w:r w:rsidRPr="00C77DD2">
        <w:t xml:space="preserve">as provide market positions and growth potentials of the respective </w:t>
      </w:r>
      <w:r w:rsidRPr="00C77DD2">
        <w:lastRenderedPageBreak/>
        <w:t>organization.</w:t>
      </w:r>
      <w:r>
        <w:t xml:space="preserve"> </w:t>
      </w:r>
      <w:r w:rsidRPr="00C77DD2">
        <w:t xml:space="preserve">Furthermore, the report highlighted CSR in terms of competitors </w:t>
      </w:r>
      <w:r>
        <w:t>namely Mandarin oriental Hotel Group.</w:t>
      </w:r>
      <w:r w:rsidRPr="00F7474D">
        <w:rPr>
          <w:color w:val="FF0000"/>
        </w:rPr>
        <w:br w:type="page"/>
      </w:r>
    </w:p>
    <w:p w14:paraId="7C8F34F6" w14:textId="77777777" w:rsidR="00FB6F8E" w:rsidRPr="00C77DD2" w:rsidRDefault="00FB6F8E" w:rsidP="00FB6F8E">
      <w:pPr>
        <w:pStyle w:val="Heading1"/>
      </w:pPr>
      <w:bookmarkStart w:id="8" w:name="_Toc148375741"/>
      <w:r w:rsidRPr="00C77DD2">
        <w:lastRenderedPageBreak/>
        <w:t>References</w:t>
      </w:r>
      <w:bookmarkEnd w:id="8"/>
    </w:p>
    <w:p w14:paraId="1CEFAC84" w14:textId="77777777" w:rsidR="00FB6F8E" w:rsidRPr="00C77DD2" w:rsidRDefault="00FB6F8E" w:rsidP="00FB6F8E">
      <w:r w:rsidRPr="00C77DD2">
        <w:t xml:space="preserve">Almutairi, M.M.Q., (2023). The Impact </w:t>
      </w:r>
      <w:proofErr w:type="gramStart"/>
      <w:r w:rsidRPr="00C77DD2">
        <w:t>Of</w:t>
      </w:r>
      <w:proofErr w:type="gramEnd"/>
      <w:r w:rsidRPr="00C77DD2">
        <w:t xml:space="preserve"> Market Analysis On The Company Strategy. Journal of Positive School Psychology, pp.401-412.</w:t>
      </w:r>
    </w:p>
    <w:p w14:paraId="31BA1434" w14:textId="77777777" w:rsidR="00FB6F8E" w:rsidRPr="00C77DD2" w:rsidRDefault="00FB6F8E" w:rsidP="00FB6F8E">
      <w:proofErr w:type="spellStart"/>
      <w:r w:rsidRPr="00C77DD2">
        <w:t>Bekbulatova</w:t>
      </w:r>
      <w:proofErr w:type="spellEnd"/>
      <w:r w:rsidRPr="00C77DD2">
        <w:t xml:space="preserve">, A., </w:t>
      </w:r>
      <w:proofErr w:type="spellStart"/>
      <w:r w:rsidRPr="00C77DD2">
        <w:t>Syzdykbayeva</w:t>
      </w:r>
      <w:proofErr w:type="spellEnd"/>
      <w:r w:rsidRPr="00C77DD2">
        <w:t xml:space="preserve">, B., </w:t>
      </w:r>
      <w:proofErr w:type="spellStart"/>
      <w:r w:rsidRPr="00C77DD2">
        <w:t>Agybetova</w:t>
      </w:r>
      <w:proofErr w:type="spellEnd"/>
      <w:r w:rsidRPr="00C77DD2">
        <w:t>, R., Dulatbekova, Z. and Akimov, Z., (2022). Evaluation of the Main Performance Indicators of 4 and 5-Star Hotels using the Example of the Nur-Sultan City, Kazakhstan. Journal of Environmental Management &amp; Tourism, 13(2), pp.497-506.</w:t>
      </w:r>
    </w:p>
    <w:p w14:paraId="4AA5D6F9" w14:textId="77777777" w:rsidR="00FB6F8E" w:rsidRPr="00C77DD2" w:rsidRDefault="00FB6F8E" w:rsidP="00FB6F8E">
      <w:r w:rsidRPr="00C77DD2">
        <w:t>Cardon, N., (2022). Global mass culture, mobile subjectivities, and the southern landscape: the bicycle in the New South, 1887–1920. Journal of American studies, 56(5), pp.755-782.</w:t>
      </w:r>
    </w:p>
    <w:p w14:paraId="5734DE41" w14:textId="77777777" w:rsidR="00FB6F8E" w:rsidRPr="00C77DD2" w:rsidRDefault="00FB6F8E" w:rsidP="00FB6F8E">
      <w:r w:rsidRPr="00C77DD2">
        <w:t>Eckhardt, G., (2020). Hosting Bags Instead of People. NIM Marketing Intelligence Review, 12(2), pp.52-55.</w:t>
      </w:r>
    </w:p>
    <w:p w14:paraId="223F4E9D" w14:textId="77777777" w:rsidR="00FB6F8E" w:rsidRPr="00C77DD2" w:rsidRDefault="00FB6F8E" w:rsidP="00FB6F8E">
      <w:bookmarkStart w:id="9" w:name="_Hlk147579322"/>
      <w:r w:rsidRPr="00C77DD2">
        <w:t>Golia</w:t>
      </w:r>
      <w:bookmarkEnd w:id="9"/>
      <w:r w:rsidRPr="00C77DD2">
        <w:t xml:space="preserve">, A.J., (2021). Judicial Review, Foreign </w:t>
      </w:r>
      <w:proofErr w:type="gramStart"/>
      <w:r w:rsidRPr="00C77DD2">
        <w:t>Relations</w:t>
      </w:r>
      <w:proofErr w:type="gramEnd"/>
      <w:r w:rsidRPr="00C77DD2">
        <w:t xml:space="preserve"> and Global Administrative Law. In Encounters between Foreign Relations Law and International Law. Bridges and Boundaries (pp. 130-158). Cambridge University Press.</w:t>
      </w:r>
    </w:p>
    <w:p w14:paraId="71B79F32" w14:textId="77777777" w:rsidR="00FB6F8E" w:rsidRPr="00C77DD2" w:rsidRDefault="00FB6F8E" w:rsidP="00FB6F8E">
      <w:bookmarkStart w:id="10" w:name="_Hlk147579346"/>
      <w:r w:rsidRPr="00C77DD2">
        <w:t>Lietz, N.G. and Bracken, S., (2019)</w:t>
      </w:r>
      <w:bookmarkEnd w:id="10"/>
      <w:r w:rsidRPr="00C77DD2">
        <w:t>. Why WeWork Won’t. Harvard Business School, 25, pp.18-22.</w:t>
      </w:r>
    </w:p>
    <w:p w14:paraId="2C6329EA" w14:textId="77777777" w:rsidR="00FB6F8E" w:rsidRPr="00C77DD2" w:rsidRDefault="00FB6F8E" w:rsidP="00FB6F8E">
      <w:bookmarkStart w:id="11" w:name="_Hlk147579521"/>
      <w:r w:rsidRPr="00C77DD2">
        <w:t>Mackillop</w:t>
      </w:r>
      <w:bookmarkEnd w:id="11"/>
      <w:r w:rsidRPr="00C77DD2">
        <w:t>, A., (2021). The free traders: Connecting economies of human and monetary capital. Human capital and empire, pp.192-219.</w:t>
      </w:r>
    </w:p>
    <w:p w14:paraId="734BCD72" w14:textId="77777777" w:rsidR="00FB6F8E" w:rsidRPr="00C77DD2" w:rsidRDefault="00FB6F8E" w:rsidP="00FB6F8E">
      <w:r w:rsidRPr="00C77DD2">
        <w:t>Manns, J., (2020). Growing closer: Reflections on the future of visitor accommodation and the city. Journal of Urban Regeneration &amp; Renewal, 13(4), pp.357-364.</w:t>
      </w:r>
    </w:p>
    <w:p w14:paraId="3E158DA5" w14:textId="77777777" w:rsidR="00FB6F8E" w:rsidRPr="00C77DD2" w:rsidRDefault="00FB6F8E" w:rsidP="00FB6F8E">
      <w:bookmarkStart w:id="12" w:name="_Hlk147579297"/>
      <w:r w:rsidRPr="00C77DD2">
        <w:t>Negi, D.S. and Lohani, S., (2021)</w:t>
      </w:r>
      <w:bookmarkEnd w:id="12"/>
      <w:r w:rsidRPr="00C77DD2">
        <w:t>. Growing Popularity of Budget Hotels in India. Bharti Publications, p.254.</w:t>
      </w:r>
    </w:p>
    <w:p w14:paraId="5BE7B6E6" w14:textId="77777777" w:rsidR="00FB6F8E" w:rsidRPr="00C77DD2" w:rsidRDefault="00FB6F8E" w:rsidP="00FB6F8E">
      <w:r w:rsidRPr="00C77DD2">
        <w:t>Saudi Arabia’s GDP (2022) Saudi Arabia’s GDP 2011-2020, Statista. Available at: https://www.statista.com/statistics/626734/saudi-arabia-total-gdp/ (Accessed: October 7, 2023).</w:t>
      </w:r>
    </w:p>
    <w:p w14:paraId="63608C17" w14:textId="77777777" w:rsidR="00FB6F8E" w:rsidRPr="00C77DD2" w:rsidRDefault="00FB6F8E" w:rsidP="00FB6F8E">
      <w:r w:rsidRPr="00C77DD2">
        <w:t xml:space="preserve">Sinha, A.K. and Ekka, P., (2021). Hospitality Industry of India-Its present status and </w:t>
      </w:r>
      <w:proofErr w:type="gramStart"/>
      <w:r w:rsidRPr="00C77DD2">
        <w:t>future prospects</w:t>
      </w:r>
      <w:proofErr w:type="gramEnd"/>
      <w:r w:rsidRPr="00C77DD2">
        <w:t>. The Researchers' International Research Journal, 7(1), pp.85-95.</w:t>
      </w:r>
    </w:p>
    <w:p w14:paraId="09EB35D6" w14:textId="77777777" w:rsidR="00FB6F8E" w:rsidRPr="00C77DD2" w:rsidRDefault="00FB6F8E" w:rsidP="00FB6F8E">
      <w:r w:rsidRPr="00C77DD2">
        <w:lastRenderedPageBreak/>
        <w:t>Statista (2023) Market size of the tourism sector worldwide 2013-2023, Statista. Available at: https://www.statista.com/statistics/1220218/tourism-industry-market-size-global/ (Accessed: October 7, 2023).</w:t>
      </w:r>
    </w:p>
    <w:p w14:paraId="1F7D004D" w14:textId="77777777" w:rsidR="00FB6F8E" w:rsidRPr="00C77DD2" w:rsidRDefault="00FB6F8E" w:rsidP="00FB6F8E">
      <w:proofErr w:type="spellStart"/>
      <w:r w:rsidRPr="00C77DD2">
        <w:t>Vandkilde</w:t>
      </w:r>
      <w:proofErr w:type="spellEnd"/>
      <w:r w:rsidRPr="00C77DD2">
        <w:t>, H., (2019), December. Bronze Age beginnings–A scalar view from the global outskirts. In Proceedings of the Prehistoric Society (Vol. 85, pp. 1-27). Cambridge University Press.</w:t>
      </w:r>
    </w:p>
    <w:p w14:paraId="19814E3C" w14:textId="77777777" w:rsidR="00FB6F8E" w:rsidRPr="00C77DD2" w:rsidRDefault="00FB6F8E" w:rsidP="00FB6F8E">
      <w:proofErr w:type="spellStart"/>
      <w:r w:rsidRPr="00C77DD2">
        <w:t>Villagrasa</w:t>
      </w:r>
      <w:proofErr w:type="spellEnd"/>
      <w:r w:rsidRPr="00C77DD2">
        <w:t>, J., Sánchez, F. and Donaldson, C., (2022). How to teach the strategic clock with a numerical methodology: make it real, make it happen. In INTED2022 Proceedings (pp. 35-44). IATED.</w:t>
      </w:r>
    </w:p>
    <w:p w14:paraId="10A3197C" w14:textId="77777777" w:rsidR="00FB6F8E" w:rsidRPr="00C77DD2" w:rsidRDefault="00FB6F8E" w:rsidP="00FB6F8E">
      <w:r w:rsidRPr="00C77DD2">
        <w:t xml:space="preserve">Wilkins, S. and </w:t>
      </w:r>
      <w:proofErr w:type="spellStart"/>
      <w:r w:rsidRPr="00C77DD2">
        <w:t>Emik</w:t>
      </w:r>
      <w:proofErr w:type="spellEnd"/>
      <w:r w:rsidRPr="00C77DD2">
        <w:t xml:space="preserve">, S., (2021). Explaining the success of UAE companies globally: the benefits of possessing </w:t>
      </w:r>
      <w:proofErr w:type="spellStart"/>
      <w:r w:rsidRPr="00C77DD2">
        <w:t>a'can-do'culture</w:t>
      </w:r>
      <w:proofErr w:type="spellEnd"/>
      <w:r w:rsidRPr="00C77DD2">
        <w:t>. Middle East Journal of Management, 8(4), pp.319-343.</w:t>
      </w:r>
    </w:p>
    <w:p w14:paraId="5C155AAD" w14:textId="77777777" w:rsidR="00FB6F8E" w:rsidRPr="00C77DD2" w:rsidRDefault="00FB6F8E" w:rsidP="00FB6F8E">
      <w:r w:rsidRPr="00C77DD2">
        <w:t>Woo, L., Assaf, A.G., Josiassen, A. and Kock, F., (2019). Internationalization and hotel performance: Agglomeration-related moderators. International Journal of Hospitality Management, 82, pp.48-58.</w:t>
      </w:r>
    </w:p>
    <w:p w14:paraId="3A447444" w14:textId="77777777" w:rsidR="00FB6F8E" w:rsidRPr="00C77DD2" w:rsidRDefault="00FB6F8E" w:rsidP="00FB6F8E">
      <w:bookmarkStart w:id="13" w:name="_Hlk147579536"/>
      <w:r w:rsidRPr="00C77DD2">
        <w:t>Zeng</w:t>
      </w:r>
      <w:bookmarkEnd w:id="13"/>
      <w:r w:rsidRPr="00C77DD2">
        <w:t>, L., (2021). Analysis of Hilton Worldwide Hotel Group’s Transnational Operation Strategy. Academic Journal of Business &amp; Management, 3(11), pp.20-27.</w:t>
      </w:r>
    </w:p>
    <w:p w14:paraId="6F2D313D" w14:textId="77777777" w:rsidR="00FB6F8E" w:rsidRPr="00C77DD2" w:rsidRDefault="00FB6F8E" w:rsidP="00FB6F8E">
      <w:r w:rsidRPr="00C77DD2">
        <w:t xml:space="preserve">Zhang, </w:t>
      </w:r>
      <w:proofErr w:type="gramStart"/>
      <w:r w:rsidRPr="00C77DD2">
        <w:t>T.</w:t>
      </w:r>
      <w:proofErr w:type="gramEnd"/>
      <w:r w:rsidRPr="00C77DD2">
        <w:t xml:space="preserve"> and Potter, R.H., (2022). The Role of the Hospitality Industry in Preventing Human Trafficking. In Paths to the Prevention and Detection of Human Trafficking (pp. 247-265). IGI Global.</w:t>
      </w:r>
    </w:p>
    <w:p w14:paraId="08A70F6C" w14:textId="60CF052D" w:rsidR="008D2975" w:rsidRPr="00B04009" w:rsidRDefault="008D2975" w:rsidP="00B04009"/>
    <w:sectPr w:rsidR="008D2975" w:rsidRPr="00B04009" w:rsidSect="00245867">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C0E05" w14:textId="77777777" w:rsidR="00BA10D6" w:rsidRDefault="00BA10D6">
      <w:pPr>
        <w:spacing w:after="0" w:line="240" w:lineRule="auto"/>
      </w:pPr>
      <w:r>
        <w:separator/>
      </w:r>
    </w:p>
  </w:endnote>
  <w:endnote w:type="continuationSeparator" w:id="0">
    <w:p w14:paraId="31A609F2" w14:textId="77777777" w:rsidR="00BA10D6" w:rsidRDefault="00BA1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5965174"/>
      <w:docPartObj>
        <w:docPartGallery w:val="Page Numbers (Bottom of Page)"/>
        <w:docPartUnique/>
      </w:docPartObj>
    </w:sdtPr>
    <w:sdtContent>
      <w:sdt>
        <w:sdtPr>
          <w:id w:val="-1769616900"/>
          <w:docPartObj>
            <w:docPartGallery w:val="Page Numbers (Top of Page)"/>
            <w:docPartUnique/>
          </w:docPartObj>
        </w:sdtPr>
        <w:sdtContent>
          <w:p w14:paraId="18211B01" w14:textId="77777777" w:rsidR="006457AB"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915A564" w14:textId="77777777" w:rsidR="006457AB" w:rsidRDefault="00645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62564" w14:textId="77777777" w:rsidR="00BA10D6" w:rsidRDefault="00BA10D6">
      <w:pPr>
        <w:spacing w:after="0" w:line="240" w:lineRule="auto"/>
      </w:pPr>
      <w:r>
        <w:separator/>
      </w:r>
    </w:p>
  </w:footnote>
  <w:footnote w:type="continuationSeparator" w:id="0">
    <w:p w14:paraId="40A46753" w14:textId="77777777" w:rsidR="00BA10D6" w:rsidRDefault="00BA10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E6B57"/>
    <w:multiLevelType w:val="hybridMultilevel"/>
    <w:tmpl w:val="83FA90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C8A0FB8"/>
    <w:multiLevelType w:val="hybridMultilevel"/>
    <w:tmpl w:val="64C8C6F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DE3472F"/>
    <w:multiLevelType w:val="hybridMultilevel"/>
    <w:tmpl w:val="53F419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5EE4A99"/>
    <w:multiLevelType w:val="hybridMultilevel"/>
    <w:tmpl w:val="03DA28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4C441483"/>
    <w:multiLevelType w:val="hybridMultilevel"/>
    <w:tmpl w:val="3B7678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4EB25679"/>
    <w:multiLevelType w:val="hybridMultilevel"/>
    <w:tmpl w:val="4186274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524E3EFB"/>
    <w:multiLevelType w:val="hybridMultilevel"/>
    <w:tmpl w:val="B2F26F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6AC672DF"/>
    <w:multiLevelType w:val="hybridMultilevel"/>
    <w:tmpl w:val="5E6E0D9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EE21258"/>
    <w:multiLevelType w:val="hybridMultilevel"/>
    <w:tmpl w:val="B7DE471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240208511">
    <w:abstractNumId w:val="2"/>
  </w:num>
  <w:num w:numId="2" w16cid:durableId="1198082185">
    <w:abstractNumId w:val="8"/>
  </w:num>
  <w:num w:numId="3" w16cid:durableId="1740709414">
    <w:abstractNumId w:val="7"/>
  </w:num>
  <w:num w:numId="4" w16cid:durableId="1660382639">
    <w:abstractNumId w:val="4"/>
  </w:num>
  <w:num w:numId="5" w16cid:durableId="893472197">
    <w:abstractNumId w:val="3"/>
  </w:num>
  <w:num w:numId="6" w16cid:durableId="1283880107">
    <w:abstractNumId w:val="6"/>
  </w:num>
  <w:num w:numId="7" w16cid:durableId="440809070">
    <w:abstractNumId w:val="1"/>
  </w:num>
  <w:num w:numId="8" w16cid:durableId="1849904250">
    <w:abstractNumId w:val="5"/>
  </w:num>
  <w:num w:numId="9" w16cid:durableId="1567960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ABA"/>
    <w:rsid w:val="000F2884"/>
    <w:rsid w:val="002D4894"/>
    <w:rsid w:val="00412C97"/>
    <w:rsid w:val="004903BA"/>
    <w:rsid w:val="004906BC"/>
    <w:rsid w:val="004C0CB7"/>
    <w:rsid w:val="004E2A5D"/>
    <w:rsid w:val="006457AB"/>
    <w:rsid w:val="006B14BD"/>
    <w:rsid w:val="00785724"/>
    <w:rsid w:val="008217A1"/>
    <w:rsid w:val="00896C5F"/>
    <w:rsid w:val="008B0175"/>
    <w:rsid w:val="008D2975"/>
    <w:rsid w:val="00950700"/>
    <w:rsid w:val="00AC3483"/>
    <w:rsid w:val="00B04009"/>
    <w:rsid w:val="00B20ABA"/>
    <w:rsid w:val="00B70551"/>
    <w:rsid w:val="00BA10D6"/>
    <w:rsid w:val="00C87D11"/>
    <w:rsid w:val="00D42E08"/>
    <w:rsid w:val="00D601A4"/>
    <w:rsid w:val="00F10D7D"/>
    <w:rsid w:val="00F664F4"/>
    <w:rsid w:val="00FB6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914C8"/>
  <w15:chartTrackingRefBased/>
  <w15:docId w15:val="{5C380036-171A-451F-B5B8-F528E20DB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D7D"/>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10D7D"/>
    <w:pPr>
      <w:outlineLvl w:val="0"/>
    </w:pPr>
    <w:rPr>
      <w:rFonts w:eastAsia="Times New Roman"/>
      <w:b/>
    </w:rPr>
  </w:style>
  <w:style w:type="paragraph" w:styleId="Heading2">
    <w:name w:val="heading 2"/>
    <w:basedOn w:val="Heading1"/>
    <w:next w:val="Normal"/>
    <w:link w:val="Heading2Char"/>
    <w:uiPriority w:val="9"/>
    <w:semiHidden/>
    <w:unhideWhenUsed/>
    <w:qFormat/>
    <w:rsid w:val="00F10D7D"/>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D7D"/>
    <w:rPr>
      <w:rFonts w:ascii="Times New Roman" w:eastAsia="Times New Roman" w:hAnsi="Times New Roman"/>
      <w:b/>
      <w:kern w:val="0"/>
      <w:sz w:val="24"/>
      <w14:ligatures w14:val="none"/>
    </w:rPr>
  </w:style>
  <w:style w:type="character" w:customStyle="1" w:styleId="Heading2Char">
    <w:name w:val="Heading 2 Char"/>
    <w:basedOn w:val="DefaultParagraphFont"/>
    <w:link w:val="Heading2"/>
    <w:uiPriority w:val="9"/>
    <w:semiHidden/>
    <w:rsid w:val="00F10D7D"/>
    <w:rPr>
      <w:rFonts w:ascii="Times New Roman" w:eastAsia="Times New Roman" w:hAnsi="Times New Roman"/>
      <w:b/>
      <w:kern w:val="0"/>
      <w:sz w:val="24"/>
      <w14:ligatures w14:val="none"/>
    </w:rPr>
  </w:style>
  <w:style w:type="character" w:styleId="Hyperlink">
    <w:name w:val="Hyperlink"/>
    <w:basedOn w:val="DefaultParagraphFont"/>
    <w:uiPriority w:val="99"/>
    <w:unhideWhenUsed/>
    <w:rsid w:val="00F10D7D"/>
    <w:rPr>
      <w:color w:val="0563C1" w:themeColor="hyperlink"/>
      <w:u w:val="single"/>
    </w:rPr>
  </w:style>
  <w:style w:type="paragraph" w:styleId="TOC1">
    <w:name w:val="toc 1"/>
    <w:basedOn w:val="Normal"/>
    <w:next w:val="Normal"/>
    <w:autoRedefine/>
    <w:uiPriority w:val="39"/>
    <w:semiHidden/>
    <w:unhideWhenUsed/>
    <w:rsid w:val="00F10D7D"/>
    <w:pPr>
      <w:spacing w:after="100"/>
    </w:pPr>
  </w:style>
  <w:style w:type="paragraph" w:styleId="TOC2">
    <w:name w:val="toc 2"/>
    <w:basedOn w:val="Normal"/>
    <w:next w:val="Normal"/>
    <w:autoRedefine/>
    <w:uiPriority w:val="39"/>
    <w:semiHidden/>
    <w:unhideWhenUsed/>
    <w:rsid w:val="00F10D7D"/>
    <w:pPr>
      <w:spacing w:after="100"/>
      <w:ind w:left="240"/>
    </w:pPr>
  </w:style>
  <w:style w:type="paragraph" w:styleId="ListParagraph">
    <w:name w:val="List Paragraph"/>
    <w:basedOn w:val="Normal"/>
    <w:uiPriority w:val="34"/>
    <w:qFormat/>
    <w:rsid w:val="00F10D7D"/>
    <w:pPr>
      <w:ind w:left="720"/>
      <w:contextualSpacing/>
    </w:pPr>
  </w:style>
  <w:style w:type="paragraph" w:styleId="TOCHeading">
    <w:name w:val="TOC Heading"/>
    <w:basedOn w:val="Heading1"/>
    <w:next w:val="Normal"/>
    <w:uiPriority w:val="39"/>
    <w:semiHidden/>
    <w:unhideWhenUsed/>
    <w:qFormat/>
    <w:rsid w:val="00F10D7D"/>
    <w:pPr>
      <w:keepNext/>
      <w:keepLines/>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 w:type="table" w:customStyle="1" w:styleId="GridTable4-Accent51">
    <w:name w:val="Grid Table 4 - Accent 51"/>
    <w:basedOn w:val="TableNormal"/>
    <w:uiPriority w:val="49"/>
    <w:rsid w:val="00F10D7D"/>
    <w:pPr>
      <w:spacing w:after="0" w:line="240" w:lineRule="auto"/>
    </w:pPr>
    <w:rPr>
      <w:kern w:val="0"/>
      <w:lang w:val="en-IN"/>
      <w14:ligatures w14:val="none"/>
    </w:rPr>
    <w:tblPr>
      <w:tblStyleRowBandSize w:val="1"/>
      <w:tblStyleColBandSize w:val="1"/>
      <w:tblInd w:w="0" w:type="nil"/>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Footer">
    <w:name w:val="footer"/>
    <w:basedOn w:val="Normal"/>
    <w:link w:val="FooterChar"/>
    <w:uiPriority w:val="99"/>
    <w:unhideWhenUsed/>
    <w:rsid w:val="00FB6F8E"/>
    <w:pPr>
      <w:tabs>
        <w:tab w:val="center" w:pos="4513"/>
        <w:tab w:val="right" w:pos="9026"/>
      </w:tabs>
      <w:spacing w:after="0" w:line="240" w:lineRule="auto"/>
    </w:pPr>
    <w:rPr>
      <w:kern w:val="2"/>
      <w14:ligatures w14:val="standardContextual"/>
    </w:rPr>
  </w:style>
  <w:style w:type="character" w:customStyle="1" w:styleId="FooterChar">
    <w:name w:val="Footer Char"/>
    <w:basedOn w:val="DefaultParagraphFont"/>
    <w:link w:val="Footer"/>
    <w:uiPriority w:val="99"/>
    <w:rsid w:val="00FB6F8E"/>
    <w:rPr>
      <w:rFonts w:ascii="Times New Roman" w:hAnsi="Times New Roman"/>
      <w:sz w:val="24"/>
    </w:rPr>
  </w:style>
  <w:style w:type="table" w:styleId="GridTable4-Accent1">
    <w:name w:val="Grid Table 4 Accent 1"/>
    <w:basedOn w:val="TableNormal"/>
    <w:uiPriority w:val="49"/>
    <w:rsid w:val="00FB6F8E"/>
    <w:pPr>
      <w:spacing w:after="0" w:line="240" w:lineRule="auto"/>
    </w:pPr>
    <w:rPr>
      <w:lang w:val="en-IN"/>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FB6F8E"/>
    <w:pPr>
      <w:spacing w:after="0" w:line="240" w:lineRule="auto"/>
    </w:pPr>
    <w:rPr>
      <w:lang w:val="en-IN"/>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0634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1206</TotalTime>
  <Pages>1</Pages>
  <Words>3735</Words>
  <Characters>21293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Radu</dc:creator>
  <cp:keywords/>
  <dc:description/>
  <cp:lastModifiedBy>Magda Radu</cp:lastModifiedBy>
  <cp:revision>23</cp:revision>
  <dcterms:created xsi:type="dcterms:W3CDTF">2023-10-14T14:30:00Z</dcterms:created>
  <dcterms:modified xsi:type="dcterms:W3CDTF">2023-10-20T18:08:00Z</dcterms:modified>
</cp:coreProperties>
</file>