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BED47" w14:textId="77777777" w:rsidR="00D91271" w:rsidRDefault="00D91271" w:rsidP="00D91271">
      <w:pPr>
        <w:pStyle w:val="AssignHeader"/>
      </w:pPr>
      <w:r>
        <w:t>A critical evaluation and the identification of next teaching and learning steps focusing</w:t>
      </w:r>
    </w:p>
    <w:p w14:paraId="4F7A94AF" w14:textId="77777777" w:rsidR="00D91271" w:rsidRDefault="00D91271" w:rsidP="00D91271">
      <w:pPr>
        <w:pStyle w:val="AssignHeader"/>
      </w:pPr>
      <w:r>
        <w:t>on a case study of an individual learner or a group</w:t>
      </w:r>
    </w:p>
    <w:p w14:paraId="0AEA44D4" w14:textId="2CA6D9E3" w:rsidR="00D91271" w:rsidRPr="00D91271" w:rsidRDefault="00D91271" w:rsidP="00D91271">
      <w:pPr>
        <w:spacing w:after="0" w:line="360" w:lineRule="auto"/>
        <w:rPr>
          <w:rFonts w:ascii="Arial" w:hAnsi="Arial" w:cs="Arial"/>
          <w:b/>
          <w:bCs/>
          <w:sz w:val="36"/>
          <w:szCs w:val="36"/>
          <w:u w:val="single"/>
        </w:rPr>
      </w:pPr>
      <w:r w:rsidRPr="00D91271">
        <w:rPr>
          <w:rFonts w:ascii="Arial" w:hAnsi="Arial" w:cs="Arial"/>
          <w:b/>
          <w:bCs/>
          <w:sz w:val="36"/>
          <w:szCs w:val="36"/>
          <w:u w:val="single"/>
        </w:rPr>
        <w:t>of learners, based on an observed critical incident</w:t>
      </w:r>
    </w:p>
    <w:p w14:paraId="56DBA834" w14:textId="77777777" w:rsidR="00D91271" w:rsidRDefault="00D91271" w:rsidP="00D91271">
      <w:pPr>
        <w:spacing w:after="0" w:line="360" w:lineRule="auto"/>
        <w:rPr>
          <w:rFonts w:ascii="Arial" w:hAnsi="Arial" w:cs="Arial"/>
        </w:rPr>
      </w:pPr>
    </w:p>
    <w:p w14:paraId="2E1EC1EE" w14:textId="585F30B0" w:rsidR="00EB7B67" w:rsidRPr="00D91271" w:rsidRDefault="00EB7B67" w:rsidP="00D91271">
      <w:pPr>
        <w:spacing w:after="0" w:line="360" w:lineRule="auto"/>
        <w:rPr>
          <w:rFonts w:ascii="Arial" w:hAnsi="Arial" w:cs="Arial"/>
        </w:rPr>
      </w:pPr>
      <w:r w:rsidRPr="00D91271">
        <w:rPr>
          <w:rFonts w:ascii="Arial" w:hAnsi="Arial" w:cs="Arial"/>
        </w:rPr>
        <w:t>This paper examines the implication that a critical incident may have on a child's learning experience. Tripp (1993) defines a critical incident as an incident that has happened but is made critical by the interpretation of significance we attach to the event. The incident focused on throughout this paper is the shaking of a child's hand before they can enter the classroom, compared to when the same child is greeted to a different lesson with no handshake. To explore this incident in depth, I have chosen to focus on the reason the event occurred and theories that outline possible implications to the child both currently and in the future. Research will be undertaken into 'Pivotal' which will be explained later in the paper, along with the possible effect upon student - teacher relationship (</w:t>
      </w:r>
      <w:proofErr w:type="spellStart"/>
      <w:r w:rsidRPr="00D91271">
        <w:rPr>
          <w:rFonts w:ascii="Arial" w:hAnsi="Arial" w:cs="Arial"/>
        </w:rPr>
        <w:t>Fredriksen</w:t>
      </w:r>
      <w:proofErr w:type="spellEnd"/>
      <w:r w:rsidRPr="00D91271">
        <w:rPr>
          <w:rFonts w:ascii="Arial" w:hAnsi="Arial" w:cs="Arial"/>
        </w:rPr>
        <w:t xml:space="preserve"> and Rhodes, 2004) and the impact on Wellbeing.  Exploring these areas will offer scope to be critical with evaluation, therefore improving my knowledge on the holistic development of children and moulding my future teaching practice.</w:t>
      </w:r>
    </w:p>
    <w:p w14:paraId="61516EDB" w14:textId="77777777" w:rsidR="00EB7B67" w:rsidRPr="00D91271" w:rsidRDefault="00EB7B67" w:rsidP="00D91271">
      <w:pPr>
        <w:spacing w:after="0" w:line="360" w:lineRule="auto"/>
        <w:rPr>
          <w:rFonts w:ascii="Arial" w:eastAsia="Times New Roman" w:hAnsi="Arial" w:cs="Arial"/>
          <w:lang w:eastAsia="en-GB"/>
        </w:rPr>
      </w:pPr>
    </w:p>
    <w:p w14:paraId="09A3385A" w14:textId="11BD8187" w:rsidR="00EB7B67" w:rsidRPr="00D91271" w:rsidRDefault="00EB7B67"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In line with the ethical guidelines set by the British Educational Research Association there will be no mention of institute or students' names (BERA, 2018). Therefore, the school in which the study was based will be referred to as School X. School X is an English-medium secondary school in an urban area. There are around 985 pupils in the school, ranging between 11 - 18 years of age with 30% of these pupils living in the 20% most deprived area of Wales (Estyn Report, 2015). School X shares its sixth form with a local comprehensive school to ensure a variety of sort after A-Levels are available. Within the school is a specialist teaching facility unit (STF) which allows for the students to integrate into the main school for certain lessons. Currently the school is categorised as yellow (Welsh Government, 2018) which means it falls into the level where improvement is possible. The category is assigned to the school after an inspection which takes several factors into consideration, such as GCSE results, level of attendance and the quality of teaching and learning (Welsh Government, 2019). However, due to a substantial number of pupils coming from deprived areas it may be of benefit to take a holistic approach and take more than exam results into context, such as location (Welsh Government, 2019, Donaldson, 2015). </w:t>
      </w:r>
    </w:p>
    <w:p w14:paraId="55B57F1B" w14:textId="77777777" w:rsidR="00EB7B67" w:rsidRPr="00D91271" w:rsidRDefault="00EB7B67"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2EDA014E" w14:textId="77777777" w:rsidR="00EB7B67" w:rsidRPr="00D91271" w:rsidRDefault="00EB7B67" w:rsidP="00D91271">
      <w:pPr>
        <w:spacing w:after="0" w:line="360" w:lineRule="auto"/>
        <w:rPr>
          <w:rFonts w:ascii="Arial" w:eastAsia="Times New Roman" w:hAnsi="Arial" w:cs="Arial"/>
          <w:lang w:eastAsia="en-GB"/>
        </w:rPr>
      </w:pPr>
      <w:r w:rsidRPr="00D91271">
        <w:rPr>
          <w:rFonts w:ascii="Arial" w:eastAsia="Times New Roman" w:hAnsi="Arial" w:cs="Arial"/>
          <w:lang w:eastAsia="en-GB"/>
        </w:rPr>
        <w:lastRenderedPageBreak/>
        <w:t xml:space="preserve">The research carried out was based on two classes in particular - Welsh and Science. The Welsh class is made up of around 25 mixed gender and mixed ability pupils that is taught by an experienced female member of the faculty who is also named Head of Welsh. The Science class is made up of 17 mixed gender and mixed ability pupils and is taught by a male teacher who joined the faculty September 2019. There is no seating plan in place for the Welsh lesson as the teacher believes that the students learn better when they are comfortable with their surroundings. The use of socialising with friends and peers is encouraged as the teacher believes this can build confidence within the learner, which could be support by Vygotsky's sociocultural theory (Cole et al, 2007). The Science class has an enforced seating plan which spreads out the students who are prone to disrupting lessons. Socialising with peers is not encouraged within this classroom but is also not ruled out. </w:t>
      </w:r>
    </w:p>
    <w:p w14:paraId="147CF71A" w14:textId="18A3143F" w:rsidR="0046002D" w:rsidRPr="00D91271" w:rsidRDefault="0046002D" w:rsidP="00D91271">
      <w:pPr>
        <w:spacing w:line="360" w:lineRule="auto"/>
        <w:rPr>
          <w:rFonts w:ascii="Arial" w:hAnsi="Arial" w:cs="Arial"/>
        </w:rPr>
      </w:pPr>
    </w:p>
    <w:p w14:paraId="14D2D26A" w14:textId="397D35E1"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This work takes the form of a case-study as it allows insight to a unique example of real people in a real situation whilst being able to establish cause and effect (Cohen et al, 2007). However, if time restraints were not an issue then action research would have been more beneficial for the understanding of a critical incident. Lomax (2007) describes action research as a 'cyclical activity' where an issue is identified, audited, action is planned and then delivered. Observation then takes place to monitor effects and is later reflected upon and evaluated. Rather than identify and analyse an incident as a case study does, this research technique would allow for a deeper understanding of the incident and how it can affect practice over </w:t>
      </w:r>
      <w:r w:rsidR="004700AF" w:rsidRPr="00D91271">
        <w:rPr>
          <w:rFonts w:ascii="Arial" w:eastAsia="Times New Roman" w:hAnsi="Arial" w:cs="Arial"/>
          <w:lang w:eastAsia="en-GB"/>
        </w:rPr>
        <w:t xml:space="preserve">a </w:t>
      </w:r>
      <w:r w:rsidR="00C86BE1" w:rsidRPr="00D91271">
        <w:rPr>
          <w:rFonts w:ascii="Arial" w:eastAsia="Times New Roman" w:hAnsi="Arial" w:cs="Arial"/>
          <w:lang w:eastAsia="en-GB"/>
        </w:rPr>
        <w:t xml:space="preserve">certain time </w:t>
      </w:r>
      <w:r w:rsidR="004700AF" w:rsidRPr="00D91271">
        <w:rPr>
          <w:rFonts w:ascii="Arial" w:eastAsia="Times New Roman" w:hAnsi="Arial" w:cs="Arial"/>
          <w:lang w:eastAsia="en-GB"/>
        </w:rPr>
        <w:t>period</w:t>
      </w:r>
      <w:r w:rsidRPr="00D91271">
        <w:rPr>
          <w:rFonts w:ascii="Arial" w:eastAsia="Times New Roman" w:hAnsi="Arial" w:cs="Arial"/>
          <w:lang w:eastAsia="en-GB"/>
        </w:rPr>
        <w:t xml:space="preserve">. </w:t>
      </w:r>
    </w:p>
    <w:p w14:paraId="76DEF4E3" w14:textId="77777777"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62659423" w14:textId="77777777"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 As the context of the research was a classroom the method of data collection chosen was that of a primary source: classroom observation (Kumar, 2014). Ideally the method of data collection would be video recording without an observer in the classroom but ethically, due to the age of the students, this would have required the guardian's permission which was not possible because of time restraints. (BERA, 2018). Still, the chosen method allowed the collection of detailed information within an authentic and natural setting (Weber, 2016). The observation study was non-participant to ensure minimal possibility of the Hawthorne effect. This method was more beneficial to the study as participant observation may have produced biased observations as an incident could have been created or encouraged. </w:t>
      </w:r>
    </w:p>
    <w:p w14:paraId="6DF0DD4D" w14:textId="77777777"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4C66C3F7" w14:textId="77777777"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By employing a qualitative mode of research rather than quantitative, a pre-decided topic or research question has not already been determined to focus on. Therefore allowing for open ended observation and a range of analysis techniques (Choy, 2014, p.6) Observations were recorded by taking notes on a record sheet (Observing Children, 2008) which is one of the </w:t>
      </w:r>
      <w:r w:rsidRPr="00D91271">
        <w:rPr>
          <w:rFonts w:ascii="Arial" w:eastAsia="Times New Roman" w:hAnsi="Arial" w:cs="Arial"/>
          <w:lang w:eastAsia="en-GB"/>
        </w:rPr>
        <w:lastRenderedPageBreak/>
        <w:t>suggested ways to analyse a critical incident, as a thorough, detailed report is required to ensure no important attributes are left out (</w:t>
      </w:r>
      <w:proofErr w:type="spellStart"/>
      <w:r w:rsidRPr="00D91271">
        <w:rPr>
          <w:rFonts w:ascii="Arial" w:eastAsia="Times New Roman" w:hAnsi="Arial" w:cs="Arial"/>
          <w:lang w:eastAsia="en-GB"/>
        </w:rPr>
        <w:t>Jayers</w:t>
      </w:r>
      <w:proofErr w:type="spellEnd"/>
      <w:r w:rsidRPr="00D91271">
        <w:rPr>
          <w:rFonts w:ascii="Arial" w:eastAsia="Times New Roman" w:hAnsi="Arial" w:cs="Arial"/>
          <w:lang w:eastAsia="en-GB"/>
        </w:rPr>
        <w:t xml:space="preserve">, 2013). Although this is a useful way of recording observations because of its simplicity and lack of resources required, a limitation is that incidents were inevitably missed whilst the focus was on completing the forms. </w:t>
      </w:r>
    </w:p>
    <w:p w14:paraId="1D78B146" w14:textId="77777777"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3A359C67" w14:textId="4ACA65D8" w:rsidR="006056D6" w:rsidRPr="00D91271" w:rsidRDefault="006056D6"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 Overall there were four lessons observed; two lessons of Welsh and two lessons of Science. After spending time observing two lessons the decision was made to revert to a different observation method and to instead target a student from the classroom. By doing this it allows for further interpretation of how effective or ineffective the critical incident was (Observing Children, 2008). Although observation was the most beneficial method for this </w:t>
      </w:r>
      <w:r w:rsidR="004700AF" w:rsidRPr="00D91271">
        <w:rPr>
          <w:rFonts w:ascii="Arial" w:eastAsia="Times New Roman" w:hAnsi="Arial" w:cs="Arial"/>
          <w:lang w:eastAsia="en-GB"/>
        </w:rPr>
        <w:t>study</w:t>
      </w:r>
      <w:r w:rsidRPr="00D91271">
        <w:rPr>
          <w:rFonts w:ascii="Arial" w:eastAsia="Times New Roman" w:hAnsi="Arial" w:cs="Arial"/>
          <w:lang w:eastAsia="en-GB"/>
        </w:rPr>
        <w:t xml:space="preserve"> there is an ethical issue that arises of the fact the students did not know the reason for the observation taking place (Observing Children, 2008). </w:t>
      </w:r>
    </w:p>
    <w:p w14:paraId="434C831D" w14:textId="1FED6E0D" w:rsidR="00D05F31" w:rsidRPr="00D91271" w:rsidRDefault="00D05F31" w:rsidP="00D91271">
      <w:pPr>
        <w:spacing w:line="360" w:lineRule="auto"/>
        <w:rPr>
          <w:rFonts w:ascii="Arial" w:hAnsi="Arial" w:cs="Arial"/>
        </w:rPr>
      </w:pPr>
    </w:p>
    <w:p w14:paraId="62D602A2" w14:textId="52F0C15B" w:rsidR="008645AE" w:rsidRPr="00D91271" w:rsidRDefault="008645AE"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Within School X a training programme, called 'Pivotal', has been rolled out to all staff. The program introduces a new concept that motivates the change in a teacher's approach to create better learning, communication and student - teacher relationships (Pivotal Education, 2019). As part of Pivotal there have been changes made to interactions with the students in a bid to reinforce positive relationships. I have chosen to focus on one of the new concepts for this case study. Before the pupils can enter a classroom, they are to line up outside the door in a single file. One by one the teacher meets the students at the door with a verbal greeting and a handshake, whilst making eye contact. This is expected from all teachers throughout the year groups, inclusive of every student. Noticeably, the student was more engaged in the classroom where the teacher had greeted pupils with a handshake when compared to the behaviour in the classroom when the teacher did not offer a handshake.</w:t>
      </w:r>
    </w:p>
    <w:p w14:paraId="472FE302" w14:textId="77777777" w:rsidR="008645AE" w:rsidRPr="00D91271" w:rsidRDefault="008645AE"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13249B9F" w14:textId="304C86DC" w:rsidR="008645AE" w:rsidRPr="00D91271" w:rsidRDefault="008645AE"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 Since 2014 Professor Graham Donaldson has been researching to help the Welsh Government create the new curriculum for schools in Wales. Research entailed hearing the views of teachers, parents and students to name only a few who had a say in what they thought to be paramount for young people's future.  Drawing from these results, Donaldson constructed the new curriculum which entailed some radical and wide-ranging proposals. There are four purposes outlined that will shape the future generations. These purposes are for all children and young people to be ambitious, capable learners, enterprising, creative contributors, ethical, informed citizens and healthy, confident individuals (Donaldson, 2019).</w:t>
      </w:r>
    </w:p>
    <w:p w14:paraId="7E72D8B5" w14:textId="77777777" w:rsidR="008645AE" w:rsidRPr="00D91271" w:rsidRDefault="008645AE"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16F08F91" w14:textId="564A5845" w:rsidR="008645AE" w:rsidRPr="00D91271" w:rsidRDefault="008645AE"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The chosen critical incident can be linked to two of the four purposes. The action of shaking hands has been described as important because it is a sign of friendship, trust and respect </w:t>
      </w:r>
      <w:r w:rsidRPr="00D91271">
        <w:rPr>
          <w:rFonts w:ascii="Arial" w:eastAsia="Times New Roman" w:hAnsi="Arial" w:cs="Arial"/>
          <w:lang w:eastAsia="en-GB"/>
        </w:rPr>
        <w:lastRenderedPageBreak/>
        <w:t>(BBC, 2018). This is connected to the purpose of healthy, confident individuals as a handshake can help with building confidence which could go on to benefit the young person in social and professional interactions that may be encountered in the future.  A handshake is a gesture that can determine the way in which someone is perceived during a first encounter. It is not only beneficial for students to view the gesture as natural, but also understand that it is a starter path to form a positive relationship based upon mutual respect.  The incident can also be linked to 'ethical informed citizens' as the students are each given the teacher's full attention at the start of the lesson. Given that the attention may only be for a few seconds, the student is encouraged to identify that the attention is solely theirs and seize the opportunity to speak about any worries or distractions that may affect their learning. Whilst taking the importance of the outlined purposes into consideration, a holistic approach has been utilized by integrating theories and research carried out over the past years to further understand whether the critical incident may have had an impact on the student.</w:t>
      </w:r>
    </w:p>
    <w:p w14:paraId="72A3BB98" w14:textId="6C5820C8" w:rsidR="00D05F31" w:rsidRPr="00D91271" w:rsidRDefault="00D05F31" w:rsidP="00D91271">
      <w:pPr>
        <w:spacing w:line="360" w:lineRule="auto"/>
        <w:rPr>
          <w:rFonts w:ascii="Arial" w:hAnsi="Arial" w:cs="Arial"/>
        </w:rPr>
      </w:pPr>
    </w:p>
    <w:p w14:paraId="44D3DDF6"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Paul Dix, the founder of 'Pivotal', believes that the only way a seismic improvement in behaviour will occur is if teachers change their mindset and thus their approach to challenging behaviour, or </w:t>
      </w:r>
      <w:proofErr w:type="gramStart"/>
      <w:r w:rsidRPr="00D91271">
        <w:rPr>
          <w:rFonts w:ascii="Arial" w:eastAsia="Times New Roman" w:hAnsi="Arial" w:cs="Arial"/>
          <w:lang w:eastAsia="en-GB"/>
        </w:rPr>
        <w:t>behaviour as a whole</w:t>
      </w:r>
      <w:proofErr w:type="gramEnd"/>
      <w:r w:rsidRPr="00D91271">
        <w:rPr>
          <w:rFonts w:ascii="Arial" w:eastAsia="Times New Roman" w:hAnsi="Arial" w:cs="Arial"/>
          <w:lang w:eastAsia="en-GB"/>
        </w:rPr>
        <w:t xml:space="preserve"> (Dix, 2017). </w:t>
      </w:r>
    </w:p>
    <w:p w14:paraId="0EF71138"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375C4592" w14:textId="77777777" w:rsidR="00557269" w:rsidRPr="00D91271" w:rsidRDefault="00557269" w:rsidP="00D91271">
      <w:pPr>
        <w:spacing w:after="0" w:line="360" w:lineRule="auto"/>
        <w:ind w:left="540"/>
        <w:rPr>
          <w:rFonts w:ascii="Arial" w:eastAsia="Times New Roman" w:hAnsi="Arial" w:cs="Arial"/>
          <w:lang w:eastAsia="en-GB"/>
        </w:rPr>
      </w:pPr>
      <w:r w:rsidRPr="00D91271">
        <w:rPr>
          <w:rFonts w:ascii="Arial" w:eastAsia="Times New Roman" w:hAnsi="Arial" w:cs="Arial"/>
          <w:lang w:eastAsia="en-GB"/>
        </w:rPr>
        <w:t>In behaviour management, culture eats strategy for breakfast. Getting the culture right is pivotal. With the right culture the strategies that are used become less important. The culture is set by the way that the adults behave (Dix, 2017).</w:t>
      </w:r>
    </w:p>
    <w:p w14:paraId="69E5BCAA" w14:textId="77777777" w:rsidR="00557269" w:rsidRPr="00D91271" w:rsidRDefault="00557269" w:rsidP="00D91271">
      <w:pPr>
        <w:spacing w:after="0" w:line="360" w:lineRule="auto"/>
        <w:ind w:left="540"/>
        <w:rPr>
          <w:rFonts w:ascii="Arial" w:eastAsia="Times New Roman" w:hAnsi="Arial" w:cs="Arial"/>
          <w:lang w:eastAsia="en-GB"/>
        </w:rPr>
      </w:pPr>
      <w:r w:rsidRPr="00D91271">
        <w:rPr>
          <w:rFonts w:ascii="Arial" w:eastAsia="Times New Roman" w:hAnsi="Arial" w:cs="Arial"/>
          <w:lang w:eastAsia="en-GB"/>
        </w:rPr>
        <w:t> </w:t>
      </w:r>
    </w:p>
    <w:p w14:paraId="2D83C2AA" w14:textId="512123A6"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The introduction of shaking a </w:t>
      </w:r>
      <w:r w:rsidR="00D91271" w:rsidRPr="00D91271">
        <w:rPr>
          <w:rFonts w:ascii="Arial" w:eastAsia="Times New Roman" w:hAnsi="Arial" w:cs="Arial"/>
          <w:lang w:eastAsia="en-GB"/>
        </w:rPr>
        <w:t>student’s</w:t>
      </w:r>
      <w:r w:rsidRPr="00D91271">
        <w:rPr>
          <w:rFonts w:ascii="Arial" w:eastAsia="Times New Roman" w:hAnsi="Arial" w:cs="Arial"/>
          <w:lang w:eastAsia="en-GB"/>
        </w:rPr>
        <w:t xml:space="preserve"> hand at the beginning of each lesson offers a fresh start for the pupil even if they have been disruptive in their last lesson. The student is discouraged from fulfilling the negative reputation they may have built for themselves and can go on to engage in a positive learning experience (Joachim, 2016). Yet this does raise the concern that a child may view the 'clean slate' policy as an opportunity to misbehave during one lesson knowing there will be no consequence in the next. Although Dix states that strategies become less important (Dix, 2017), there are a few mentioned and encouraged within the 'Pivotal' culture. </w:t>
      </w:r>
    </w:p>
    <w:p w14:paraId="32CFC5BB"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67E165D5" w14:textId="021BE1FD"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School X encourages teachers to reinforce positive behaviour as part of the Pivotal training by noting good behaviour on a 'Recognition Board'. Whether that be a student who has been disruptive only ten minutes prior or a student who has been focused the whole time. After speaking with the headteacher of School X I was told that the hope is by recognising a small </w:t>
      </w:r>
      <w:r w:rsidRPr="00D91271">
        <w:rPr>
          <w:rFonts w:ascii="Arial" w:eastAsia="Times New Roman" w:hAnsi="Arial" w:cs="Arial"/>
          <w:lang w:eastAsia="en-GB"/>
        </w:rPr>
        <w:lastRenderedPageBreak/>
        <w:t xml:space="preserve">act of the desired behaviour the student will understand that they are given a chance to redeem themselves and be rid of any negative labels. Eventually, the hope is that students understand which behaviour gains rewards and they will be encouraged to display this behaviour.  This theory is called 'conditioning'. Psychologists have been carrying out case studies for many years based on conditioning behaviour. These studies have produced two forms of conditioning - classical and operant.  Pavlov (1890) tested his classical conditioning theory by training </w:t>
      </w:r>
      <w:r w:rsidR="00D91271" w:rsidRPr="00D91271">
        <w:rPr>
          <w:rFonts w:ascii="Arial" w:eastAsia="Times New Roman" w:hAnsi="Arial" w:cs="Arial"/>
          <w:lang w:eastAsia="en-GB"/>
        </w:rPr>
        <w:t>dogs</w:t>
      </w:r>
      <w:r w:rsidRPr="00D91271">
        <w:rPr>
          <w:rFonts w:ascii="Arial" w:eastAsia="Times New Roman" w:hAnsi="Arial" w:cs="Arial"/>
          <w:lang w:eastAsia="en-GB"/>
        </w:rPr>
        <w:t xml:space="preserve"> to salivate to the sound of a bell. This study involved sounding a bell each time the dog was given food until an association formed between the two stimuli, eventually leading to the dogs salivating to the bell only. In 1938 an adaption of this theory surfaced, called operant conditioning. B. F. Skinner carried out a study on rats to test whether reinforcement can encourage a behaviour and punishment decrease a behaviour. The study consisted of a rat trapped in a cage with an electric floor, a button and a lightbulb. When the bulb lit up the rat was required to press the button which would release a pellet </w:t>
      </w:r>
      <w:r w:rsidR="00D91271" w:rsidRPr="00D91271">
        <w:rPr>
          <w:rFonts w:ascii="Arial" w:eastAsia="Times New Roman" w:hAnsi="Arial" w:cs="Arial"/>
          <w:lang w:eastAsia="en-GB"/>
        </w:rPr>
        <w:t>into</w:t>
      </w:r>
      <w:r w:rsidRPr="00D91271">
        <w:rPr>
          <w:rFonts w:ascii="Arial" w:eastAsia="Times New Roman" w:hAnsi="Arial" w:cs="Arial"/>
          <w:lang w:eastAsia="en-GB"/>
        </w:rPr>
        <w:t xml:space="preserve"> the cage for the rat to eat (a reward). If the rat did not press the button when the bulb lit up, it would receive an electric shock (punishment). Results from this study supported the theory that an association can be formed between behaviour and the consequences for the behaviour (Skinner, 1938). </w:t>
      </w:r>
    </w:p>
    <w:p w14:paraId="4D0C807C"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73A9E24C" w14:textId="4B79C7C1"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The theory of classical and operant conditioning has since been adopted by educational theorists and thus developed the behaviourist theory. Behaviourism states that a learner starts off as a clean slate and their behaviour is shaped through positive reinforcement or negative reinforcement (Watson, 2013). Notwithstanding the evidence in support of behaviourism, one cannot simply say learning takes place purely through reinforcement as this eliminates extensive work in emotional, social and cognitive learning (Reich et al, 2016). Ethically the conditioning of a child's behaviour could be questioned. The act of manipulating a child to behave the way that is viewed as appropriate raises not only ethical issues but also practical issues</w:t>
      </w:r>
      <w:r w:rsidR="00BC7E25" w:rsidRPr="00D91271">
        <w:rPr>
          <w:rFonts w:ascii="Arial" w:eastAsia="Times New Roman" w:hAnsi="Arial" w:cs="Arial"/>
          <w:lang w:eastAsia="en-GB"/>
        </w:rPr>
        <w:t xml:space="preserve"> </w:t>
      </w:r>
      <w:r w:rsidRPr="00D91271">
        <w:rPr>
          <w:rFonts w:ascii="Arial" w:eastAsia="Times New Roman" w:hAnsi="Arial" w:cs="Arial"/>
          <w:lang w:eastAsia="en-GB"/>
        </w:rPr>
        <w:t>(Fox</w:t>
      </w:r>
      <w:r w:rsidR="0018164F">
        <w:rPr>
          <w:rFonts w:ascii="Arial" w:eastAsia="Times New Roman" w:hAnsi="Arial" w:cs="Arial"/>
          <w:lang w:eastAsia="en-GB"/>
        </w:rPr>
        <w:t>, 2019</w:t>
      </w:r>
      <w:r w:rsidRPr="00D91271">
        <w:rPr>
          <w:rFonts w:ascii="Arial" w:eastAsia="Times New Roman" w:hAnsi="Arial" w:cs="Arial"/>
          <w:lang w:eastAsia="en-GB"/>
        </w:rPr>
        <w:t xml:space="preserve">). What happens when a teacher is not present to reinforce the child's behaviour? Does the behaviour continue when the child knows it will not be reinforced? Although I can see the benefits of reinforcing the desired behaviour it is difficult to not acknowledge these questions. Alternatively, it could be that the behaviour a child delivers is </w:t>
      </w:r>
      <w:r w:rsidR="00BC7E25" w:rsidRPr="00D91271">
        <w:rPr>
          <w:rFonts w:ascii="Arial" w:eastAsia="Times New Roman" w:hAnsi="Arial" w:cs="Arial"/>
          <w:lang w:eastAsia="en-GB"/>
        </w:rPr>
        <w:t>dependent</w:t>
      </w:r>
      <w:r w:rsidRPr="00D91271">
        <w:rPr>
          <w:rFonts w:ascii="Arial" w:eastAsia="Times New Roman" w:hAnsi="Arial" w:cs="Arial"/>
          <w:lang w:eastAsia="en-GB"/>
        </w:rPr>
        <w:t xml:space="preserve"> on other factors, such as, the relationship with the teacher - would a child display better behaviour for a teacher they favour? Could the child have been influenced by the authority level of the </w:t>
      </w:r>
      <w:r w:rsidR="00D91271">
        <w:rPr>
          <w:rFonts w:ascii="Arial" w:eastAsia="Times New Roman" w:hAnsi="Arial" w:cs="Arial"/>
          <w:lang w:eastAsia="en-GB"/>
        </w:rPr>
        <w:t>Teacher A</w:t>
      </w:r>
      <w:r w:rsidRPr="00D91271">
        <w:rPr>
          <w:rFonts w:ascii="Arial" w:eastAsia="Times New Roman" w:hAnsi="Arial" w:cs="Arial"/>
          <w:lang w:eastAsia="en-GB"/>
        </w:rPr>
        <w:t xml:space="preserve">? These are just two amongst many possibilities that may be contributing factors towards the child's behaviour.  </w:t>
      </w:r>
    </w:p>
    <w:p w14:paraId="575B61DD"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67C6369F" w14:textId="06BB832C" w:rsidR="00557269" w:rsidRPr="00D91271" w:rsidRDefault="00557269" w:rsidP="00D91271">
      <w:pPr>
        <w:spacing w:after="0" w:line="360" w:lineRule="auto"/>
        <w:rPr>
          <w:rFonts w:ascii="Arial" w:eastAsia="Times New Roman" w:hAnsi="Arial" w:cs="Arial"/>
          <w:lang w:eastAsia="en-GB"/>
        </w:rPr>
      </w:pPr>
      <w:proofErr w:type="spellStart"/>
      <w:r w:rsidRPr="00D91271">
        <w:rPr>
          <w:rFonts w:ascii="Arial" w:eastAsia="Times New Roman" w:hAnsi="Arial" w:cs="Arial"/>
          <w:lang w:eastAsia="en-GB"/>
        </w:rPr>
        <w:t>Kesner</w:t>
      </w:r>
      <w:proofErr w:type="spellEnd"/>
      <w:r w:rsidRPr="00D91271">
        <w:rPr>
          <w:rFonts w:ascii="Arial" w:eastAsia="Times New Roman" w:hAnsi="Arial" w:cs="Arial"/>
          <w:lang w:eastAsia="en-GB"/>
        </w:rPr>
        <w:t xml:space="preserve"> (2000) suggested that certain characteristics, such as gender, can impact the relationship between a student and their teacher. Taking this into consideration, it could be </w:t>
      </w:r>
      <w:r w:rsidRPr="00D91271">
        <w:rPr>
          <w:rFonts w:ascii="Arial" w:eastAsia="Times New Roman" w:hAnsi="Arial" w:cs="Arial"/>
          <w:lang w:eastAsia="en-GB"/>
        </w:rPr>
        <w:lastRenderedPageBreak/>
        <w:t xml:space="preserve">that the relationship the student has with the female, Welsh teacher is more positive in comparison to the relationship with the male Science teacher and that is what affected the change in behaviour. It has been found that positive, supportive relationships with students can </w:t>
      </w:r>
      <w:r w:rsidR="0055376A" w:rsidRPr="00D91271">
        <w:rPr>
          <w:rFonts w:ascii="Arial" w:eastAsia="Times New Roman" w:hAnsi="Arial" w:cs="Arial"/>
          <w:lang w:eastAsia="en-GB"/>
        </w:rPr>
        <w:t>increase</w:t>
      </w:r>
      <w:bookmarkStart w:id="0" w:name="_GoBack"/>
      <w:bookmarkEnd w:id="0"/>
      <w:r w:rsidRPr="00D91271">
        <w:rPr>
          <w:rFonts w:ascii="Arial" w:eastAsia="Times New Roman" w:hAnsi="Arial" w:cs="Arial"/>
          <w:lang w:eastAsia="en-GB"/>
        </w:rPr>
        <w:t xml:space="preserve"> their motivation to learn (</w:t>
      </w:r>
      <w:proofErr w:type="spellStart"/>
      <w:r w:rsidRPr="00D91271">
        <w:rPr>
          <w:rFonts w:ascii="Arial" w:eastAsia="Times New Roman" w:hAnsi="Arial" w:cs="Arial"/>
          <w:lang w:eastAsia="en-GB"/>
        </w:rPr>
        <w:t>Fredriksen</w:t>
      </w:r>
      <w:proofErr w:type="spellEnd"/>
      <w:r w:rsidRPr="00D91271">
        <w:rPr>
          <w:rFonts w:ascii="Arial" w:eastAsia="Times New Roman" w:hAnsi="Arial" w:cs="Arial"/>
          <w:lang w:eastAsia="en-GB"/>
        </w:rPr>
        <w:t xml:space="preserve"> and Rhodes, 2004). Student-teacher relationship has been a contributing factor on what type of experience a child has during their school life. </w:t>
      </w:r>
    </w:p>
    <w:p w14:paraId="3A2A5BB6"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060D28D1"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There are many arguments supporting the theory that teachers should be more than just a facilitator of knowledge in the classroom. </w:t>
      </w:r>
      <w:proofErr w:type="spellStart"/>
      <w:r w:rsidRPr="00D91271">
        <w:rPr>
          <w:rFonts w:ascii="Arial" w:eastAsia="Times New Roman" w:hAnsi="Arial" w:cs="Arial"/>
          <w:lang w:eastAsia="en-GB"/>
        </w:rPr>
        <w:t>Fredriksen</w:t>
      </w:r>
      <w:proofErr w:type="spellEnd"/>
      <w:r w:rsidRPr="00D91271">
        <w:rPr>
          <w:rFonts w:ascii="Arial" w:eastAsia="Times New Roman" w:hAnsi="Arial" w:cs="Arial"/>
          <w:lang w:eastAsia="en-GB"/>
        </w:rPr>
        <w:t xml:space="preserve"> and Rhodes stated that a teacher's bond with the student has meant the student has not only gone on to obtain higher scores academically, but also scored higher with self and teacher reports for social and emotional outcomes (</w:t>
      </w:r>
      <w:proofErr w:type="spellStart"/>
      <w:r w:rsidRPr="00D91271">
        <w:rPr>
          <w:rFonts w:ascii="Arial" w:eastAsia="Times New Roman" w:hAnsi="Arial" w:cs="Arial"/>
          <w:lang w:eastAsia="en-GB"/>
        </w:rPr>
        <w:t>Fredriksen</w:t>
      </w:r>
      <w:proofErr w:type="spellEnd"/>
      <w:r w:rsidRPr="00D91271">
        <w:rPr>
          <w:rFonts w:ascii="Arial" w:eastAsia="Times New Roman" w:hAnsi="Arial" w:cs="Arial"/>
          <w:lang w:eastAsia="en-GB"/>
        </w:rPr>
        <w:t xml:space="preserve"> and Rhodes, 2004). This is seconded by </w:t>
      </w:r>
      <w:proofErr w:type="spellStart"/>
      <w:r w:rsidRPr="00D91271">
        <w:rPr>
          <w:rFonts w:ascii="Arial" w:eastAsia="Times New Roman" w:hAnsi="Arial" w:cs="Arial"/>
          <w:lang w:eastAsia="en-GB"/>
        </w:rPr>
        <w:t>Kesner</w:t>
      </w:r>
      <w:proofErr w:type="spellEnd"/>
      <w:r w:rsidRPr="00D91271">
        <w:rPr>
          <w:rFonts w:ascii="Arial" w:eastAsia="Times New Roman" w:hAnsi="Arial" w:cs="Arial"/>
          <w:lang w:eastAsia="en-GB"/>
        </w:rPr>
        <w:t xml:space="preserve"> (200), who found that students who have secure relationships with their teachers go on to do better academically and are more socially competent. </w:t>
      </w:r>
    </w:p>
    <w:p w14:paraId="41E38948"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51166134" w14:textId="411C6AC8" w:rsidR="00557269" w:rsidRPr="00D91271" w:rsidRDefault="0055376A"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The</w:t>
      </w:r>
      <w:r w:rsidR="00557269" w:rsidRPr="00D91271">
        <w:rPr>
          <w:rFonts w:ascii="Arial" w:eastAsia="Times New Roman" w:hAnsi="Arial" w:cs="Arial"/>
          <w:lang w:eastAsia="en-GB"/>
        </w:rPr>
        <w:t xml:space="preserve"> role of the teacher is </w:t>
      </w:r>
      <w:r w:rsidR="00D91271" w:rsidRPr="00D91271">
        <w:rPr>
          <w:rFonts w:ascii="Arial" w:eastAsia="Times New Roman" w:hAnsi="Arial" w:cs="Arial"/>
          <w:lang w:eastAsia="en-GB"/>
        </w:rPr>
        <w:t>changing,</w:t>
      </w:r>
      <w:r w:rsidR="00557269" w:rsidRPr="00D91271">
        <w:rPr>
          <w:rFonts w:ascii="Arial" w:eastAsia="Times New Roman" w:hAnsi="Arial" w:cs="Arial"/>
          <w:lang w:eastAsia="en-GB"/>
        </w:rPr>
        <w:t xml:space="preserve"> and measures are currently being put in place so that school is not just used to educate children with knowledge of subjects, but to shape them as </w:t>
      </w:r>
      <w:r w:rsidR="00D91271" w:rsidRPr="00D91271">
        <w:rPr>
          <w:rFonts w:ascii="Arial" w:eastAsia="Times New Roman" w:hAnsi="Arial" w:cs="Arial"/>
          <w:lang w:eastAsia="en-GB"/>
        </w:rPr>
        <w:t>well-rounded</w:t>
      </w:r>
      <w:r w:rsidR="00557269" w:rsidRPr="00D91271">
        <w:rPr>
          <w:rFonts w:ascii="Arial" w:eastAsia="Times New Roman" w:hAnsi="Arial" w:cs="Arial"/>
          <w:lang w:eastAsia="en-GB"/>
        </w:rPr>
        <w:t xml:space="preserve"> individuals of the future (Donaldson, 2015). </w:t>
      </w:r>
      <w:proofErr w:type="gramStart"/>
      <w:r w:rsidR="00557269" w:rsidRPr="00D91271">
        <w:rPr>
          <w:rFonts w:ascii="Arial" w:eastAsia="Times New Roman" w:hAnsi="Arial" w:cs="Arial"/>
          <w:lang w:eastAsia="en-GB"/>
        </w:rPr>
        <w:t>With this in mind it</w:t>
      </w:r>
      <w:proofErr w:type="gramEnd"/>
      <w:r w:rsidR="00557269" w:rsidRPr="00D91271">
        <w:rPr>
          <w:rFonts w:ascii="Arial" w:eastAsia="Times New Roman" w:hAnsi="Arial" w:cs="Arial"/>
          <w:lang w:eastAsia="en-GB"/>
        </w:rPr>
        <w:t xml:space="preserve"> has to be questioned - when does the responsibility of the teacher begin to cross the boundary into parenting? It is understandable that the bond between teacher and student cannot be defined as the same between parent and child as this has been defined as a long-lasting history of interpersonal relation that generally stretches over a longer period (Bowlby, 1982). Yet, it cannot be said that teachers do not invest in their students for more than just academic results. Teaching has been named one of the highest ranked occupations for stress related outcomes when put against 26 occupations and the emotional involvement with students </w:t>
      </w:r>
      <w:proofErr w:type="gramStart"/>
      <w:r w:rsidR="00557269" w:rsidRPr="00D91271">
        <w:rPr>
          <w:rFonts w:ascii="Arial" w:eastAsia="Times New Roman" w:hAnsi="Arial" w:cs="Arial"/>
          <w:lang w:eastAsia="en-GB"/>
        </w:rPr>
        <w:t>is considered to be</w:t>
      </w:r>
      <w:proofErr w:type="gramEnd"/>
      <w:r w:rsidR="00557269" w:rsidRPr="00D91271">
        <w:rPr>
          <w:rFonts w:ascii="Arial" w:eastAsia="Times New Roman" w:hAnsi="Arial" w:cs="Arial"/>
          <w:lang w:eastAsia="en-GB"/>
        </w:rPr>
        <w:t xml:space="preserve"> one of the primary explanations (Johnson et al, 2005). Although studies have shown that the positive relationship between student and teacher is beneficial to the student more than just academically, there have also been conflicting views on this. We can certainly acknowledge the pressure that the teacher must feel daily to maintain this bond. Not only can a teacher put a pupil at risk of being rejected by their peers if they are perceived as 'favoured' in comparison to other students (</w:t>
      </w:r>
      <w:proofErr w:type="spellStart"/>
      <w:r w:rsidR="00557269" w:rsidRPr="00D91271">
        <w:rPr>
          <w:rFonts w:ascii="Arial" w:eastAsia="Times New Roman" w:hAnsi="Arial" w:cs="Arial"/>
          <w:lang w:eastAsia="en-GB"/>
        </w:rPr>
        <w:t>Fredriksen</w:t>
      </w:r>
      <w:proofErr w:type="spellEnd"/>
      <w:r w:rsidR="00557269" w:rsidRPr="00D91271">
        <w:rPr>
          <w:rFonts w:ascii="Arial" w:eastAsia="Times New Roman" w:hAnsi="Arial" w:cs="Arial"/>
          <w:lang w:eastAsia="en-GB"/>
        </w:rPr>
        <w:t xml:space="preserve"> and Rhodes, 2004) but it could also have a negative </w:t>
      </w:r>
      <w:r w:rsidR="00D91271" w:rsidRPr="00D91271">
        <w:rPr>
          <w:rFonts w:ascii="Arial" w:eastAsia="Times New Roman" w:hAnsi="Arial" w:cs="Arial"/>
          <w:lang w:eastAsia="en-GB"/>
        </w:rPr>
        <w:t>effect</w:t>
      </w:r>
      <w:r w:rsidR="00557269" w:rsidRPr="00D91271">
        <w:rPr>
          <w:rFonts w:ascii="Arial" w:eastAsia="Times New Roman" w:hAnsi="Arial" w:cs="Arial"/>
          <w:lang w:eastAsia="en-GB"/>
        </w:rPr>
        <w:t xml:space="preserve"> on the teacher's wellbeing due to the amount of student's the teacher is expected to maintain the relationship with (Split et al, 2011). </w:t>
      </w:r>
    </w:p>
    <w:p w14:paraId="629BDDC2"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10973B77" w14:textId="693EFD1D"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Wellbeing can fall under a blanket term alongside health, which has can be defined as 'a state of complete physical, mental and social well-being and not merely the absence of disease or infirmity' (WHO, 1948). In recent years there has been a focus on </w:t>
      </w:r>
      <w:r w:rsidR="00D91271" w:rsidRPr="00D91271">
        <w:rPr>
          <w:rFonts w:ascii="Arial" w:eastAsia="Times New Roman" w:hAnsi="Arial" w:cs="Arial"/>
          <w:lang w:eastAsia="en-GB"/>
        </w:rPr>
        <w:t>several</w:t>
      </w:r>
      <w:r w:rsidRPr="00D91271">
        <w:rPr>
          <w:rFonts w:ascii="Arial" w:eastAsia="Times New Roman" w:hAnsi="Arial" w:cs="Arial"/>
          <w:lang w:eastAsia="en-GB"/>
        </w:rPr>
        <w:t xml:space="preserve"> public </w:t>
      </w:r>
      <w:r w:rsidRPr="00D91271">
        <w:rPr>
          <w:rFonts w:ascii="Arial" w:eastAsia="Times New Roman" w:hAnsi="Arial" w:cs="Arial"/>
          <w:lang w:eastAsia="en-GB"/>
        </w:rPr>
        <w:lastRenderedPageBreak/>
        <w:t xml:space="preserve">bodies to change the approach taken towards well-being in order to create a happy, healthy Wales (Welsh Government, 2015). This is echoed in the new curriculum where Donaldson created the six areas of learning experiences, which the curriculum structure is formed by, and dedicated one area specifically to Health and Wellbeing (Student Health and Wellbeing in Wales, 2019).  However, being able to understand the importance of well-being and how to incorporate this into day to day school life is not something that can be learnt overnight and could take time for teachers and pupils alike to become accustom to the idea. </w:t>
      </w:r>
      <w:r w:rsidR="00D91271" w:rsidRPr="00D91271">
        <w:rPr>
          <w:rFonts w:ascii="Arial" w:eastAsia="Times New Roman" w:hAnsi="Arial" w:cs="Arial"/>
          <w:lang w:eastAsia="en-GB"/>
        </w:rPr>
        <w:t>Afterall</w:t>
      </w:r>
      <w:r w:rsidRPr="00D91271">
        <w:rPr>
          <w:rFonts w:ascii="Arial" w:eastAsia="Times New Roman" w:hAnsi="Arial" w:cs="Arial"/>
          <w:lang w:eastAsia="en-GB"/>
        </w:rPr>
        <w:t xml:space="preserve">, without the accurate guidance, how can a child fill the expectation and succeed in becoming a 'model citizen'? </w:t>
      </w:r>
    </w:p>
    <w:p w14:paraId="14D0EB7F"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2DE72182" w14:textId="77777777" w:rsidR="00557269" w:rsidRPr="00D91271" w:rsidRDefault="00557269"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The new curriculum aims to mould children to be healthy, confident individuals who are ready to lead lives as valued members of society (Donaldson, 2015).  To outline the importance of wellbeing and to improve mental wellbeing the National Health Service (NHS) has created the '5 steps to mental well-being' which are to connect with the people around you, be active, keep learning (learning a new skill can boost confidence and provide a sense of achievement), give to others and to be mindful of the present moment - your thoughts and feelings (NHS, 2018). A number of these steps are incorporated into the Pivotal behaviour approach that has been adopted at School X. Even a simple idea such as the chosen incident of a handshake can have a positive impact on a child's well-being as it subtly includes at least three of the suggested steps. Giving to others, which can be as simple as a friendly gesture and smile, be mindful of how you feel at the present - the student has a chance to speak to the teacher before entering the classroom if needed. Lastly, connection -  the act of making eye contact has not only been said to perceive the individual (in this case the teacher) as warm, loyal and confident (Study Body Language, 2016) but it has also been said to influence behaviour in a way that favours social interactions (</w:t>
      </w:r>
      <w:proofErr w:type="spellStart"/>
      <w:r w:rsidRPr="00D91271">
        <w:rPr>
          <w:rFonts w:ascii="Arial" w:eastAsia="Times New Roman" w:hAnsi="Arial" w:cs="Arial"/>
          <w:lang w:eastAsia="en-GB"/>
        </w:rPr>
        <w:t>Lopis</w:t>
      </w:r>
      <w:proofErr w:type="spellEnd"/>
      <w:r w:rsidRPr="00D91271">
        <w:rPr>
          <w:rFonts w:ascii="Arial" w:eastAsia="Times New Roman" w:hAnsi="Arial" w:cs="Arial"/>
          <w:lang w:eastAsia="en-GB"/>
        </w:rPr>
        <w:t xml:space="preserve"> et al, 2017). Yet this may not be the case for a certain percentage of students, as Christian Jarrett (2014) points out that eye contact is able to activate people's awareness of their own bodies, presenting the risk of more self-conscious students feeling uneasy. </w:t>
      </w:r>
    </w:p>
    <w:p w14:paraId="0BEE883A" w14:textId="5D228DA2" w:rsidR="00D05F31" w:rsidRPr="00D91271" w:rsidRDefault="00D05F31" w:rsidP="00D91271">
      <w:pPr>
        <w:spacing w:line="360" w:lineRule="auto"/>
        <w:rPr>
          <w:rFonts w:ascii="Arial" w:hAnsi="Arial" w:cs="Arial"/>
        </w:rPr>
      </w:pPr>
    </w:p>
    <w:p w14:paraId="144D551D" w14:textId="4E106BE0" w:rsidR="00724664" w:rsidRPr="00D91271" w:rsidRDefault="00724664"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After the first day of observing lessons I was surprised to see the different ways in which each teacher interacts with the students. I understand that </w:t>
      </w:r>
      <w:r w:rsidR="005A42F5" w:rsidRPr="00D91271">
        <w:rPr>
          <w:rFonts w:ascii="Arial" w:hAnsi="Arial" w:cs="Arial"/>
          <w:sz w:val="22"/>
          <w:szCs w:val="22"/>
        </w:rPr>
        <w:t>everyone</w:t>
      </w:r>
      <w:r w:rsidRPr="00D91271">
        <w:rPr>
          <w:rFonts w:ascii="Arial" w:hAnsi="Arial" w:cs="Arial"/>
          <w:sz w:val="22"/>
          <w:szCs w:val="22"/>
        </w:rPr>
        <w:t xml:space="preserve"> is different and therefore has their own way in which they prefer to communicate with their students. However, </w:t>
      </w:r>
      <w:r w:rsidR="005A42F5" w:rsidRPr="00D91271">
        <w:rPr>
          <w:rFonts w:ascii="Arial" w:hAnsi="Arial" w:cs="Arial"/>
          <w:sz w:val="22"/>
          <w:szCs w:val="22"/>
        </w:rPr>
        <w:t>what surprised</w:t>
      </w:r>
      <w:r w:rsidRPr="00D91271">
        <w:rPr>
          <w:rFonts w:ascii="Arial" w:hAnsi="Arial" w:cs="Arial"/>
          <w:sz w:val="22"/>
          <w:szCs w:val="22"/>
        </w:rPr>
        <w:t xml:space="preserve"> me the most were the teachers who had adopted the 'pivotal' approach and were able to adapt so quickly to introducing this to their day to day school life. This could be defined as 'reflective practice' as a theory has been presented to the teacher who has preceded to put it into practice to test effectiveness (</w:t>
      </w:r>
      <w:proofErr w:type="spellStart"/>
      <w:r w:rsidRPr="00D91271">
        <w:rPr>
          <w:rFonts w:ascii="Arial" w:hAnsi="Arial" w:cs="Arial"/>
          <w:sz w:val="22"/>
          <w:szCs w:val="22"/>
        </w:rPr>
        <w:t>Fook</w:t>
      </w:r>
      <w:proofErr w:type="spellEnd"/>
      <w:r w:rsidRPr="00D91271">
        <w:rPr>
          <w:rFonts w:ascii="Arial" w:hAnsi="Arial" w:cs="Arial"/>
          <w:sz w:val="22"/>
          <w:szCs w:val="22"/>
        </w:rPr>
        <w:t xml:space="preserve">, 2015). After being </w:t>
      </w:r>
      <w:r w:rsidRPr="00D91271">
        <w:rPr>
          <w:rFonts w:ascii="Arial" w:hAnsi="Arial" w:cs="Arial"/>
          <w:sz w:val="22"/>
          <w:szCs w:val="22"/>
        </w:rPr>
        <w:lastRenderedPageBreak/>
        <w:t xml:space="preserve">provided the opportunity to view the theory in practice I will take this forward into my teaching experience. </w:t>
      </w:r>
    </w:p>
    <w:p w14:paraId="75C6E61D" w14:textId="77777777" w:rsidR="00724664" w:rsidRPr="00D91271" w:rsidRDefault="00724664"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6A76E9A8" w14:textId="58FA9DA6" w:rsidR="00724664" w:rsidRPr="00D91271" w:rsidRDefault="00724664"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To return to the aforementioned 'target student' who displayed the adverse behaviour when not greeted with a handshake, I think of the time that I spent in school. I believe the act would have had a positive influence on my learning experience by offering a chance to feel noticed and included. Brookfield (1998) speaks of this type of reflection as number one of four 'critically reflective lenses' where he states there are four lenses in which educators can view their practice to uncover submerged and unacknowledged power dynamics infused in practice settings. The act of greeting the child at the door with a handshake may offer </w:t>
      </w:r>
      <w:r w:rsidR="005A42F5" w:rsidRPr="00D91271">
        <w:rPr>
          <w:rFonts w:ascii="Arial" w:eastAsia="Times New Roman" w:hAnsi="Arial" w:cs="Arial"/>
          <w:lang w:eastAsia="en-GB"/>
        </w:rPr>
        <w:t>a moment</w:t>
      </w:r>
      <w:r w:rsidRPr="00D91271">
        <w:rPr>
          <w:rFonts w:ascii="Arial" w:eastAsia="Times New Roman" w:hAnsi="Arial" w:cs="Arial"/>
          <w:lang w:eastAsia="en-GB"/>
        </w:rPr>
        <w:t xml:space="preserve"> that tears down the power dynamic and introduces a social aspect. Whilst discussing critical reflection, </w:t>
      </w:r>
      <w:proofErr w:type="spellStart"/>
      <w:r w:rsidRPr="00D91271">
        <w:rPr>
          <w:rFonts w:ascii="Arial" w:eastAsia="Times New Roman" w:hAnsi="Arial" w:cs="Arial"/>
          <w:lang w:eastAsia="en-GB"/>
        </w:rPr>
        <w:t>Fook</w:t>
      </w:r>
      <w:proofErr w:type="spellEnd"/>
      <w:r w:rsidRPr="00D91271">
        <w:rPr>
          <w:rFonts w:ascii="Arial" w:eastAsia="Times New Roman" w:hAnsi="Arial" w:cs="Arial"/>
          <w:lang w:eastAsia="en-GB"/>
        </w:rPr>
        <w:t xml:space="preserve"> (2015) presented the 'Critical Social Theory' that emphasizes the importance of connection to bring about change not only in </w:t>
      </w:r>
      <w:r w:rsidR="005A42F5" w:rsidRPr="00D91271">
        <w:rPr>
          <w:rFonts w:ascii="Arial" w:eastAsia="Times New Roman" w:hAnsi="Arial" w:cs="Arial"/>
          <w:lang w:eastAsia="en-GB"/>
        </w:rPr>
        <w:t>one’s</w:t>
      </w:r>
      <w:r w:rsidRPr="00D91271">
        <w:rPr>
          <w:rFonts w:ascii="Arial" w:eastAsia="Times New Roman" w:hAnsi="Arial" w:cs="Arial"/>
          <w:lang w:eastAsia="en-GB"/>
        </w:rPr>
        <w:t xml:space="preserve"> own professional practice but also in the desired direction socially.  In contrast, it could be that the handshake is an authoritarian concept of teaching where the teacher has control (</w:t>
      </w:r>
      <w:proofErr w:type="spellStart"/>
      <w:r w:rsidRPr="00D91271">
        <w:rPr>
          <w:rFonts w:ascii="Arial" w:eastAsia="Times New Roman" w:hAnsi="Arial" w:cs="Arial"/>
          <w:lang w:eastAsia="en-GB"/>
        </w:rPr>
        <w:t>Biesta</w:t>
      </w:r>
      <w:proofErr w:type="spellEnd"/>
      <w:r w:rsidRPr="00D91271">
        <w:rPr>
          <w:rFonts w:ascii="Arial" w:eastAsia="Times New Roman" w:hAnsi="Arial" w:cs="Arial"/>
          <w:lang w:eastAsia="en-GB"/>
        </w:rPr>
        <w:t xml:space="preserve">, 2012) over all aspects of the classroom - specifically the entrance.  </w:t>
      </w:r>
    </w:p>
    <w:p w14:paraId="6EEECD70" w14:textId="77777777" w:rsidR="00724664" w:rsidRPr="00D91271" w:rsidRDefault="00724664"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4B9F7152" w14:textId="1C88EF18" w:rsidR="0088107A" w:rsidRPr="00D91271" w:rsidRDefault="0088107A"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Despite the case study being carried out and effective observations made, a drawback of the study is due to the method of data collection chosen. By opting to use non - participant observation I was unable to be involved with the classroom in a bid to minimize observer effect. This proved some difficulty with being critically reflective about the critical incident. Brookfield (1998) uses CIQ sheets to gain anonymous feedback from students to find out which areas are </w:t>
      </w:r>
      <w:r w:rsidR="00761ADE" w:rsidRPr="00D91271">
        <w:rPr>
          <w:rFonts w:ascii="Arial" w:eastAsia="Times New Roman" w:hAnsi="Arial" w:cs="Arial"/>
          <w:lang w:eastAsia="en-GB"/>
        </w:rPr>
        <w:t>effective,</w:t>
      </w:r>
      <w:r w:rsidRPr="00D91271">
        <w:rPr>
          <w:rFonts w:ascii="Arial" w:eastAsia="Times New Roman" w:hAnsi="Arial" w:cs="Arial"/>
          <w:lang w:eastAsia="en-GB"/>
        </w:rPr>
        <w:t xml:space="preserve"> and which need improving. This method of reflection whilst used with open questions would have been beneficial to this study as it would have allowed the children to think independently about the effect of the incident and offer any alternatives or improvements (Observing Children, 2008). Based on the papers and research that I have reviewed surrounding the incident it seems that there are more arguments supporting the positive influence the interaction would have on children. However, conditioning plays an important role in the maintaining of the student behaviour and as previously mentioned, the research completed by Fox</w:t>
      </w:r>
      <w:r w:rsidR="0018164F">
        <w:rPr>
          <w:rFonts w:ascii="Arial" w:eastAsia="Times New Roman" w:hAnsi="Arial" w:cs="Arial"/>
          <w:lang w:eastAsia="en-GB"/>
        </w:rPr>
        <w:t xml:space="preserve"> (2019)</w:t>
      </w:r>
      <w:r w:rsidRPr="00D91271">
        <w:rPr>
          <w:rFonts w:ascii="Arial" w:eastAsia="Times New Roman" w:hAnsi="Arial" w:cs="Arial"/>
          <w:lang w:eastAsia="en-GB"/>
        </w:rPr>
        <w:t xml:space="preserve"> raises ethical issues that should not be overlooked. </w:t>
      </w:r>
    </w:p>
    <w:p w14:paraId="3ECB36C6" w14:textId="77777777" w:rsidR="0088107A" w:rsidRPr="00D91271" w:rsidRDefault="0088107A"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w:t>
      </w:r>
    </w:p>
    <w:p w14:paraId="1501178F" w14:textId="1CF9AB74" w:rsidR="0088107A" w:rsidRPr="00D91271" w:rsidRDefault="0088107A" w:rsidP="00D91271">
      <w:pPr>
        <w:spacing w:after="0" w:line="360" w:lineRule="auto"/>
        <w:rPr>
          <w:rFonts w:ascii="Arial" w:eastAsia="Times New Roman" w:hAnsi="Arial" w:cs="Arial"/>
          <w:lang w:eastAsia="en-GB"/>
        </w:rPr>
      </w:pPr>
      <w:r w:rsidRPr="00D91271">
        <w:rPr>
          <w:rFonts w:ascii="Arial" w:eastAsia="Times New Roman" w:hAnsi="Arial" w:cs="Arial"/>
          <w:lang w:eastAsia="en-GB"/>
        </w:rPr>
        <w:t xml:space="preserve">A much more systematic approach would be to observe how the targeted student behaved in a wider range of lessons. By observing the student over a longer period, it would allow an insight into possible factors that may have caused the lapse in the behaviour, rather than just the handshake. It could be possible that the student simply prefers the lesson taught by Teacher A and therefore is not interested in paying attention to Teacher B's subject. Another strong possibility is that the time of day had a contribution to the change in behaviour. This </w:t>
      </w:r>
      <w:r w:rsidRPr="00D91271">
        <w:rPr>
          <w:rFonts w:ascii="Arial" w:eastAsia="Times New Roman" w:hAnsi="Arial" w:cs="Arial"/>
          <w:lang w:eastAsia="en-GB"/>
        </w:rPr>
        <w:lastRenderedPageBreak/>
        <w:t xml:space="preserve">could only be tested by observing the child in lessons at varying times of day. If I were to recreate this study, I would take this into consideration but would need to be mindful of the child becoming aware of the observation and changing their behaviour as this would hinder the study by producing unreliable data. Another interest would be to find out whether the student feels the incident will be operative in shaping them to become a healthy, confident individual who is ready for future interactions both socially and professionally. Data collection would be carried out in form of an unstructured interview as this method would allow for further questioning of answers provided to gain a full understanding of whether the critical incident has affected the learning or development in any way (Kumar, 2014). Although, a limitation may be that the student would not feel comfortable being fully honest if anonymity is not ensured. </w:t>
      </w:r>
    </w:p>
    <w:p w14:paraId="31334600" w14:textId="17114512" w:rsidR="00276D91" w:rsidRPr="00D91271" w:rsidRDefault="00276D91" w:rsidP="00D91271">
      <w:pPr>
        <w:spacing w:after="0" w:line="360" w:lineRule="auto"/>
        <w:rPr>
          <w:rFonts w:ascii="Arial" w:eastAsia="Times New Roman" w:hAnsi="Arial" w:cs="Arial"/>
          <w:lang w:eastAsia="en-GB"/>
        </w:rPr>
      </w:pPr>
    </w:p>
    <w:p w14:paraId="58E41BDE" w14:textId="3857AAEC" w:rsidR="00D05F31" w:rsidRPr="00D91271" w:rsidRDefault="00D91271" w:rsidP="00D91271">
      <w:pPr>
        <w:spacing w:line="360" w:lineRule="auto"/>
        <w:rPr>
          <w:rFonts w:ascii="Arial" w:hAnsi="Arial" w:cs="Arial"/>
        </w:rPr>
      </w:pPr>
      <w:r w:rsidRPr="00D91271">
        <w:rPr>
          <w:rFonts w:ascii="Arial" w:hAnsi="Arial" w:cs="Arial"/>
          <w:color w:val="000000"/>
        </w:rPr>
        <w:t xml:space="preserve">The main goal of this case study was to examine the implication that a critical incident, which was identified during lesson observation, may have on a child's learning experience. The investigation of key areas surrounding the critical incident has allowed an insight into what underlying factors may influence a child's holistic development. Observation as the chosen method for data collection allowed for the collection of detailed information from an authentic setting (Weber, 2016). This offered the viewing of multiple critical incidents, however this </w:t>
      </w:r>
      <w:proofErr w:type="gramStart"/>
      <w:r w:rsidRPr="00D91271">
        <w:rPr>
          <w:rFonts w:ascii="Arial" w:hAnsi="Arial" w:cs="Arial"/>
          <w:color w:val="000000"/>
        </w:rPr>
        <w:t>particular incident</w:t>
      </w:r>
      <w:proofErr w:type="gramEnd"/>
      <w:r w:rsidRPr="00D91271">
        <w:rPr>
          <w:rFonts w:ascii="Arial" w:hAnsi="Arial" w:cs="Arial"/>
          <w:color w:val="000000"/>
        </w:rPr>
        <w:t xml:space="preserve"> stood out due to the sheer simplicity yet innovation. One of the most significant findings to emerge from this case study is that the relationship between a student and their teacher can have an implication on their motivation to work (</w:t>
      </w:r>
      <w:proofErr w:type="spellStart"/>
      <w:r w:rsidRPr="00D91271">
        <w:rPr>
          <w:rFonts w:ascii="Arial" w:hAnsi="Arial" w:cs="Arial"/>
          <w:color w:val="000000"/>
        </w:rPr>
        <w:t>Fredriksen</w:t>
      </w:r>
      <w:proofErr w:type="spellEnd"/>
      <w:r w:rsidRPr="00D91271">
        <w:rPr>
          <w:rFonts w:ascii="Arial" w:hAnsi="Arial" w:cs="Arial"/>
          <w:color w:val="000000"/>
        </w:rPr>
        <w:t xml:space="preserve"> and Rhodes, 2004) therefore, by introducing this innovative greeting technique there should be an improvement of pedagogical outcomes. By reflecting upon the reading that has been reviewed surrounding the key factors of the incident I have been able to extend my knowledge, skills and understanding which will contribute to my professional learning. Taken together, the case study has allowed an evaluation of a wide range of theories that will be valuable in identifying the next steps to progressively develop pedagogy (Welsh Government, 2019).</w:t>
      </w:r>
    </w:p>
    <w:p w14:paraId="2C4E1B38" w14:textId="6BEB6D37" w:rsidR="00D05F31" w:rsidRPr="00D91271" w:rsidRDefault="00D05F31" w:rsidP="00D91271">
      <w:pPr>
        <w:spacing w:line="360" w:lineRule="auto"/>
        <w:rPr>
          <w:rFonts w:ascii="Arial" w:hAnsi="Arial" w:cs="Arial"/>
        </w:rPr>
      </w:pPr>
    </w:p>
    <w:p w14:paraId="41C9BD55" w14:textId="73714483" w:rsidR="00D540A2" w:rsidRPr="00D91271" w:rsidRDefault="00D540A2" w:rsidP="00D91271">
      <w:pPr>
        <w:spacing w:line="360" w:lineRule="auto"/>
        <w:rPr>
          <w:rFonts w:ascii="Arial" w:hAnsi="Arial" w:cs="Arial"/>
        </w:rPr>
      </w:pPr>
    </w:p>
    <w:p w14:paraId="5B5E3F3D" w14:textId="49ACE57F" w:rsidR="00D540A2" w:rsidRPr="00D91271" w:rsidRDefault="00D540A2" w:rsidP="00D91271">
      <w:pPr>
        <w:spacing w:line="360" w:lineRule="auto"/>
        <w:rPr>
          <w:rFonts w:ascii="Arial" w:hAnsi="Arial" w:cs="Arial"/>
        </w:rPr>
      </w:pPr>
    </w:p>
    <w:p w14:paraId="08ED06EA" w14:textId="77777777" w:rsidR="00D540A2" w:rsidRPr="00D91271" w:rsidRDefault="00D540A2" w:rsidP="00D91271">
      <w:pPr>
        <w:spacing w:line="360" w:lineRule="auto"/>
        <w:rPr>
          <w:rFonts w:ascii="Arial" w:hAnsi="Arial" w:cs="Arial"/>
        </w:rPr>
      </w:pPr>
    </w:p>
    <w:p w14:paraId="310DD813" w14:textId="7B2727BE" w:rsidR="00D05F31" w:rsidRPr="00D91271" w:rsidRDefault="00D05F31" w:rsidP="00D91271">
      <w:pPr>
        <w:spacing w:line="360" w:lineRule="auto"/>
        <w:rPr>
          <w:rFonts w:ascii="Arial" w:hAnsi="Arial" w:cs="Arial"/>
        </w:rPr>
      </w:pPr>
    </w:p>
    <w:p w14:paraId="282C91DF" w14:textId="50E4D693" w:rsidR="00D05F31" w:rsidRPr="00D91271" w:rsidRDefault="00D05F31" w:rsidP="00D91271">
      <w:pPr>
        <w:spacing w:line="360" w:lineRule="auto"/>
        <w:rPr>
          <w:rFonts w:ascii="Arial" w:hAnsi="Arial" w:cs="Arial"/>
        </w:rPr>
      </w:pPr>
    </w:p>
    <w:p w14:paraId="30F62C5F" w14:textId="77777777" w:rsidR="001733BF" w:rsidRPr="00D91271" w:rsidRDefault="001733BF" w:rsidP="00D91271">
      <w:pPr>
        <w:pStyle w:val="NormalWeb"/>
        <w:spacing w:before="0" w:beforeAutospacing="0" w:after="0" w:afterAutospacing="0" w:line="360" w:lineRule="auto"/>
        <w:rPr>
          <w:rFonts w:ascii="Arial" w:hAnsi="Arial" w:cs="Arial"/>
          <w:sz w:val="22"/>
          <w:szCs w:val="22"/>
        </w:rPr>
      </w:pPr>
    </w:p>
    <w:p w14:paraId="7B3F2C48" w14:textId="77777777" w:rsidR="001733BF" w:rsidRPr="00D91271" w:rsidRDefault="001733BF" w:rsidP="00D91271">
      <w:pPr>
        <w:pStyle w:val="NormalWeb"/>
        <w:spacing w:before="0" w:beforeAutospacing="0" w:after="0" w:afterAutospacing="0" w:line="360" w:lineRule="auto"/>
        <w:rPr>
          <w:rFonts w:ascii="Arial" w:hAnsi="Arial" w:cs="Arial"/>
          <w:sz w:val="22"/>
          <w:szCs w:val="22"/>
        </w:rPr>
      </w:pPr>
    </w:p>
    <w:p w14:paraId="5955DA25" w14:textId="6F1106CF"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BBC Newsround (2018), </w:t>
      </w:r>
      <w:r w:rsidRPr="00D91271">
        <w:rPr>
          <w:rFonts w:ascii="Arial" w:hAnsi="Arial" w:cs="Arial"/>
          <w:i/>
          <w:iCs/>
          <w:sz w:val="22"/>
          <w:szCs w:val="22"/>
        </w:rPr>
        <w:t xml:space="preserve">Mars Insight Celebration: Why do we shake hands? </w:t>
      </w:r>
      <w:r w:rsidRPr="00D91271">
        <w:rPr>
          <w:rFonts w:ascii="Arial" w:hAnsi="Arial" w:cs="Arial"/>
          <w:sz w:val="22"/>
          <w:szCs w:val="22"/>
        </w:rPr>
        <w:t xml:space="preserve">Available at: </w:t>
      </w:r>
      <w:hyperlink r:id="rId7" w:history="1">
        <w:r w:rsidRPr="00D91271">
          <w:rPr>
            <w:rStyle w:val="Hyperlink"/>
            <w:rFonts w:ascii="Arial" w:hAnsi="Arial" w:cs="Arial"/>
            <w:sz w:val="22"/>
            <w:szCs w:val="22"/>
          </w:rPr>
          <w:t>https://www.bbc.co.uk/newsround/37713970</w:t>
        </w:r>
      </w:hyperlink>
      <w:r w:rsidRPr="00D91271">
        <w:rPr>
          <w:rFonts w:ascii="Arial" w:hAnsi="Arial" w:cs="Arial"/>
          <w:sz w:val="22"/>
          <w:szCs w:val="22"/>
        </w:rPr>
        <w:t xml:space="preserve"> (Accessed: 9th October 2019)</w:t>
      </w:r>
    </w:p>
    <w:p w14:paraId="4D9EA53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5A351EC6"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proofErr w:type="spellStart"/>
      <w:r w:rsidRPr="00D91271">
        <w:rPr>
          <w:rFonts w:ascii="Arial" w:hAnsi="Arial" w:cs="Arial"/>
          <w:sz w:val="22"/>
          <w:szCs w:val="22"/>
        </w:rPr>
        <w:t>Biesta</w:t>
      </w:r>
      <w:proofErr w:type="spellEnd"/>
      <w:r w:rsidRPr="00D91271">
        <w:rPr>
          <w:rFonts w:ascii="Arial" w:hAnsi="Arial" w:cs="Arial"/>
          <w:sz w:val="22"/>
          <w:szCs w:val="22"/>
        </w:rPr>
        <w:t xml:space="preserve">, G. (2012) 'Giving Teaching Back </w:t>
      </w:r>
      <w:proofErr w:type="gramStart"/>
      <w:r w:rsidRPr="00D91271">
        <w:rPr>
          <w:rFonts w:ascii="Arial" w:hAnsi="Arial" w:cs="Arial"/>
          <w:sz w:val="22"/>
          <w:szCs w:val="22"/>
        </w:rPr>
        <w:t>To</w:t>
      </w:r>
      <w:proofErr w:type="gramEnd"/>
      <w:r w:rsidRPr="00D91271">
        <w:rPr>
          <w:rFonts w:ascii="Arial" w:hAnsi="Arial" w:cs="Arial"/>
          <w:sz w:val="22"/>
          <w:szCs w:val="22"/>
        </w:rPr>
        <w:t xml:space="preserve"> Education: Responding to the Disappearance of the Teacher' </w:t>
      </w:r>
      <w:r w:rsidRPr="00D91271">
        <w:rPr>
          <w:rFonts w:ascii="Arial" w:hAnsi="Arial" w:cs="Arial"/>
          <w:i/>
          <w:iCs/>
          <w:sz w:val="22"/>
          <w:szCs w:val="22"/>
        </w:rPr>
        <w:t>Phenomenology &amp; Practice</w:t>
      </w:r>
      <w:r w:rsidRPr="00D91271">
        <w:rPr>
          <w:rFonts w:ascii="Arial" w:hAnsi="Arial" w:cs="Arial"/>
          <w:sz w:val="22"/>
          <w:szCs w:val="22"/>
        </w:rPr>
        <w:t>, Volume 6 (2012), No. 2, pp. 35-49.</w:t>
      </w:r>
    </w:p>
    <w:p w14:paraId="42EA6C12"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3640B5B9"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Bowlby, J. (1982). Attachment and loss: Vol. 1. Attachment (Rev. ed.). New York: Basic Books.</w:t>
      </w:r>
    </w:p>
    <w:p w14:paraId="6B88431C"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65837F42"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Choy, L (2014) 'The Strengths and Weaknesses of Research Methodology: Comparison and Complimentary Between Qualitative and Quantitative Approaches' </w:t>
      </w:r>
      <w:r w:rsidRPr="00D91271">
        <w:rPr>
          <w:rFonts w:ascii="Arial" w:hAnsi="Arial" w:cs="Arial"/>
          <w:i/>
          <w:iCs/>
          <w:sz w:val="22"/>
          <w:szCs w:val="22"/>
        </w:rPr>
        <w:t xml:space="preserve">Journal of Humanities and Social Science, </w:t>
      </w:r>
      <w:r w:rsidRPr="00D91271">
        <w:rPr>
          <w:rFonts w:ascii="Arial" w:hAnsi="Arial" w:cs="Arial"/>
          <w:sz w:val="22"/>
          <w:szCs w:val="22"/>
        </w:rPr>
        <w:t>19(4), pp.99-104</w:t>
      </w:r>
    </w:p>
    <w:p w14:paraId="00B5EB03"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5E057202"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Cohen et al., 2007. </w:t>
      </w:r>
      <w:r w:rsidRPr="00D91271">
        <w:rPr>
          <w:rFonts w:ascii="Arial" w:hAnsi="Arial" w:cs="Arial"/>
          <w:i/>
          <w:iCs/>
          <w:color w:val="3A3A3A"/>
          <w:sz w:val="22"/>
          <w:szCs w:val="22"/>
          <w:shd w:val="clear" w:color="auto" w:fill="FFFFFF"/>
        </w:rPr>
        <w:t>Research methods in education</w:t>
      </w:r>
      <w:r w:rsidRPr="00D91271">
        <w:rPr>
          <w:rFonts w:ascii="Arial" w:hAnsi="Arial" w:cs="Arial"/>
          <w:sz w:val="22"/>
          <w:szCs w:val="22"/>
        </w:rPr>
        <w:t> 6th ed., London: Routledge.</w:t>
      </w:r>
    </w:p>
    <w:p w14:paraId="11F39F1B"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4A2B8EB9"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Cole, H. et al., 2007. </w:t>
      </w:r>
      <w:r w:rsidRPr="00D91271">
        <w:rPr>
          <w:rFonts w:ascii="Arial" w:hAnsi="Arial" w:cs="Arial"/>
          <w:i/>
          <w:iCs/>
          <w:color w:val="3A3A3A"/>
          <w:sz w:val="22"/>
          <w:szCs w:val="22"/>
          <w:shd w:val="clear" w:color="auto" w:fill="FFFFFF"/>
        </w:rPr>
        <w:t>The Cambridge companion to Vygotsky</w:t>
      </w:r>
      <w:r w:rsidRPr="00D91271">
        <w:rPr>
          <w:rFonts w:ascii="Arial" w:hAnsi="Arial" w:cs="Arial"/>
          <w:sz w:val="22"/>
          <w:szCs w:val="22"/>
        </w:rPr>
        <w:t>, Cambridge: Cambridge University Press.</w:t>
      </w:r>
    </w:p>
    <w:p w14:paraId="040F26BA"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544D670A"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Dix, P. (2017) </w:t>
      </w:r>
      <w:r w:rsidRPr="00D91271">
        <w:rPr>
          <w:rFonts w:ascii="Arial" w:hAnsi="Arial" w:cs="Arial"/>
          <w:i/>
          <w:iCs/>
          <w:sz w:val="22"/>
          <w:szCs w:val="22"/>
        </w:rPr>
        <w:t xml:space="preserve">When the Adults Change, Everything Changes. </w:t>
      </w:r>
      <w:r w:rsidRPr="00D91271">
        <w:rPr>
          <w:rFonts w:ascii="Arial" w:hAnsi="Arial" w:cs="Arial"/>
          <w:sz w:val="22"/>
          <w:szCs w:val="22"/>
        </w:rPr>
        <w:t>Carmarthen: Independent Thinking Press.</w:t>
      </w:r>
    </w:p>
    <w:p w14:paraId="3876D0B0"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4130B28D"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Donaldson. G (2015) </w:t>
      </w:r>
      <w:r w:rsidRPr="00D91271">
        <w:rPr>
          <w:rFonts w:ascii="Arial" w:hAnsi="Arial" w:cs="Arial"/>
          <w:i/>
          <w:iCs/>
          <w:sz w:val="22"/>
          <w:szCs w:val="22"/>
        </w:rPr>
        <w:t xml:space="preserve">Successful Futures </w:t>
      </w:r>
    </w:p>
    <w:p w14:paraId="043E910F"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16B894F8" w14:textId="77777777" w:rsidR="0018164F" w:rsidRDefault="00D540A2" w:rsidP="00D91271">
      <w:pPr>
        <w:pStyle w:val="NormalWeb"/>
        <w:spacing w:before="0" w:beforeAutospacing="0" w:after="0" w:afterAutospacing="0" w:line="360" w:lineRule="auto"/>
        <w:rPr>
          <w:rFonts w:ascii="Arial" w:hAnsi="Arial" w:cs="Arial"/>
          <w:sz w:val="22"/>
          <w:szCs w:val="22"/>
        </w:rPr>
      </w:pPr>
      <w:proofErr w:type="spellStart"/>
      <w:r w:rsidRPr="00D91271">
        <w:rPr>
          <w:rFonts w:ascii="Arial" w:hAnsi="Arial" w:cs="Arial"/>
          <w:sz w:val="22"/>
          <w:szCs w:val="22"/>
        </w:rPr>
        <w:t>Fook</w:t>
      </w:r>
      <w:proofErr w:type="spellEnd"/>
      <w:r w:rsidRPr="00D91271">
        <w:rPr>
          <w:rFonts w:ascii="Arial" w:hAnsi="Arial" w:cs="Arial"/>
          <w:sz w:val="22"/>
          <w:szCs w:val="22"/>
        </w:rPr>
        <w:t>, J., 2015. Reflective practice and critical reflection. </w:t>
      </w:r>
      <w:r w:rsidRPr="00D91271">
        <w:rPr>
          <w:rFonts w:ascii="Arial" w:hAnsi="Arial" w:cs="Arial"/>
          <w:i/>
          <w:iCs/>
          <w:color w:val="222222"/>
          <w:sz w:val="22"/>
          <w:szCs w:val="22"/>
          <w:shd w:val="clear" w:color="auto" w:fill="FFFFFF"/>
        </w:rPr>
        <w:t>Handbook for practice learning in social work and social care</w:t>
      </w:r>
      <w:r w:rsidRPr="00D91271">
        <w:rPr>
          <w:rFonts w:ascii="Arial" w:hAnsi="Arial" w:cs="Arial"/>
          <w:sz w:val="22"/>
          <w:szCs w:val="22"/>
        </w:rPr>
        <w:t>, pp.440-454.</w:t>
      </w:r>
    </w:p>
    <w:p w14:paraId="6A2A3C20" w14:textId="77777777" w:rsidR="0018164F" w:rsidRDefault="0018164F" w:rsidP="00D91271">
      <w:pPr>
        <w:pStyle w:val="NormalWeb"/>
        <w:spacing w:before="0" w:beforeAutospacing="0" w:after="0" w:afterAutospacing="0" w:line="360" w:lineRule="auto"/>
        <w:rPr>
          <w:rFonts w:ascii="Arial" w:hAnsi="Arial" w:cs="Arial"/>
          <w:sz w:val="22"/>
          <w:szCs w:val="22"/>
        </w:rPr>
      </w:pPr>
    </w:p>
    <w:p w14:paraId="7760BB4B" w14:textId="7180E934" w:rsidR="0018164F" w:rsidRPr="002C00E1" w:rsidRDefault="0018164F" w:rsidP="00D91271">
      <w:pPr>
        <w:pStyle w:val="NormalWeb"/>
        <w:spacing w:before="0" w:beforeAutospacing="0" w:after="0" w:afterAutospacing="0" w:line="360" w:lineRule="auto"/>
        <w:rPr>
          <w:rFonts w:ascii="Arial" w:hAnsi="Arial" w:cs="Arial"/>
          <w:sz w:val="22"/>
          <w:szCs w:val="22"/>
        </w:rPr>
      </w:pPr>
      <w:r w:rsidRPr="002C00E1">
        <w:rPr>
          <w:rFonts w:ascii="Arial" w:hAnsi="Arial" w:cs="Arial"/>
          <w:sz w:val="22"/>
          <w:szCs w:val="22"/>
        </w:rPr>
        <w:t xml:space="preserve">Fox, G. (2019) ‘Problems of Operant Conditioning and Human Behaviour’ </w:t>
      </w:r>
      <w:r w:rsidRPr="002C00E1">
        <w:rPr>
          <w:rFonts w:ascii="Arial" w:hAnsi="Arial" w:cs="Arial"/>
          <w:i/>
          <w:iCs/>
          <w:sz w:val="22"/>
          <w:szCs w:val="22"/>
        </w:rPr>
        <w:t xml:space="preserve">Problems of Operant Conditioning. </w:t>
      </w:r>
      <w:r w:rsidRPr="002C00E1">
        <w:rPr>
          <w:rFonts w:ascii="Arial" w:hAnsi="Arial" w:cs="Arial"/>
          <w:sz w:val="22"/>
          <w:szCs w:val="22"/>
        </w:rPr>
        <w:t>Available at:</w:t>
      </w:r>
      <w:r w:rsidR="002C00E1">
        <w:rPr>
          <w:rFonts w:ascii="Arial" w:hAnsi="Arial" w:cs="Arial"/>
          <w:sz w:val="22"/>
          <w:szCs w:val="22"/>
        </w:rPr>
        <w:t xml:space="preserve"> </w:t>
      </w:r>
      <w:hyperlink r:id="rId8" w:history="1">
        <w:r w:rsidR="002C00E1" w:rsidRPr="00FC7BC6">
          <w:rPr>
            <w:rStyle w:val="Hyperlink"/>
            <w:rFonts w:ascii="Arial" w:hAnsi="Arial" w:cs="Arial"/>
            <w:sz w:val="22"/>
            <w:szCs w:val="22"/>
          </w:rPr>
          <w:t>https://lumen.instructure.com/courses/170090/pages/problems-of-operant-conditioning?module_item_id=4055282</w:t>
        </w:r>
      </w:hyperlink>
      <w:r w:rsidRPr="002C00E1">
        <w:rPr>
          <w:rFonts w:ascii="Arial" w:hAnsi="Arial" w:cs="Arial"/>
          <w:sz w:val="22"/>
          <w:szCs w:val="22"/>
        </w:rPr>
        <w:t xml:space="preserve"> (Accessed: </w:t>
      </w:r>
      <w:r w:rsidR="002C00E1" w:rsidRPr="002C00E1">
        <w:rPr>
          <w:rFonts w:ascii="Arial" w:hAnsi="Arial" w:cs="Arial"/>
          <w:sz w:val="22"/>
          <w:szCs w:val="22"/>
        </w:rPr>
        <w:t>18</w:t>
      </w:r>
      <w:r w:rsidR="002C00E1" w:rsidRPr="002C00E1">
        <w:rPr>
          <w:rFonts w:ascii="Arial" w:hAnsi="Arial" w:cs="Arial"/>
          <w:sz w:val="22"/>
          <w:szCs w:val="22"/>
          <w:vertAlign w:val="superscript"/>
        </w:rPr>
        <w:t>th</w:t>
      </w:r>
      <w:r w:rsidR="002C00E1" w:rsidRPr="002C00E1">
        <w:rPr>
          <w:rFonts w:ascii="Arial" w:hAnsi="Arial" w:cs="Arial"/>
          <w:sz w:val="22"/>
          <w:szCs w:val="22"/>
        </w:rPr>
        <w:t xml:space="preserve"> October 2019)</w:t>
      </w:r>
    </w:p>
    <w:p w14:paraId="5E6085A1"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37F34EED" w14:textId="3E3294D6"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Hewitt G., Anthony R., Moore G., Melendez-Torres G.J., Murphy S. (2019) Student Health and Wellbeing </w:t>
      </w:r>
      <w:r w:rsidR="0018164F">
        <w:rPr>
          <w:rFonts w:ascii="Arial" w:hAnsi="Arial" w:cs="Arial"/>
          <w:sz w:val="22"/>
          <w:szCs w:val="22"/>
        </w:rPr>
        <w:t>i</w:t>
      </w:r>
      <w:r w:rsidRPr="00D91271">
        <w:rPr>
          <w:rFonts w:ascii="Arial" w:hAnsi="Arial" w:cs="Arial"/>
          <w:sz w:val="22"/>
          <w:szCs w:val="22"/>
        </w:rPr>
        <w:t>n Wales: Report of the 2017/18 Health Behaviour in School-aged Children Survey and School Health Research Network Student Health and Wellbeing Survey. Cardiff University, Cardiff, UK</w:t>
      </w:r>
    </w:p>
    <w:p w14:paraId="0C27A0FC"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lastRenderedPageBreak/>
        <w:t> </w:t>
      </w:r>
    </w:p>
    <w:p w14:paraId="67579094"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Jarrett C (2014) 'Eye Contact Makes Us More Aware of Our Own Bodies' </w:t>
      </w:r>
      <w:r w:rsidRPr="00D91271">
        <w:rPr>
          <w:rFonts w:ascii="Arial" w:hAnsi="Arial" w:cs="Arial"/>
          <w:i/>
          <w:iCs/>
          <w:sz w:val="22"/>
          <w:szCs w:val="22"/>
        </w:rPr>
        <w:t xml:space="preserve">Research Digest </w:t>
      </w:r>
      <w:r w:rsidRPr="00D91271">
        <w:rPr>
          <w:rFonts w:ascii="Arial" w:hAnsi="Arial" w:cs="Arial"/>
          <w:sz w:val="22"/>
          <w:szCs w:val="22"/>
        </w:rPr>
        <w:t xml:space="preserve">[blog]. 26th September. Available at: </w:t>
      </w:r>
      <w:hyperlink r:id="rId9" w:history="1">
        <w:r w:rsidRPr="00D91271">
          <w:rPr>
            <w:rStyle w:val="Hyperlink"/>
            <w:rFonts w:ascii="Arial" w:hAnsi="Arial" w:cs="Arial"/>
            <w:sz w:val="22"/>
            <w:szCs w:val="22"/>
          </w:rPr>
          <w:t>https://digest.bps.org.uk/2014/09/26/eye-contact-makes-us-more-aware-of-our-own-bodies/</w:t>
        </w:r>
      </w:hyperlink>
      <w:r w:rsidRPr="00D91271">
        <w:rPr>
          <w:rFonts w:ascii="Arial" w:hAnsi="Arial" w:cs="Arial"/>
          <w:sz w:val="22"/>
          <w:szCs w:val="22"/>
        </w:rPr>
        <w:t xml:space="preserve"> (Accessed: 23 October 2019)</w:t>
      </w:r>
    </w:p>
    <w:p w14:paraId="25525DFA"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63EBFBFC"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proofErr w:type="spellStart"/>
      <w:r w:rsidRPr="00D91271">
        <w:rPr>
          <w:rFonts w:ascii="Arial" w:hAnsi="Arial" w:cs="Arial"/>
          <w:sz w:val="22"/>
          <w:szCs w:val="22"/>
        </w:rPr>
        <w:t>Jayers</w:t>
      </w:r>
      <w:proofErr w:type="spellEnd"/>
      <w:r w:rsidRPr="00D91271">
        <w:rPr>
          <w:rFonts w:ascii="Arial" w:hAnsi="Arial" w:cs="Arial"/>
          <w:sz w:val="22"/>
          <w:szCs w:val="22"/>
        </w:rPr>
        <w:t xml:space="preserve">, D. (2013) 'Critical Incidents', </w:t>
      </w:r>
      <w:r w:rsidRPr="00D91271">
        <w:rPr>
          <w:rFonts w:ascii="Arial" w:hAnsi="Arial" w:cs="Arial"/>
          <w:i/>
          <w:iCs/>
          <w:sz w:val="22"/>
          <w:szCs w:val="22"/>
        </w:rPr>
        <w:t xml:space="preserve">Learning &amp; Teaching, </w:t>
      </w:r>
      <w:r w:rsidRPr="00D91271">
        <w:rPr>
          <w:rFonts w:ascii="Arial" w:hAnsi="Arial" w:cs="Arial"/>
          <w:sz w:val="22"/>
          <w:szCs w:val="22"/>
        </w:rPr>
        <w:t xml:space="preserve">[blog] Available at: </w:t>
      </w:r>
      <w:hyperlink r:id="rId10" w:history="1">
        <w:r w:rsidRPr="00D91271">
          <w:rPr>
            <w:rStyle w:val="Hyperlink"/>
            <w:rFonts w:ascii="Arial" w:hAnsi="Arial" w:cs="Arial"/>
            <w:sz w:val="22"/>
            <w:szCs w:val="22"/>
          </w:rPr>
          <w:t>http://danieljayres.blogspot.com/2013/12/critical-incidents.html</w:t>
        </w:r>
      </w:hyperlink>
      <w:r w:rsidRPr="00D91271">
        <w:rPr>
          <w:rFonts w:ascii="Arial" w:hAnsi="Arial" w:cs="Arial"/>
          <w:sz w:val="22"/>
          <w:szCs w:val="22"/>
        </w:rPr>
        <w:t xml:space="preserve"> (Accessed: 08 October 2019)</w:t>
      </w:r>
    </w:p>
    <w:p w14:paraId="6F2EED4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7651AADC"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Joachim, A. (2016) 'Why it's Crucial to Give Every Child a Clean Slate', </w:t>
      </w:r>
      <w:r w:rsidRPr="00D91271">
        <w:rPr>
          <w:rFonts w:ascii="Arial" w:hAnsi="Arial" w:cs="Arial"/>
          <w:i/>
          <w:iCs/>
          <w:sz w:val="22"/>
          <w:szCs w:val="22"/>
        </w:rPr>
        <w:t xml:space="preserve">TES, </w:t>
      </w:r>
      <w:r w:rsidRPr="00D91271">
        <w:rPr>
          <w:rFonts w:ascii="Arial" w:hAnsi="Arial" w:cs="Arial"/>
          <w:sz w:val="22"/>
          <w:szCs w:val="22"/>
        </w:rPr>
        <w:t xml:space="preserve">[article] Available at: </w:t>
      </w:r>
      <w:hyperlink r:id="rId11" w:history="1">
        <w:r w:rsidRPr="00D91271">
          <w:rPr>
            <w:rStyle w:val="Hyperlink"/>
            <w:rFonts w:ascii="Arial" w:hAnsi="Arial" w:cs="Arial"/>
            <w:sz w:val="22"/>
            <w:szCs w:val="22"/>
          </w:rPr>
          <w:t>https://www.tes.com/news/why-its-crucial-give-every-child-clean-slate</w:t>
        </w:r>
      </w:hyperlink>
      <w:r w:rsidRPr="00D91271">
        <w:rPr>
          <w:rFonts w:ascii="Arial" w:hAnsi="Arial" w:cs="Arial"/>
          <w:sz w:val="22"/>
          <w:szCs w:val="22"/>
        </w:rPr>
        <w:t xml:space="preserve"> (Accessed: 17 October 2019)</w:t>
      </w:r>
    </w:p>
    <w:p w14:paraId="3614B3AE"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533DFA7E"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Johnson, S., Cooper, C., Cartwright, S., Donald, I., Taylor, P., &amp; Millet, C. (2005). The experience of </w:t>
      </w:r>
      <w:proofErr w:type="spellStart"/>
      <w:r w:rsidRPr="00D91271">
        <w:rPr>
          <w:rFonts w:ascii="Arial" w:hAnsi="Arial" w:cs="Arial"/>
          <w:sz w:val="22"/>
          <w:szCs w:val="22"/>
        </w:rPr>
        <w:t>workrelated</w:t>
      </w:r>
      <w:proofErr w:type="spellEnd"/>
      <w:r w:rsidRPr="00D91271">
        <w:rPr>
          <w:rFonts w:ascii="Arial" w:hAnsi="Arial" w:cs="Arial"/>
          <w:sz w:val="22"/>
          <w:szCs w:val="22"/>
        </w:rPr>
        <w:t xml:space="preserve"> stress across occupations. Journal of Managerial Psychology, 20, 178–187</w:t>
      </w:r>
    </w:p>
    <w:p w14:paraId="0BBF9D4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510156AD"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proofErr w:type="spellStart"/>
      <w:r w:rsidRPr="00D91271">
        <w:rPr>
          <w:rFonts w:ascii="Arial" w:hAnsi="Arial" w:cs="Arial"/>
          <w:sz w:val="22"/>
          <w:szCs w:val="22"/>
        </w:rPr>
        <w:t>Kesner</w:t>
      </w:r>
      <w:proofErr w:type="spellEnd"/>
      <w:r w:rsidRPr="00D91271">
        <w:rPr>
          <w:rFonts w:ascii="Arial" w:hAnsi="Arial" w:cs="Arial"/>
          <w:sz w:val="22"/>
          <w:szCs w:val="22"/>
        </w:rPr>
        <w:t>, J E, Journal of School Psychology, Vol. 28, No. 2, pp. 133–149, 2000 Copyright  2000 Society for the Study of School Psychology Printed in the USA</w:t>
      </w:r>
    </w:p>
    <w:p w14:paraId="3B67194B"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7D42220B" w14:textId="77777777" w:rsidR="00D540A2" w:rsidRPr="00D91271" w:rsidRDefault="00D540A2" w:rsidP="00D91271">
      <w:pPr>
        <w:pStyle w:val="NormalWeb"/>
        <w:spacing w:before="0" w:beforeAutospacing="0" w:after="0" w:afterAutospacing="0" w:line="360" w:lineRule="auto"/>
        <w:rPr>
          <w:rFonts w:ascii="Arial" w:hAnsi="Arial" w:cs="Arial"/>
          <w:color w:val="000000"/>
          <w:sz w:val="22"/>
          <w:szCs w:val="22"/>
        </w:rPr>
      </w:pPr>
      <w:r w:rsidRPr="00D91271">
        <w:rPr>
          <w:rFonts w:ascii="Arial" w:hAnsi="Arial" w:cs="Arial"/>
          <w:color w:val="000000"/>
          <w:sz w:val="22"/>
          <w:szCs w:val="22"/>
          <w:shd w:val="clear" w:color="auto" w:fill="FFFFFF"/>
        </w:rPr>
        <w:t>Kumar, R. (2014) Research Methodology. London: SAGE. </w:t>
      </w:r>
    </w:p>
    <w:p w14:paraId="6D20EAFE"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22E3FACD"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Lomax. P (2007) </w:t>
      </w:r>
      <w:r w:rsidRPr="00D91271">
        <w:rPr>
          <w:rFonts w:ascii="Arial" w:hAnsi="Arial" w:cs="Arial"/>
          <w:i/>
          <w:iCs/>
          <w:sz w:val="22"/>
          <w:szCs w:val="22"/>
        </w:rPr>
        <w:t xml:space="preserve">'Action Research' </w:t>
      </w:r>
      <w:r w:rsidRPr="00D91271">
        <w:rPr>
          <w:rFonts w:ascii="Arial" w:hAnsi="Arial" w:cs="Arial"/>
          <w:sz w:val="22"/>
          <w:szCs w:val="22"/>
        </w:rPr>
        <w:t xml:space="preserve">in A.R.J Briggs and M. Coleman (ed2) </w:t>
      </w:r>
      <w:r w:rsidRPr="00D91271">
        <w:rPr>
          <w:rFonts w:ascii="Arial" w:hAnsi="Arial" w:cs="Arial"/>
          <w:i/>
          <w:iCs/>
          <w:sz w:val="22"/>
          <w:szCs w:val="22"/>
        </w:rPr>
        <w:t xml:space="preserve">Research Methods in Educational Leadership and Management. </w:t>
      </w:r>
      <w:r w:rsidRPr="00D91271">
        <w:rPr>
          <w:rFonts w:ascii="Arial" w:hAnsi="Arial" w:cs="Arial"/>
          <w:sz w:val="22"/>
          <w:szCs w:val="22"/>
        </w:rPr>
        <w:t>London: SAGE Publications L</w:t>
      </w:r>
    </w:p>
    <w:p w14:paraId="1F194CF0"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28A94B16"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proofErr w:type="spellStart"/>
      <w:r w:rsidRPr="00D91271">
        <w:rPr>
          <w:rFonts w:ascii="Arial" w:hAnsi="Arial" w:cs="Arial"/>
          <w:sz w:val="22"/>
          <w:szCs w:val="22"/>
        </w:rPr>
        <w:t>Lopis</w:t>
      </w:r>
      <w:proofErr w:type="spellEnd"/>
      <w:r w:rsidRPr="00D91271">
        <w:rPr>
          <w:rFonts w:ascii="Arial" w:hAnsi="Arial" w:cs="Arial"/>
          <w:sz w:val="22"/>
          <w:szCs w:val="22"/>
        </w:rPr>
        <w:t xml:space="preserve">, </w:t>
      </w:r>
      <w:proofErr w:type="spellStart"/>
      <w:r w:rsidRPr="00D91271">
        <w:rPr>
          <w:rFonts w:ascii="Arial" w:hAnsi="Arial" w:cs="Arial"/>
          <w:sz w:val="22"/>
          <w:szCs w:val="22"/>
        </w:rPr>
        <w:t>Desirée</w:t>
      </w:r>
      <w:proofErr w:type="spellEnd"/>
      <w:r w:rsidRPr="00D91271">
        <w:rPr>
          <w:rFonts w:ascii="Arial" w:hAnsi="Arial" w:cs="Arial"/>
          <w:sz w:val="22"/>
          <w:szCs w:val="22"/>
        </w:rPr>
        <w:t xml:space="preserve"> &amp; Baltazar, Matias &amp; </w:t>
      </w:r>
      <w:proofErr w:type="spellStart"/>
      <w:r w:rsidRPr="00D91271">
        <w:rPr>
          <w:rFonts w:ascii="Arial" w:hAnsi="Arial" w:cs="Arial"/>
          <w:sz w:val="22"/>
          <w:szCs w:val="22"/>
        </w:rPr>
        <w:t>Geronikola</w:t>
      </w:r>
      <w:proofErr w:type="spellEnd"/>
      <w:r w:rsidRPr="00D91271">
        <w:rPr>
          <w:rFonts w:ascii="Arial" w:hAnsi="Arial" w:cs="Arial"/>
          <w:sz w:val="22"/>
          <w:szCs w:val="22"/>
        </w:rPr>
        <w:t xml:space="preserve">, </w:t>
      </w:r>
      <w:proofErr w:type="spellStart"/>
      <w:r w:rsidRPr="00D91271">
        <w:rPr>
          <w:rFonts w:ascii="Arial" w:hAnsi="Arial" w:cs="Arial"/>
          <w:sz w:val="22"/>
          <w:szCs w:val="22"/>
        </w:rPr>
        <w:t>Nikoletta</w:t>
      </w:r>
      <w:proofErr w:type="spellEnd"/>
      <w:r w:rsidRPr="00D91271">
        <w:rPr>
          <w:rFonts w:ascii="Arial" w:hAnsi="Arial" w:cs="Arial"/>
          <w:sz w:val="22"/>
          <w:szCs w:val="22"/>
        </w:rPr>
        <w:t xml:space="preserve"> &amp; </w:t>
      </w:r>
      <w:proofErr w:type="spellStart"/>
      <w:r w:rsidRPr="00D91271">
        <w:rPr>
          <w:rFonts w:ascii="Arial" w:hAnsi="Arial" w:cs="Arial"/>
          <w:sz w:val="22"/>
          <w:szCs w:val="22"/>
        </w:rPr>
        <w:t>Beaucousin</w:t>
      </w:r>
      <w:proofErr w:type="spellEnd"/>
      <w:r w:rsidRPr="00D91271">
        <w:rPr>
          <w:rFonts w:ascii="Arial" w:hAnsi="Arial" w:cs="Arial"/>
          <w:sz w:val="22"/>
          <w:szCs w:val="22"/>
        </w:rPr>
        <w:t xml:space="preserve">, Virginie &amp; </w:t>
      </w:r>
      <w:proofErr w:type="spellStart"/>
      <w:r w:rsidRPr="00D91271">
        <w:rPr>
          <w:rFonts w:ascii="Arial" w:hAnsi="Arial" w:cs="Arial"/>
          <w:sz w:val="22"/>
          <w:szCs w:val="22"/>
        </w:rPr>
        <w:t>Conty</w:t>
      </w:r>
      <w:proofErr w:type="spellEnd"/>
      <w:r w:rsidRPr="00D91271">
        <w:rPr>
          <w:rFonts w:ascii="Arial" w:hAnsi="Arial" w:cs="Arial"/>
          <w:sz w:val="22"/>
          <w:szCs w:val="22"/>
        </w:rPr>
        <w:t>, Laurence. (2017). Eye contact effects on social preference and face recognition in normal ageing and in Alzheimer’s disease. Psychological Research. 83. 10.1007/s00426-017-0955-6.</w:t>
      </w:r>
    </w:p>
    <w:p w14:paraId="01B251CE"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30F8F1E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National Health Service (2015) </w:t>
      </w:r>
      <w:r w:rsidRPr="00D91271">
        <w:rPr>
          <w:rFonts w:ascii="Arial" w:hAnsi="Arial" w:cs="Arial"/>
          <w:i/>
          <w:iCs/>
          <w:sz w:val="22"/>
          <w:szCs w:val="22"/>
        </w:rPr>
        <w:t xml:space="preserve">5 Steps to Mental Wellbeing. </w:t>
      </w:r>
      <w:r w:rsidRPr="00D91271">
        <w:rPr>
          <w:rFonts w:ascii="Arial" w:hAnsi="Arial" w:cs="Arial"/>
          <w:sz w:val="22"/>
          <w:szCs w:val="22"/>
        </w:rPr>
        <w:t xml:space="preserve">Available at: </w:t>
      </w:r>
      <w:hyperlink r:id="rId12" w:history="1">
        <w:r w:rsidRPr="00D91271">
          <w:rPr>
            <w:rStyle w:val="Hyperlink"/>
            <w:rFonts w:ascii="Arial" w:hAnsi="Arial" w:cs="Arial"/>
            <w:sz w:val="22"/>
            <w:szCs w:val="22"/>
          </w:rPr>
          <w:t>https://www.nhs.uk/conditions/stress-anxiety-depression/improve-mental-wellbeing/</w:t>
        </w:r>
      </w:hyperlink>
    </w:p>
    <w:p w14:paraId="5964E8E3"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(Accessed: 23 October 2019)</w:t>
      </w:r>
    </w:p>
    <w:p w14:paraId="0F471F44"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36871C2A"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Reich, K., Garrison, J. &amp; Neubert, S., 2016. Complexity and Reductionism in Educational Philosophy--John Dewey's Critical Approach in "Democracy and Education" Reconsidered. </w:t>
      </w:r>
      <w:r w:rsidRPr="00D91271">
        <w:rPr>
          <w:rFonts w:ascii="Arial" w:hAnsi="Arial" w:cs="Arial"/>
          <w:i/>
          <w:iCs/>
          <w:color w:val="3A3A3A"/>
          <w:sz w:val="22"/>
          <w:szCs w:val="22"/>
          <w:shd w:val="clear" w:color="auto" w:fill="FFFFFF"/>
        </w:rPr>
        <w:t>Educational Philosophy and Theory</w:t>
      </w:r>
      <w:r w:rsidRPr="00D91271">
        <w:rPr>
          <w:rFonts w:ascii="Arial" w:hAnsi="Arial" w:cs="Arial"/>
          <w:sz w:val="22"/>
          <w:szCs w:val="22"/>
        </w:rPr>
        <w:t>, 48(10), pp.997–1012.</w:t>
      </w:r>
    </w:p>
    <w:p w14:paraId="78505464"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3CC27810" w14:textId="77777777" w:rsidR="00D540A2" w:rsidRPr="00D91271" w:rsidRDefault="00D540A2" w:rsidP="00D91271">
      <w:pPr>
        <w:pStyle w:val="NormalWeb"/>
        <w:spacing w:before="0" w:beforeAutospacing="0" w:after="0" w:afterAutospacing="0" w:line="360" w:lineRule="auto"/>
        <w:rPr>
          <w:rFonts w:ascii="Arial" w:hAnsi="Arial" w:cs="Arial"/>
          <w:sz w:val="22"/>
          <w:szCs w:val="22"/>
          <w:lang w:val="en-US"/>
        </w:rPr>
      </w:pPr>
      <w:r w:rsidRPr="00D91271">
        <w:rPr>
          <w:rFonts w:ascii="Arial" w:hAnsi="Arial" w:cs="Arial"/>
          <w:sz w:val="22"/>
          <w:szCs w:val="22"/>
          <w:lang w:val="en-US"/>
        </w:rPr>
        <w:lastRenderedPageBreak/>
        <w:t xml:space="preserve">Skinner, B. F. (1938). </w:t>
      </w:r>
      <w:r w:rsidRPr="00D91271">
        <w:rPr>
          <w:rFonts w:ascii="Arial" w:hAnsi="Arial" w:cs="Arial"/>
          <w:i/>
          <w:iCs/>
          <w:sz w:val="22"/>
          <w:szCs w:val="22"/>
          <w:lang w:val="en-US"/>
        </w:rPr>
        <w:t>The Behavior of Organisms: An Experimental Analysis</w:t>
      </w:r>
      <w:r w:rsidRPr="00D91271">
        <w:rPr>
          <w:rFonts w:ascii="Arial" w:hAnsi="Arial" w:cs="Arial"/>
          <w:sz w:val="22"/>
          <w:szCs w:val="22"/>
          <w:lang w:val="en-US"/>
        </w:rPr>
        <w:t>. New York: Appleton-Century</w:t>
      </w:r>
    </w:p>
    <w:p w14:paraId="0B84E1D8"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03D8E1C1" w14:textId="5B777A61" w:rsidR="00D540A2"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Study Body Language (2016) </w:t>
      </w:r>
      <w:r w:rsidRPr="00D91271">
        <w:rPr>
          <w:rFonts w:ascii="Arial" w:hAnsi="Arial" w:cs="Arial"/>
          <w:i/>
          <w:iCs/>
          <w:sz w:val="22"/>
          <w:szCs w:val="22"/>
        </w:rPr>
        <w:t xml:space="preserve">The Importance of Eye Contact. </w:t>
      </w:r>
      <w:r w:rsidRPr="00D91271">
        <w:rPr>
          <w:rFonts w:ascii="Arial" w:hAnsi="Arial" w:cs="Arial"/>
          <w:sz w:val="22"/>
          <w:szCs w:val="22"/>
        </w:rPr>
        <w:t xml:space="preserve">Available at: </w:t>
      </w:r>
      <w:hyperlink r:id="rId13" w:history="1">
        <w:r w:rsidRPr="00D91271">
          <w:rPr>
            <w:rStyle w:val="Hyperlink"/>
            <w:rFonts w:ascii="Arial" w:hAnsi="Arial" w:cs="Arial"/>
            <w:sz w:val="22"/>
            <w:szCs w:val="22"/>
          </w:rPr>
          <w:t>http://www.study-body-language.com/importance-of-eye-contact.html</w:t>
        </w:r>
      </w:hyperlink>
      <w:r w:rsidRPr="00D91271">
        <w:rPr>
          <w:rFonts w:ascii="Arial" w:hAnsi="Arial" w:cs="Arial"/>
          <w:sz w:val="22"/>
          <w:szCs w:val="22"/>
        </w:rPr>
        <w:t xml:space="preserve"> (Accessed: 23 October 2019)</w:t>
      </w:r>
    </w:p>
    <w:p w14:paraId="119EC052" w14:textId="1244BE8B" w:rsidR="002C00E1" w:rsidRDefault="002C00E1" w:rsidP="00D91271">
      <w:pPr>
        <w:pStyle w:val="NormalWeb"/>
        <w:spacing w:before="0" w:beforeAutospacing="0" w:after="0" w:afterAutospacing="0" w:line="360" w:lineRule="auto"/>
        <w:rPr>
          <w:rFonts w:ascii="Arial" w:hAnsi="Arial" w:cs="Arial"/>
          <w:sz w:val="22"/>
          <w:szCs w:val="22"/>
        </w:rPr>
      </w:pPr>
    </w:p>
    <w:p w14:paraId="724E892C" w14:textId="79C64211" w:rsidR="002C00E1" w:rsidRPr="002C00E1" w:rsidRDefault="002C00E1" w:rsidP="00D91271">
      <w:pPr>
        <w:pStyle w:val="NormalWeb"/>
        <w:spacing w:before="0" w:beforeAutospacing="0" w:after="0" w:afterAutospacing="0" w:line="360" w:lineRule="auto"/>
        <w:rPr>
          <w:rFonts w:ascii="Arial" w:hAnsi="Arial" w:cs="Arial"/>
          <w:sz w:val="22"/>
          <w:szCs w:val="22"/>
        </w:rPr>
      </w:pPr>
      <w:r>
        <w:rPr>
          <w:rFonts w:ascii="Arial" w:hAnsi="Arial" w:cs="Arial"/>
          <w:sz w:val="22"/>
          <w:szCs w:val="22"/>
        </w:rPr>
        <w:t>Tripp, D (1993) ‘</w:t>
      </w:r>
      <w:r>
        <w:rPr>
          <w:rFonts w:ascii="Arial" w:hAnsi="Arial" w:cs="Arial"/>
          <w:i/>
          <w:iCs/>
          <w:sz w:val="22"/>
          <w:szCs w:val="22"/>
        </w:rPr>
        <w:t xml:space="preserve">Critical Incidents </w:t>
      </w:r>
      <w:proofErr w:type="gramStart"/>
      <w:r>
        <w:rPr>
          <w:rFonts w:ascii="Arial" w:hAnsi="Arial" w:cs="Arial"/>
          <w:i/>
          <w:iCs/>
          <w:sz w:val="22"/>
          <w:szCs w:val="22"/>
        </w:rPr>
        <w:t>In</w:t>
      </w:r>
      <w:proofErr w:type="gramEnd"/>
      <w:r>
        <w:rPr>
          <w:rFonts w:ascii="Arial" w:hAnsi="Arial" w:cs="Arial"/>
          <w:i/>
          <w:iCs/>
          <w:sz w:val="22"/>
          <w:szCs w:val="22"/>
        </w:rPr>
        <w:t xml:space="preserve"> Teaching Developing Professional Judgement’ </w:t>
      </w:r>
      <w:r w:rsidR="00FC6C1E">
        <w:rPr>
          <w:rFonts w:ascii="Arial" w:hAnsi="Arial" w:cs="Arial"/>
          <w:sz w:val="22"/>
          <w:szCs w:val="22"/>
        </w:rPr>
        <w:t xml:space="preserve">Oxon: </w:t>
      </w:r>
      <w:proofErr w:type="spellStart"/>
      <w:r>
        <w:rPr>
          <w:rFonts w:ascii="Arial" w:hAnsi="Arial" w:cs="Arial"/>
          <w:sz w:val="22"/>
          <w:szCs w:val="22"/>
        </w:rPr>
        <w:t>Routledge</w:t>
      </w:r>
      <w:r w:rsidR="00FC6C1E">
        <w:rPr>
          <w:rFonts w:ascii="Arial" w:hAnsi="Arial" w:cs="Arial"/>
          <w:sz w:val="22"/>
          <w:szCs w:val="22"/>
        </w:rPr>
        <w:t>Falmer</w:t>
      </w:r>
      <w:proofErr w:type="spellEnd"/>
    </w:p>
    <w:p w14:paraId="32596B20"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2B6F8571"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Walker. R (2012) '</w:t>
      </w:r>
      <w:r w:rsidRPr="00D91271">
        <w:rPr>
          <w:rFonts w:ascii="Arial" w:hAnsi="Arial" w:cs="Arial"/>
          <w:i/>
          <w:iCs/>
          <w:sz w:val="22"/>
          <w:szCs w:val="22"/>
        </w:rPr>
        <w:t xml:space="preserve">Naturalistic Research' </w:t>
      </w:r>
      <w:r w:rsidRPr="00D91271">
        <w:rPr>
          <w:rFonts w:ascii="Arial" w:hAnsi="Arial" w:cs="Arial"/>
          <w:sz w:val="22"/>
          <w:szCs w:val="22"/>
        </w:rPr>
        <w:t xml:space="preserve">in </w:t>
      </w:r>
      <w:proofErr w:type="spellStart"/>
      <w:proofErr w:type="gramStart"/>
      <w:r w:rsidRPr="00D91271">
        <w:rPr>
          <w:rFonts w:ascii="Arial" w:hAnsi="Arial" w:cs="Arial"/>
          <w:sz w:val="22"/>
          <w:szCs w:val="22"/>
        </w:rPr>
        <w:t>J.Arthur</w:t>
      </w:r>
      <w:proofErr w:type="spellEnd"/>
      <w:proofErr w:type="gramEnd"/>
      <w:r w:rsidRPr="00D91271">
        <w:rPr>
          <w:rFonts w:ascii="Arial" w:hAnsi="Arial" w:cs="Arial"/>
          <w:sz w:val="22"/>
          <w:szCs w:val="22"/>
        </w:rPr>
        <w:t xml:space="preserve">, </w:t>
      </w:r>
      <w:proofErr w:type="spellStart"/>
      <w:r w:rsidRPr="00D91271">
        <w:rPr>
          <w:rFonts w:ascii="Arial" w:hAnsi="Arial" w:cs="Arial"/>
          <w:sz w:val="22"/>
          <w:szCs w:val="22"/>
        </w:rPr>
        <w:t>M.Waring</w:t>
      </w:r>
      <w:proofErr w:type="spellEnd"/>
      <w:r w:rsidRPr="00D91271">
        <w:rPr>
          <w:rFonts w:ascii="Arial" w:hAnsi="Arial" w:cs="Arial"/>
          <w:sz w:val="22"/>
          <w:szCs w:val="22"/>
        </w:rPr>
        <w:t xml:space="preserve">, </w:t>
      </w:r>
      <w:proofErr w:type="spellStart"/>
      <w:r w:rsidRPr="00D91271">
        <w:rPr>
          <w:rFonts w:ascii="Arial" w:hAnsi="Arial" w:cs="Arial"/>
          <w:sz w:val="22"/>
          <w:szCs w:val="22"/>
        </w:rPr>
        <w:t>R.Coe</w:t>
      </w:r>
      <w:proofErr w:type="spellEnd"/>
      <w:r w:rsidRPr="00D91271">
        <w:rPr>
          <w:rFonts w:ascii="Arial" w:hAnsi="Arial" w:cs="Arial"/>
          <w:sz w:val="22"/>
          <w:szCs w:val="22"/>
        </w:rPr>
        <w:t xml:space="preserve"> &amp; L.V. Hedges (ed.) </w:t>
      </w:r>
      <w:r w:rsidRPr="00D91271">
        <w:rPr>
          <w:rFonts w:ascii="Arial" w:hAnsi="Arial" w:cs="Arial"/>
          <w:i/>
          <w:iCs/>
          <w:sz w:val="22"/>
          <w:szCs w:val="22"/>
        </w:rPr>
        <w:t xml:space="preserve">Research Methods &amp; Methodologies in Education. </w:t>
      </w:r>
      <w:r w:rsidRPr="00D91271">
        <w:rPr>
          <w:rFonts w:ascii="Arial" w:hAnsi="Arial" w:cs="Arial"/>
          <w:sz w:val="22"/>
          <w:szCs w:val="22"/>
        </w:rPr>
        <w:t>London: SAGE Publications LTD.</w:t>
      </w:r>
    </w:p>
    <w:p w14:paraId="705EF938"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068BC9E4" w14:textId="0E9C30C5"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Weber, N. et al., 2016. Informing Teacher Education </w:t>
      </w:r>
      <w:r w:rsidR="002C00E1">
        <w:rPr>
          <w:rFonts w:ascii="Arial" w:hAnsi="Arial" w:cs="Arial"/>
          <w:sz w:val="22"/>
          <w:szCs w:val="22"/>
        </w:rPr>
        <w:t>T</w:t>
      </w:r>
      <w:r w:rsidRPr="00D91271">
        <w:rPr>
          <w:rFonts w:ascii="Arial" w:hAnsi="Arial" w:cs="Arial"/>
          <w:sz w:val="22"/>
          <w:szCs w:val="22"/>
        </w:rPr>
        <w:t>hrough the Use of Multiple Classroom Observation Instruments. </w:t>
      </w:r>
      <w:r w:rsidRPr="00D91271">
        <w:rPr>
          <w:rFonts w:ascii="Arial" w:hAnsi="Arial" w:cs="Arial"/>
          <w:i/>
          <w:iCs/>
          <w:color w:val="3A3A3A"/>
          <w:sz w:val="22"/>
          <w:szCs w:val="22"/>
          <w:shd w:val="clear" w:color="auto" w:fill="FFFFFF"/>
        </w:rPr>
        <w:t>Teacher Education Quarterly</w:t>
      </w:r>
      <w:r w:rsidRPr="00D91271">
        <w:rPr>
          <w:rFonts w:ascii="Arial" w:hAnsi="Arial" w:cs="Arial"/>
          <w:sz w:val="22"/>
          <w:szCs w:val="22"/>
        </w:rPr>
        <w:t>, 43(1), pp.91–106.</w:t>
      </w:r>
    </w:p>
    <w:p w14:paraId="3BCCDCB6"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3D3C0464" w14:textId="7A3196EA" w:rsidR="00D540A2" w:rsidRPr="002C00E1" w:rsidRDefault="002C00E1" w:rsidP="00D91271">
      <w:pPr>
        <w:pStyle w:val="NormalWeb"/>
        <w:spacing w:before="0" w:beforeAutospacing="0" w:after="0" w:afterAutospacing="0" w:line="360" w:lineRule="auto"/>
        <w:rPr>
          <w:rFonts w:ascii="Arial" w:hAnsi="Arial" w:cs="Arial"/>
          <w:sz w:val="22"/>
          <w:szCs w:val="22"/>
        </w:rPr>
      </w:pPr>
      <w:r w:rsidRPr="002C00E1">
        <w:rPr>
          <w:rFonts w:ascii="Arial" w:hAnsi="Arial" w:cs="Arial"/>
          <w:sz w:val="22"/>
          <w:szCs w:val="22"/>
        </w:rPr>
        <w:t xml:space="preserve">Welsh Government, 2015, </w:t>
      </w:r>
      <w:r w:rsidR="00D540A2" w:rsidRPr="002C00E1">
        <w:rPr>
          <w:rFonts w:ascii="Arial" w:hAnsi="Arial" w:cs="Arial"/>
          <w:i/>
          <w:iCs/>
          <w:sz w:val="22"/>
          <w:szCs w:val="22"/>
        </w:rPr>
        <w:t>Well-being of Future Generations (Wales) Act 2015</w:t>
      </w:r>
      <w:r w:rsidRPr="002C00E1">
        <w:rPr>
          <w:rFonts w:ascii="Arial" w:hAnsi="Arial" w:cs="Arial"/>
          <w:i/>
          <w:iCs/>
          <w:sz w:val="22"/>
          <w:szCs w:val="22"/>
        </w:rPr>
        <w:t xml:space="preserve">. </w:t>
      </w:r>
      <w:r w:rsidRPr="002C00E1">
        <w:rPr>
          <w:rFonts w:ascii="Arial" w:hAnsi="Arial" w:cs="Arial"/>
          <w:sz w:val="22"/>
          <w:szCs w:val="22"/>
        </w:rPr>
        <w:t xml:space="preserve">Available at: </w:t>
      </w:r>
      <w:hyperlink r:id="rId14" w:history="1">
        <w:r w:rsidRPr="002C00E1">
          <w:rPr>
            <w:rStyle w:val="Hyperlink"/>
            <w:rFonts w:ascii="Arial" w:hAnsi="Arial" w:cs="Arial"/>
            <w:sz w:val="22"/>
            <w:szCs w:val="22"/>
          </w:rPr>
          <w:t>https://gov.wales/sites/default/files/publications/2019-08/well-being-of-future-generations-wales-act-2015-the-essentials.pdf</w:t>
        </w:r>
      </w:hyperlink>
      <w:r w:rsidRPr="002C00E1">
        <w:rPr>
          <w:rFonts w:ascii="Arial" w:hAnsi="Arial" w:cs="Arial"/>
          <w:sz w:val="22"/>
          <w:szCs w:val="22"/>
        </w:rPr>
        <w:t xml:space="preserve"> (Accessed on: </w:t>
      </w:r>
      <w:r>
        <w:rPr>
          <w:rFonts w:ascii="Arial" w:hAnsi="Arial" w:cs="Arial"/>
          <w:sz w:val="22"/>
          <w:szCs w:val="22"/>
        </w:rPr>
        <w:t>23</w:t>
      </w:r>
      <w:r w:rsidRPr="002C00E1">
        <w:rPr>
          <w:rFonts w:ascii="Arial" w:hAnsi="Arial" w:cs="Arial"/>
          <w:sz w:val="22"/>
          <w:szCs w:val="22"/>
          <w:vertAlign w:val="superscript"/>
        </w:rPr>
        <w:t>rd</w:t>
      </w:r>
      <w:r w:rsidRPr="002C00E1">
        <w:rPr>
          <w:rFonts w:ascii="Arial" w:hAnsi="Arial" w:cs="Arial"/>
          <w:sz w:val="22"/>
          <w:szCs w:val="22"/>
        </w:rPr>
        <w:t xml:space="preserve"> October 2019)</w:t>
      </w:r>
    </w:p>
    <w:p w14:paraId="428134BD"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71D10A4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Welsh Government, 2018, </w:t>
      </w:r>
      <w:r w:rsidRPr="00D91271">
        <w:rPr>
          <w:rFonts w:ascii="Arial" w:hAnsi="Arial" w:cs="Arial"/>
          <w:i/>
          <w:iCs/>
          <w:sz w:val="22"/>
          <w:szCs w:val="22"/>
        </w:rPr>
        <w:t xml:space="preserve">My Local School </w:t>
      </w:r>
      <w:r w:rsidRPr="00D91271">
        <w:rPr>
          <w:rFonts w:ascii="Arial" w:hAnsi="Arial" w:cs="Arial"/>
          <w:sz w:val="22"/>
          <w:szCs w:val="22"/>
        </w:rPr>
        <w:t xml:space="preserve">[website] Available at: </w:t>
      </w:r>
      <w:hyperlink r:id="rId15" w:history="1">
        <w:r w:rsidRPr="00D91271">
          <w:rPr>
            <w:rStyle w:val="Hyperlink"/>
            <w:rFonts w:ascii="Arial" w:hAnsi="Arial" w:cs="Arial"/>
            <w:sz w:val="22"/>
            <w:szCs w:val="22"/>
          </w:rPr>
          <w:t>http://mylocalschool.gov.wales/School/6704033?lang=en</w:t>
        </w:r>
      </w:hyperlink>
      <w:r w:rsidRPr="00D91271">
        <w:rPr>
          <w:rFonts w:ascii="Arial" w:hAnsi="Arial" w:cs="Arial"/>
          <w:sz w:val="22"/>
          <w:szCs w:val="22"/>
        </w:rPr>
        <w:t xml:space="preserve"> (Accessed: 07/10/2019).</w:t>
      </w:r>
    </w:p>
    <w:p w14:paraId="7B843AE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w:t>
      </w:r>
    </w:p>
    <w:p w14:paraId="1AD4AC87" w14:textId="77777777" w:rsidR="00D540A2" w:rsidRPr="00D91271" w:rsidRDefault="00D540A2" w:rsidP="00D91271">
      <w:pPr>
        <w:pStyle w:val="NormalWeb"/>
        <w:spacing w:before="0" w:beforeAutospacing="0" w:after="0" w:afterAutospacing="0" w:line="360" w:lineRule="auto"/>
        <w:rPr>
          <w:rFonts w:ascii="Arial" w:hAnsi="Arial" w:cs="Arial"/>
          <w:sz w:val="22"/>
          <w:szCs w:val="22"/>
        </w:rPr>
      </w:pPr>
      <w:r w:rsidRPr="00D91271">
        <w:rPr>
          <w:rFonts w:ascii="Arial" w:hAnsi="Arial" w:cs="Arial"/>
          <w:sz w:val="22"/>
          <w:szCs w:val="22"/>
        </w:rPr>
        <w:t xml:space="preserve">Welsh Government, 2019, </w:t>
      </w:r>
      <w:r w:rsidRPr="00D91271">
        <w:rPr>
          <w:rFonts w:ascii="Arial" w:hAnsi="Arial" w:cs="Arial"/>
          <w:i/>
          <w:iCs/>
          <w:sz w:val="22"/>
          <w:szCs w:val="22"/>
        </w:rPr>
        <w:t>National School Categorisation System</w:t>
      </w:r>
      <w:r w:rsidRPr="00D91271">
        <w:rPr>
          <w:rFonts w:ascii="Arial" w:hAnsi="Arial" w:cs="Arial"/>
          <w:sz w:val="22"/>
          <w:szCs w:val="22"/>
        </w:rPr>
        <w:t xml:space="preserve">. Available at: </w:t>
      </w:r>
      <w:hyperlink r:id="rId16" w:history="1">
        <w:r w:rsidRPr="00D91271">
          <w:rPr>
            <w:rStyle w:val="Hyperlink"/>
            <w:rFonts w:ascii="Arial" w:hAnsi="Arial" w:cs="Arial"/>
            <w:sz w:val="22"/>
            <w:szCs w:val="22"/>
          </w:rPr>
          <w:t>https://gov.wales/sites/default/files/publications/2019-01/national-school-categorisation-system-faqs.pdf</w:t>
        </w:r>
      </w:hyperlink>
      <w:r w:rsidRPr="00D91271">
        <w:rPr>
          <w:rFonts w:ascii="Arial" w:hAnsi="Arial" w:cs="Arial"/>
          <w:sz w:val="22"/>
          <w:szCs w:val="22"/>
        </w:rPr>
        <w:t xml:space="preserve"> (Accessed: 07/10/2019).</w:t>
      </w:r>
    </w:p>
    <w:p w14:paraId="35858301" w14:textId="77777777" w:rsidR="00D05F31" w:rsidRDefault="00D05F31" w:rsidP="00C7118E"/>
    <w:sectPr w:rsidR="00D05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F31"/>
    <w:rsid w:val="001733BF"/>
    <w:rsid w:val="0018164F"/>
    <w:rsid w:val="002026CB"/>
    <w:rsid w:val="00276D91"/>
    <w:rsid w:val="002C00E1"/>
    <w:rsid w:val="0046002D"/>
    <w:rsid w:val="004700AF"/>
    <w:rsid w:val="004870DD"/>
    <w:rsid w:val="0055376A"/>
    <w:rsid w:val="00557269"/>
    <w:rsid w:val="005A42F5"/>
    <w:rsid w:val="006056D6"/>
    <w:rsid w:val="00724664"/>
    <w:rsid w:val="00761ADE"/>
    <w:rsid w:val="008645AE"/>
    <w:rsid w:val="0088107A"/>
    <w:rsid w:val="009C48DD"/>
    <w:rsid w:val="00A13B0D"/>
    <w:rsid w:val="00A71F48"/>
    <w:rsid w:val="00B16D9B"/>
    <w:rsid w:val="00BC7E25"/>
    <w:rsid w:val="00C7118E"/>
    <w:rsid w:val="00C86BE1"/>
    <w:rsid w:val="00D05F31"/>
    <w:rsid w:val="00D540A2"/>
    <w:rsid w:val="00D91271"/>
    <w:rsid w:val="00DE4D79"/>
    <w:rsid w:val="00EB7B67"/>
    <w:rsid w:val="00FC6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1B53"/>
  <w15:chartTrackingRefBased/>
  <w15:docId w15:val="{FEC3BEFC-4FAB-4055-8C57-826ACA229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5F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5F31"/>
    <w:rPr>
      <w:color w:val="0000FF"/>
      <w:u w:val="single"/>
    </w:rPr>
  </w:style>
  <w:style w:type="character" w:customStyle="1" w:styleId="AssignHeaderChar">
    <w:name w:val="AssignHeader Char"/>
    <w:basedOn w:val="DefaultParagraphFont"/>
    <w:link w:val="AssignHeader"/>
    <w:locked/>
    <w:rsid w:val="00D91271"/>
    <w:rPr>
      <w:rFonts w:ascii="Arial" w:hAnsi="Arial" w:cs="Arial"/>
      <w:b/>
      <w:i/>
      <w:sz w:val="36"/>
      <w:u w:val="single"/>
    </w:rPr>
  </w:style>
  <w:style w:type="paragraph" w:customStyle="1" w:styleId="AssignHeader">
    <w:name w:val="AssignHeader"/>
    <w:basedOn w:val="Normal"/>
    <w:next w:val="Normal"/>
    <w:link w:val="AssignHeaderChar"/>
    <w:qFormat/>
    <w:rsid w:val="00D91271"/>
    <w:pPr>
      <w:spacing w:after="0" w:line="360" w:lineRule="auto"/>
      <w:jc w:val="center"/>
    </w:pPr>
    <w:rPr>
      <w:rFonts w:ascii="Arial" w:hAnsi="Arial" w:cs="Arial"/>
      <w:b/>
      <w:i/>
      <w:sz w:val="36"/>
      <w:u w:val="single"/>
    </w:rPr>
  </w:style>
  <w:style w:type="character" w:styleId="UnresolvedMention">
    <w:name w:val="Unresolved Mention"/>
    <w:basedOn w:val="DefaultParagraphFont"/>
    <w:uiPriority w:val="99"/>
    <w:semiHidden/>
    <w:unhideWhenUsed/>
    <w:rsid w:val="001816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70400">
      <w:bodyDiv w:val="1"/>
      <w:marLeft w:val="0"/>
      <w:marRight w:val="0"/>
      <w:marTop w:val="0"/>
      <w:marBottom w:val="0"/>
      <w:divBdr>
        <w:top w:val="none" w:sz="0" w:space="0" w:color="auto"/>
        <w:left w:val="none" w:sz="0" w:space="0" w:color="auto"/>
        <w:bottom w:val="none" w:sz="0" w:space="0" w:color="auto"/>
        <w:right w:val="none" w:sz="0" w:space="0" w:color="auto"/>
      </w:divBdr>
    </w:div>
    <w:div w:id="158932423">
      <w:bodyDiv w:val="1"/>
      <w:marLeft w:val="0"/>
      <w:marRight w:val="0"/>
      <w:marTop w:val="0"/>
      <w:marBottom w:val="0"/>
      <w:divBdr>
        <w:top w:val="none" w:sz="0" w:space="0" w:color="auto"/>
        <w:left w:val="none" w:sz="0" w:space="0" w:color="auto"/>
        <w:bottom w:val="none" w:sz="0" w:space="0" w:color="auto"/>
        <w:right w:val="none" w:sz="0" w:space="0" w:color="auto"/>
      </w:divBdr>
    </w:div>
    <w:div w:id="344357561">
      <w:bodyDiv w:val="1"/>
      <w:marLeft w:val="0"/>
      <w:marRight w:val="0"/>
      <w:marTop w:val="0"/>
      <w:marBottom w:val="0"/>
      <w:divBdr>
        <w:top w:val="none" w:sz="0" w:space="0" w:color="auto"/>
        <w:left w:val="none" w:sz="0" w:space="0" w:color="auto"/>
        <w:bottom w:val="none" w:sz="0" w:space="0" w:color="auto"/>
        <w:right w:val="none" w:sz="0" w:space="0" w:color="auto"/>
      </w:divBdr>
    </w:div>
    <w:div w:id="423038724">
      <w:bodyDiv w:val="1"/>
      <w:marLeft w:val="0"/>
      <w:marRight w:val="0"/>
      <w:marTop w:val="0"/>
      <w:marBottom w:val="0"/>
      <w:divBdr>
        <w:top w:val="none" w:sz="0" w:space="0" w:color="auto"/>
        <w:left w:val="none" w:sz="0" w:space="0" w:color="auto"/>
        <w:bottom w:val="none" w:sz="0" w:space="0" w:color="auto"/>
        <w:right w:val="none" w:sz="0" w:space="0" w:color="auto"/>
      </w:divBdr>
    </w:div>
    <w:div w:id="586156977">
      <w:bodyDiv w:val="1"/>
      <w:marLeft w:val="0"/>
      <w:marRight w:val="0"/>
      <w:marTop w:val="0"/>
      <w:marBottom w:val="0"/>
      <w:divBdr>
        <w:top w:val="none" w:sz="0" w:space="0" w:color="auto"/>
        <w:left w:val="none" w:sz="0" w:space="0" w:color="auto"/>
        <w:bottom w:val="none" w:sz="0" w:space="0" w:color="auto"/>
        <w:right w:val="none" w:sz="0" w:space="0" w:color="auto"/>
      </w:divBdr>
    </w:div>
    <w:div w:id="601187827">
      <w:bodyDiv w:val="1"/>
      <w:marLeft w:val="0"/>
      <w:marRight w:val="0"/>
      <w:marTop w:val="0"/>
      <w:marBottom w:val="0"/>
      <w:divBdr>
        <w:top w:val="none" w:sz="0" w:space="0" w:color="auto"/>
        <w:left w:val="none" w:sz="0" w:space="0" w:color="auto"/>
        <w:bottom w:val="none" w:sz="0" w:space="0" w:color="auto"/>
        <w:right w:val="none" w:sz="0" w:space="0" w:color="auto"/>
      </w:divBdr>
    </w:div>
    <w:div w:id="658000272">
      <w:bodyDiv w:val="1"/>
      <w:marLeft w:val="0"/>
      <w:marRight w:val="0"/>
      <w:marTop w:val="0"/>
      <w:marBottom w:val="0"/>
      <w:divBdr>
        <w:top w:val="none" w:sz="0" w:space="0" w:color="auto"/>
        <w:left w:val="none" w:sz="0" w:space="0" w:color="auto"/>
        <w:bottom w:val="none" w:sz="0" w:space="0" w:color="auto"/>
        <w:right w:val="none" w:sz="0" w:space="0" w:color="auto"/>
      </w:divBdr>
    </w:div>
    <w:div w:id="734544228">
      <w:bodyDiv w:val="1"/>
      <w:marLeft w:val="0"/>
      <w:marRight w:val="0"/>
      <w:marTop w:val="0"/>
      <w:marBottom w:val="0"/>
      <w:divBdr>
        <w:top w:val="none" w:sz="0" w:space="0" w:color="auto"/>
        <w:left w:val="none" w:sz="0" w:space="0" w:color="auto"/>
        <w:bottom w:val="none" w:sz="0" w:space="0" w:color="auto"/>
        <w:right w:val="none" w:sz="0" w:space="0" w:color="auto"/>
      </w:divBdr>
    </w:div>
    <w:div w:id="928198710">
      <w:bodyDiv w:val="1"/>
      <w:marLeft w:val="0"/>
      <w:marRight w:val="0"/>
      <w:marTop w:val="0"/>
      <w:marBottom w:val="0"/>
      <w:divBdr>
        <w:top w:val="none" w:sz="0" w:space="0" w:color="auto"/>
        <w:left w:val="none" w:sz="0" w:space="0" w:color="auto"/>
        <w:bottom w:val="none" w:sz="0" w:space="0" w:color="auto"/>
        <w:right w:val="none" w:sz="0" w:space="0" w:color="auto"/>
      </w:divBdr>
    </w:div>
    <w:div w:id="1025250597">
      <w:bodyDiv w:val="1"/>
      <w:marLeft w:val="0"/>
      <w:marRight w:val="0"/>
      <w:marTop w:val="0"/>
      <w:marBottom w:val="0"/>
      <w:divBdr>
        <w:top w:val="none" w:sz="0" w:space="0" w:color="auto"/>
        <w:left w:val="none" w:sz="0" w:space="0" w:color="auto"/>
        <w:bottom w:val="none" w:sz="0" w:space="0" w:color="auto"/>
        <w:right w:val="none" w:sz="0" w:space="0" w:color="auto"/>
      </w:divBdr>
    </w:div>
    <w:div w:id="1121999160">
      <w:bodyDiv w:val="1"/>
      <w:marLeft w:val="0"/>
      <w:marRight w:val="0"/>
      <w:marTop w:val="0"/>
      <w:marBottom w:val="0"/>
      <w:divBdr>
        <w:top w:val="none" w:sz="0" w:space="0" w:color="auto"/>
        <w:left w:val="none" w:sz="0" w:space="0" w:color="auto"/>
        <w:bottom w:val="none" w:sz="0" w:space="0" w:color="auto"/>
        <w:right w:val="none" w:sz="0" w:space="0" w:color="auto"/>
      </w:divBdr>
    </w:div>
    <w:div w:id="1338580713">
      <w:bodyDiv w:val="1"/>
      <w:marLeft w:val="0"/>
      <w:marRight w:val="0"/>
      <w:marTop w:val="0"/>
      <w:marBottom w:val="0"/>
      <w:divBdr>
        <w:top w:val="none" w:sz="0" w:space="0" w:color="auto"/>
        <w:left w:val="none" w:sz="0" w:space="0" w:color="auto"/>
        <w:bottom w:val="none" w:sz="0" w:space="0" w:color="auto"/>
        <w:right w:val="none" w:sz="0" w:space="0" w:color="auto"/>
      </w:divBdr>
    </w:div>
    <w:div w:id="1380319264">
      <w:bodyDiv w:val="1"/>
      <w:marLeft w:val="0"/>
      <w:marRight w:val="0"/>
      <w:marTop w:val="0"/>
      <w:marBottom w:val="0"/>
      <w:divBdr>
        <w:top w:val="none" w:sz="0" w:space="0" w:color="auto"/>
        <w:left w:val="none" w:sz="0" w:space="0" w:color="auto"/>
        <w:bottom w:val="none" w:sz="0" w:space="0" w:color="auto"/>
        <w:right w:val="none" w:sz="0" w:space="0" w:color="auto"/>
      </w:divBdr>
    </w:div>
    <w:div w:id="1487817457">
      <w:bodyDiv w:val="1"/>
      <w:marLeft w:val="0"/>
      <w:marRight w:val="0"/>
      <w:marTop w:val="0"/>
      <w:marBottom w:val="0"/>
      <w:divBdr>
        <w:top w:val="none" w:sz="0" w:space="0" w:color="auto"/>
        <w:left w:val="none" w:sz="0" w:space="0" w:color="auto"/>
        <w:bottom w:val="none" w:sz="0" w:space="0" w:color="auto"/>
        <w:right w:val="none" w:sz="0" w:space="0" w:color="auto"/>
      </w:divBdr>
    </w:div>
    <w:div w:id="1778987567">
      <w:bodyDiv w:val="1"/>
      <w:marLeft w:val="0"/>
      <w:marRight w:val="0"/>
      <w:marTop w:val="0"/>
      <w:marBottom w:val="0"/>
      <w:divBdr>
        <w:top w:val="none" w:sz="0" w:space="0" w:color="auto"/>
        <w:left w:val="none" w:sz="0" w:space="0" w:color="auto"/>
        <w:bottom w:val="none" w:sz="0" w:space="0" w:color="auto"/>
        <w:right w:val="none" w:sz="0" w:space="0" w:color="auto"/>
      </w:divBdr>
    </w:div>
    <w:div w:id="1860118528">
      <w:bodyDiv w:val="1"/>
      <w:marLeft w:val="0"/>
      <w:marRight w:val="0"/>
      <w:marTop w:val="0"/>
      <w:marBottom w:val="0"/>
      <w:divBdr>
        <w:top w:val="none" w:sz="0" w:space="0" w:color="auto"/>
        <w:left w:val="none" w:sz="0" w:space="0" w:color="auto"/>
        <w:bottom w:val="none" w:sz="0" w:space="0" w:color="auto"/>
        <w:right w:val="none" w:sz="0" w:space="0" w:color="auto"/>
      </w:divBdr>
    </w:div>
    <w:div w:id="2136755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men.instructure.com/courses/170090/pages/problems-of-operant-conditioning?module_item_id=4055282" TargetMode="External"/><Relationship Id="rId13" Type="http://schemas.openxmlformats.org/officeDocument/2006/relationships/hyperlink" Target="http://www.study-body-language.com/importance-of-eye-contact.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bbc.co.uk/newsround/37713970" TargetMode="External"/><Relationship Id="rId12" Type="http://schemas.openxmlformats.org/officeDocument/2006/relationships/hyperlink" Target="https://www.nhs.uk/conditions/stress-anxiety-depression/improve-mental-wellbe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ov.wales/sites/default/files/publications/2019-01/national-school-categorisation-system-faq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m/news/why-its-crucial-give-every-child-clean-slate" TargetMode="External"/><Relationship Id="rId5" Type="http://schemas.openxmlformats.org/officeDocument/2006/relationships/settings" Target="settings.xml"/><Relationship Id="rId15" Type="http://schemas.openxmlformats.org/officeDocument/2006/relationships/hyperlink" Target="http://mylocalschool.gov.wales/School/6704033?lang=en" TargetMode="External"/><Relationship Id="rId10" Type="http://schemas.openxmlformats.org/officeDocument/2006/relationships/hyperlink" Target="http://danieljayres.blogspot.com/2013/12/critical-incidents.html" TargetMode="External"/><Relationship Id="rId4" Type="http://schemas.openxmlformats.org/officeDocument/2006/relationships/styles" Target="styles.xml"/><Relationship Id="rId9" Type="http://schemas.openxmlformats.org/officeDocument/2006/relationships/hyperlink" Target="https://digest.bps.org.uk/2014/09/26/eye-contact-makes-us-more-aware-of-our-own-bodies/" TargetMode="External"/><Relationship Id="rId14" Type="http://schemas.openxmlformats.org/officeDocument/2006/relationships/hyperlink" Target="https://gov.wales/sites/default/files/publications/2019-08/well-being-of-future-generations-wales-act-2015-the-essenti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4a128fbfad56e3e7b2ac597fb18bc598">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601a2984498e574fe9e7a2aa5c04b617"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8694A8-3D93-4DD1-891D-ED4976B8E3CE}">
  <ds:schemaRefs>
    <ds:schemaRef ds:uri="http://schemas.microsoft.com/sharepoint/v3/contenttype/forms"/>
  </ds:schemaRefs>
</ds:datastoreItem>
</file>

<file path=customXml/itemProps2.xml><?xml version="1.0" encoding="utf-8"?>
<ds:datastoreItem xmlns:ds="http://schemas.openxmlformats.org/officeDocument/2006/customXml" ds:itemID="{88DD69F3-57FE-4B68-B54E-CD65BDF1D37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65756F1-736F-4D32-8D17-5BAE4F614C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4654</Words>
  <Characters>26529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Timpson (1903512)</dc:creator>
  <cp:keywords/>
  <dc:description/>
  <cp:lastModifiedBy>Emily Timpson (1903512)</cp:lastModifiedBy>
  <cp:revision>4</cp:revision>
  <dcterms:created xsi:type="dcterms:W3CDTF">2019-10-28T15:44:00Z</dcterms:created>
  <dcterms:modified xsi:type="dcterms:W3CDTF">2019-10-28T16:08:00Z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