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20A40" w14:textId="77777777" w:rsidR="00272549" w:rsidRDefault="00272549" w:rsidP="00272549">
      <w:pPr>
        <w:spacing w:line="480" w:lineRule="auto"/>
        <w:rPr>
          <w:rFonts w:asciiTheme="minorHAnsi" w:hAnsiTheme="minorHAnsi" w:cstheme="minorHAnsi"/>
          <w:sz w:val="24"/>
          <w:szCs w:val="24"/>
        </w:rPr>
      </w:pPr>
    </w:p>
    <w:p w14:paraId="0C701650" w14:textId="77777777" w:rsidR="00272549" w:rsidRDefault="00272549" w:rsidP="00272549">
      <w:pPr>
        <w:spacing w:line="480" w:lineRule="auto"/>
        <w:jc w:val="center"/>
        <w:rPr>
          <w:rFonts w:asciiTheme="minorHAnsi" w:hAnsiTheme="minorHAnsi" w:cstheme="minorHAnsi"/>
          <w:sz w:val="24"/>
          <w:szCs w:val="24"/>
        </w:rPr>
      </w:pPr>
      <w:r>
        <w:fldChar w:fldCharType="begin"/>
      </w:r>
      <w:r>
        <w:instrText xml:space="preserve"> INCLUDEPICTURE "/Users/emilyrabreu/Library/Group Containers/UBF8T346G9.ms/WebArchiveCopyPasteTempFiles/com.microsoft.Word/-wodkcm7_400x400.png" \* MERGEFORMATINET </w:instrText>
      </w:r>
      <w:r>
        <w:fldChar w:fldCharType="separate"/>
      </w:r>
      <w:r>
        <w:rPr>
          <w:noProof/>
        </w:rPr>
        <w:drawing>
          <wp:inline distT="0" distB="0" distL="0" distR="0" wp14:anchorId="4CE11F22" wp14:editId="73744572">
            <wp:extent cx="3771900" cy="4051300"/>
            <wp:effectExtent l="0" t="0" r="0" b="0"/>
            <wp:docPr id="1299457914" name="Picture 1" descr="UWTSDLondon (@UWTSDLondon)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ndon (@UWTSDLondon) / 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1900" cy="4051300"/>
                    </a:xfrm>
                    <a:prstGeom prst="rect">
                      <a:avLst/>
                    </a:prstGeom>
                    <a:noFill/>
                    <a:ln>
                      <a:noFill/>
                    </a:ln>
                  </pic:spPr>
                </pic:pic>
              </a:graphicData>
            </a:graphic>
          </wp:inline>
        </w:drawing>
      </w:r>
      <w:r>
        <w:fldChar w:fldCharType="end"/>
      </w:r>
    </w:p>
    <w:p w14:paraId="4314C577" w14:textId="1C058785" w:rsidR="00272549" w:rsidRDefault="00272549" w:rsidP="00272549">
      <w:pPr>
        <w:spacing w:line="360" w:lineRule="auto"/>
        <w:jc w:val="center"/>
        <w:rPr>
          <w:rFonts w:asciiTheme="minorHAnsi" w:hAnsiTheme="minorHAnsi" w:cstheme="minorHAnsi"/>
          <w:sz w:val="24"/>
          <w:szCs w:val="24"/>
        </w:rPr>
      </w:pPr>
      <w:r>
        <w:rPr>
          <w:rFonts w:asciiTheme="minorHAnsi" w:hAnsiTheme="minorHAnsi" w:cstheme="minorHAnsi"/>
          <w:sz w:val="24"/>
          <w:szCs w:val="24"/>
        </w:rPr>
        <w:t>LCBM</w:t>
      </w:r>
      <w:r>
        <w:rPr>
          <w:rFonts w:asciiTheme="minorHAnsi" w:hAnsiTheme="minorHAnsi" w:cstheme="minorHAnsi"/>
          <w:sz w:val="24"/>
          <w:szCs w:val="24"/>
        </w:rPr>
        <w:t>7002</w:t>
      </w:r>
    </w:p>
    <w:p w14:paraId="6E2331FC" w14:textId="77777777" w:rsidR="00272549" w:rsidRDefault="00272549" w:rsidP="00272549">
      <w:pPr>
        <w:spacing w:line="360" w:lineRule="auto"/>
        <w:jc w:val="center"/>
        <w:rPr>
          <w:rFonts w:asciiTheme="minorHAnsi" w:hAnsiTheme="minorHAnsi" w:cstheme="minorHAnsi"/>
          <w:sz w:val="24"/>
          <w:szCs w:val="24"/>
        </w:rPr>
      </w:pPr>
      <w:r>
        <w:rPr>
          <w:rFonts w:asciiTheme="minorHAnsi" w:hAnsiTheme="minorHAnsi" w:cstheme="minorHAnsi"/>
          <w:sz w:val="24"/>
          <w:szCs w:val="24"/>
        </w:rPr>
        <w:t>DAVID COKER</w:t>
      </w:r>
    </w:p>
    <w:p w14:paraId="1027DD42" w14:textId="77777777" w:rsidR="00272549" w:rsidRDefault="00272549" w:rsidP="00272549">
      <w:pPr>
        <w:spacing w:line="360" w:lineRule="auto"/>
        <w:jc w:val="center"/>
        <w:rPr>
          <w:rFonts w:asciiTheme="minorHAnsi" w:hAnsiTheme="minorHAnsi" w:cstheme="minorHAnsi"/>
          <w:b/>
          <w:bCs/>
          <w:sz w:val="24"/>
          <w:szCs w:val="24"/>
        </w:rPr>
      </w:pPr>
      <w:r>
        <w:rPr>
          <w:rFonts w:asciiTheme="minorHAnsi" w:hAnsiTheme="minorHAnsi" w:cstheme="minorHAnsi"/>
          <w:b/>
          <w:bCs/>
          <w:sz w:val="24"/>
          <w:szCs w:val="24"/>
        </w:rPr>
        <w:t>FINANCIAL MANAGEMENT</w:t>
      </w:r>
    </w:p>
    <w:p w14:paraId="12E65258" w14:textId="536977DB" w:rsidR="00272549" w:rsidRDefault="00272549" w:rsidP="00272549">
      <w:pPr>
        <w:spacing w:line="360" w:lineRule="auto"/>
        <w:jc w:val="center"/>
        <w:rPr>
          <w:rFonts w:asciiTheme="minorHAnsi" w:hAnsiTheme="minorHAnsi" w:cstheme="minorHAnsi"/>
          <w:sz w:val="24"/>
          <w:szCs w:val="24"/>
        </w:rPr>
      </w:pPr>
      <w:r>
        <w:rPr>
          <w:rFonts w:asciiTheme="minorHAnsi" w:hAnsiTheme="minorHAnsi" w:cstheme="minorHAnsi"/>
          <w:sz w:val="24"/>
          <w:szCs w:val="24"/>
        </w:rPr>
        <w:t>EMILY RODRIGUES ABREU</w:t>
      </w:r>
    </w:p>
    <w:p w14:paraId="28F1C247" w14:textId="77777777" w:rsidR="00272549" w:rsidRDefault="00272549" w:rsidP="00272549">
      <w:pPr>
        <w:spacing w:line="360" w:lineRule="auto"/>
        <w:jc w:val="center"/>
        <w:rPr>
          <w:rFonts w:asciiTheme="minorHAnsi" w:hAnsiTheme="minorHAnsi" w:cstheme="minorHAnsi"/>
          <w:sz w:val="24"/>
          <w:szCs w:val="24"/>
        </w:rPr>
      </w:pPr>
      <w:r>
        <w:rPr>
          <w:rFonts w:asciiTheme="minorHAnsi" w:hAnsiTheme="minorHAnsi" w:cstheme="minorHAnsi"/>
          <w:sz w:val="24"/>
          <w:szCs w:val="24"/>
        </w:rPr>
        <w:t>2327330</w:t>
      </w:r>
    </w:p>
    <w:p w14:paraId="5DB6E7A2" w14:textId="2D235B41" w:rsidR="00272549" w:rsidRDefault="00272549" w:rsidP="00272549">
      <w:pPr>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WORD COUNT: </w:t>
      </w:r>
    </w:p>
    <w:p w14:paraId="393649C6" w14:textId="77777777" w:rsidR="00272549" w:rsidRDefault="00272549" w:rsidP="00272549">
      <w:pPr>
        <w:spacing w:line="360" w:lineRule="auto"/>
        <w:jc w:val="center"/>
        <w:rPr>
          <w:rFonts w:asciiTheme="minorHAnsi" w:hAnsiTheme="minorHAnsi" w:cstheme="minorHAnsi"/>
          <w:sz w:val="24"/>
          <w:szCs w:val="24"/>
        </w:rPr>
      </w:pPr>
    </w:p>
    <w:p w14:paraId="40EA4D36" w14:textId="77777777" w:rsidR="00272549" w:rsidRDefault="00272549" w:rsidP="00272549">
      <w:pPr>
        <w:spacing w:line="360" w:lineRule="auto"/>
        <w:jc w:val="center"/>
        <w:rPr>
          <w:rFonts w:asciiTheme="minorHAnsi" w:hAnsiTheme="minorHAnsi" w:cstheme="minorHAnsi"/>
          <w:sz w:val="24"/>
          <w:szCs w:val="24"/>
        </w:rPr>
      </w:pPr>
    </w:p>
    <w:p w14:paraId="734F5C2C" w14:textId="77777777" w:rsidR="00272549" w:rsidRDefault="00272549" w:rsidP="00272549">
      <w:pPr>
        <w:spacing w:line="360" w:lineRule="auto"/>
        <w:jc w:val="center"/>
        <w:rPr>
          <w:rFonts w:asciiTheme="minorHAnsi" w:hAnsiTheme="minorHAnsi" w:cstheme="minorHAnsi"/>
          <w:sz w:val="24"/>
          <w:szCs w:val="24"/>
        </w:rPr>
      </w:pPr>
    </w:p>
    <w:p w14:paraId="1DF1F7B4" w14:textId="77777777" w:rsidR="00272549" w:rsidRDefault="00272549" w:rsidP="00272549">
      <w:pPr>
        <w:spacing w:line="360" w:lineRule="auto"/>
        <w:jc w:val="center"/>
        <w:rPr>
          <w:rFonts w:asciiTheme="minorHAnsi" w:hAnsiTheme="minorHAnsi" w:cstheme="minorHAnsi"/>
          <w:sz w:val="24"/>
          <w:szCs w:val="24"/>
        </w:rPr>
      </w:pPr>
    </w:p>
    <w:p w14:paraId="4EE7F99E" w14:textId="77777777" w:rsidR="00272549" w:rsidRDefault="00272549" w:rsidP="00272549">
      <w:pPr>
        <w:spacing w:line="360" w:lineRule="auto"/>
        <w:jc w:val="center"/>
        <w:rPr>
          <w:rFonts w:asciiTheme="minorHAnsi" w:hAnsiTheme="minorHAnsi" w:cstheme="minorHAnsi"/>
          <w:sz w:val="24"/>
          <w:szCs w:val="24"/>
        </w:rPr>
      </w:pPr>
    </w:p>
    <w:p w14:paraId="5C57D6F6" w14:textId="77777777" w:rsidR="006A7E15" w:rsidRDefault="006A7E15" w:rsidP="00272549">
      <w:pPr>
        <w:spacing w:line="360" w:lineRule="auto"/>
        <w:jc w:val="both"/>
        <w:rPr>
          <w:rFonts w:ascii="Arial" w:hAnsi="Arial" w:cs="Arial"/>
          <w:sz w:val="24"/>
          <w:szCs w:val="24"/>
        </w:rPr>
      </w:pPr>
    </w:p>
    <w:p w14:paraId="1EC815C2" w14:textId="4FDEEC58" w:rsidR="00CD4C67" w:rsidRPr="006A7E15" w:rsidRDefault="001C0B1A" w:rsidP="00FA2E6F">
      <w:pPr>
        <w:spacing w:line="276" w:lineRule="auto"/>
        <w:jc w:val="both"/>
        <w:rPr>
          <w:rFonts w:ascii="Arial" w:hAnsi="Arial" w:cs="Arial"/>
          <w:b/>
          <w:bCs/>
          <w:i/>
          <w:iCs/>
          <w:sz w:val="24"/>
          <w:szCs w:val="24"/>
          <w:u w:val="single"/>
        </w:rPr>
      </w:pPr>
      <w:r>
        <w:rPr>
          <w:rFonts w:ascii="Arial" w:hAnsi="Arial" w:cs="Arial"/>
          <w:b/>
          <w:bCs/>
          <w:i/>
          <w:iCs/>
          <w:sz w:val="24"/>
          <w:szCs w:val="24"/>
          <w:u w:val="single"/>
        </w:rPr>
        <w:lastRenderedPageBreak/>
        <w:t xml:space="preserve">Part A - </w:t>
      </w:r>
      <w:r w:rsidR="00CD4C67" w:rsidRPr="006A7E15">
        <w:rPr>
          <w:rFonts w:ascii="Arial" w:hAnsi="Arial" w:cs="Arial"/>
          <w:b/>
          <w:bCs/>
          <w:i/>
          <w:iCs/>
          <w:sz w:val="24"/>
          <w:szCs w:val="24"/>
          <w:u w:val="single"/>
        </w:rPr>
        <w:t>Introduction to Walgreens Boots Alliance, Inc (WBA):</w:t>
      </w:r>
      <w:r w:rsidR="00CC6602">
        <w:rPr>
          <w:rFonts w:ascii="Arial" w:hAnsi="Arial" w:cs="Arial"/>
          <w:b/>
          <w:bCs/>
          <w:i/>
          <w:iCs/>
          <w:sz w:val="24"/>
          <w:szCs w:val="24"/>
          <w:u w:val="single"/>
        </w:rPr>
        <w:t xml:space="preserve"> </w:t>
      </w:r>
      <w:r w:rsidR="00CC6602" w:rsidRPr="00CC6602">
        <w:rPr>
          <w:rFonts w:ascii="Arial" w:hAnsi="Arial" w:cs="Arial"/>
          <w:sz w:val="24"/>
          <w:szCs w:val="24"/>
          <w:highlight w:val="yellow"/>
        </w:rPr>
        <w:t>(580 word roughly)</w:t>
      </w:r>
    </w:p>
    <w:p w14:paraId="52D76A71" w14:textId="2CB805B5" w:rsidR="006A7E15" w:rsidRPr="006A7E15" w:rsidRDefault="006A7E15" w:rsidP="00FA2E6F">
      <w:pPr>
        <w:spacing w:line="276" w:lineRule="auto"/>
        <w:jc w:val="both"/>
        <w:rPr>
          <w:rFonts w:ascii="Arial" w:hAnsi="Arial" w:cs="Arial"/>
          <w:b/>
          <w:bCs/>
          <w:sz w:val="24"/>
          <w:szCs w:val="24"/>
        </w:rPr>
      </w:pPr>
      <w:r>
        <w:rPr>
          <w:rFonts w:ascii="Arial" w:hAnsi="Arial" w:cs="Arial"/>
          <w:b/>
          <w:bCs/>
          <w:sz w:val="24"/>
          <w:szCs w:val="24"/>
        </w:rPr>
        <w:t>I</w:t>
      </w:r>
      <w:r w:rsidRPr="006A7E15">
        <w:rPr>
          <w:rFonts w:ascii="Arial" w:hAnsi="Arial" w:cs="Arial"/>
          <w:b/>
          <w:bCs/>
          <w:sz w:val="24"/>
          <w:szCs w:val="24"/>
        </w:rPr>
        <w:t>ndustry:</w:t>
      </w:r>
    </w:p>
    <w:p w14:paraId="465D7828" w14:textId="6EFD760C" w:rsidR="00272549" w:rsidRDefault="00272549" w:rsidP="00FA2E6F">
      <w:pPr>
        <w:spacing w:line="276" w:lineRule="auto"/>
        <w:jc w:val="both"/>
        <w:rPr>
          <w:rFonts w:ascii="Arial" w:hAnsi="Arial" w:cs="Arial"/>
          <w:sz w:val="24"/>
          <w:szCs w:val="24"/>
        </w:rPr>
      </w:pPr>
      <w:r w:rsidRPr="00272549">
        <w:rPr>
          <w:rFonts w:ascii="Arial" w:hAnsi="Arial" w:cs="Arial"/>
          <w:sz w:val="24"/>
          <w:szCs w:val="24"/>
        </w:rPr>
        <w:t xml:space="preserve">Walgreens Boots Alliance, Inc. (WBA) </w:t>
      </w:r>
      <w:r w:rsidR="006A7E15" w:rsidRPr="006A7E15">
        <w:rPr>
          <w:rFonts w:ascii="Arial" w:hAnsi="Arial" w:cs="Arial"/>
          <w:sz w:val="24"/>
          <w:szCs w:val="24"/>
        </w:rPr>
        <w:t xml:space="preserve">is a well-known participant in the healthcare sector, running a complex business that includes wellness, health, and pharmaceutical items. Established in 2014 </w:t>
      </w:r>
      <w:r w:rsidR="006A7E15" w:rsidRPr="006A7E15">
        <w:rPr>
          <w:rFonts w:ascii="Arial" w:hAnsi="Arial" w:cs="Arial"/>
          <w:sz w:val="24"/>
          <w:szCs w:val="24"/>
        </w:rPr>
        <w:t>because of</w:t>
      </w:r>
      <w:r w:rsidR="006A7E15" w:rsidRPr="006A7E15">
        <w:rPr>
          <w:rFonts w:ascii="Arial" w:hAnsi="Arial" w:cs="Arial"/>
          <w:sz w:val="24"/>
          <w:szCs w:val="24"/>
        </w:rPr>
        <w:t xml:space="preserve"> the merger of Alliance Boots and Walgreens, WBA has grown to become a major player in the global healthcare industry, offering a wide range of products and services and operating in many countries.</w:t>
      </w:r>
      <w:r w:rsidR="006A7E15">
        <w:rPr>
          <w:rFonts w:ascii="Arial" w:hAnsi="Arial" w:cs="Arial"/>
          <w:sz w:val="24"/>
          <w:szCs w:val="24"/>
        </w:rPr>
        <w:t xml:space="preserve"> </w:t>
      </w:r>
    </w:p>
    <w:p w14:paraId="1A1CA2C8" w14:textId="36DA2414" w:rsidR="006A7E15" w:rsidRPr="006A7E15" w:rsidRDefault="006A7E15" w:rsidP="00FA2E6F">
      <w:pPr>
        <w:spacing w:line="276" w:lineRule="auto"/>
        <w:jc w:val="both"/>
        <w:rPr>
          <w:rFonts w:ascii="Arial" w:hAnsi="Arial" w:cs="Arial"/>
          <w:b/>
          <w:bCs/>
          <w:sz w:val="24"/>
          <w:szCs w:val="24"/>
        </w:rPr>
      </w:pPr>
      <w:r w:rsidRPr="006A7E15">
        <w:rPr>
          <w:rFonts w:ascii="Arial" w:hAnsi="Arial" w:cs="Arial"/>
          <w:b/>
          <w:bCs/>
          <w:sz w:val="24"/>
          <w:szCs w:val="24"/>
        </w:rPr>
        <w:t>Business Model:</w:t>
      </w:r>
    </w:p>
    <w:p w14:paraId="6219AE95" w14:textId="77777777" w:rsidR="006A7E15" w:rsidRPr="006A7E15" w:rsidRDefault="006A7E15" w:rsidP="00FA2E6F">
      <w:pPr>
        <w:spacing w:line="276" w:lineRule="auto"/>
        <w:jc w:val="both"/>
        <w:rPr>
          <w:rFonts w:ascii="Arial" w:hAnsi="Arial" w:cs="Arial"/>
          <w:sz w:val="24"/>
          <w:szCs w:val="24"/>
        </w:rPr>
      </w:pPr>
      <w:r w:rsidRPr="006A7E15">
        <w:rPr>
          <w:rFonts w:ascii="Arial" w:hAnsi="Arial" w:cs="Arial"/>
          <w:sz w:val="24"/>
          <w:szCs w:val="24"/>
        </w:rPr>
        <w:t>WBA serves millions of clients globally through the thousands of Walgreens and Boots locations it runs as part of its core retail pharmacy business. These pharmacies provide a large selection of over-the-counter pharmaceuticals, prescription meds, cosmetics, health care items, and other services. With services including prescription refills, vaccinations, health screenings, and pharmacist consultations, WBA's retail pharmacies are positioned as easy-to-get locations for customers looking for healthcare solutions.</w:t>
      </w:r>
    </w:p>
    <w:p w14:paraId="06FEF4C6" w14:textId="5D13F7E3" w:rsidR="006A7E15" w:rsidRPr="006A7E15" w:rsidRDefault="006A7E15" w:rsidP="00FA2E6F">
      <w:pPr>
        <w:spacing w:line="276" w:lineRule="auto"/>
        <w:jc w:val="both"/>
        <w:rPr>
          <w:rFonts w:ascii="Arial" w:hAnsi="Arial" w:cs="Arial"/>
          <w:b/>
          <w:bCs/>
          <w:sz w:val="24"/>
          <w:szCs w:val="24"/>
        </w:rPr>
      </w:pPr>
      <w:r w:rsidRPr="006A7E15">
        <w:rPr>
          <w:rFonts w:ascii="Arial" w:hAnsi="Arial" w:cs="Arial"/>
          <w:b/>
          <w:bCs/>
          <w:sz w:val="24"/>
          <w:szCs w:val="24"/>
        </w:rPr>
        <w:t>Marketplace:</w:t>
      </w:r>
    </w:p>
    <w:p w14:paraId="14C7BE2F" w14:textId="77777777" w:rsidR="00DB63F6" w:rsidRDefault="00DB63F6" w:rsidP="00FA2E6F">
      <w:pPr>
        <w:spacing w:line="276" w:lineRule="auto"/>
        <w:jc w:val="both"/>
        <w:rPr>
          <w:rFonts w:ascii="Arial" w:hAnsi="Arial" w:cs="Arial"/>
          <w:sz w:val="24"/>
          <w:szCs w:val="24"/>
        </w:rPr>
      </w:pPr>
      <w:r w:rsidRPr="00DB63F6">
        <w:rPr>
          <w:rFonts w:ascii="Arial" w:hAnsi="Arial" w:cs="Arial"/>
          <w:sz w:val="24"/>
          <w:szCs w:val="24"/>
        </w:rPr>
        <w:t>WBA's business plan incorporates distribution networks and e-commerce in addition to traditional brick and mortar retail. The business runs online stores where clients can order prescription drugs and medical supplies for pickup or delivery. WBA also uses its broad distribution network to provide pharmacies, other shops, and healthcare professionals with medications and medical supplies.</w:t>
      </w:r>
    </w:p>
    <w:p w14:paraId="79B2551A" w14:textId="24380941" w:rsidR="006A7E15" w:rsidRPr="00DB63F6" w:rsidRDefault="006A7E15" w:rsidP="00FA2E6F">
      <w:pPr>
        <w:spacing w:line="276" w:lineRule="auto"/>
        <w:jc w:val="both"/>
        <w:rPr>
          <w:rFonts w:ascii="Arial" w:hAnsi="Arial" w:cs="Arial"/>
          <w:b/>
          <w:bCs/>
          <w:sz w:val="24"/>
          <w:szCs w:val="24"/>
        </w:rPr>
      </w:pPr>
      <w:r w:rsidRPr="00DB63F6">
        <w:rPr>
          <w:rFonts w:ascii="Arial" w:hAnsi="Arial" w:cs="Arial"/>
          <w:b/>
          <w:bCs/>
          <w:sz w:val="24"/>
          <w:szCs w:val="24"/>
        </w:rPr>
        <w:t>Major Competitors:</w:t>
      </w:r>
    </w:p>
    <w:p w14:paraId="63719D59" w14:textId="77777777" w:rsidR="00DB63F6" w:rsidRPr="00DB63F6" w:rsidRDefault="00DB63F6" w:rsidP="00FA2E6F">
      <w:pPr>
        <w:spacing w:line="276" w:lineRule="auto"/>
        <w:jc w:val="both"/>
        <w:rPr>
          <w:rFonts w:ascii="Arial" w:hAnsi="Arial" w:cs="Arial"/>
          <w:sz w:val="24"/>
          <w:szCs w:val="24"/>
        </w:rPr>
      </w:pPr>
      <w:r w:rsidRPr="00DB63F6">
        <w:rPr>
          <w:rFonts w:ascii="Arial" w:hAnsi="Arial" w:cs="Arial"/>
          <w:sz w:val="24"/>
          <w:szCs w:val="24"/>
        </w:rPr>
        <w:t>WBA competes against competitors like CVS Health Corporation, Walmart Inc., and Amazon.com Inc. in the very competitive healthcare sector. Due to competition from these rivals for market share in e-commerce, retail pharmacy, and healthcare services, WBA is forced to constantly innovate and set itself apart from the competition. The core of WBA's competitive strategy is its emphasis on delivering individualised customer experiences by using technology and data analytics to customise services and product suggestions to meet the demands of specific customers.</w:t>
      </w:r>
    </w:p>
    <w:p w14:paraId="6FC4F53F" w14:textId="18AE453D" w:rsidR="006A7E15" w:rsidRPr="00C67ED7" w:rsidRDefault="006A7E15" w:rsidP="00FA2E6F">
      <w:pPr>
        <w:spacing w:line="276" w:lineRule="auto"/>
        <w:jc w:val="both"/>
        <w:rPr>
          <w:rFonts w:ascii="Arial" w:hAnsi="Arial" w:cs="Arial"/>
          <w:b/>
          <w:bCs/>
          <w:sz w:val="24"/>
          <w:szCs w:val="24"/>
        </w:rPr>
      </w:pPr>
      <w:r w:rsidRPr="00C67ED7">
        <w:rPr>
          <w:rFonts w:ascii="Arial" w:hAnsi="Arial" w:cs="Arial"/>
          <w:b/>
          <w:bCs/>
          <w:sz w:val="24"/>
          <w:szCs w:val="24"/>
        </w:rPr>
        <w:t>Major Events (5-year timespan):</w:t>
      </w:r>
    </w:p>
    <w:p w14:paraId="241478F4" w14:textId="244971F4" w:rsidR="00C67ED7" w:rsidRPr="00C67ED7" w:rsidRDefault="00C67ED7" w:rsidP="00FA2E6F">
      <w:pPr>
        <w:spacing w:line="276" w:lineRule="auto"/>
        <w:jc w:val="both"/>
        <w:rPr>
          <w:rFonts w:ascii="Arial" w:hAnsi="Arial" w:cs="Arial"/>
          <w:sz w:val="24"/>
          <w:szCs w:val="24"/>
        </w:rPr>
      </w:pPr>
      <w:r w:rsidRPr="00C67ED7">
        <w:rPr>
          <w:rFonts w:ascii="Arial" w:hAnsi="Arial" w:cs="Arial"/>
          <w:i/>
          <w:iCs/>
          <w:sz w:val="24"/>
          <w:szCs w:val="24"/>
        </w:rPr>
        <w:t>2019:</w:t>
      </w:r>
      <w:r w:rsidRPr="00C67ED7">
        <w:rPr>
          <w:rFonts w:ascii="Arial" w:hAnsi="Arial" w:cs="Arial"/>
          <w:sz w:val="24"/>
          <w:szCs w:val="24"/>
        </w:rPr>
        <w:t xml:space="preserve"> WBA announced a strategic partnership with Microsoft to develop new healthcare delivery models, improve patient engagement, and enhance the efficiency of healthcare delivery</w:t>
      </w:r>
      <w:r w:rsidR="00802E0D">
        <w:rPr>
          <w:rFonts w:ascii="Arial" w:hAnsi="Arial" w:cs="Arial"/>
          <w:sz w:val="24"/>
          <w:szCs w:val="24"/>
        </w:rPr>
        <w:t xml:space="preserve"> </w:t>
      </w:r>
      <w:r w:rsidR="00802E0D" w:rsidRPr="00802E0D">
        <w:rPr>
          <w:rFonts w:ascii="Arial" w:hAnsi="Arial" w:cs="Arial"/>
          <w:sz w:val="24"/>
          <w:szCs w:val="24"/>
        </w:rPr>
        <w:t>(</w:t>
      </w:r>
      <w:proofErr w:type="spellStart"/>
      <w:r w:rsidR="00802E0D" w:rsidRPr="00802E0D">
        <w:rPr>
          <w:rFonts w:ascii="Arial" w:hAnsi="Arial" w:cs="Arial"/>
          <w:sz w:val="24"/>
          <w:szCs w:val="24"/>
        </w:rPr>
        <w:t>Wickware</w:t>
      </w:r>
      <w:proofErr w:type="spellEnd"/>
      <w:r w:rsidR="00802E0D" w:rsidRPr="00802E0D">
        <w:rPr>
          <w:rFonts w:ascii="Arial" w:hAnsi="Arial" w:cs="Arial"/>
          <w:sz w:val="24"/>
          <w:szCs w:val="24"/>
        </w:rPr>
        <w:t>, 2019)</w:t>
      </w:r>
      <w:r w:rsidR="00802E0D">
        <w:rPr>
          <w:rFonts w:ascii="Arial" w:hAnsi="Arial" w:cs="Arial"/>
          <w:sz w:val="24"/>
          <w:szCs w:val="24"/>
        </w:rPr>
        <w:t>.</w:t>
      </w:r>
    </w:p>
    <w:p w14:paraId="4070FAB0" w14:textId="792E0EC3" w:rsidR="00C67ED7" w:rsidRPr="00C67ED7" w:rsidRDefault="00C67ED7" w:rsidP="00FA2E6F">
      <w:pPr>
        <w:spacing w:line="276" w:lineRule="auto"/>
        <w:jc w:val="both"/>
        <w:rPr>
          <w:rFonts w:ascii="Arial" w:hAnsi="Arial" w:cs="Arial"/>
          <w:sz w:val="24"/>
          <w:szCs w:val="24"/>
        </w:rPr>
      </w:pPr>
      <w:r w:rsidRPr="00C67ED7">
        <w:rPr>
          <w:rFonts w:ascii="Arial" w:hAnsi="Arial" w:cs="Arial"/>
          <w:i/>
          <w:iCs/>
          <w:sz w:val="24"/>
          <w:szCs w:val="24"/>
        </w:rPr>
        <w:t>2020:</w:t>
      </w:r>
      <w:r w:rsidRPr="00C67ED7">
        <w:rPr>
          <w:rFonts w:ascii="Arial" w:hAnsi="Arial" w:cs="Arial"/>
          <w:sz w:val="24"/>
          <w:szCs w:val="24"/>
        </w:rPr>
        <w:t xml:space="preserve"> Amid the COVID-19 pandemic, WBA saw increased demand for pharmaceuticals and healthcare products, leading to a surge in sales across its retail stores and online platforms</w:t>
      </w:r>
      <w:r w:rsidR="00802E0D">
        <w:rPr>
          <w:rFonts w:ascii="Arial" w:hAnsi="Arial" w:cs="Arial"/>
          <w:sz w:val="24"/>
          <w:szCs w:val="24"/>
        </w:rPr>
        <w:t xml:space="preserve"> alongside other companies </w:t>
      </w:r>
      <w:r w:rsidR="00802E0D" w:rsidRPr="00802E0D">
        <w:rPr>
          <w:rFonts w:ascii="Arial" w:hAnsi="Arial" w:cs="Arial"/>
          <w:sz w:val="24"/>
          <w:szCs w:val="24"/>
        </w:rPr>
        <w:t>(Kalish, 2022)</w:t>
      </w:r>
      <w:r w:rsidR="00802E0D">
        <w:rPr>
          <w:rFonts w:ascii="Arial" w:hAnsi="Arial" w:cs="Arial"/>
          <w:sz w:val="24"/>
          <w:szCs w:val="24"/>
        </w:rPr>
        <w:t xml:space="preserve">. </w:t>
      </w:r>
    </w:p>
    <w:p w14:paraId="494E07CE" w14:textId="2E9C8E77" w:rsidR="00C67ED7" w:rsidRPr="00C67ED7" w:rsidRDefault="00C67ED7" w:rsidP="00FA2E6F">
      <w:pPr>
        <w:spacing w:line="276" w:lineRule="auto"/>
        <w:jc w:val="both"/>
        <w:rPr>
          <w:rFonts w:ascii="Arial" w:hAnsi="Arial" w:cs="Arial"/>
          <w:sz w:val="24"/>
          <w:szCs w:val="24"/>
        </w:rPr>
      </w:pPr>
      <w:r w:rsidRPr="00C67ED7">
        <w:rPr>
          <w:rFonts w:ascii="Arial" w:hAnsi="Arial" w:cs="Arial"/>
          <w:i/>
          <w:iCs/>
          <w:sz w:val="24"/>
          <w:szCs w:val="24"/>
        </w:rPr>
        <w:t>2021:</w:t>
      </w:r>
      <w:r w:rsidRPr="00C67ED7">
        <w:rPr>
          <w:rFonts w:ascii="Arial" w:hAnsi="Arial" w:cs="Arial"/>
          <w:sz w:val="24"/>
          <w:szCs w:val="24"/>
        </w:rPr>
        <w:t xml:space="preserve"> WBA announced plans to divest its Alliance Healthcare business to AmerisourceBergen Corporation for $6.5 billion in cash and stock. This move aimed to streamline its operations and focus on its core retail pharmacy business</w:t>
      </w:r>
      <w:r w:rsidR="0017455B">
        <w:rPr>
          <w:rFonts w:ascii="Arial" w:hAnsi="Arial" w:cs="Arial"/>
          <w:sz w:val="24"/>
          <w:szCs w:val="24"/>
        </w:rPr>
        <w:t xml:space="preserve"> </w:t>
      </w:r>
      <w:r w:rsidR="0017455B" w:rsidRPr="0017455B">
        <w:rPr>
          <w:rFonts w:ascii="Arial" w:hAnsi="Arial" w:cs="Arial"/>
          <w:sz w:val="24"/>
          <w:szCs w:val="24"/>
        </w:rPr>
        <w:t>(Samuel, 2021)</w:t>
      </w:r>
      <w:r w:rsidR="0017455B">
        <w:rPr>
          <w:rFonts w:ascii="Arial" w:hAnsi="Arial" w:cs="Arial"/>
          <w:sz w:val="24"/>
          <w:szCs w:val="24"/>
        </w:rPr>
        <w:t>.</w:t>
      </w:r>
    </w:p>
    <w:p w14:paraId="518E49D1" w14:textId="16536AA1" w:rsidR="00C67ED7" w:rsidRPr="00C67ED7" w:rsidRDefault="00C67ED7" w:rsidP="00FA2E6F">
      <w:pPr>
        <w:spacing w:line="276" w:lineRule="auto"/>
        <w:jc w:val="both"/>
        <w:rPr>
          <w:rFonts w:ascii="Arial" w:hAnsi="Arial" w:cs="Arial"/>
          <w:sz w:val="24"/>
          <w:szCs w:val="24"/>
        </w:rPr>
      </w:pPr>
      <w:r w:rsidRPr="00C67ED7">
        <w:rPr>
          <w:rFonts w:ascii="Arial" w:hAnsi="Arial" w:cs="Arial"/>
          <w:i/>
          <w:iCs/>
          <w:sz w:val="24"/>
          <w:szCs w:val="24"/>
        </w:rPr>
        <w:t>2022:</w:t>
      </w:r>
      <w:r w:rsidRPr="00C67ED7">
        <w:rPr>
          <w:rFonts w:ascii="Arial" w:hAnsi="Arial" w:cs="Arial"/>
          <w:sz w:val="24"/>
          <w:szCs w:val="24"/>
        </w:rPr>
        <w:t xml:space="preserve"> WBA faced legal challenges related to opioid distribution practices, with several lawsuits filed against the company by states and local governments alleging its role in </w:t>
      </w:r>
      <w:r w:rsidRPr="00C67ED7">
        <w:rPr>
          <w:rFonts w:ascii="Arial" w:hAnsi="Arial" w:cs="Arial"/>
          <w:sz w:val="24"/>
          <w:szCs w:val="24"/>
        </w:rPr>
        <w:t>fuelling</w:t>
      </w:r>
      <w:r w:rsidRPr="00C67ED7">
        <w:rPr>
          <w:rFonts w:ascii="Arial" w:hAnsi="Arial" w:cs="Arial"/>
          <w:sz w:val="24"/>
          <w:szCs w:val="24"/>
        </w:rPr>
        <w:t xml:space="preserve"> the opioid crisis. </w:t>
      </w:r>
      <w:r w:rsidR="0017455B">
        <w:rPr>
          <w:rFonts w:ascii="Arial" w:hAnsi="Arial" w:cs="Arial"/>
          <w:sz w:val="24"/>
          <w:szCs w:val="24"/>
        </w:rPr>
        <w:t xml:space="preserve">It was reported that the medication in question was falsely </w:t>
      </w:r>
      <w:r w:rsidR="00BE5D71">
        <w:rPr>
          <w:rFonts w:ascii="Arial" w:hAnsi="Arial" w:cs="Arial"/>
          <w:sz w:val="24"/>
          <w:szCs w:val="24"/>
        </w:rPr>
        <w:t>marketed,</w:t>
      </w:r>
      <w:r w:rsidR="0017455B">
        <w:rPr>
          <w:rFonts w:ascii="Arial" w:hAnsi="Arial" w:cs="Arial"/>
          <w:sz w:val="24"/>
          <w:szCs w:val="24"/>
        </w:rPr>
        <w:t xml:space="preserve"> and the affects (long-term and </w:t>
      </w:r>
      <w:r w:rsidR="0017455B">
        <w:rPr>
          <w:rFonts w:ascii="Arial" w:hAnsi="Arial" w:cs="Arial"/>
          <w:sz w:val="24"/>
          <w:szCs w:val="24"/>
        </w:rPr>
        <w:lastRenderedPageBreak/>
        <w:t>short-term) were not presented appropriately to the consumers of this pill. Walgreens have paid $230 billion to the San Francisco state to settle the case. T</w:t>
      </w:r>
      <w:r w:rsidRPr="00C67ED7">
        <w:rPr>
          <w:rFonts w:ascii="Arial" w:hAnsi="Arial" w:cs="Arial"/>
          <w:sz w:val="24"/>
          <w:szCs w:val="24"/>
        </w:rPr>
        <w:t>he company announced initiatives to address opioid abuse and support affected communitie</w:t>
      </w:r>
      <w:r w:rsidR="0017455B">
        <w:rPr>
          <w:rFonts w:ascii="Arial" w:hAnsi="Arial" w:cs="Arial"/>
          <w:sz w:val="24"/>
          <w:szCs w:val="24"/>
        </w:rPr>
        <w:t xml:space="preserve">s </w:t>
      </w:r>
      <w:r w:rsidR="0017455B" w:rsidRPr="0017455B">
        <w:rPr>
          <w:rFonts w:ascii="Arial" w:hAnsi="Arial" w:cs="Arial"/>
          <w:sz w:val="24"/>
          <w:szCs w:val="24"/>
        </w:rPr>
        <w:t xml:space="preserve">(Ivanova &amp; </w:t>
      </w:r>
      <w:proofErr w:type="spellStart"/>
      <w:r w:rsidR="0017455B" w:rsidRPr="0017455B">
        <w:rPr>
          <w:rFonts w:ascii="Arial" w:hAnsi="Arial" w:cs="Arial"/>
          <w:sz w:val="24"/>
          <w:szCs w:val="24"/>
        </w:rPr>
        <w:t>Weicher</w:t>
      </w:r>
      <w:proofErr w:type="spellEnd"/>
      <w:r w:rsidR="0017455B" w:rsidRPr="0017455B">
        <w:rPr>
          <w:rFonts w:ascii="Arial" w:hAnsi="Arial" w:cs="Arial"/>
          <w:sz w:val="24"/>
          <w:szCs w:val="24"/>
        </w:rPr>
        <w:t>, 2023)</w:t>
      </w:r>
      <w:r w:rsidR="0017455B">
        <w:rPr>
          <w:rFonts w:ascii="Arial" w:hAnsi="Arial" w:cs="Arial"/>
          <w:sz w:val="24"/>
          <w:szCs w:val="24"/>
        </w:rPr>
        <w:t>.</w:t>
      </w:r>
    </w:p>
    <w:p w14:paraId="0803815F" w14:textId="2F07C660" w:rsidR="00C67ED7" w:rsidRDefault="00C67ED7" w:rsidP="00FA2E6F">
      <w:pPr>
        <w:spacing w:line="276" w:lineRule="auto"/>
        <w:jc w:val="both"/>
        <w:rPr>
          <w:rFonts w:ascii="Arial" w:hAnsi="Arial" w:cs="Arial"/>
          <w:sz w:val="24"/>
          <w:szCs w:val="24"/>
        </w:rPr>
      </w:pPr>
      <w:r w:rsidRPr="00C67ED7">
        <w:rPr>
          <w:rFonts w:ascii="Arial" w:hAnsi="Arial" w:cs="Arial"/>
          <w:i/>
          <w:iCs/>
          <w:sz w:val="24"/>
          <w:szCs w:val="24"/>
        </w:rPr>
        <w:t>2023:</w:t>
      </w:r>
      <w:r w:rsidRPr="00C67ED7">
        <w:rPr>
          <w:rFonts w:ascii="Arial" w:hAnsi="Arial" w:cs="Arial"/>
          <w:sz w:val="24"/>
          <w:szCs w:val="24"/>
        </w:rPr>
        <w:t xml:space="preserve"> </w:t>
      </w:r>
      <w:r w:rsidR="00266146">
        <w:rPr>
          <w:rFonts w:ascii="Arial" w:hAnsi="Arial" w:cs="Arial"/>
          <w:sz w:val="24"/>
          <w:szCs w:val="24"/>
        </w:rPr>
        <w:t xml:space="preserve">On the </w:t>
      </w:r>
      <w:proofErr w:type="gramStart"/>
      <w:r w:rsidR="00266146">
        <w:rPr>
          <w:rFonts w:ascii="Arial" w:hAnsi="Arial" w:cs="Arial"/>
          <w:sz w:val="24"/>
          <w:szCs w:val="24"/>
        </w:rPr>
        <w:t>23</w:t>
      </w:r>
      <w:r w:rsidR="00266146" w:rsidRPr="00266146">
        <w:rPr>
          <w:rFonts w:ascii="Arial" w:hAnsi="Arial" w:cs="Arial"/>
          <w:sz w:val="24"/>
          <w:szCs w:val="24"/>
          <w:vertAlign w:val="superscript"/>
        </w:rPr>
        <w:t>rd</w:t>
      </w:r>
      <w:proofErr w:type="gramEnd"/>
      <w:r w:rsidR="00266146">
        <w:rPr>
          <w:rFonts w:ascii="Arial" w:hAnsi="Arial" w:cs="Arial"/>
          <w:sz w:val="24"/>
          <w:szCs w:val="24"/>
        </w:rPr>
        <w:t xml:space="preserve"> October, </w:t>
      </w:r>
      <w:r w:rsidRPr="00C67ED7">
        <w:rPr>
          <w:rFonts w:ascii="Arial" w:hAnsi="Arial" w:cs="Arial"/>
          <w:sz w:val="24"/>
          <w:szCs w:val="24"/>
        </w:rPr>
        <w:t xml:space="preserve">WBA appointed </w:t>
      </w:r>
      <w:r w:rsidR="00266146">
        <w:rPr>
          <w:rFonts w:ascii="Arial" w:hAnsi="Arial" w:cs="Arial"/>
          <w:sz w:val="24"/>
          <w:szCs w:val="24"/>
        </w:rPr>
        <w:t>Tim Wentworth as the new</w:t>
      </w:r>
      <w:r w:rsidRPr="00C67ED7">
        <w:rPr>
          <w:rFonts w:ascii="Arial" w:hAnsi="Arial" w:cs="Arial"/>
          <w:sz w:val="24"/>
          <w:szCs w:val="24"/>
        </w:rPr>
        <w:t xml:space="preserve"> CEO, marking a leadership transition aimed at driving growth and innovation in the rapidly evolving healthcare industry.</w:t>
      </w:r>
      <w:r w:rsidR="00266146">
        <w:rPr>
          <w:rFonts w:ascii="Arial" w:hAnsi="Arial" w:cs="Arial"/>
          <w:sz w:val="24"/>
          <w:szCs w:val="24"/>
        </w:rPr>
        <w:t xml:space="preserve"> The WBA focus was to appoint a new CEO with extensive healthcare understanding and experience</w:t>
      </w:r>
      <w:r w:rsidR="00FA2E6F">
        <w:rPr>
          <w:rFonts w:ascii="Arial" w:hAnsi="Arial" w:cs="Arial"/>
          <w:sz w:val="24"/>
          <w:szCs w:val="24"/>
        </w:rPr>
        <w:t xml:space="preserve"> (WBA, 2023).</w:t>
      </w:r>
    </w:p>
    <w:p w14:paraId="68E36D79" w14:textId="033A945D" w:rsidR="00FA2E6F" w:rsidRDefault="00FA2E6F" w:rsidP="00FA2E6F">
      <w:pPr>
        <w:spacing w:line="276" w:lineRule="auto"/>
        <w:rPr>
          <w:rFonts w:ascii="Arial" w:hAnsi="Arial" w:cs="Arial"/>
          <w:sz w:val="24"/>
          <w:szCs w:val="24"/>
        </w:rPr>
      </w:pPr>
      <w:r w:rsidRPr="00FA2E6F">
        <w:rPr>
          <w:rFonts w:ascii="Arial" w:hAnsi="Arial" w:cs="Arial"/>
          <w:sz w:val="24"/>
          <w:szCs w:val="24"/>
        </w:rPr>
        <w:t xml:space="preserve">In conclusion, Walgreens Boots Alliance, Inc. continues to be a powerful force in the healthcare sector, generating value for its stakeholders </w:t>
      </w:r>
      <w:r w:rsidRPr="00FA2E6F">
        <w:rPr>
          <w:rFonts w:ascii="Arial" w:hAnsi="Arial" w:cs="Arial"/>
          <w:sz w:val="24"/>
          <w:szCs w:val="24"/>
        </w:rPr>
        <w:t>using</w:t>
      </w:r>
      <w:r w:rsidRPr="00FA2E6F">
        <w:rPr>
          <w:rFonts w:ascii="Arial" w:hAnsi="Arial" w:cs="Arial"/>
          <w:sz w:val="24"/>
          <w:szCs w:val="24"/>
        </w:rPr>
        <w:t xml:space="preserve"> its broad retail footprint, digital capabilities, and dedication to customer-centricity. WBA is committed to its goal of giving customers all around the world easily accessible, reasonably priced, and high-quality healthcare products and services, even in the face of obstacles and strategy shifts.</w:t>
      </w:r>
    </w:p>
    <w:p w14:paraId="51392BEC" w14:textId="4C7FB582" w:rsidR="005B054C" w:rsidRDefault="00A672B4">
      <w:pPr>
        <w:rPr>
          <w:rFonts w:ascii="Arial" w:hAnsi="Arial" w:cs="Arial"/>
          <w:b/>
          <w:bCs/>
          <w:i/>
          <w:iCs/>
          <w:sz w:val="24"/>
          <w:szCs w:val="24"/>
          <w:u w:val="single"/>
        </w:rPr>
      </w:pPr>
      <w:r>
        <w:rPr>
          <w:rFonts w:ascii="Arial" w:hAnsi="Arial" w:cs="Arial"/>
          <w:b/>
          <w:bCs/>
          <w:i/>
          <w:iCs/>
          <w:sz w:val="24"/>
          <w:szCs w:val="24"/>
          <w:u w:val="single"/>
        </w:rPr>
        <w:t>Glossary:</w:t>
      </w:r>
    </w:p>
    <w:p w14:paraId="769EE7E3" w14:textId="7A99A210" w:rsidR="00A672B4" w:rsidRPr="00A672B4" w:rsidRDefault="00A672B4">
      <w:pPr>
        <w:rPr>
          <w:rFonts w:ascii="Arial" w:hAnsi="Arial" w:cs="Arial"/>
          <w:b/>
          <w:bCs/>
          <w:sz w:val="24"/>
          <w:szCs w:val="24"/>
        </w:rPr>
      </w:pPr>
      <w:r w:rsidRPr="00A672B4">
        <w:rPr>
          <w:rFonts w:ascii="Arial" w:hAnsi="Arial" w:cs="Arial"/>
          <w:b/>
          <w:bCs/>
          <w:sz w:val="24"/>
          <w:szCs w:val="24"/>
        </w:rPr>
        <w:t xml:space="preserve">Operating Income: </w:t>
      </w:r>
      <w:r>
        <w:rPr>
          <w:rFonts w:ascii="Arial" w:hAnsi="Arial" w:cs="Arial"/>
          <w:b/>
          <w:bCs/>
          <w:sz w:val="24"/>
          <w:szCs w:val="24"/>
        </w:rPr>
        <w:t>Profit after deducting (wages, depreciation, cost of goods sold [COGS])</w:t>
      </w:r>
    </w:p>
    <w:p w14:paraId="335018A1" w14:textId="58D61A0A" w:rsidR="005B054C" w:rsidRDefault="00F85FDF">
      <w:pPr>
        <w:rPr>
          <w:rFonts w:ascii="Arial" w:hAnsi="Arial" w:cs="Arial"/>
          <w:b/>
          <w:bCs/>
          <w:i/>
          <w:iCs/>
          <w:sz w:val="24"/>
          <w:szCs w:val="24"/>
          <w:u w:val="single"/>
        </w:rPr>
      </w:pPr>
      <w:r>
        <w:rPr>
          <w:rFonts w:ascii="Arial" w:hAnsi="Arial" w:cs="Arial"/>
          <w:noProof/>
          <w:sz w:val="24"/>
          <w:szCs w:val="24"/>
          <w14:ligatures w14:val="standardContextual"/>
        </w:rPr>
        <w:drawing>
          <wp:inline distT="0" distB="0" distL="0" distR="0" wp14:anchorId="28B1DD88" wp14:editId="2363DB6A">
            <wp:extent cx="6645910" cy="3267075"/>
            <wp:effectExtent l="0" t="0" r="0" b="0"/>
            <wp:docPr id="906759832" name="Picture 1" descr="A spreadshee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759832" name="Picture 1" descr="A spreadsheet with text and numbe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645910" cy="3267075"/>
                    </a:xfrm>
                    <a:prstGeom prst="rect">
                      <a:avLst/>
                    </a:prstGeom>
                  </pic:spPr>
                </pic:pic>
              </a:graphicData>
            </a:graphic>
          </wp:inline>
        </w:drawing>
      </w:r>
    </w:p>
    <w:p w14:paraId="4417820A" w14:textId="657D038B" w:rsidR="005B054C" w:rsidRPr="00F85FDF" w:rsidRDefault="00F85FDF">
      <w:pPr>
        <w:rPr>
          <w:rFonts w:ascii="Arial" w:hAnsi="Arial" w:cs="Arial"/>
          <w:b/>
          <w:bCs/>
          <w:sz w:val="24"/>
          <w:szCs w:val="24"/>
        </w:rPr>
      </w:pPr>
      <w:r w:rsidRPr="005B054C">
        <w:rPr>
          <w:rFonts w:ascii="Arial" w:hAnsi="Arial" w:cs="Arial"/>
          <w:b/>
          <w:bCs/>
          <w:sz w:val="24"/>
          <w:szCs w:val="24"/>
        </w:rPr>
        <w:t>CVS (2023) – Comparison for Competitor Company</w:t>
      </w:r>
    </w:p>
    <w:p w14:paraId="067D20DD" w14:textId="77777777" w:rsidR="00F85FDF" w:rsidRDefault="00F85FDF">
      <w:pPr>
        <w:rPr>
          <w:rFonts w:ascii="Arial" w:hAnsi="Arial" w:cs="Arial"/>
          <w:b/>
          <w:bCs/>
          <w:i/>
          <w:iCs/>
          <w:sz w:val="24"/>
          <w:szCs w:val="24"/>
          <w:u w:val="single"/>
        </w:rPr>
      </w:pPr>
      <w:r>
        <w:rPr>
          <w:rFonts w:ascii="Arial" w:hAnsi="Arial" w:cs="Arial"/>
          <w:noProof/>
          <w:sz w:val="24"/>
          <w:szCs w:val="24"/>
          <w14:ligatures w14:val="standardContextual"/>
        </w:rPr>
        <w:drawing>
          <wp:inline distT="0" distB="0" distL="0" distR="0" wp14:anchorId="008CAA23" wp14:editId="4B63BF0C">
            <wp:extent cx="6645910" cy="2227580"/>
            <wp:effectExtent l="0" t="0" r="0" b="0"/>
            <wp:docPr id="914221641" name="Picture 3"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221641" name="Picture 3" descr="A screenshot of a spreadshee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645910" cy="2227580"/>
                    </a:xfrm>
                    <a:prstGeom prst="rect">
                      <a:avLst/>
                    </a:prstGeom>
                  </pic:spPr>
                </pic:pic>
              </a:graphicData>
            </a:graphic>
          </wp:inline>
        </w:drawing>
      </w:r>
    </w:p>
    <w:p w14:paraId="58D9C775" w14:textId="401F2938" w:rsidR="00FA2E6F" w:rsidRDefault="001C0B1A">
      <w:pPr>
        <w:rPr>
          <w:rFonts w:ascii="Arial" w:hAnsi="Arial" w:cs="Arial"/>
          <w:b/>
          <w:bCs/>
          <w:i/>
          <w:iCs/>
          <w:sz w:val="24"/>
          <w:szCs w:val="24"/>
          <w:u w:val="single"/>
        </w:rPr>
      </w:pPr>
      <w:r>
        <w:rPr>
          <w:rFonts w:ascii="Arial" w:hAnsi="Arial" w:cs="Arial"/>
          <w:b/>
          <w:bCs/>
          <w:i/>
          <w:iCs/>
          <w:sz w:val="24"/>
          <w:szCs w:val="24"/>
          <w:u w:val="single"/>
        </w:rPr>
        <w:lastRenderedPageBreak/>
        <w:t xml:space="preserve">Part B - </w:t>
      </w:r>
      <w:r w:rsidRPr="001C0B1A">
        <w:rPr>
          <w:rFonts w:ascii="Arial" w:hAnsi="Arial" w:cs="Arial"/>
          <w:b/>
          <w:bCs/>
          <w:i/>
          <w:iCs/>
          <w:sz w:val="24"/>
          <w:szCs w:val="24"/>
          <w:u w:val="single"/>
        </w:rPr>
        <w:t xml:space="preserve">A Critical Review </w:t>
      </w:r>
      <w:proofErr w:type="gramStart"/>
      <w:r w:rsidRPr="001C0B1A">
        <w:rPr>
          <w:rFonts w:ascii="Arial" w:hAnsi="Arial" w:cs="Arial"/>
          <w:b/>
          <w:bCs/>
          <w:i/>
          <w:iCs/>
          <w:sz w:val="24"/>
          <w:szCs w:val="24"/>
          <w:u w:val="single"/>
        </w:rPr>
        <w:t>Of</w:t>
      </w:r>
      <w:proofErr w:type="gramEnd"/>
      <w:r w:rsidRPr="001C0B1A">
        <w:rPr>
          <w:rFonts w:ascii="Arial" w:hAnsi="Arial" w:cs="Arial"/>
          <w:b/>
          <w:bCs/>
          <w:i/>
          <w:iCs/>
          <w:sz w:val="24"/>
          <w:szCs w:val="24"/>
          <w:u w:val="single"/>
        </w:rPr>
        <w:t xml:space="preserve"> The Company’s Financial Performance:</w:t>
      </w:r>
    </w:p>
    <w:p w14:paraId="75C6F76D" w14:textId="096277C2" w:rsidR="00067F01" w:rsidRPr="00F85FDF" w:rsidRDefault="00BE5D71">
      <w:pPr>
        <w:rPr>
          <w:rFonts w:ascii="Arial" w:hAnsi="Arial" w:cs="Arial"/>
          <w:b/>
          <w:bCs/>
          <w:sz w:val="24"/>
          <w:szCs w:val="24"/>
        </w:rPr>
      </w:pPr>
      <w:r w:rsidRPr="005B054C">
        <w:rPr>
          <w:rFonts w:ascii="Arial" w:hAnsi="Arial" w:cs="Arial"/>
          <w:b/>
          <w:bCs/>
          <w:sz w:val="24"/>
          <w:szCs w:val="24"/>
        </w:rPr>
        <w:t>WALGREENS</w:t>
      </w:r>
      <w:r w:rsidR="005B054C">
        <w:rPr>
          <w:rFonts w:ascii="Arial" w:hAnsi="Arial" w:cs="Arial"/>
          <w:b/>
          <w:bCs/>
          <w:sz w:val="24"/>
          <w:szCs w:val="24"/>
        </w:rPr>
        <w:t xml:space="preserve"> – Financial Performance</w:t>
      </w:r>
    </w:p>
    <w:p w14:paraId="300241B8" w14:textId="0AFBA206" w:rsidR="005B054C" w:rsidRDefault="007A3723" w:rsidP="007A3723">
      <w:pPr>
        <w:jc w:val="center"/>
        <w:rPr>
          <w:rFonts w:ascii="Arial" w:hAnsi="Arial" w:cs="Arial"/>
          <w:sz w:val="24"/>
          <w:szCs w:val="24"/>
        </w:rPr>
      </w:pPr>
      <w:r>
        <w:rPr>
          <w:rFonts w:ascii="Arial" w:hAnsi="Arial" w:cs="Arial"/>
          <w:noProof/>
          <w:sz w:val="24"/>
          <w:szCs w:val="24"/>
          <w14:ligatures w14:val="standardContextual"/>
        </w:rPr>
        <w:drawing>
          <wp:inline distT="0" distB="0" distL="0" distR="0" wp14:anchorId="72836FAE" wp14:editId="093177A7">
            <wp:extent cx="3378200" cy="1854200"/>
            <wp:effectExtent l="0" t="0" r="0" b="0"/>
            <wp:docPr id="1321029773" name="Picture 4" descr="A table with numbers and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29773" name="Picture 4" descr="A table with numbers and a red 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378200" cy="1854200"/>
                    </a:xfrm>
                    <a:prstGeom prst="rect">
                      <a:avLst/>
                    </a:prstGeom>
                  </pic:spPr>
                </pic:pic>
              </a:graphicData>
            </a:graphic>
          </wp:inline>
        </w:drawing>
      </w:r>
    </w:p>
    <w:p w14:paraId="1F2C287C" w14:textId="27832CD2" w:rsidR="00C36D2E" w:rsidRPr="00C36D2E" w:rsidRDefault="00C36D2E" w:rsidP="007A3723">
      <w:pPr>
        <w:jc w:val="center"/>
        <w:rPr>
          <w:rFonts w:ascii="Arial" w:hAnsi="Arial" w:cs="Arial"/>
          <w:b/>
          <w:bCs/>
          <w:i/>
          <w:iCs/>
          <w:sz w:val="24"/>
          <w:szCs w:val="24"/>
        </w:rPr>
      </w:pPr>
      <w:r w:rsidRPr="00C36D2E">
        <w:rPr>
          <w:rFonts w:ascii="Arial" w:hAnsi="Arial" w:cs="Arial"/>
          <w:b/>
          <w:bCs/>
          <w:i/>
          <w:iCs/>
          <w:sz w:val="24"/>
          <w:szCs w:val="24"/>
        </w:rPr>
        <w:t>Table 1.1 – Profitability Ratio</w:t>
      </w:r>
    </w:p>
    <w:p w14:paraId="028DACA0" w14:textId="6CF8D5B4" w:rsidR="00F85FDF" w:rsidRDefault="00C36D2E" w:rsidP="00CC6602">
      <w:pPr>
        <w:jc w:val="both"/>
        <w:rPr>
          <w:rFonts w:ascii="Arial" w:hAnsi="Arial" w:cs="Arial"/>
          <w:sz w:val="24"/>
          <w:szCs w:val="24"/>
        </w:rPr>
      </w:pPr>
      <w:r>
        <w:rPr>
          <w:rFonts w:ascii="Arial" w:hAnsi="Arial" w:cs="Arial"/>
          <w:sz w:val="24"/>
          <w:szCs w:val="24"/>
        </w:rPr>
        <w:t xml:space="preserve">A profitability statement is very important to display how well a company’s earnings are over a certain </w:t>
      </w:r>
      <w:proofErr w:type="gramStart"/>
      <w:r>
        <w:rPr>
          <w:rFonts w:ascii="Arial" w:hAnsi="Arial" w:cs="Arial"/>
          <w:sz w:val="24"/>
          <w:szCs w:val="24"/>
        </w:rPr>
        <w:t>period.</w:t>
      </w:r>
      <w:r w:rsidR="00F85FDF">
        <w:rPr>
          <w:rFonts w:ascii="Arial" w:hAnsi="Arial" w:cs="Arial"/>
          <w:sz w:val="24"/>
          <w:szCs w:val="24"/>
        </w:rPr>
        <w:t>(</w:t>
      </w:r>
      <w:proofErr w:type="gramEnd"/>
      <w:r w:rsidR="00F85FDF" w:rsidRPr="00F85FDF">
        <w:rPr>
          <w:rFonts w:ascii="Arial" w:hAnsi="Arial" w:cs="Arial"/>
          <w:sz w:val="24"/>
          <w:szCs w:val="24"/>
          <w:highlight w:val="yellow"/>
        </w:rPr>
        <w:t>REFERENCE)</w:t>
      </w:r>
      <w:r>
        <w:rPr>
          <w:rFonts w:ascii="Arial" w:hAnsi="Arial" w:cs="Arial"/>
          <w:sz w:val="24"/>
          <w:szCs w:val="24"/>
        </w:rPr>
        <w:t xml:space="preserve"> There are 3 main ratios in which a company may use to assess the company’s current profitability statement, these are Gross Margin, Operating Margin and Net Profit Margin. From the latest income statement provided (see table 1.1), WBA saw a fluctuating year. </w:t>
      </w:r>
      <w:r w:rsidR="0094031A">
        <w:rPr>
          <w:rFonts w:ascii="Arial" w:hAnsi="Arial" w:cs="Arial"/>
          <w:sz w:val="24"/>
          <w:szCs w:val="24"/>
        </w:rPr>
        <w:t xml:space="preserve">According to the gross margin, WBA saw a 19.46% percentage which means that per </w:t>
      </w:r>
      <w:r w:rsidR="00807B5B">
        <w:rPr>
          <w:rFonts w:ascii="Arial" w:hAnsi="Arial" w:cs="Arial"/>
          <w:sz w:val="24"/>
          <w:szCs w:val="24"/>
        </w:rPr>
        <w:t xml:space="preserve">sales </w:t>
      </w:r>
      <w:r w:rsidR="0094031A">
        <w:rPr>
          <w:rFonts w:ascii="Arial" w:hAnsi="Arial" w:cs="Arial"/>
          <w:sz w:val="24"/>
          <w:szCs w:val="24"/>
        </w:rPr>
        <w:t>dollar</w:t>
      </w:r>
      <w:r w:rsidR="00807B5B">
        <w:rPr>
          <w:rFonts w:ascii="Arial" w:hAnsi="Arial" w:cs="Arial"/>
          <w:sz w:val="24"/>
          <w:szCs w:val="24"/>
        </w:rPr>
        <w:t xml:space="preserve">, roughly 20 cents was available to during the year of 2023. This is lower than 2022, which sat at roughly </w:t>
      </w:r>
      <w:r w:rsidR="00D805DB">
        <w:rPr>
          <w:rFonts w:ascii="Arial" w:hAnsi="Arial" w:cs="Arial"/>
          <w:sz w:val="24"/>
          <w:szCs w:val="24"/>
        </w:rPr>
        <w:t xml:space="preserve">21.30%, meaning </w:t>
      </w:r>
      <w:r w:rsidR="00807B5B">
        <w:rPr>
          <w:rFonts w:ascii="Arial" w:hAnsi="Arial" w:cs="Arial"/>
          <w:sz w:val="24"/>
          <w:szCs w:val="24"/>
        </w:rPr>
        <w:t>21 cents of per sales dollar</w:t>
      </w:r>
      <w:r w:rsidR="00D805DB">
        <w:rPr>
          <w:rFonts w:ascii="Arial" w:hAnsi="Arial" w:cs="Arial"/>
          <w:sz w:val="24"/>
          <w:szCs w:val="24"/>
        </w:rPr>
        <w:t xml:space="preserve"> to pay towards fixed costs. </w:t>
      </w:r>
      <w:r w:rsidR="00A672B4">
        <w:rPr>
          <w:rFonts w:ascii="Arial" w:hAnsi="Arial" w:cs="Arial"/>
          <w:sz w:val="24"/>
          <w:szCs w:val="24"/>
        </w:rPr>
        <w:t xml:space="preserve">However, looking at the Operating Margin, the income statement (see table 1.1) is at a negative balance. </w:t>
      </w:r>
      <w:r w:rsidR="003A7C5A" w:rsidRPr="003A7C5A">
        <w:rPr>
          <w:rFonts w:ascii="Arial" w:hAnsi="Arial" w:cs="Arial"/>
          <w:sz w:val="24"/>
          <w:szCs w:val="24"/>
        </w:rPr>
        <w:t xml:space="preserve">The company's operating margin of -4.95% means that for every dollar of revenue, operating losses </w:t>
      </w:r>
      <w:r w:rsidR="003A7C5A" w:rsidRPr="003A7C5A">
        <w:rPr>
          <w:rFonts w:ascii="Arial" w:hAnsi="Arial" w:cs="Arial"/>
          <w:sz w:val="24"/>
          <w:szCs w:val="24"/>
        </w:rPr>
        <w:t>totalled</w:t>
      </w:r>
      <w:r w:rsidR="003A7C5A" w:rsidRPr="003A7C5A">
        <w:rPr>
          <w:rFonts w:ascii="Arial" w:hAnsi="Arial" w:cs="Arial"/>
          <w:sz w:val="24"/>
          <w:szCs w:val="24"/>
        </w:rPr>
        <w:t xml:space="preserve"> 4</w:t>
      </w:r>
      <w:r w:rsidR="000C4CE0">
        <w:rPr>
          <w:rFonts w:ascii="Arial" w:hAnsi="Arial" w:cs="Arial"/>
          <w:sz w:val="24"/>
          <w:szCs w:val="24"/>
        </w:rPr>
        <w:t xml:space="preserve"> cents</w:t>
      </w:r>
      <w:r w:rsidR="003A7C5A" w:rsidRPr="003A7C5A">
        <w:rPr>
          <w:rFonts w:ascii="Arial" w:hAnsi="Arial" w:cs="Arial"/>
          <w:sz w:val="24"/>
          <w:szCs w:val="24"/>
        </w:rPr>
        <w:t>. This negative operating margin indicates that throughout the time, the company's operational costs—which include costs for manufacturing, administration, and overhead—exceeded its income.</w:t>
      </w:r>
      <w:r w:rsidR="003A7C5A">
        <w:rPr>
          <w:rFonts w:ascii="Arial" w:hAnsi="Arial" w:cs="Arial"/>
          <w:sz w:val="24"/>
          <w:szCs w:val="24"/>
        </w:rPr>
        <w:t xml:space="preserve"> Furthermore, </w:t>
      </w:r>
      <w:r w:rsidR="003A7C5A" w:rsidRPr="003A7C5A">
        <w:rPr>
          <w:rFonts w:ascii="Arial" w:hAnsi="Arial" w:cs="Arial"/>
          <w:sz w:val="24"/>
          <w:szCs w:val="24"/>
        </w:rPr>
        <w:t>the</w:t>
      </w:r>
      <w:r w:rsidR="003A7C5A" w:rsidRPr="003A7C5A">
        <w:rPr>
          <w:rFonts w:ascii="Arial" w:hAnsi="Arial" w:cs="Arial"/>
          <w:sz w:val="24"/>
          <w:szCs w:val="24"/>
        </w:rPr>
        <w:t xml:space="preserve"> net profit margin of -2.21% signifies that the business incurred a net loss equal to 2.21% of its total revenue after deducting all expenditures, such as interest, taxes, and other expenses related to operations. This indicates that there was an overall net loss for the company </w:t>
      </w:r>
      <w:r w:rsidR="00067F01" w:rsidRPr="003A7C5A">
        <w:rPr>
          <w:rFonts w:ascii="Arial" w:hAnsi="Arial" w:cs="Arial"/>
          <w:sz w:val="24"/>
          <w:szCs w:val="24"/>
        </w:rPr>
        <w:t>because of</w:t>
      </w:r>
      <w:r w:rsidR="003A7C5A" w:rsidRPr="003A7C5A">
        <w:rPr>
          <w:rFonts w:ascii="Arial" w:hAnsi="Arial" w:cs="Arial"/>
          <w:sz w:val="24"/>
          <w:szCs w:val="24"/>
        </w:rPr>
        <w:t xml:space="preserve"> its expenses exceeding its revenue.</w:t>
      </w:r>
    </w:p>
    <w:p w14:paraId="0B1A8109" w14:textId="65630D9C" w:rsidR="00067F01" w:rsidRDefault="00CC6602" w:rsidP="00CC6602">
      <w:pPr>
        <w:jc w:val="center"/>
        <w:rPr>
          <w:rFonts w:ascii="Arial" w:hAnsi="Arial" w:cs="Arial"/>
          <w:sz w:val="24"/>
          <w:szCs w:val="24"/>
        </w:rPr>
      </w:pPr>
      <w:r>
        <w:rPr>
          <w:rFonts w:ascii="Arial" w:hAnsi="Arial" w:cs="Arial"/>
          <w:noProof/>
          <w:sz w:val="24"/>
          <w:szCs w:val="24"/>
          <w14:ligatures w14:val="standardContextual"/>
        </w:rPr>
        <w:drawing>
          <wp:inline distT="0" distB="0" distL="0" distR="0" wp14:anchorId="240DFB88" wp14:editId="3514E2FC">
            <wp:extent cx="3403600" cy="698500"/>
            <wp:effectExtent l="0" t="0" r="0" b="2540"/>
            <wp:docPr id="285372705" name="Picture 5"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72705" name="Picture 5" descr="A table with numbers and symbol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403600" cy="698500"/>
                    </a:xfrm>
                    <a:prstGeom prst="rect">
                      <a:avLst/>
                    </a:prstGeom>
                  </pic:spPr>
                </pic:pic>
              </a:graphicData>
            </a:graphic>
          </wp:inline>
        </w:drawing>
      </w:r>
    </w:p>
    <w:p w14:paraId="70BA595C" w14:textId="5DC7874A" w:rsidR="00067F01" w:rsidRDefault="00CC6602" w:rsidP="00CC6602">
      <w:pPr>
        <w:jc w:val="center"/>
        <w:rPr>
          <w:rFonts w:ascii="Arial" w:hAnsi="Arial" w:cs="Arial"/>
          <w:b/>
          <w:bCs/>
          <w:sz w:val="24"/>
          <w:szCs w:val="24"/>
        </w:rPr>
      </w:pPr>
      <w:r>
        <w:rPr>
          <w:rFonts w:ascii="Arial" w:hAnsi="Arial" w:cs="Arial"/>
          <w:b/>
          <w:bCs/>
          <w:sz w:val="24"/>
          <w:szCs w:val="24"/>
        </w:rPr>
        <w:t xml:space="preserve">Table </w:t>
      </w:r>
      <w:r w:rsidRPr="00CC6602">
        <w:rPr>
          <w:rFonts w:ascii="Arial" w:hAnsi="Arial" w:cs="Arial"/>
          <w:b/>
          <w:bCs/>
          <w:sz w:val="24"/>
          <w:szCs w:val="24"/>
        </w:rPr>
        <w:t xml:space="preserve">1.2 </w:t>
      </w:r>
      <w:r>
        <w:rPr>
          <w:rFonts w:ascii="Arial" w:hAnsi="Arial" w:cs="Arial"/>
          <w:b/>
          <w:bCs/>
          <w:sz w:val="24"/>
          <w:szCs w:val="24"/>
        </w:rPr>
        <w:t xml:space="preserve">– </w:t>
      </w:r>
      <w:r w:rsidRPr="00CC6602">
        <w:rPr>
          <w:rFonts w:ascii="Arial" w:hAnsi="Arial" w:cs="Arial"/>
          <w:b/>
          <w:bCs/>
          <w:sz w:val="24"/>
          <w:szCs w:val="24"/>
        </w:rPr>
        <w:t>Liquidity Rati</w:t>
      </w:r>
      <w:r>
        <w:rPr>
          <w:rFonts w:ascii="Arial" w:hAnsi="Arial" w:cs="Arial"/>
          <w:b/>
          <w:bCs/>
          <w:sz w:val="24"/>
          <w:szCs w:val="24"/>
        </w:rPr>
        <w:t>o</w:t>
      </w:r>
    </w:p>
    <w:p w14:paraId="1C1308C4" w14:textId="3961835A" w:rsidR="00B458A0" w:rsidRPr="00A66C5C" w:rsidRDefault="00A66C5C" w:rsidP="00A66C5C">
      <w:pPr>
        <w:jc w:val="both"/>
        <w:rPr>
          <w:rFonts w:ascii="Arial" w:hAnsi="Arial" w:cs="Arial"/>
          <w:sz w:val="24"/>
          <w:szCs w:val="24"/>
        </w:rPr>
      </w:pPr>
      <w:r w:rsidRPr="00A66C5C">
        <w:rPr>
          <w:rFonts w:ascii="Arial" w:hAnsi="Arial" w:cs="Arial"/>
          <w:sz w:val="24"/>
          <w:szCs w:val="24"/>
        </w:rPr>
        <w:t xml:space="preserve">A liquidity ratio known </w:t>
      </w:r>
      <w:r w:rsidRPr="00A66C5C">
        <w:rPr>
          <w:rFonts w:ascii="Arial" w:hAnsi="Arial" w:cs="Arial"/>
          <w:sz w:val="24"/>
          <w:szCs w:val="24"/>
        </w:rPr>
        <w:t>as the</w:t>
      </w:r>
      <w:r w:rsidRPr="00A66C5C">
        <w:rPr>
          <w:rFonts w:ascii="Arial" w:hAnsi="Arial" w:cs="Arial"/>
          <w:sz w:val="24"/>
          <w:szCs w:val="24"/>
        </w:rPr>
        <w:t xml:space="preserve"> current ratio assesses a company's capacity to settle short-term debt or bills that are due within a year. It provides information to analysts and investors on how a business might maximise its current assets on the balance sheet </w:t>
      </w:r>
      <w:r w:rsidRPr="00A66C5C">
        <w:rPr>
          <w:rFonts w:ascii="Arial" w:hAnsi="Arial" w:cs="Arial"/>
          <w:sz w:val="24"/>
          <w:szCs w:val="24"/>
        </w:rPr>
        <w:t>to</w:t>
      </w:r>
      <w:r w:rsidRPr="00A66C5C">
        <w:rPr>
          <w:rFonts w:ascii="Arial" w:hAnsi="Arial" w:cs="Arial"/>
          <w:sz w:val="24"/>
          <w:szCs w:val="24"/>
        </w:rPr>
        <w:t xml:space="preserve"> pay down its current debt and other </w:t>
      </w:r>
      <w:proofErr w:type="gramStart"/>
      <w:r w:rsidR="00F85FDF" w:rsidRPr="00A66C5C">
        <w:rPr>
          <w:rFonts w:ascii="Arial" w:hAnsi="Arial" w:cs="Arial"/>
          <w:sz w:val="24"/>
          <w:szCs w:val="24"/>
        </w:rPr>
        <w:t>payables.</w:t>
      </w:r>
      <w:r w:rsidR="00F85FDF">
        <w:rPr>
          <w:rFonts w:ascii="Arial" w:hAnsi="Arial" w:cs="Arial"/>
          <w:sz w:val="24"/>
          <w:szCs w:val="24"/>
        </w:rPr>
        <w:t>(</w:t>
      </w:r>
      <w:proofErr w:type="gramEnd"/>
      <w:r w:rsidR="00F85FDF" w:rsidRPr="00F85FDF">
        <w:rPr>
          <w:rFonts w:ascii="Arial" w:hAnsi="Arial" w:cs="Arial"/>
          <w:sz w:val="24"/>
          <w:szCs w:val="24"/>
          <w:highlight w:val="yellow"/>
        </w:rPr>
        <w:t>REFERENCE)</w:t>
      </w:r>
      <w:r>
        <w:rPr>
          <w:rFonts w:ascii="Arial" w:hAnsi="Arial" w:cs="Arial"/>
          <w:sz w:val="24"/>
          <w:szCs w:val="24"/>
        </w:rPr>
        <w:t xml:space="preserve"> </w:t>
      </w:r>
      <w:r w:rsidR="00F85FDF">
        <w:rPr>
          <w:rFonts w:ascii="Arial" w:hAnsi="Arial" w:cs="Arial"/>
          <w:sz w:val="24"/>
          <w:szCs w:val="24"/>
        </w:rPr>
        <w:t xml:space="preserve">WBAs </w:t>
      </w:r>
      <w:r w:rsidR="00F85FDF" w:rsidRPr="00A66C5C">
        <w:rPr>
          <w:rFonts w:ascii="Arial" w:hAnsi="Arial" w:cs="Arial"/>
          <w:sz w:val="24"/>
          <w:szCs w:val="24"/>
        </w:rPr>
        <w:t xml:space="preserve">has roughly $0.63 in current assets available to fulfil its commitments for every dollar in current liabilities, according to the current ratio of </w:t>
      </w:r>
      <w:r w:rsidR="00F85FDF">
        <w:rPr>
          <w:rFonts w:ascii="Arial" w:hAnsi="Arial" w:cs="Arial"/>
          <w:sz w:val="24"/>
          <w:szCs w:val="24"/>
        </w:rPr>
        <w:t>63.19% (0</w:t>
      </w:r>
      <w:r w:rsidR="00F85FDF" w:rsidRPr="00A66C5C">
        <w:rPr>
          <w:rFonts w:ascii="Arial" w:hAnsi="Arial" w:cs="Arial"/>
          <w:sz w:val="24"/>
          <w:szCs w:val="24"/>
        </w:rPr>
        <w:t>.632</w:t>
      </w:r>
      <w:r w:rsidR="00F85FDF">
        <w:rPr>
          <w:rFonts w:ascii="Arial" w:hAnsi="Arial" w:cs="Arial"/>
          <w:sz w:val="24"/>
          <w:szCs w:val="24"/>
        </w:rPr>
        <w:t>)</w:t>
      </w:r>
      <w:r w:rsidR="00F85FDF" w:rsidRPr="00A66C5C">
        <w:rPr>
          <w:rFonts w:ascii="Arial" w:hAnsi="Arial" w:cs="Arial"/>
          <w:sz w:val="24"/>
          <w:szCs w:val="24"/>
        </w:rPr>
        <w:t>.</w:t>
      </w:r>
      <w:r w:rsidR="00F85FDF">
        <w:rPr>
          <w:rFonts w:ascii="Arial" w:hAnsi="Arial" w:cs="Arial"/>
          <w:sz w:val="24"/>
          <w:szCs w:val="24"/>
        </w:rPr>
        <w:t xml:space="preserve"> </w:t>
      </w:r>
      <w:r w:rsidR="00F85FDF">
        <w:rPr>
          <w:rFonts w:ascii="Arial" w:hAnsi="Arial" w:cs="Arial"/>
          <w:sz w:val="24"/>
          <w:szCs w:val="24"/>
        </w:rPr>
        <w:t xml:space="preserve">WBAs </w:t>
      </w:r>
      <w:r>
        <w:rPr>
          <w:rFonts w:ascii="Arial" w:hAnsi="Arial" w:cs="Arial"/>
          <w:sz w:val="24"/>
          <w:szCs w:val="24"/>
        </w:rPr>
        <w:t xml:space="preserve">current ratio for the financial year falls below 1.0 (see table 1.2) this may show implications for the company as a value above 1.0 tends to be considered favourable. </w:t>
      </w:r>
      <w:r w:rsidR="00F85FDF" w:rsidRPr="00F85FDF">
        <w:rPr>
          <w:rFonts w:ascii="Arial" w:hAnsi="Arial" w:cs="Arial"/>
          <w:sz w:val="24"/>
          <w:szCs w:val="24"/>
        </w:rPr>
        <w:t>A current ratio less than 1.0, on the other hand, indicates that the company's current liabilities are more than its current assets, which raises questions about its capacity to pay short-term debt using its current assets.</w:t>
      </w:r>
      <w:r w:rsidR="00F85FDF">
        <w:rPr>
          <w:rFonts w:ascii="Arial" w:hAnsi="Arial" w:cs="Arial"/>
          <w:sz w:val="24"/>
          <w:szCs w:val="24"/>
        </w:rPr>
        <w:t xml:space="preserve"> Additionally, a</w:t>
      </w:r>
      <w:r w:rsidR="00F85FDF" w:rsidRPr="00F85FDF">
        <w:rPr>
          <w:rFonts w:ascii="Arial" w:hAnsi="Arial" w:cs="Arial"/>
          <w:sz w:val="24"/>
          <w:szCs w:val="24"/>
        </w:rPr>
        <w:t xml:space="preserve"> low current ratio could be a sign of liquidity issues, making it more difficult for the business to finance ongoing operations, settle debt, or seize expansion prospects.</w:t>
      </w:r>
      <w:r w:rsidR="004D081D">
        <w:rPr>
          <w:rFonts w:ascii="Arial" w:hAnsi="Arial" w:cs="Arial"/>
          <w:sz w:val="24"/>
          <w:szCs w:val="24"/>
        </w:rPr>
        <w:t xml:space="preserve"> Comparing it to the previous year, there was a slight decline with 2022 presenting a ratio value of 74.84% (0.7480.)</w:t>
      </w:r>
    </w:p>
    <w:p w14:paraId="69D1DC6B" w14:textId="06746D59" w:rsidR="00067F01" w:rsidRDefault="00CC6602" w:rsidP="00CC6602">
      <w:pPr>
        <w:jc w:val="center"/>
        <w:rPr>
          <w:rFonts w:ascii="Arial" w:hAnsi="Arial" w:cs="Arial"/>
          <w:sz w:val="24"/>
          <w:szCs w:val="24"/>
        </w:rPr>
      </w:pPr>
      <w:r>
        <w:rPr>
          <w:rFonts w:ascii="Arial" w:hAnsi="Arial" w:cs="Arial"/>
          <w:noProof/>
          <w:sz w:val="24"/>
          <w:szCs w:val="24"/>
          <w14:ligatures w14:val="standardContextual"/>
        </w:rPr>
        <w:lastRenderedPageBreak/>
        <w:drawing>
          <wp:inline distT="0" distB="0" distL="0" distR="0" wp14:anchorId="3B93A727" wp14:editId="1B573210">
            <wp:extent cx="4241800" cy="1295400"/>
            <wp:effectExtent l="0" t="0" r="0" b="0"/>
            <wp:docPr id="215719366" name="Picture 6"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19366" name="Picture 6" descr="A table with numbers and symbol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241800" cy="1295400"/>
                    </a:xfrm>
                    <a:prstGeom prst="rect">
                      <a:avLst/>
                    </a:prstGeom>
                  </pic:spPr>
                </pic:pic>
              </a:graphicData>
            </a:graphic>
          </wp:inline>
        </w:drawing>
      </w:r>
    </w:p>
    <w:p w14:paraId="18635273" w14:textId="45DEA27D" w:rsidR="00067F01" w:rsidRDefault="00CC6602" w:rsidP="00CC6602">
      <w:pPr>
        <w:jc w:val="center"/>
        <w:rPr>
          <w:rFonts w:ascii="Arial" w:hAnsi="Arial" w:cs="Arial"/>
          <w:b/>
          <w:bCs/>
          <w:sz w:val="24"/>
          <w:szCs w:val="24"/>
        </w:rPr>
      </w:pPr>
      <w:r w:rsidRPr="00CC6602">
        <w:rPr>
          <w:rFonts w:ascii="Arial" w:hAnsi="Arial" w:cs="Arial"/>
          <w:b/>
          <w:bCs/>
          <w:sz w:val="24"/>
          <w:szCs w:val="24"/>
        </w:rPr>
        <w:t>Table 1.3 – Efficiency Ratio</w:t>
      </w:r>
    </w:p>
    <w:p w14:paraId="4C42A771" w14:textId="77777777" w:rsidR="00F85FDF" w:rsidRDefault="00F85FDF" w:rsidP="00CC6602">
      <w:pPr>
        <w:jc w:val="center"/>
        <w:rPr>
          <w:rFonts w:ascii="Arial" w:hAnsi="Arial" w:cs="Arial"/>
          <w:b/>
          <w:bCs/>
          <w:sz w:val="24"/>
          <w:szCs w:val="24"/>
        </w:rPr>
      </w:pPr>
    </w:p>
    <w:p w14:paraId="3AC7766F" w14:textId="77777777" w:rsidR="00CC6602" w:rsidRPr="00CC6602" w:rsidRDefault="00CC6602" w:rsidP="00CC6602">
      <w:pPr>
        <w:jc w:val="center"/>
        <w:rPr>
          <w:rFonts w:ascii="Arial" w:hAnsi="Arial" w:cs="Arial"/>
          <w:b/>
          <w:bCs/>
          <w:sz w:val="24"/>
          <w:szCs w:val="24"/>
        </w:rPr>
      </w:pPr>
    </w:p>
    <w:p w14:paraId="0ED8DA12" w14:textId="7D20AEDA" w:rsidR="00067F01" w:rsidRDefault="00CC6602" w:rsidP="00CC6602">
      <w:pPr>
        <w:jc w:val="center"/>
        <w:rPr>
          <w:rFonts w:ascii="Arial" w:hAnsi="Arial" w:cs="Arial"/>
          <w:sz w:val="24"/>
          <w:szCs w:val="24"/>
        </w:rPr>
      </w:pPr>
      <w:r>
        <w:rPr>
          <w:rFonts w:ascii="Arial" w:hAnsi="Arial" w:cs="Arial"/>
          <w:noProof/>
          <w:sz w:val="24"/>
          <w:szCs w:val="24"/>
          <w14:ligatures w14:val="standardContextual"/>
        </w:rPr>
        <w:drawing>
          <wp:inline distT="0" distB="0" distL="0" distR="0" wp14:anchorId="69E0E5D1" wp14:editId="1127FB41">
            <wp:extent cx="4241800" cy="1295400"/>
            <wp:effectExtent l="0" t="0" r="0" b="0"/>
            <wp:docPr id="1171506440" name="Picture 7"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506440" name="Picture 7" descr="A table with numbers and symbol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241800" cy="1295400"/>
                    </a:xfrm>
                    <a:prstGeom prst="rect">
                      <a:avLst/>
                    </a:prstGeom>
                  </pic:spPr>
                </pic:pic>
              </a:graphicData>
            </a:graphic>
          </wp:inline>
        </w:drawing>
      </w:r>
    </w:p>
    <w:p w14:paraId="47F92E48" w14:textId="1A3781B2" w:rsidR="00CC6602" w:rsidRPr="00CC6602" w:rsidRDefault="00CC6602" w:rsidP="00CC6602">
      <w:pPr>
        <w:jc w:val="center"/>
        <w:rPr>
          <w:rFonts w:ascii="Arial" w:hAnsi="Arial" w:cs="Arial"/>
          <w:b/>
          <w:bCs/>
          <w:sz w:val="24"/>
          <w:szCs w:val="24"/>
        </w:rPr>
      </w:pPr>
      <w:r w:rsidRPr="00CC6602">
        <w:rPr>
          <w:rFonts w:ascii="Arial" w:hAnsi="Arial" w:cs="Arial"/>
          <w:b/>
          <w:bCs/>
          <w:sz w:val="24"/>
          <w:szCs w:val="24"/>
        </w:rPr>
        <w:t>Table 1.4 – Gearing Ratio</w:t>
      </w:r>
    </w:p>
    <w:p w14:paraId="22E161E4" w14:textId="77777777" w:rsidR="00067F01" w:rsidRDefault="00067F01">
      <w:pPr>
        <w:rPr>
          <w:rFonts w:ascii="Arial" w:hAnsi="Arial" w:cs="Arial"/>
          <w:sz w:val="24"/>
          <w:szCs w:val="24"/>
        </w:rPr>
      </w:pPr>
    </w:p>
    <w:p w14:paraId="18D5D7CB" w14:textId="77777777" w:rsidR="00067F01" w:rsidRDefault="00067F01">
      <w:pPr>
        <w:rPr>
          <w:rFonts w:ascii="Arial" w:hAnsi="Arial" w:cs="Arial"/>
          <w:sz w:val="24"/>
          <w:szCs w:val="24"/>
        </w:rPr>
      </w:pPr>
    </w:p>
    <w:p w14:paraId="2936CBAA" w14:textId="77777777" w:rsidR="00067F01" w:rsidRDefault="00067F01">
      <w:pPr>
        <w:rPr>
          <w:rFonts w:ascii="Arial" w:hAnsi="Arial" w:cs="Arial"/>
          <w:sz w:val="24"/>
          <w:szCs w:val="24"/>
        </w:rPr>
      </w:pPr>
    </w:p>
    <w:p w14:paraId="6BBC7AF8" w14:textId="77777777" w:rsidR="00067F01" w:rsidRDefault="00067F01">
      <w:pPr>
        <w:rPr>
          <w:rFonts w:ascii="Arial" w:hAnsi="Arial" w:cs="Arial"/>
          <w:sz w:val="24"/>
          <w:szCs w:val="24"/>
        </w:rPr>
      </w:pPr>
    </w:p>
    <w:p w14:paraId="2FE934D0" w14:textId="77777777" w:rsidR="00067F01" w:rsidRDefault="00067F01">
      <w:pPr>
        <w:rPr>
          <w:rFonts w:ascii="Arial" w:hAnsi="Arial" w:cs="Arial"/>
          <w:sz w:val="24"/>
          <w:szCs w:val="24"/>
        </w:rPr>
      </w:pPr>
    </w:p>
    <w:p w14:paraId="63AA6B1E" w14:textId="77777777" w:rsidR="00F85FDF" w:rsidRDefault="00F85FDF">
      <w:pPr>
        <w:rPr>
          <w:rFonts w:ascii="Arial" w:hAnsi="Arial" w:cs="Arial"/>
          <w:sz w:val="24"/>
          <w:szCs w:val="24"/>
        </w:rPr>
      </w:pPr>
    </w:p>
    <w:p w14:paraId="6F4C860A" w14:textId="77777777" w:rsidR="00F85FDF" w:rsidRDefault="00F85FDF">
      <w:pPr>
        <w:rPr>
          <w:rFonts w:ascii="Arial" w:hAnsi="Arial" w:cs="Arial"/>
          <w:sz w:val="24"/>
          <w:szCs w:val="24"/>
        </w:rPr>
      </w:pPr>
    </w:p>
    <w:p w14:paraId="6EDBC41D" w14:textId="77777777" w:rsidR="00F85FDF" w:rsidRDefault="00F85FDF">
      <w:pPr>
        <w:rPr>
          <w:rFonts w:ascii="Arial" w:hAnsi="Arial" w:cs="Arial"/>
          <w:sz w:val="24"/>
          <w:szCs w:val="24"/>
        </w:rPr>
      </w:pPr>
    </w:p>
    <w:p w14:paraId="099622AF" w14:textId="77777777" w:rsidR="00F85FDF" w:rsidRDefault="00F85FDF">
      <w:pPr>
        <w:rPr>
          <w:rFonts w:ascii="Arial" w:hAnsi="Arial" w:cs="Arial"/>
          <w:sz w:val="24"/>
          <w:szCs w:val="24"/>
        </w:rPr>
      </w:pPr>
    </w:p>
    <w:p w14:paraId="7C64037E" w14:textId="77777777" w:rsidR="00F85FDF" w:rsidRDefault="00F85FDF">
      <w:pPr>
        <w:rPr>
          <w:rFonts w:ascii="Arial" w:hAnsi="Arial" w:cs="Arial"/>
          <w:sz w:val="24"/>
          <w:szCs w:val="24"/>
        </w:rPr>
      </w:pPr>
    </w:p>
    <w:p w14:paraId="6F859995" w14:textId="77777777" w:rsidR="00F85FDF" w:rsidRDefault="00F85FDF">
      <w:pPr>
        <w:rPr>
          <w:rFonts w:ascii="Arial" w:hAnsi="Arial" w:cs="Arial"/>
          <w:sz w:val="24"/>
          <w:szCs w:val="24"/>
        </w:rPr>
      </w:pPr>
    </w:p>
    <w:p w14:paraId="0AA0BD54" w14:textId="77777777" w:rsidR="00F85FDF" w:rsidRDefault="00F85FDF">
      <w:pPr>
        <w:rPr>
          <w:rFonts w:ascii="Arial" w:hAnsi="Arial" w:cs="Arial"/>
          <w:sz w:val="24"/>
          <w:szCs w:val="24"/>
        </w:rPr>
      </w:pPr>
    </w:p>
    <w:p w14:paraId="3929E0A3" w14:textId="77777777" w:rsidR="00F85FDF" w:rsidRDefault="00F85FDF">
      <w:pPr>
        <w:rPr>
          <w:rFonts w:ascii="Arial" w:hAnsi="Arial" w:cs="Arial"/>
          <w:sz w:val="24"/>
          <w:szCs w:val="24"/>
        </w:rPr>
      </w:pPr>
    </w:p>
    <w:p w14:paraId="6D674A1E" w14:textId="77777777" w:rsidR="00F85FDF" w:rsidRDefault="00F85FDF">
      <w:pPr>
        <w:rPr>
          <w:rFonts w:ascii="Arial" w:hAnsi="Arial" w:cs="Arial"/>
          <w:sz w:val="24"/>
          <w:szCs w:val="24"/>
        </w:rPr>
      </w:pPr>
    </w:p>
    <w:p w14:paraId="6318A132" w14:textId="77777777" w:rsidR="00F85FDF" w:rsidRDefault="00F85FDF">
      <w:pPr>
        <w:rPr>
          <w:rFonts w:ascii="Arial" w:hAnsi="Arial" w:cs="Arial"/>
          <w:sz w:val="24"/>
          <w:szCs w:val="24"/>
        </w:rPr>
      </w:pPr>
    </w:p>
    <w:p w14:paraId="15E1D470" w14:textId="77777777" w:rsidR="00F85FDF" w:rsidRDefault="00F85FDF">
      <w:pPr>
        <w:rPr>
          <w:rFonts w:ascii="Arial" w:hAnsi="Arial" w:cs="Arial"/>
          <w:sz w:val="24"/>
          <w:szCs w:val="24"/>
        </w:rPr>
      </w:pPr>
    </w:p>
    <w:p w14:paraId="6C65D600" w14:textId="77777777" w:rsidR="00F85FDF" w:rsidRDefault="00F85FDF">
      <w:pPr>
        <w:rPr>
          <w:rFonts w:ascii="Arial" w:hAnsi="Arial" w:cs="Arial"/>
          <w:sz w:val="24"/>
          <w:szCs w:val="24"/>
        </w:rPr>
      </w:pPr>
    </w:p>
    <w:p w14:paraId="4FC3D99A" w14:textId="77777777" w:rsidR="00F85FDF" w:rsidRDefault="00F85FDF">
      <w:pPr>
        <w:rPr>
          <w:rFonts w:ascii="Arial" w:hAnsi="Arial" w:cs="Arial"/>
          <w:sz w:val="24"/>
          <w:szCs w:val="24"/>
        </w:rPr>
      </w:pPr>
    </w:p>
    <w:p w14:paraId="6D79F281" w14:textId="77777777" w:rsidR="00F85FDF" w:rsidRDefault="00F85FDF">
      <w:pPr>
        <w:rPr>
          <w:rFonts w:ascii="Arial" w:hAnsi="Arial" w:cs="Arial"/>
          <w:sz w:val="24"/>
          <w:szCs w:val="24"/>
        </w:rPr>
      </w:pPr>
    </w:p>
    <w:p w14:paraId="693DD69A" w14:textId="277FD0CC" w:rsidR="00B8144C" w:rsidRDefault="00FA2E6F">
      <w:pPr>
        <w:rPr>
          <w:rFonts w:ascii="Arial" w:hAnsi="Arial" w:cs="Arial"/>
          <w:sz w:val="24"/>
          <w:szCs w:val="24"/>
        </w:rPr>
      </w:pPr>
      <w:r w:rsidRPr="00FA2E6F">
        <w:rPr>
          <w:rFonts w:ascii="Arial" w:hAnsi="Arial" w:cs="Arial"/>
          <w:sz w:val="24"/>
          <w:szCs w:val="24"/>
        </w:rPr>
        <w:t>References:</w:t>
      </w:r>
    </w:p>
    <w:p w14:paraId="3A849488" w14:textId="3AD8101E" w:rsidR="0017455B" w:rsidRDefault="0017455B" w:rsidP="0017455B">
      <w:pPr>
        <w:pStyle w:val="NormalWeb"/>
        <w:ind w:left="567" w:hanging="567"/>
        <w:rPr>
          <w:rFonts w:ascii="Arial" w:hAnsi="Arial" w:cs="Arial"/>
          <w:color w:val="000000"/>
        </w:rPr>
      </w:pPr>
      <w:r w:rsidRPr="0017455B">
        <w:rPr>
          <w:rFonts w:ascii="Arial" w:hAnsi="Arial" w:cs="Arial"/>
          <w:color w:val="000000"/>
        </w:rPr>
        <w:t xml:space="preserve">Ivanova, I. and </w:t>
      </w:r>
      <w:proofErr w:type="spellStart"/>
      <w:r w:rsidRPr="0017455B">
        <w:rPr>
          <w:rFonts w:ascii="Arial" w:hAnsi="Arial" w:cs="Arial"/>
          <w:color w:val="000000"/>
        </w:rPr>
        <w:t>Weicher</w:t>
      </w:r>
      <w:proofErr w:type="spellEnd"/>
      <w:r w:rsidRPr="0017455B">
        <w:rPr>
          <w:rFonts w:ascii="Arial" w:hAnsi="Arial" w:cs="Arial"/>
          <w:color w:val="000000"/>
        </w:rPr>
        <w:t>, C. (2023)</w:t>
      </w:r>
      <w:r w:rsidRPr="0017455B">
        <w:rPr>
          <w:rStyle w:val="apple-converted-space"/>
          <w:rFonts w:ascii="Arial" w:eastAsiaTheme="majorEastAsia" w:hAnsi="Arial" w:cs="Arial"/>
          <w:color w:val="000000"/>
        </w:rPr>
        <w:t> </w:t>
      </w:r>
      <w:r w:rsidRPr="0017455B">
        <w:rPr>
          <w:rFonts w:ascii="Arial" w:hAnsi="Arial" w:cs="Arial"/>
          <w:i/>
          <w:iCs/>
          <w:color w:val="000000"/>
        </w:rPr>
        <w:t>Walgreens to pay San Francisco $229 million over opioid crisis</w:t>
      </w:r>
      <w:r w:rsidRPr="0017455B">
        <w:rPr>
          <w:rFonts w:ascii="Arial" w:hAnsi="Arial" w:cs="Arial"/>
          <w:color w:val="000000"/>
        </w:rPr>
        <w:t>,</w:t>
      </w:r>
      <w:r w:rsidRPr="0017455B">
        <w:rPr>
          <w:rStyle w:val="apple-converted-space"/>
          <w:rFonts w:ascii="Arial" w:eastAsiaTheme="majorEastAsia" w:hAnsi="Arial" w:cs="Arial"/>
          <w:color w:val="000000"/>
        </w:rPr>
        <w:t> </w:t>
      </w:r>
      <w:r w:rsidRPr="0017455B">
        <w:rPr>
          <w:rFonts w:ascii="Arial" w:hAnsi="Arial" w:cs="Arial"/>
          <w:i/>
          <w:iCs/>
          <w:color w:val="000000"/>
        </w:rPr>
        <w:t>CBS News</w:t>
      </w:r>
      <w:r w:rsidRPr="0017455B">
        <w:rPr>
          <w:rFonts w:ascii="Arial" w:hAnsi="Arial" w:cs="Arial"/>
          <w:color w:val="000000"/>
        </w:rPr>
        <w:t xml:space="preserve">. Available at: </w:t>
      </w:r>
      <w:hyperlink r:id="rId14" w:history="1">
        <w:r w:rsidR="00802E0D" w:rsidRPr="008627BA">
          <w:rPr>
            <w:rStyle w:val="Hyperlink"/>
            <w:rFonts w:ascii="Arial" w:hAnsi="Arial" w:cs="Arial"/>
          </w:rPr>
          <w:t>https://www.cbsnews.com/news/san-francisco-opioid-settlement-walgreens-229-million/</w:t>
        </w:r>
      </w:hyperlink>
      <w:r w:rsidRPr="0017455B">
        <w:rPr>
          <w:rFonts w:ascii="Arial" w:hAnsi="Arial" w:cs="Arial"/>
          <w:color w:val="000000"/>
        </w:rPr>
        <w:t xml:space="preserve"> </w:t>
      </w:r>
    </w:p>
    <w:p w14:paraId="11D29F0A" w14:textId="2F17CE21" w:rsidR="00802E0D" w:rsidRDefault="00802E0D" w:rsidP="0017455B">
      <w:pPr>
        <w:pStyle w:val="NormalWeb"/>
        <w:ind w:left="567" w:hanging="567"/>
        <w:rPr>
          <w:rFonts w:ascii="Arial" w:hAnsi="Arial" w:cs="Arial"/>
          <w:color w:val="000000"/>
        </w:rPr>
      </w:pPr>
      <w:r w:rsidRPr="00802E0D">
        <w:rPr>
          <w:rFonts w:ascii="Arial" w:hAnsi="Arial" w:cs="Arial"/>
          <w:color w:val="000000"/>
        </w:rPr>
        <w:t xml:space="preserve">Kalish, I. (2022) Global Powers of retailing 2022, Global Economic Outlook. Available at: https://www2.deloitte.com/content/dam/Deloitte/at/Documents/consumer-business/at-global-powers-retailing-2022.pdf </w:t>
      </w:r>
    </w:p>
    <w:p w14:paraId="6C894F7B" w14:textId="6943EBA4" w:rsidR="0017455B" w:rsidRPr="0017455B" w:rsidRDefault="0017455B" w:rsidP="0017455B">
      <w:pPr>
        <w:pStyle w:val="NormalWeb"/>
        <w:ind w:left="567" w:hanging="567"/>
        <w:rPr>
          <w:rFonts w:ascii="Arial" w:hAnsi="Arial" w:cs="Arial"/>
          <w:color w:val="000000"/>
        </w:rPr>
      </w:pPr>
      <w:r w:rsidRPr="0017455B">
        <w:rPr>
          <w:rFonts w:ascii="Arial" w:hAnsi="Arial" w:cs="Arial"/>
          <w:color w:val="000000"/>
        </w:rPr>
        <w:t>Samuel, S. (2021)</w:t>
      </w:r>
      <w:r w:rsidRPr="0017455B">
        <w:rPr>
          <w:rStyle w:val="apple-converted-space"/>
          <w:rFonts w:ascii="Arial" w:eastAsiaTheme="majorEastAsia" w:hAnsi="Arial" w:cs="Arial"/>
          <w:color w:val="000000"/>
        </w:rPr>
        <w:t> </w:t>
      </w:r>
      <w:r w:rsidRPr="0017455B">
        <w:rPr>
          <w:rFonts w:ascii="Arial" w:hAnsi="Arial" w:cs="Arial"/>
          <w:i/>
          <w:iCs/>
          <w:color w:val="000000"/>
        </w:rPr>
        <w:t>Walgreens Boots Alliance divests wholesale business</w:t>
      </w:r>
      <w:r w:rsidRPr="0017455B">
        <w:rPr>
          <w:rFonts w:ascii="Arial" w:hAnsi="Arial" w:cs="Arial"/>
          <w:color w:val="000000"/>
        </w:rPr>
        <w:t>,</w:t>
      </w:r>
      <w:r w:rsidRPr="0017455B">
        <w:rPr>
          <w:rStyle w:val="apple-converted-space"/>
          <w:rFonts w:ascii="Arial" w:eastAsiaTheme="majorEastAsia" w:hAnsi="Arial" w:cs="Arial"/>
          <w:color w:val="000000"/>
        </w:rPr>
        <w:t> </w:t>
      </w:r>
      <w:r w:rsidRPr="0017455B">
        <w:rPr>
          <w:rFonts w:ascii="Arial" w:hAnsi="Arial" w:cs="Arial"/>
          <w:i/>
          <w:iCs/>
          <w:color w:val="000000"/>
        </w:rPr>
        <w:t xml:space="preserve">The Institute of Grocery </w:t>
      </w:r>
      <w:proofErr w:type="gramStart"/>
      <w:r w:rsidRPr="0017455B">
        <w:rPr>
          <w:rFonts w:ascii="Arial" w:hAnsi="Arial" w:cs="Arial"/>
          <w:i/>
          <w:iCs/>
          <w:color w:val="000000"/>
        </w:rPr>
        <w:t>Distribution</w:t>
      </w:r>
      <w:r w:rsidRPr="0017455B">
        <w:rPr>
          <w:rStyle w:val="apple-converted-space"/>
          <w:rFonts w:ascii="Arial" w:eastAsiaTheme="majorEastAsia" w:hAnsi="Arial" w:cs="Arial"/>
          <w:i/>
          <w:iCs/>
          <w:color w:val="000000"/>
        </w:rPr>
        <w:t> </w:t>
      </w:r>
      <w:r w:rsidRPr="0017455B">
        <w:rPr>
          <w:rFonts w:ascii="Arial" w:hAnsi="Arial" w:cs="Arial"/>
          <w:color w:val="000000"/>
        </w:rPr>
        <w:t>.</w:t>
      </w:r>
      <w:proofErr w:type="gramEnd"/>
      <w:r w:rsidRPr="0017455B">
        <w:rPr>
          <w:rFonts w:ascii="Arial" w:hAnsi="Arial" w:cs="Arial"/>
          <w:color w:val="000000"/>
        </w:rPr>
        <w:t xml:space="preserve"> Available at: https://www.igd.com/Commercial-Insight/Retail-Analysis/Markets/Articles/Walgreens-Boots-Alliance-divests-wholesale-business/33471#:~:text=Walgreens%20Boots%20Alliance%20(Walgreens)%20is,in%20a%20%246.5bn%20deal.</w:t>
      </w:r>
    </w:p>
    <w:p w14:paraId="7BC73B66" w14:textId="6604F672" w:rsidR="00FA2E6F" w:rsidRDefault="00FA2E6F" w:rsidP="00FA2E6F">
      <w:pPr>
        <w:pStyle w:val="NormalWeb"/>
        <w:ind w:left="567" w:hanging="567"/>
        <w:rPr>
          <w:rFonts w:ascii="Arial" w:hAnsi="Arial" w:cs="Arial"/>
          <w:color w:val="000000"/>
        </w:rPr>
      </w:pPr>
      <w:r w:rsidRPr="0017455B">
        <w:rPr>
          <w:rFonts w:ascii="Arial" w:hAnsi="Arial" w:cs="Arial"/>
          <w:color w:val="000000"/>
        </w:rPr>
        <w:t>WBA</w:t>
      </w:r>
      <w:r w:rsidRPr="0017455B">
        <w:rPr>
          <w:rFonts w:ascii="Arial" w:hAnsi="Arial" w:cs="Arial"/>
          <w:color w:val="000000"/>
        </w:rPr>
        <w:t>.</w:t>
      </w:r>
      <w:r w:rsidRPr="0017455B">
        <w:rPr>
          <w:rFonts w:ascii="Arial" w:hAnsi="Arial" w:cs="Arial"/>
          <w:color w:val="000000"/>
        </w:rPr>
        <w:t xml:space="preserve"> (2023)</w:t>
      </w:r>
      <w:r w:rsidRPr="0017455B">
        <w:rPr>
          <w:rStyle w:val="apple-converted-space"/>
          <w:rFonts w:ascii="Arial" w:eastAsiaTheme="majorEastAsia" w:hAnsi="Arial" w:cs="Arial"/>
          <w:color w:val="000000"/>
        </w:rPr>
        <w:t> </w:t>
      </w:r>
      <w:r w:rsidRPr="0017455B">
        <w:rPr>
          <w:rFonts w:ascii="Arial" w:hAnsi="Arial" w:cs="Arial"/>
          <w:i/>
          <w:iCs/>
          <w:color w:val="000000"/>
        </w:rPr>
        <w:t>Walgreens Boots Alliance appoints Tim Wentworth as chief executive officer</w:t>
      </w:r>
      <w:r w:rsidRPr="0017455B">
        <w:rPr>
          <w:rFonts w:ascii="Arial" w:hAnsi="Arial" w:cs="Arial"/>
          <w:color w:val="000000"/>
        </w:rPr>
        <w:t>,</w:t>
      </w:r>
      <w:r w:rsidRPr="0017455B">
        <w:rPr>
          <w:rStyle w:val="apple-converted-space"/>
          <w:rFonts w:ascii="Arial" w:eastAsiaTheme="majorEastAsia" w:hAnsi="Arial" w:cs="Arial"/>
          <w:color w:val="000000"/>
        </w:rPr>
        <w:t> </w:t>
      </w:r>
      <w:r w:rsidRPr="0017455B">
        <w:rPr>
          <w:rFonts w:ascii="Arial" w:hAnsi="Arial" w:cs="Arial"/>
          <w:i/>
          <w:iCs/>
          <w:color w:val="000000"/>
        </w:rPr>
        <w:t>Walgreens Boots Alliance</w:t>
      </w:r>
      <w:r w:rsidRPr="0017455B">
        <w:rPr>
          <w:rFonts w:ascii="Arial" w:hAnsi="Arial" w:cs="Arial"/>
          <w:color w:val="000000"/>
        </w:rPr>
        <w:t>. Available at: https://www.walgreensbootsalliance.com/news-media/press-releases/2023/walgreens-boots-alliance-appoints-tim-wentworth-chief-executive#:~:text=–%20</w:t>
      </w:r>
      <w:r w:rsidRPr="0017455B">
        <w:rPr>
          <w:rFonts w:ascii="Arial" w:hAnsi="Arial" w:cs="Arial"/>
          <w:color w:val="000000"/>
        </w:rPr>
        <w:t>Oct., Officer</w:t>
      </w:r>
      <w:r w:rsidRPr="0017455B">
        <w:rPr>
          <w:rFonts w:ascii="Arial" w:hAnsi="Arial" w:cs="Arial"/>
          <w:color w:val="000000"/>
        </w:rPr>
        <w:t xml:space="preserve">%2C%20effective%20on%20October%2023. </w:t>
      </w:r>
    </w:p>
    <w:p w14:paraId="521F041C" w14:textId="66C1F833" w:rsidR="00802E0D" w:rsidRPr="0017455B" w:rsidRDefault="00802E0D" w:rsidP="00FA2E6F">
      <w:pPr>
        <w:pStyle w:val="NormalWeb"/>
        <w:ind w:left="567" w:hanging="567"/>
        <w:rPr>
          <w:rFonts w:ascii="Arial" w:hAnsi="Arial" w:cs="Arial"/>
          <w:color w:val="000000"/>
        </w:rPr>
      </w:pPr>
      <w:proofErr w:type="spellStart"/>
      <w:r w:rsidRPr="00802E0D">
        <w:rPr>
          <w:rFonts w:ascii="Arial" w:hAnsi="Arial" w:cs="Arial"/>
          <w:color w:val="000000"/>
        </w:rPr>
        <w:t>Wickware</w:t>
      </w:r>
      <w:proofErr w:type="spellEnd"/>
      <w:r w:rsidRPr="00802E0D">
        <w:rPr>
          <w:rFonts w:ascii="Arial" w:hAnsi="Arial" w:cs="Arial"/>
          <w:color w:val="000000"/>
        </w:rPr>
        <w:t xml:space="preserve">, C. (2019) Walgreens Boots Alliance partners with Microsoft to develop ‘new healthcare delivery models’, The Pharmaceutical Journal. Available at: https://pharmaceutical-journal.com/article/news/walgreens-boots-alliance-partners-with-microsoft-to-develop-new-healthcare-delivery-models </w:t>
      </w:r>
    </w:p>
    <w:p w14:paraId="4DA5C334" w14:textId="77777777" w:rsidR="00FA2E6F" w:rsidRDefault="00FA2E6F"/>
    <w:sectPr w:rsidR="00FA2E6F" w:rsidSect="00272549">
      <w:footerReference w:type="even"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38033" w14:textId="77777777" w:rsidR="006A7E15" w:rsidRDefault="006A7E15" w:rsidP="006A7E15">
      <w:pPr>
        <w:spacing w:after="0" w:line="240" w:lineRule="auto"/>
      </w:pPr>
      <w:r>
        <w:separator/>
      </w:r>
    </w:p>
  </w:endnote>
  <w:endnote w:type="continuationSeparator" w:id="0">
    <w:p w14:paraId="2A868B25" w14:textId="77777777" w:rsidR="006A7E15" w:rsidRDefault="006A7E15" w:rsidP="006A7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5454795"/>
      <w:docPartObj>
        <w:docPartGallery w:val="Page Numbers (Bottom of Page)"/>
        <w:docPartUnique/>
      </w:docPartObj>
    </w:sdtPr>
    <w:sdtContent>
      <w:p w14:paraId="2C34B832" w14:textId="5ED77261" w:rsidR="006A7E15" w:rsidRDefault="006A7E15" w:rsidP="008627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83C54B" w14:textId="77777777" w:rsidR="006A7E15" w:rsidRDefault="006A7E15" w:rsidP="006A7E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0455338"/>
      <w:docPartObj>
        <w:docPartGallery w:val="Page Numbers (Bottom of Page)"/>
        <w:docPartUnique/>
      </w:docPartObj>
    </w:sdtPr>
    <w:sdtContent>
      <w:p w14:paraId="58B62ABA" w14:textId="4A59580D" w:rsidR="006A7E15" w:rsidRDefault="006A7E15" w:rsidP="008627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C9D9D3" w14:textId="77777777" w:rsidR="006A7E15" w:rsidRDefault="006A7E15" w:rsidP="006A7E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93E3F" w14:textId="77777777" w:rsidR="006A7E15" w:rsidRDefault="006A7E15" w:rsidP="006A7E15">
      <w:pPr>
        <w:spacing w:after="0" w:line="240" w:lineRule="auto"/>
      </w:pPr>
      <w:r>
        <w:separator/>
      </w:r>
    </w:p>
  </w:footnote>
  <w:footnote w:type="continuationSeparator" w:id="0">
    <w:p w14:paraId="1FB2EB5D" w14:textId="77777777" w:rsidR="006A7E15" w:rsidRDefault="006A7E15" w:rsidP="006A7E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549"/>
    <w:rsid w:val="00067F01"/>
    <w:rsid w:val="000C4CE0"/>
    <w:rsid w:val="00147D99"/>
    <w:rsid w:val="0017455B"/>
    <w:rsid w:val="001C0B1A"/>
    <w:rsid w:val="00266146"/>
    <w:rsid w:val="00272549"/>
    <w:rsid w:val="00305DE0"/>
    <w:rsid w:val="003A7C5A"/>
    <w:rsid w:val="004D081D"/>
    <w:rsid w:val="005B054C"/>
    <w:rsid w:val="00650454"/>
    <w:rsid w:val="006A7E15"/>
    <w:rsid w:val="007A3723"/>
    <w:rsid w:val="00802E0D"/>
    <w:rsid w:val="00807B5B"/>
    <w:rsid w:val="0094031A"/>
    <w:rsid w:val="00A66C5C"/>
    <w:rsid w:val="00A672B4"/>
    <w:rsid w:val="00B458A0"/>
    <w:rsid w:val="00B8144C"/>
    <w:rsid w:val="00BE5D71"/>
    <w:rsid w:val="00C36D2E"/>
    <w:rsid w:val="00C67ED7"/>
    <w:rsid w:val="00CC6602"/>
    <w:rsid w:val="00CD4C67"/>
    <w:rsid w:val="00D805DB"/>
    <w:rsid w:val="00DB63F6"/>
    <w:rsid w:val="00DE0C16"/>
    <w:rsid w:val="00F85FDF"/>
    <w:rsid w:val="00FA2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CCA70"/>
  <w15:chartTrackingRefBased/>
  <w15:docId w15:val="{4333A6FF-3252-0E47-B417-4DEAEDBEA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549"/>
    <w:pPr>
      <w:spacing w:after="200" w:line="252" w:lineRule="auto"/>
    </w:pPr>
    <w:rPr>
      <w:rFonts w:asciiTheme="majorHAnsi" w:eastAsiaTheme="majorEastAsia" w:hAnsiTheme="majorHAnsi" w:cstheme="majorBidi"/>
      <w:kern w:val="0"/>
      <w:sz w:val="22"/>
      <w:szCs w:val="22"/>
      <w14:ligatures w14:val="none"/>
    </w:rPr>
  </w:style>
  <w:style w:type="paragraph" w:styleId="Heading1">
    <w:name w:val="heading 1"/>
    <w:basedOn w:val="Normal"/>
    <w:next w:val="Normal"/>
    <w:link w:val="Heading1Char"/>
    <w:uiPriority w:val="9"/>
    <w:qFormat/>
    <w:rsid w:val="00272549"/>
    <w:pPr>
      <w:keepNext/>
      <w:keepLines/>
      <w:spacing w:before="360" w:after="80"/>
      <w:outlineLvl w:val="0"/>
    </w:pPr>
    <w:rPr>
      <w:color w:val="0F4761" w:themeColor="accent1" w:themeShade="BF"/>
      <w:sz w:val="40"/>
      <w:szCs w:val="40"/>
    </w:rPr>
  </w:style>
  <w:style w:type="paragraph" w:styleId="Heading2">
    <w:name w:val="heading 2"/>
    <w:basedOn w:val="Normal"/>
    <w:next w:val="Normal"/>
    <w:link w:val="Heading2Char"/>
    <w:uiPriority w:val="9"/>
    <w:semiHidden/>
    <w:unhideWhenUsed/>
    <w:qFormat/>
    <w:rsid w:val="00272549"/>
    <w:pPr>
      <w:keepNext/>
      <w:keepLines/>
      <w:spacing w:before="160" w:after="80"/>
      <w:outlineLvl w:val="1"/>
    </w:pPr>
    <w:rPr>
      <w:color w:val="0F4761" w:themeColor="accent1" w:themeShade="BF"/>
      <w:sz w:val="32"/>
      <w:szCs w:val="32"/>
    </w:rPr>
  </w:style>
  <w:style w:type="paragraph" w:styleId="Heading3">
    <w:name w:val="heading 3"/>
    <w:basedOn w:val="Normal"/>
    <w:next w:val="Normal"/>
    <w:link w:val="Heading3Char"/>
    <w:uiPriority w:val="9"/>
    <w:semiHidden/>
    <w:unhideWhenUsed/>
    <w:qFormat/>
    <w:rsid w:val="00272549"/>
    <w:pPr>
      <w:keepNext/>
      <w:keepLines/>
      <w:spacing w:before="160" w:after="80"/>
      <w:outlineLvl w:val="2"/>
    </w:pPr>
    <w:rPr>
      <w:color w:val="0F4761" w:themeColor="accent1" w:themeShade="BF"/>
      <w:sz w:val="28"/>
      <w:szCs w:val="28"/>
    </w:rPr>
  </w:style>
  <w:style w:type="paragraph" w:styleId="Heading4">
    <w:name w:val="heading 4"/>
    <w:basedOn w:val="Normal"/>
    <w:next w:val="Normal"/>
    <w:link w:val="Heading4Char"/>
    <w:uiPriority w:val="9"/>
    <w:semiHidden/>
    <w:unhideWhenUsed/>
    <w:qFormat/>
    <w:rsid w:val="00272549"/>
    <w:pPr>
      <w:keepNext/>
      <w:keepLines/>
      <w:spacing w:before="80" w:after="40"/>
      <w:outlineLvl w:val="3"/>
    </w:pPr>
    <w:rPr>
      <w:i/>
      <w:iCs/>
      <w:color w:val="0F4761" w:themeColor="accent1" w:themeShade="BF"/>
    </w:rPr>
  </w:style>
  <w:style w:type="paragraph" w:styleId="Heading5">
    <w:name w:val="heading 5"/>
    <w:basedOn w:val="Normal"/>
    <w:next w:val="Normal"/>
    <w:link w:val="Heading5Char"/>
    <w:uiPriority w:val="9"/>
    <w:semiHidden/>
    <w:unhideWhenUsed/>
    <w:qFormat/>
    <w:rsid w:val="00272549"/>
    <w:pPr>
      <w:keepNext/>
      <w:keepLines/>
      <w:spacing w:before="80" w:after="40"/>
      <w:outlineLvl w:val="4"/>
    </w:pPr>
    <w:rPr>
      <w:color w:val="0F4761" w:themeColor="accent1" w:themeShade="BF"/>
    </w:rPr>
  </w:style>
  <w:style w:type="paragraph" w:styleId="Heading6">
    <w:name w:val="heading 6"/>
    <w:basedOn w:val="Normal"/>
    <w:next w:val="Normal"/>
    <w:link w:val="Heading6Char"/>
    <w:uiPriority w:val="9"/>
    <w:semiHidden/>
    <w:unhideWhenUsed/>
    <w:qFormat/>
    <w:rsid w:val="00272549"/>
    <w:pPr>
      <w:keepNext/>
      <w:keepLines/>
      <w:spacing w:before="40"/>
      <w:outlineLvl w:val="5"/>
    </w:pPr>
    <w:rPr>
      <w:i/>
      <w:iCs/>
      <w:color w:val="595959" w:themeColor="text1" w:themeTint="A6"/>
    </w:rPr>
  </w:style>
  <w:style w:type="paragraph" w:styleId="Heading7">
    <w:name w:val="heading 7"/>
    <w:basedOn w:val="Normal"/>
    <w:next w:val="Normal"/>
    <w:link w:val="Heading7Char"/>
    <w:uiPriority w:val="9"/>
    <w:semiHidden/>
    <w:unhideWhenUsed/>
    <w:qFormat/>
    <w:rsid w:val="00272549"/>
    <w:pPr>
      <w:keepNext/>
      <w:keepLines/>
      <w:spacing w:before="40"/>
      <w:outlineLvl w:val="6"/>
    </w:pPr>
    <w:rPr>
      <w:color w:val="595959" w:themeColor="text1" w:themeTint="A6"/>
    </w:rPr>
  </w:style>
  <w:style w:type="paragraph" w:styleId="Heading8">
    <w:name w:val="heading 8"/>
    <w:basedOn w:val="Normal"/>
    <w:next w:val="Normal"/>
    <w:link w:val="Heading8Char"/>
    <w:uiPriority w:val="9"/>
    <w:semiHidden/>
    <w:unhideWhenUsed/>
    <w:qFormat/>
    <w:rsid w:val="00272549"/>
    <w:pPr>
      <w:keepNext/>
      <w:keepLines/>
      <w:outlineLvl w:val="7"/>
    </w:pPr>
    <w:rPr>
      <w:i/>
      <w:iCs/>
      <w:color w:val="272727" w:themeColor="text1" w:themeTint="D8"/>
    </w:rPr>
  </w:style>
  <w:style w:type="paragraph" w:styleId="Heading9">
    <w:name w:val="heading 9"/>
    <w:basedOn w:val="Normal"/>
    <w:next w:val="Normal"/>
    <w:link w:val="Heading9Char"/>
    <w:uiPriority w:val="9"/>
    <w:semiHidden/>
    <w:unhideWhenUsed/>
    <w:qFormat/>
    <w:rsid w:val="00272549"/>
    <w:pPr>
      <w:keepNext/>
      <w:keepLines/>
      <w:outlineLvl w:val="8"/>
    </w:pPr>
    <w:rPr>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5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25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25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25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25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25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25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25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2549"/>
    <w:rPr>
      <w:rFonts w:eastAsiaTheme="majorEastAsia" w:cstheme="majorBidi"/>
      <w:color w:val="272727" w:themeColor="text1" w:themeTint="D8"/>
    </w:rPr>
  </w:style>
  <w:style w:type="paragraph" w:styleId="Title">
    <w:name w:val="Title"/>
    <w:basedOn w:val="Normal"/>
    <w:next w:val="Normal"/>
    <w:link w:val="TitleChar"/>
    <w:uiPriority w:val="10"/>
    <w:qFormat/>
    <w:rsid w:val="00272549"/>
    <w:pPr>
      <w:spacing w:after="80"/>
      <w:contextualSpacing/>
    </w:pPr>
    <w:rPr>
      <w:spacing w:val="-10"/>
      <w:kern w:val="28"/>
      <w:sz w:val="56"/>
      <w:szCs w:val="56"/>
    </w:rPr>
  </w:style>
  <w:style w:type="character" w:customStyle="1" w:styleId="TitleChar">
    <w:name w:val="Title Char"/>
    <w:basedOn w:val="DefaultParagraphFont"/>
    <w:link w:val="Title"/>
    <w:uiPriority w:val="10"/>
    <w:rsid w:val="002725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2549"/>
    <w:pPr>
      <w:numPr>
        <w:ilvl w:val="1"/>
      </w:numPr>
      <w:spacing w:after="160"/>
    </w:pPr>
    <w:rPr>
      <w:color w:val="595959" w:themeColor="text1" w:themeTint="A6"/>
      <w:spacing w:val="15"/>
      <w:sz w:val="28"/>
      <w:szCs w:val="28"/>
    </w:rPr>
  </w:style>
  <w:style w:type="character" w:customStyle="1" w:styleId="SubtitleChar">
    <w:name w:val="Subtitle Char"/>
    <w:basedOn w:val="DefaultParagraphFont"/>
    <w:link w:val="Subtitle"/>
    <w:uiPriority w:val="11"/>
    <w:rsid w:val="002725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254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2549"/>
    <w:rPr>
      <w:i/>
      <w:iCs/>
      <w:color w:val="404040" w:themeColor="text1" w:themeTint="BF"/>
    </w:rPr>
  </w:style>
  <w:style w:type="paragraph" w:styleId="ListParagraph">
    <w:name w:val="List Paragraph"/>
    <w:basedOn w:val="Normal"/>
    <w:uiPriority w:val="34"/>
    <w:qFormat/>
    <w:rsid w:val="00272549"/>
    <w:pPr>
      <w:ind w:left="720"/>
      <w:contextualSpacing/>
    </w:pPr>
  </w:style>
  <w:style w:type="character" w:styleId="IntenseEmphasis">
    <w:name w:val="Intense Emphasis"/>
    <w:basedOn w:val="DefaultParagraphFont"/>
    <w:uiPriority w:val="21"/>
    <w:qFormat/>
    <w:rsid w:val="00272549"/>
    <w:rPr>
      <w:i/>
      <w:iCs/>
      <w:color w:val="0F4761" w:themeColor="accent1" w:themeShade="BF"/>
    </w:rPr>
  </w:style>
  <w:style w:type="paragraph" w:styleId="IntenseQuote">
    <w:name w:val="Intense Quote"/>
    <w:basedOn w:val="Normal"/>
    <w:next w:val="Normal"/>
    <w:link w:val="IntenseQuoteChar"/>
    <w:uiPriority w:val="30"/>
    <w:qFormat/>
    <w:rsid w:val="002725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2549"/>
    <w:rPr>
      <w:i/>
      <w:iCs/>
      <w:color w:val="0F4761" w:themeColor="accent1" w:themeShade="BF"/>
    </w:rPr>
  </w:style>
  <w:style w:type="character" w:styleId="IntenseReference">
    <w:name w:val="Intense Reference"/>
    <w:basedOn w:val="DefaultParagraphFont"/>
    <w:uiPriority w:val="32"/>
    <w:qFormat/>
    <w:rsid w:val="00272549"/>
    <w:rPr>
      <w:b/>
      <w:bCs/>
      <w:smallCaps/>
      <w:color w:val="0F4761" w:themeColor="accent1" w:themeShade="BF"/>
      <w:spacing w:val="5"/>
    </w:rPr>
  </w:style>
  <w:style w:type="paragraph" w:styleId="TOCHeading">
    <w:name w:val="TOC Heading"/>
    <w:basedOn w:val="Heading1"/>
    <w:next w:val="Normal"/>
    <w:uiPriority w:val="39"/>
    <w:unhideWhenUsed/>
    <w:qFormat/>
    <w:rsid w:val="00CD4C67"/>
    <w:pPr>
      <w:spacing w:before="480" w:after="0" w:line="276" w:lineRule="auto"/>
      <w:outlineLvl w:val="9"/>
    </w:pPr>
    <w:rPr>
      <w:b/>
      <w:bCs/>
      <w:sz w:val="28"/>
      <w:szCs w:val="28"/>
      <w:lang w:val="en-US"/>
    </w:rPr>
  </w:style>
  <w:style w:type="paragraph" w:styleId="TOC1">
    <w:name w:val="toc 1"/>
    <w:basedOn w:val="Normal"/>
    <w:next w:val="Normal"/>
    <w:autoRedefine/>
    <w:uiPriority w:val="39"/>
    <w:semiHidden/>
    <w:unhideWhenUsed/>
    <w:rsid w:val="00CD4C67"/>
    <w:pPr>
      <w:spacing w:before="120" w:after="0"/>
    </w:pPr>
    <w:rPr>
      <w:rFonts w:asciiTheme="minorHAnsi" w:hAnsiTheme="minorHAnsi"/>
      <w:b/>
      <w:bCs/>
      <w:i/>
      <w:iCs/>
      <w:sz w:val="24"/>
      <w:szCs w:val="24"/>
    </w:rPr>
  </w:style>
  <w:style w:type="paragraph" w:styleId="TOC2">
    <w:name w:val="toc 2"/>
    <w:basedOn w:val="Normal"/>
    <w:next w:val="Normal"/>
    <w:autoRedefine/>
    <w:uiPriority w:val="39"/>
    <w:semiHidden/>
    <w:unhideWhenUsed/>
    <w:rsid w:val="00CD4C67"/>
    <w:pPr>
      <w:spacing w:before="120" w:after="0"/>
      <w:ind w:left="220"/>
    </w:pPr>
    <w:rPr>
      <w:rFonts w:asciiTheme="minorHAnsi" w:hAnsiTheme="minorHAnsi"/>
      <w:b/>
      <w:bCs/>
    </w:rPr>
  </w:style>
  <w:style w:type="paragraph" w:styleId="TOC3">
    <w:name w:val="toc 3"/>
    <w:basedOn w:val="Normal"/>
    <w:next w:val="Normal"/>
    <w:autoRedefine/>
    <w:uiPriority w:val="39"/>
    <w:semiHidden/>
    <w:unhideWhenUsed/>
    <w:rsid w:val="00CD4C67"/>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CD4C67"/>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CD4C67"/>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CD4C67"/>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CD4C67"/>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CD4C67"/>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CD4C67"/>
    <w:pPr>
      <w:spacing w:after="0"/>
      <w:ind w:left="1760"/>
    </w:pPr>
    <w:rPr>
      <w:rFonts w:asciiTheme="minorHAnsi" w:hAnsiTheme="minorHAnsi"/>
      <w:sz w:val="20"/>
      <w:szCs w:val="20"/>
    </w:rPr>
  </w:style>
  <w:style w:type="paragraph" w:styleId="Footer">
    <w:name w:val="footer"/>
    <w:basedOn w:val="Normal"/>
    <w:link w:val="FooterChar"/>
    <w:uiPriority w:val="99"/>
    <w:unhideWhenUsed/>
    <w:rsid w:val="006A7E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E15"/>
    <w:rPr>
      <w:rFonts w:asciiTheme="majorHAnsi" w:eastAsiaTheme="majorEastAsia" w:hAnsiTheme="majorHAnsi" w:cstheme="majorBidi"/>
      <w:kern w:val="0"/>
      <w:sz w:val="22"/>
      <w:szCs w:val="22"/>
      <w14:ligatures w14:val="none"/>
    </w:rPr>
  </w:style>
  <w:style w:type="character" w:styleId="PageNumber">
    <w:name w:val="page number"/>
    <w:basedOn w:val="DefaultParagraphFont"/>
    <w:uiPriority w:val="99"/>
    <w:semiHidden/>
    <w:unhideWhenUsed/>
    <w:rsid w:val="006A7E15"/>
  </w:style>
  <w:style w:type="paragraph" w:styleId="NormalWeb">
    <w:name w:val="Normal (Web)"/>
    <w:basedOn w:val="Normal"/>
    <w:uiPriority w:val="99"/>
    <w:unhideWhenUsed/>
    <w:rsid w:val="00FA2E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A2E6F"/>
  </w:style>
  <w:style w:type="character" w:styleId="Hyperlink">
    <w:name w:val="Hyperlink"/>
    <w:basedOn w:val="DefaultParagraphFont"/>
    <w:uiPriority w:val="99"/>
    <w:unhideWhenUsed/>
    <w:rsid w:val="00802E0D"/>
    <w:rPr>
      <w:color w:val="467886" w:themeColor="hyperlink"/>
      <w:u w:val="single"/>
    </w:rPr>
  </w:style>
  <w:style w:type="character" w:styleId="UnresolvedMention">
    <w:name w:val="Unresolved Mention"/>
    <w:basedOn w:val="DefaultParagraphFont"/>
    <w:uiPriority w:val="99"/>
    <w:semiHidden/>
    <w:unhideWhenUsed/>
    <w:rsid w:val="00802E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61344">
      <w:bodyDiv w:val="1"/>
      <w:marLeft w:val="0"/>
      <w:marRight w:val="0"/>
      <w:marTop w:val="0"/>
      <w:marBottom w:val="0"/>
      <w:divBdr>
        <w:top w:val="none" w:sz="0" w:space="0" w:color="auto"/>
        <w:left w:val="none" w:sz="0" w:space="0" w:color="auto"/>
        <w:bottom w:val="none" w:sz="0" w:space="0" w:color="auto"/>
        <w:right w:val="none" w:sz="0" w:space="0" w:color="auto"/>
      </w:divBdr>
    </w:div>
    <w:div w:id="151874855">
      <w:bodyDiv w:val="1"/>
      <w:marLeft w:val="0"/>
      <w:marRight w:val="0"/>
      <w:marTop w:val="0"/>
      <w:marBottom w:val="0"/>
      <w:divBdr>
        <w:top w:val="none" w:sz="0" w:space="0" w:color="auto"/>
        <w:left w:val="none" w:sz="0" w:space="0" w:color="auto"/>
        <w:bottom w:val="none" w:sz="0" w:space="0" w:color="auto"/>
        <w:right w:val="none" w:sz="0" w:space="0" w:color="auto"/>
      </w:divBdr>
    </w:div>
    <w:div w:id="418716511">
      <w:bodyDiv w:val="1"/>
      <w:marLeft w:val="0"/>
      <w:marRight w:val="0"/>
      <w:marTop w:val="0"/>
      <w:marBottom w:val="0"/>
      <w:divBdr>
        <w:top w:val="none" w:sz="0" w:space="0" w:color="auto"/>
        <w:left w:val="none" w:sz="0" w:space="0" w:color="auto"/>
        <w:bottom w:val="none" w:sz="0" w:space="0" w:color="auto"/>
        <w:right w:val="none" w:sz="0" w:space="0" w:color="auto"/>
      </w:divBdr>
    </w:div>
    <w:div w:id="532309060">
      <w:bodyDiv w:val="1"/>
      <w:marLeft w:val="0"/>
      <w:marRight w:val="0"/>
      <w:marTop w:val="0"/>
      <w:marBottom w:val="0"/>
      <w:divBdr>
        <w:top w:val="none" w:sz="0" w:space="0" w:color="auto"/>
        <w:left w:val="none" w:sz="0" w:space="0" w:color="auto"/>
        <w:bottom w:val="none" w:sz="0" w:space="0" w:color="auto"/>
        <w:right w:val="none" w:sz="0" w:space="0" w:color="auto"/>
      </w:divBdr>
    </w:div>
    <w:div w:id="599070831">
      <w:bodyDiv w:val="1"/>
      <w:marLeft w:val="0"/>
      <w:marRight w:val="0"/>
      <w:marTop w:val="0"/>
      <w:marBottom w:val="0"/>
      <w:divBdr>
        <w:top w:val="none" w:sz="0" w:space="0" w:color="auto"/>
        <w:left w:val="none" w:sz="0" w:space="0" w:color="auto"/>
        <w:bottom w:val="none" w:sz="0" w:space="0" w:color="auto"/>
        <w:right w:val="none" w:sz="0" w:space="0" w:color="auto"/>
      </w:divBdr>
    </w:div>
    <w:div w:id="653140594">
      <w:bodyDiv w:val="1"/>
      <w:marLeft w:val="0"/>
      <w:marRight w:val="0"/>
      <w:marTop w:val="0"/>
      <w:marBottom w:val="0"/>
      <w:divBdr>
        <w:top w:val="none" w:sz="0" w:space="0" w:color="auto"/>
        <w:left w:val="none" w:sz="0" w:space="0" w:color="auto"/>
        <w:bottom w:val="none" w:sz="0" w:space="0" w:color="auto"/>
        <w:right w:val="none" w:sz="0" w:space="0" w:color="auto"/>
      </w:divBdr>
    </w:div>
    <w:div w:id="984819810">
      <w:bodyDiv w:val="1"/>
      <w:marLeft w:val="0"/>
      <w:marRight w:val="0"/>
      <w:marTop w:val="0"/>
      <w:marBottom w:val="0"/>
      <w:divBdr>
        <w:top w:val="none" w:sz="0" w:space="0" w:color="auto"/>
        <w:left w:val="none" w:sz="0" w:space="0" w:color="auto"/>
        <w:bottom w:val="none" w:sz="0" w:space="0" w:color="auto"/>
        <w:right w:val="none" w:sz="0" w:space="0" w:color="auto"/>
      </w:divBdr>
    </w:div>
    <w:div w:id="1716394936">
      <w:bodyDiv w:val="1"/>
      <w:marLeft w:val="0"/>
      <w:marRight w:val="0"/>
      <w:marTop w:val="0"/>
      <w:marBottom w:val="0"/>
      <w:divBdr>
        <w:top w:val="none" w:sz="0" w:space="0" w:color="auto"/>
        <w:left w:val="none" w:sz="0" w:space="0" w:color="auto"/>
        <w:bottom w:val="none" w:sz="0" w:space="0" w:color="auto"/>
        <w:right w:val="none" w:sz="0" w:space="0" w:color="auto"/>
      </w:divBdr>
    </w:div>
    <w:div w:id="1836920222">
      <w:bodyDiv w:val="1"/>
      <w:marLeft w:val="0"/>
      <w:marRight w:val="0"/>
      <w:marTop w:val="0"/>
      <w:marBottom w:val="0"/>
      <w:divBdr>
        <w:top w:val="none" w:sz="0" w:space="0" w:color="auto"/>
        <w:left w:val="none" w:sz="0" w:space="0" w:color="auto"/>
        <w:bottom w:val="none" w:sz="0" w:space="0" w:color="auto"/>
        <w:right w:val="none" w:sz="0" w:space="0" w:color="auto"/>
      </w:divBdr>
    </w:div>
    <w:div w:id="197783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bsnews.com/news/san-francisco-opioid-settlement-walgreens-229-mill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561CD-4147-494E-8BA2-099A5DDC1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1309</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Rodrigues Abreu (2327330)</dc:creator>
  <cp:keywords/>
  <dc:description/>
  <cp:lastModifiedBy>Emily Rodrigues Abreu (2327330)</cp:lastModifiedBy>
  <cp:revision>2</cp:revision>
  <dcterms:created xsi:type="dcterms:W3CDTF">2024-04-09T14:05:00Z</dcterms:created>
  <dcterms:modified xsi:type="dcterms:W3CDTF">2024-04-09T14:05:00Z</dcterms:modified>
</cp:coreProperties>
</file>