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C4FF15" w14:textId="77777777" w:rsidR="00A85311" w:rsidRDefault="00A85311" w:rsidP="00A85311">
      <w:pPr>
        <w:spacing w:line="360" w:lineRule="auto"/>
      </w:pPr>
      <w:r>
        <w:rPr>
          <w:noProof/>
        </w:rPr>
        <w:drawing>
          <wp:inline distT="0" distB="0" distL="0" distR="0" wp14:anchorId="41F26E62" wp14:editId="0C816A7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517ABCEB" w14:textId="77777777" w:rsidR="00A85311" w:rsidRDefault="00A85311" w:rsidP="00A85311">
      <w:pPr>
        <w:spacing w:line="360" w:lineRule="auto"/>
        <w:rPr>
          <w:rStyle w:val="Strong"/>
          <w:rFonts w:ascii="Segoe UI" w:hAnsi="Segoe UI" w:cs="Segoe UI"/>
          <w:color w:val="1D2125"/>
        </w:rPr>
      </w:pPr>
    </w:p>
    <w:p w14:paraId="6CAE599C" w14:textId="77777777" w:rsidR="00A85311" w:rsidRDefault="00A85311" w:rsidP="00A85311">
      <w:pPr>
        <w:spacing w:line="360" w:lineRule="auto"/>
        <w:rPr>
          <w:rStyle w:val="Strong"/>
          <w:rFonts w:ascii="Arial" w:hAnsi="Arial" w:cs="Arial"/>
          <w:color w:val="1D2125"/>
          <w:sz w:val="36"/>
          <w:szCs w:val="36"/>
        </w:rPr>
      </w:pPr>
    </w:p>
    <w:p w14:paraId="77B0B87E" w14:textId="77777777" w:rsidR="00A85311" w:rsidRDefault="00A85311" w:rsidP="00A85311">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A2BFAB" w14:textId="77777777" w:rsidR="00A85311" w:rsidRDefault="00A85311" w:rsidP="00A85311">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6B9FF3BC" w14:textId="77777777" w:rsidR="00A85311" w:rsidRDefault="00A85311" w:rsidP="00A85311">
      <w:pPr>
        <w:spacing w:line="360" w:lineRule="auto"/>
        <w:jc w:val="center"/>
        <w:rPr>
          <w:rStyle w:val="Strong"/>
          <w:rFonts w:ascii="Arial" w:hAnsi="Arial" w:cs="Arial"/>
          <w:color w:val="1D2125"/>
          <w:sz w:val="36"/>
          <w:szCs w:val="36"/>
        </w:rPr>
      </w:pPr>
    </w:p>
    <w:p w14:paraId="725673B9" w14:textId="77777777" w:rsidR="00A85311" w:rsidRDefault="00A85311" w:rsidP="00A85311">
      <w:pPr>
        <w:spacing w:line="360" w:lineRule="auto"/>
        <w:jc w:val="center"/>
        <w:rPr>
          <w:rStyle w:val="Strong"/>
          <w:rFonts w:ascii="Arial" w:hAnsi="Arial" w:cs="Arial"/>
          <w:color w:val="1D2125"/>
          <w:sz w:val="36"/>
          <w:szCs w:val="36"/>
        </w:rPr>
      </w:pPr>
    </w:p>
    <w:p w14:paraId="79A266EE" w14:textId="77777777" w:rsidR="00A85311" w:rsidRDefault="00A85311" w:rsidP="00A85311">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6653B9DC" w14:textId="77777777" w:rsidR="00A85311" w:rsidRDefault="00A85311" w:rsidP="00A85311">
      <w:pPr>
        <w:spacing w:line="360" w:lineRule="auto"/>
        <w:rPr>
          <w:rStyle w:val="Strong"/>
          <w:rFonts w:ascii="Arial" w:hAnsi="Arial" w:cs="Arial"/>
          <w:color w:val="1D2125"/>
          <w:sz w:val="32"/>
          <w:szCs w:val="32"/>
        </w:rPr>
      </w:pPr>
    </w:p>
    <w:p w14:paraId="350E2170" w14:textId="310E8AD4" w:rsidR="00A85311" w:rsidRDefault="00A85311" w:rsidP="00A85311">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3B7F35">
        <w:rPr>
          <w:rStyle w:val="Strong"/>
          <w:rFonts w:ascii="Arial" w:hAnsi="Arial" w:cs="Arial"/>
          <w:color w:val="1D2125"/>
          <w:sz w:val="32"/>
          <w:szCs w:val="32"/>
        </w:rPr>
        <w:t xml:space="preserve"> Ana-Maria Melinda Avram</w:t>
      </w:r>
    </w:p>
    <w:p w14:paraId="7A258A78" w14:textId="01A65189" w:rsidR="00A85311" w:rsidRDefault="00A85311" w:rsidP="00A85311">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CD6767">
        <w:rPr>
          <w:rStyle w:val="Strong"/>
          <w:rFonts w:ascii="Arial" w:hAnsi="Arial" w:cs="Arial"/>
          <w:color w:val="1D2125"/>
          <w:sz w:val="32"/>
          <w:szCs w:val="32"/>
        </w:rPr>
        <w:t>2415593</w:t>
      </w:r>
    </w:p>
    <w:p w14:paraId="0D3E140F" w14:textId="5E1EDDE8" w:rsidR="00A85311" w:rsidRDefault="00A85311" w:rsidP="00A85311">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267090" w:rsidRPr="00267090">
        <w:rPr>
          <w:rFonts w:ascii="Segoe UI" w:hAnsi="Segoe UI" w:cs="Segoe UI"/>
          <w:b/>
          <w:bCs/>
          <w:color w:val="1D2125"/>
          <w:sz w:val="36"/>
          <w:szCs w:val="36"/>
          <w:shd w:val="clear" w:color="auto" w:fill="FFFFFF"/>
        </w:rPr>
        <w:t xml:space="preserve"> </w:t>
      </w:r>
      <w:r w:rsidR="00267090" w:rsidRPr="00267090">
        <w:rPr>
          <w:rFonts w:ascii="Arial" w:hAnsi="Arial" w:cs="Arial"/>
          <w:b/>
          <w:bCs/>
          <w:color w:val="1D2125"/>
          <w:sz w:val="32"/>
          <w:szCs w:val="32"/>
        </w:rPr>
        <w:t>Laila Surani</w:t>
      </w:r>
    </w:p>
    <w:p w14:paraId="21943DAC" w14:textId="77777777" w:rsidR="00A85311" w:rsidRDefault="00A85311" w:rsidP="00A85311">
      <w:pPr>
        <w:spacing w:line="360" w:lineRule="auto"/>
        <w:rPr>
          <w:sz w:val="36"/>
          <w:szCs w:val="36"/>
        </w:rPr>
      </w:pPr>
    </w:p>
    <w:p w14:paraId="4F0EA821" w14:textId="77777777" w:rsidR="00A85311" w:rsidRDefault="00A85311" w:rsidP="00A85311">
      <w:pPr>
        <w:spacing w:line="360" w:lineRule="auto"/>
        <w:rPr>
          <w:rFonts w:ascii="Arial" w:hAnsi="Arial" w:cs="Arial"/>
          <w:sz w:val="36"/>
          <w:szCs w:val="36"/>
        </w:rPr>
      </w:pPr>
    </w:p>
    <w:p w14:paraId="0054E01F" w14:textId="77777777" w:rsidR="00A85311" w:rsidRDefault="00A85311" w:rsidP="00A85311">
      <w:pPr>
        <w:spacing w:line="360" w:lineRule="auto"/>
        <w:rPr>
          <w:rFonts w:ascii="Arial" w:hAnsi="Arial" w:cs="Arial"/>
          <w:sz w:val="36"/>
          <w:szCs w:val="36"/>
        </w:rPr>
      </w:pPr>
    </w:p>
    <w:p w14:paraId="5326A87A" w14:textId="77777777" w:rsidR="00A85311" w:rsidRDefault="00A85311" w:rsidP="00A85311">
      <w:pPr>
        <w:spacing w:line="360" w:lineRule="auto"/>
        <w:rPr>
          <w:rFonts w:ascii="Arial" w:hAnsi="Arial" w:cs="Arial"/>
          <w:sz w:val="36"/>
          <w:szCs w:val="36"/>
        </w:rPr>
      </w:pPr>
    </w:p>
    <w:p w14:paraId="0D1A3867" w14:textId="77777777" w:rsidR="00A85311" w:rsidRPr="008375B5" w:rsidRDefault="00A85311" w:rsidP="00A85311">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p w14:paraId="0C3E79A8" w14:textId="09A2BE73" w:rsidR="00AC7820" w:rsidRDefault="00221A2F">
      <w:r>
        <w:t>Task 1……………………………………………………………………………………</w:t>
      </w:r>
      <w:r w:rsidR="001A2B4C">
        <w:t>……………….</w:t>
      </w:r>
      <w:r>
        <w:t>…….3-4</w:t>
      </w:r>
    </w:p>
    <w:p w14:paraId="0CE9EEF3" w14:textId="700F9DFC" w:rsidR="00221A2F" w:rsidRDefault="00221A2F">
      <w:r>
        <w:t>Task 2…………………………………………………………………………………</w:t>
      </w:r>
      <w:r w:rsidR="001A2B4C">
        <w:t>……………….</w:t>
      </w:r>
      <w:r>
        <w:t>……….</w:t>
      </w:r>
      <w:r w:rsidR="004153AC">
        <w:t>4-5</w:t>
      </w:r>
    </w:p>
    <w:p w14:paraId="19FA8F14" w14:textId="6D6D9DA3" w:rsidR="004153AC" w:rsidRDefault="004153AC">
      <w:r>
        <w:t>Task 3…………………………………………………………………………………</w:t>
      </w:r>
      <w:r w:rsidR="001A2B4C">
        <w:t>……………………</w:t>
      </w:r>
      <w:r>
        <w:t>………</w:t>
      </w:r>
      <w:r w:rsidR="00830F0B">
        <w:t>5</w:t>
      </w:r>
    </w:p>
    <w:p w14:paraId="78CF8606" w14:textId="6F81DD47" w:rsidR="00830F0B" w:rsidRDefault="00830F0B">
      <w:r>
        <w:t>Task 4………………………………………………………</w:t>
      </w:r>
      <w:r w:rsidR="001A2B4C">
        <w:t>……………………</w:t>
      </w:r>
      <w:r>
        <w:t>…………………………………6</w:t>
      </w:r>
    </w:p>
    <w:p w14:paraId="4FFC6686" w14:textId="178D098E" w:rsidR="00830F0B" w:rsidRDefault="00830F0B">
      <w:r>
        <w:t>Task 5……………………………………………………………</w:t>
      </w:r>
      <w:r w:rsidR="001A2B4C">
        <w:t>……………………</w:t>
      </w:r>
      <w:r>
        <w:t>……………………………6</w:t>
      </w:r>
    </w:p>
    <w:p w14:paraId="2E991D8F" w14:textId="7A226E8F" w:rsidR="00830F0B" w:rsidRDefault="00830F0B">
      <w:r>
        <w:t>Task 6………………………………………………………………</w:t>
      </w:r>
      <w:r w:rsidR="001A2B4C">
        <w:t>…………………</w:t>
      </w:r>
      <w:r>
        <w:t>…………………………</w:t>
      </w:r>
      <w:r w:rsidR="001A2B4C">
        <w:t>7-8</w:t>
      </w:r>
    </w:p>
    <w:p w14:paraId="74327CE8" w14:textId="18B59BB1" w:rsidR="001A2B4C" w:rsidRDefault="001A2B4C">
      <w:r>
        <w:t>Task 7………………………………………………………………………………………………………</w:t>
      </w:r>
      <w:proofErr w:type="gramStart"/>
      <w:r>
        <w:t>…..</w:t>
      </w:r>
      <w:proofErr w:type="gramEnd"/>
      <w:r>
        <w:t>8-9</w:t>
      </w:r>
    </w:p>
    <w:p w14:paraId="4A956A1A" w14:textId="6643F542" w:rsidR="001A2B4C" w:rsidRDefault="001A2B4C">
      <w:r>
        <w:t>Task 8…………………………………………………………………………………………….……………</w:t>
      </w:r>
      <w:proofErr w:type="gramStart"/>
      <w:r>
        <w:t>…..</w:t>
      </w:r>
      <w:proofErr w:type="gramEnd"/>
      <w:r>
        <w:t>9</w:t>
      </w:r>
    </w:p>
    <w:p w14:paraId="18EF58DD" w14:textId="19A59CC8" w:rsidR="001A2B4C" w:rsidRDefault="001A2B4C">
      <w:r>
        <w:t>Reference list…………………………………………………………………………………………</w:t>
      </w:r>
      <w:proofErr w:type="gramStart"/>
      <w:r>
        <w:t>…..</w:t>
      </w:r>
      <w:proofErr w:type="gramEnd"/>
      <w:r>
        <w:t>10-11</w:t>
      </w:r>
    </w:p>
    <w:p w14:paraId="3F09FEFB" w14:textId="28A0DD1C" w:rsidR="00A85311" w:rsidRDefault="007A711D">
      <w:r>
        <w:t>Screenshots from class…………………………………………………………………………….…12-15</w:t>
      </w:r>
    </w:p>
    <w:p w14:paraId="5843A531" w14:textId="77777777" w:rsidR="00A85311" w:rsidRDefault="00A85311"/>
    <w:p w14:paraId="4AB1739C" w14:textId="77777777" w:rsidR="00A85311" w:rsidRDefault="00A85311"/>
    <w:p w14:paraId="4DF73B0D" w14:textId="77777777" w:rsidR="00A85311" w:rsidRDefault="00A85311"/>
    <w:p w14:paraId="6698FC69" w14:textId="77777777" w:rsidR="00A85311" w:rsidRDefault="00A85311"/>
    <w:p w14:paraId="3A2F6BF0" w14:textId="77777777" w:rsidR="00A85311" w:rsidRDefault="00A85311"/>
    <w:p w14:paraId="4223818B" w14:textId="77777777" w:rsidR="00A85311" w:rsidRDefault="00A85311"/>
    <w:p w14:paraId="562DD79B" w14:textId="77777777" w:rsidR="00A85311" w:rsidRDefault="00A85311"/>
    <w:p w14:paraId="4087AC51" w14:textId="77777777" w:rsidR="00A85311" w:rsidRDefault="00A85311"/>
    <w:p w14:paraId="510CF972" w14:textId="77777777" w:rsidR="00A85311" w:rsidRDefault="00A85311"/>
    <w:p w14:paraId="62C5B6AF" w14:textId="77777777" w:rsidR="00A85311" w:rsidRDefault="00A85311"/>
    <w:p w14:paraId="144FFA75" w14:textId="77777777" w:rsidR="00A85311" w:rsidRDefault="00A85311"/>
    <w:p w14:paraId="789D4D36" w14:textId="77777777" w:rsidR="00A85311" w:rsidRDefault="00A85311"/>
    <w:p w14:paraId="5ACB2359" w14:textId="77777777" w:rsidR="00A85311" w:rsidRDefault="00A85311"/>
    <w:p w14:paraId="357F7AFF" w14:textId="77777777" w:rsidR="00A85311" w:rsidRDefault="00A85311"/>
    <w:p w14:paraId="30E7C586" w14:textId="77777777" w:rsidR="00A85311" w:rsidRDefault="00A85311"/>
    <w:p w14:paraId="45EE1717" w14:textId="77777777" w:rsidR="003D22F7" w:rsidRDefault="003D22F7" w:rsidP="00A85311"/>
    <w:p w14:paraId="7AF1DC60" w14:textId="48BAEB9F" w:rsidR="00A85311" w:rsidRPr="00606B19" w:rsidRDefault="00A85311" w:rsidP="00A85311">
      <w:pPr>
        <w:rPr>
          <w:b/>
          <w:bCs/>
          <w:sz w:val="28"/>
          <w:szCs w:val="28"/>
        </w:rPr>
      </w:pPr>
      <w:r w:rsidRPr="00606B19">
        <w:rPr>
          <w:b/>
          <w:bCs/>
          <w:sz w:val="28"/>
          <w:szCs w:val="28"/>
        </w:rPr>
        <w:lastRenderedPageBreak/>
        <w:t>Task 1</w:t>
      </w:r>
    </w:p>
    <w:p w14:paraId="0D4E2E5B" w14:textId="77777777" w:rsidR="00A85311" w:rsidRDefault="00A85311" w:rsidP="00A85311">
      <w:r w:rsidRPr="00A85311">
        <w:rPr>
          <w:b/>
          <w:bCs/>
        </w:rPr>
        <w:t>Innovation</w:t>
      </w:r>
    </w:p>
    <w:p w14:paraId="57D4A0B1" w14:textId="77777777" w:rsidR="00A85311" w:rsidRDefault="00A85311" w:rsidP="00A85311">
      <w:r w:rsidRPr="00A85311">
        <w:br/>
        <w:t>Innovation is the use of new ideas, methods, or technology to enhance services and results (Greenhalgh et al., 2004). In health and social care, innovation is critical for improving patient care, boosting efficiency, and meeting expanding demand. Telehealth services, for example, allow patients to get treatment from a distance, increasing accessibility and lowering hospital visits. Rogers' Diffusion of Innovation Theory describes how new ideas and technology move across organisations and are eventually embraced by employees (Rogers, 2003). This is mirrored in the class activity picture, which shows how advancements like artificial intelligence (AI), digital communication, and current healthcare technology have changed the way services are given and accessible.</w:t>
      </w:r>
    </w:p>
    <w:p w14:paraId="229D40A3" w14:textId="77777777" w:rsidR="00A85311" w:rsidRDefault="00A85311" w:rsidP="00A85311">
      <w:r w:rsidRPr="00A85311">
        <w:br/>
      </w:r>
      <w:r w:rsidRPr="00A85311">
        <w:rPr>
          <w:b/>
          <w:bCs/>
        </w:rPr>
        <w:t>Creativity</w:t>
      </w:r>
    </w:p>
    <w:p w14:paraId="1F018FE7" w14:textId="77777777" w:rsidR="004F5FE2" w:rsidRDefault="00A85311" w:rsidP="00A85311">
      <w:r w:rsidRPr="00A85311">
        <w:br/>
        <w:t>Amabile (1996) defines creativity as the capacity to develop fresh and valuable ideas. In health and social care, creativity allows professionals to provide individualised care and address complicated challenges. To promote the well-being of people with dementia, care staff may develop specialised activities. According to Amabile's Componential Theory of Creativity, creativity happens when people mix their knowledge, abilities, and drive to come up with unique ideas. This is reflected in the class picture, which includes instances of virtual reality in rehabilitation and wearable technology that illustrate innovative methods to increasing patient care and participation.</w:t>
      </w:r>
    </w:p>
    <w:p w14:paraId="3399EBC9" w14:textId="77777777" w:rsidR="004F5FE2" w:rsidRDefault="00A85311" w:rsidP="00A85311">
      <w:r w:rsidRPr="00A85311">
        <w:br/>
      </w:r>
      <w:r w:rsidRPr="00A85311">
        <w:rPr>
          <w:b/>
          <w:bCs/>
        </w:rPr>
        <w:t>Value Creation</w:t>
      </w:r>
    </w:p>
    <w:p w14:paraId="519FB662" w14:textId="77777777" w:rsidR="004F5FE2" w:rsidRDefault="00A85311" w:rsidP="00A85311">
      <w:r w:rsidRPr="00A85311">
        <w:br/>
        <w:t>Value creation is the process of improving patient outcomes while utilising resources more effectively (Porter, 2010). This idea is significant because health and social care systems must provide high-quality treatment on a restricted budget. Preventative healthcare programs, such as immunisations, may enhance population health while lowering long-term expenses. Porter defines value in healthcare as when services enhance patient outcomes compared to the cost of providing treatment. The class activity graphic supports this by demonstrating how remote monitoring and AI-driven diagnoses increase efficiency, results, and prevent unnecessary hospital admissions.</w:t>
      </w:r>
    </w:p>
    <w:p w14:paraId="563534D5" w14:textId="77777777" w:rsidR="004F5FE2" w:rsidRDefault="004F5FE2" w:rsidP="00A85311"/>
    <w:p w14:paraId="629E1C91" w14:textId="77777777" w:rsidR="004F5FE2" w:rsidRDefault="00A85311" w:rsidP="00A85311">
      <w:r w:rsidRPr="00A85311">
        <w:lastRenderedPageBreak/>
        <w:br/>
      </w:r>
      <w:r w:rsidRPr="00A85311">
        <w:rPr>
          <w:b/>
          <w:bCs/>
        </w:rPr>
        <w:t>Change</w:t>
      </w:r>
    </w:p>
    <w:p w14:paraId="201D3608" w14:textId="5238A851" w:rsidR="00A85311" w:rsidRPr="00A85311" w:rsidRDefault="00A85311" w:rsidP="00A85311">
      <w:r w:rsidRPr="00A85311">
        <w:br/>
        <w:t>Change is the process of transitioning from present methods to more effective ways of functioning (Burnes, 2017). Change is required in health and social care to incorporate new technology, policies, and patient care practices. For example, the advent of electronic health records has changed the way patient data is maintained and shared. According to Lewin's Change Management Model, change happens when present practices are unfrozen, new habits are implemented, and improvements are stabilised. This constant dynamic is shown in the class picture, which demonstrates how continuous technology breakthroughs have changed healthcare procedures and prompting organisations and employees to adapt.</w:t>
      </w:r>
    </w:p>
    <w:p w14:paraId="17112895" w14:textId="77777777" w:rsidR="00A85311" w:rsidRDefault="00A85311"/>
    <w:p w14:paraId="27108743" w14:textId="5FA32035" w:rsidR="004F5FE2" w:rsidRPr="00606B19" w:rsidRDefault="004F5FE2">
      <w:pPr>
        <w:rPr>
          <w:b/>
          <w:bCs/>
          <w:sz w:val="28"/>
          <w:szCs w:val="28"/>
        </w:rPr>
      </w:pPr>
      <w:r w:rsidRPr="00606B19">
        <w:rPr>
          <w:b/>
          <w:bCs/>
          <w:sz w:val="28"/>
          <w:szCs w:val="28"/>
        </w:rPr>
        <w:t>Task 2</w:t>
      </w:r>
    </w:p>
    <w:p w14:paraId="70D29E11" w14:textId="775765C5" w:rsidR="004F5FE2" w:rsidRDefault="004F5FE2">
      <w:pPr>
        <w:rPr>
          <w:b/>
          <w:bCs/>
        </w:rPr>
      </w:pPr>
      <w:r w:rsidRPr="000B1AFC">
        <w:rPr>
          <w:b/>
          <w:bCs/>
          <w:lang w:val="en-US" w:eastAsia="en-GB"/>
        </w:rPr>
        <w:t>Mind Map</w:t>
      </w:r>
      <w:r>
        <w:rPr>
          <w:b/>
          <w:bCs/>
          <w:lang w:val="en-US" w:eastAsia="en-GB"/>
        </w:rPr>
        <w:t xml:space="preserve"> - </w:t>
      </w:r>
      <w:r w:rsidRPr="00A7189E">
        <w:rPr>
          <w:b/>
          <w:bCs/>
        </w:rPr>
        <w:t>Digital Exclusion in Health and Social Care</w:t>
      </w:r>
    </w:p>
    <w:p w14:paraId="637572EC" w14:textId="77777777" w:rsidR="004F5FE2" w:rsidRPr="004F5FE2" w:rsidRDefault="004F5FE2" w:rsidP="004F5FE2">
      <w:r w:rsidRPr="004F5FE2">
        <w:t>Digital exclusion is a serious problem in health and social care, because people lack the necessary access or abilities to utilise digital services. This is significant since many services, such as GP consultations and welfare systems, are now predominantly delivered online, increasing discrepancies (van Dijk, 2020). My mind map focuses on digital exclusion, with factors including poor income, insufficient digital knowledge, and age-related difficulties. These consequences include decreased access to care, delayed treatment, and social isolation. Solutions include digital skills training, the availability of inexpensive devices, and the preservation of non-digital service choices. Using a systems thinking approach, these elements are linked; for example, poverty effects both access and abilities (Meadows, 2008). If left unchecked, digital exclusion will exacerbate inequalities in health, especially among older persons and low-income communities.</w:t>
      </w:r>
    </w:p>
    <w:p w14:paraId="6F45F470" w14:textId="09C886D2" w:rsidR="004F5FE2" w:rsidRDefault="004F5FE2">
      <w:pPr>
        <w:rPr>
          <w:noProof/>
          <w14:ligatures w14:val="standardContextual"/>
        </w:rPr>
      </w:pPr>
      <w:r>
        <w:rPr>
          <w:noProof/>
          <w14:ligatures w14:val="standardContextual"/>
        </w:rPr>
        <w:lastRenderedPageBreak/>
        <w:drawing>
          <wp:inline distT="0" distB="0" distL="0" distR="0" wp14:anchorId="6CE8DC16" wp14:editId="1D33D2F2">
            <wp:extent cx="5476875" cy="3651048"/>
            <wp:effectExtent l="0" t="0" r="0" b="6985"/>
            <wp:docPr id="843342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34234" name="Picture 8433423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86319" cy="3657344"/>
                    </a:xfrm>
                    <a:prstGeom prst="rect">
                      <a:avLst/>
                    </a:prstGeom>
                  </pic:spPr>
                </pic:pic>
              </a:graphicData>
            </a:graphic>
          </wp:inline>
        </w:drawing>
      </w:r>
    </w:p>
    <w:p w14:paraId="597233BF" w14:textId="459316E9" w:rsidR="004F5FE2" w:rsidRPr="00606B19" w:rsidRDefault="004F5FE2" w:rsidP="00606B19">
      <w:pPr>
        <w:tabs>
          <w:tab w:val="left" w:pos="1050"/>
        </w:tabs>
        <w:jc w:val="center"/>
        <w:rPr>
          <w:sz w:val="20"/>
          <w:szCs w:val="20"/>
        </w:rPr>
      </w:pPr>
      <w:r w:rsidRPr="00606B19">
        <w:rPr>
          <w:sz w:val="20"/>
          <w:szCs w:val="20"/>
        </w:rPr>
        <w:t>Source – Google</w:t>
      </w:r>
      <w:r w:rsidR="00606B19" w:rsidRPr="00606B19">
        <w:rPr>
          <w:sz w:val="20"/>
          <w:szCs w:val="20"/>
        </w:rPr>
        <w:t xml:space="preserve"> images</w:t>
      </w:r>
    </w:p>
    <w:p w14:paraId="466EE284" w14:textId="77777777" w:rsidR="004F5FE2" w:rsidRDefault="004F5FE2" w:rsidP="004F5FE2">
      <w:pPr>
        <w:tabs>
          <w:tab w:val="left" w:pos="1050"/>
        </w:tabs>
      </w:pPr>
    </w:p>
    <w:p w14:paraId="1705DEB6" w14:textId="7FBB10B5" w:rsidR="004F5FE2" w:rsidRPr="00606B19" w:rsidRDefault="004F5FE2" w:rsidP="004F5FE2">
      <w:pPr>
        <w:tabs>
          <w:tab w:val="left" w:pos="1050"/>
        </w:tabs>
        <w:rPr>
          <w:b/>
          <w:bCs/>
          <w:sz w:val="28"/>
          <w:szCs w:val="28"/>
        </w:rPr>
      </w:pPr>
      <w:r w:rsidRPr="00606B19">
        <w:rPr>
          <w:b/>
          <w:bCs/>
          <w:sz w:val="28"/>
          <w:szCs w:val="28"/>
        </w:rPr>
        <w:t>Task 3</w:t>
      </w:r>
    </w:p>
    <w:p w14:paraId="30D3C913" w14:textId="77777777" w:rsidR="004F5FE2" w:rsidRDefault="004F5FE2" w:rsidP="004F5FE2">
      <w:pPr>
        <w:tabs>
          <w:tab w:val="left" w:pos="1050"/>
        </w:tabs>
      </w:pPr>
      <w:r w:rsidRPr="004F5FE2">
        <w:t xml:space="preserve">This reflection applies Gibbs' Reflective Cycle to assess my experience with convergent and divergent thinking. Divergent thinking entails developing various ideas, while convergent thinking focuses on picking the best answer (Cropley, 2006). During the group exercise, we first utilised divergent thinking to explore reasons of digital exclusion. I participated by providing variables like age and income. However, when limiting down ideas, I found convergent thinking more difficult, especially when the group had different opinions. </w:t>
      </w:r>
      <w:r w:rsidRPr="004F5FE2">
        <w:br/>
        <w:t>When we couldn't agree, I recommended making a pros and disadvantages list to help us weigh our alternatives rationally. I felt more confident when brainstorming ideas than while making decisions, demonstrating a predisposition for diverse thinking. This event demonstrated the value of harmonising different thought patterns in collaboration. I discovered that successful teamwork needs active listening, compromise, and deliberate decision-making.</w:t>
      </w:r>
      <w:r w:rsidRPr="004F5FE2">
        <w:br/>
        <w:t xml:space="preserve">According to Gibbs' assessment and analysis phases, this technique enhanced group organization but indicated a need for me to increase my confidence in making crucial decisions. In the future, I want to participate more actively during convergent instances and help the group make more efficient judgements. </w:t>
      </w:r>
    </w:p>
    <w:p w14:paraId="366216D5" w14:textId="77777777" w:rsidR="004F5FE2" w:rsidRDefault="004F5FE2" w:rsidP="004F5FE2">
      <w:pPr>
        <w:tabs>
          <w:tab w:val="left" w:pos="1050"/>
        </w:tabs>
      </w:pPr>
    </w:p>
    <w:p w14:paraId="277625E8" w14:textId="5BE1822A" w:rsidR="004F5FE2" w:rsidRPr="00606B19" w:rsidRDefault="004F5FE2" w:rsidP="004F5FE2">
      <w:pPr>
        <w:tabs>
          <w:tab w:val="left" w:pos="1050"/>
        </w:tabs>
        <w:rPr>
          <w:b/>
          <w:bCs/>
          <w:sz w:val="28"/>
          <w:szCs w:val="28"/>
        </w:rPr>
      </w:pPr>
      <w:r w:rsidRPr="00606B19">
        <w:rPr>
          <w:b/>
          <w:bCs/>
          <w:sz w:val="28"/>
          <w:szCs w:val="28"/>
        </w:rPr>
        <w:lastRenderedPageBreak/>
        <w:t>Task 4</w:t>
      </w:r>
    </w:p>
    <w:p w14:paraId="0FD2781A" w14:textId="77777777" w:rsidR="000C57B7" w:rsidRPr="000C57B7" w:rsidRDefault="000C57B7" w:rsidP="000C57B7">
      <w:pPr>
        <w:tabs>
          <w:tab w:val="left" w:pos="1050"/>
        </w:tabs>
      </w:pPr>
      <w:r w:rsidRPr="000C57B7">
        <w:t xml:space="preserve">Virtual wards are an NHS initiative that aims to solve hospital bed shortages and increased demand for acute treatment. The issue was overcrowding and delayed discharges, especially for individuals with chronic diseases. Virtual wards utilise remote monitoring and digital technologies to safely treat patients at home, lowering hospital admission rates (NHS England, 2022). </w:t>
      </w:r>
      <w:r w:rsidRPr="000C57B7">
        <w:br/>
        <w:t>Redesigning conventional care delivery via the use of technology, interdisciplinary teams, and home-based therapy shown creativity. This aligns with Diffusion of Innovation Theory, since virtual wards were accepted owing to their perceived utility, efficiency, and enhanced patient experience. To track patient development, staff used new tools such as wearable gadgets and daily remote evaluations.</w:t>
      </w:r>
      <w:r w:rsidRPr="000C57B7">
        <w:br/>
        <w:t xml:space="preserve">The value provided includes enhanced patient comfort, lower infection risk, and increased hospital capacity. Staff gain from more flexible care delivery, while the system sees less demand on emergency services. According to reported results, hospital stays are shorter, and patients are more satisfied. </w:t>
      </w:r>
      <w:r w:rsidRPr="000C57B7">
        <w:br/>
      </w:r>
      <w:r w:rsidRPr="000C57B7">
        <w:br/>
        <w:t>This technique might be used to other services, such as mental health treatment, proving flexibility. Virtual wards demonstrate how innovative, technology-driven solutions may improve healthcare delivery.</w:t>
      </w:r>
    </w:p>
    <w:p w14:paraId="69272142" w14:textId="77777777" w:rsidR="004F5FE2" w:rsidRDefault="004F5FE2" w:rsidP="004F5FE2">
      <w:pPr>
        <w:tabs>
          <w:tab w:val="left" w:pos="1050"/>
        </w:tabs>
      </w:pPr>
    </w:p>
    <w:p w14:paraId="293B3FD5" w14:textId="79645D0E" w:rsidR="000C57B7" w:rsidRPr="00606B19" w:rsidRDefault="000C57B7" w:rsidP="004F5FE2">
      <w:pPr>
        <w:tabs>
          <w:tab w:val="left" w:pos="1050"/>
        </w:tabs>
        <w:rPr>
          <w:b/>
          <w:bCs/>
          <w:sz w:val="28"/>
          <w:szCs w:val="28"/>
        </w:rPr>
      </w:pPr>
      <w:r w:rsidRPr="00606B19">
        <w:rPr>
          <w:b/>
          <w:bCs/>
          <w:sz w:val="28"/>
          <w:szCs w:val="28"/>
        </w:rPr>
        <w:t>Task 5</w:t>
      </w:r>
    </w:p>
    <w:p w14:paraId="652AE0F8" w14:textId="77777777" w:rsidR="000C57B7" w:rsidRPr="000C57B7" w:rsidRDefault="000C57B7" w:rsidP="000C57B7">
      <w:pPr>
        <w:tabs>
          <w:tab w:val="left" w:pos="1050"/>
        </w:tabs>
      </w:pPr>
      <w:r w:rsidRPr="000C57B7">
        <w:t xml:space="preserve">Staff stress in health and social care is strongly associated with high emotional demands and organisational pressures. According to Maslach Burnout Theory, chronic professional stress may cause emotional deterioration, depersonalisation, and decreased efficiency (Maslach and Leiter, 2016). Aiken et al. (2012) discovered that low staffing levels and high patient-to-nurse ratios substantially increase stress and burnout. This explains why NHS employees working in understaffed circumstances may struggle to maintain treatment quality. </w:t>
      </w:r>
      <w:r w:rsidRPr="000C57B7">
        <w:br/>
        <w:t>Similarly, Hall et al. (2016) found that bad work conditions, such as a lack of support and insufficient cooperation, lead to burnout and compromise patient safety. While Aiken et al. identify human resources as the key driver, Hall et al. highlight the relevance of workplace culture and team relationships. Both studies agree that stress is caused by systemic problems rather than individual weaknesses.</w:t>
      </w:r>
      <w:r w:rsidRPr="000C57B7">
        <w:br/>
        <w:t>Staff stress in real-world care settings may lead to mistakes, decreased patient satisfaction, and higher staff turnover. These results show that boosting staffing and developing supportive work conditions are critical for preventing burnout and providing safe, effective care.</w:t>
      </w:r>
    </w:p>
    <w:p w14:paraId="3F931868" w14:textId="77777777" w:rsidR="004F5FE2" w:rsidRDefault="004F5FE2" w:rsidP="004F5FE2">
      <w:pPr>
        <w:tabs>
          <w:tab w:val="left" w:pos="1050"/>
        </w:tabs>
      </w:pPr>
    </w:p>
    <w:p w14:paraId="0A45C317" w14:textId="77777777" w:rsidR="00475662" w:rsidRPr="00E65909" w:rsidRDefault="000C57B7" w:rsidP="00475662">
      <w:pPr>
        <w:tabs>
          <w:tab w:val="left" w:pos="1050"/>
        </w:tabs>
        <w:rPr>
          <w:b/>
          <w:bCs/>
          <w:sz w:val="28"/>
          <w:szCs w:val="28"/>
        </w:rPr>
      </w:pPr>
      <w:r w:rsidRPr="00E65909">
        <w:rPr>
          <w:b/>
          <w:bCs/>
          <w:sz w:val="28"/>
          <w:szCs w:val="28"/>
        </w:rPr>
        <w:lastRenderedPageBreak/>
        <w:t xml:space="preserve">Task 6 </w:t>
      </w:r>
    </w:p>
    <w:p w14:paraId="054EFF3D" w14:textId="67BBD426" w:rsidR="00475662" w:rsidRPr="00E65909" w:rsidRDefault="00E65909" w:rsidP="00475662">
      <w:pPr>
        <w:tabs>
          <w:tab w:val="left" w:pos="1050"/>
        </w:tabs>
        <w:rPr>
          <w:b/>
          <w:bCs/>
        </w:rPr>
      </w:pPr>
      <w:r w:rsidRPr="00E65909">
        <w:rPr>
          <w:b/>
          <w:bCs/>
        </w:rPr>
        <w:t>6.</w:t>
      </w:r>
      <w:r w:rsidR="00475662" w:rsidRPr="00E65909">
        <w:rPr>
          <w:b/>
          <w:bCs/>
        </w:rPr>
        <w:t>1</w:t>
      </w:r>
      <w:r w:rsidRPr="00E65909">
        <w:rPr>
          <w:b/>
          <w:bCs/>
        </w:rPr>
        <w:t xml:space="preserve"> </w:t>
      </w:r>
      <w:r w:rsidR="00475662" w:rsidRPr="00E65909">
        <w:rPr>
          <w:b/>
          <w:bCs/>
        </w:rPr>
        <w:t>Wearable Health Technologies and Chronic Condition Management</w:t>
      </w:r>
    </w:p>
    <w:p w14:paraId="599A5C96" w14:textId="23A6E08B" w:rsidR="00475662" w:rsidRPr="00606B19" w:rsidRDefault="00475662" w:rsidP="00475662">
      <w:pPr>
        <w:tabs>
          <w:tab w:val="left" w:pos="1050"/>
        </w:tabs>
        <w:rPr>
          <w:b/>
          <w:bCs/>
        </w:rPr>
      </w:pPr>
      <w:r w:rsidRPr="00475662">
        <w:t>Wearable health technology, such as continuous glucose monitors (CGMs), are critical for controlling chronic illnesses like diabetes. CGMs are tiny sensors that are worn on the body to continually monitor glucose levels and offer real-time feedback to users and healthcare providers. This enables people to monitor variations and alter insulin, nutrition, or exercise levels appropriately (Heinemann, 2018). CGMs, for example, may warn patients to hazardous hypoglycaemic or hyperglycaemic episodes, allowing for early management and lowering hospitalisation rates.</w:t>
      </w:r>
      <w:r w:rsidRPr="00475662">
        <w:br/>
        <w:t xml:space="preserve">The Technology Acceptance Model states that acceptance is determined by perceived utility and simplicity of use, both of which are high with CGMs owing to automation and convenience. In practice, these devices promote self-management, boost patient confidence, and enable more tailored treatment, resulting in improved long-term health results. </w:t>
      </w:r>
      <w:r w:rsidRPr="00475662">
        <w:br/>
      </w:r>
      <w:r w:rsidRPr="00475662">
        <w:br/>
      </w:r>
      <w:r w:rsidR="00606B19" w:rsidRPr="00606B19">
        <w:rPr>
          <w:b/>
          <w:bCs/>
        </w:rPr>
        <w:t>6.2 Electronic</w:t>
      </w:r>
      <w:r w:rsidRPr="00606B19">
        <w:rPr>
          <w:b/>
          <w:bCs/>
        </w:rPr>
        <w:t xml:space="preserve"> Health Records and Communication </w:t>
      </w:r>
    </w:p>
    <w:p w14:paraId="28999928" w14:textId="77777777" w:rsidR="00475662" w:rsidRDefault="00475662" w:rsidP="00475662">
      <w:pPr>
        <w:tabs>
          <w:tab w:val="left" w:pos="1050"/>
        </w:tabs>
      </w:pPr>
      <w:r w:rsidRPr="00475662">
        <w:br/>
        <w:t xml:space="preserve">Electronic health records (EHRs) enhance communication and cooperation by allowing healthcare workers to conveniently access and exchange patient data across services. Unlike paper records, EHRs allow for real-time changes, eliminating duplication and inaccuracies (Kruse et al., 2018). For example, a general practitioner, hospital consultant, and social worker may all view the same patient information, providing continuity of treatment. </w:t>
      </w:r>
      <w:r w:rsidRPr="00475662">
        <w:br/>
        <w:t xml:space="preserve">This integrated approach improves decision-making since doctors have access to complete patient histories, including drugs and past treatments. Kruse et al. (2018) found that electronic health records (EHRs) increase care coordination and patient safety. From a practical standpoint, this eliminates delays and confusion, especially in complicated instances involving many different fields. </w:t>
      </w:r>
      <w:r w:rsidRPr="00475662">
        <w:br/>
        <w:t xml:space="preserve">The Technology Acceptance Model emphasises that simplicity of use and perceived utility impact acceptance, suggesting that well-designed technologies are critical for successful implementation in busy healthcare settings. </w:t>
      </w:r>
    </w:p>
    <w:p w14:paraId="45EEA9D6" w14:textId="5B959BA1" w:rsidR="00475662" w:rsidRPr="00606B19" w:rsidRDefault="00475662" w:rsidP="00475662">
      <w:pPr>
        <w:tabs>
          <w:tab w:val="left" w:pos="1050"/>
        </w:tabs>
        <w:rPr>
          <w:b/>
          <w:bCs/>
        </w:rPr>
      </w:pPr>
      <w:r w:rsidRPr="00475662">
        <w:br/>
      </w:r>
      <w:r w:rsidR="00606B19" w:rsidRPr="00606B19">
        <w:rPr>
          <w:b/>
          <w:bCs/>
        </w:rPr>
        <w:t>6.</w:t>
      </w:r>
      <w:r w:rsidRPr="00606B19">
        <w:rPr>
          <w:b/>
          <w:bCs/>
        </w:rPr>
        <w:t xml:space="preserve">3 Digital Technology in Preventative Care and Health Promotion </w:t>
      </w:r>
    </w:p>
    <w:p w14:paraId="30403B98" w14:textId="1E0521CE" w:rsidR="00475662" w:rsidRPr="00475662" w:rsidRDefault="00475662" w:rsidP="00475662">
      <w:pPr>
        <w:tabs>
          <w:tab w:val="left" w:pos="1050"/>
        </w:tabs>
      </w:pPr>
      <w:r w:rsidRPr="00475662">
        <w:t xml:space="preserve"> </w:t>
      </w:r>
      <w:r w:rsidRPr="00475662">
        <w:br/>
        <w:t xml:space="preserve">Digital technology plays an important role in preventive care by encouraging healthier habits and early intervention. Mobile health applications, for example, may help people improve their diets, increase their physical activity, and track risk variables (Dennison et al., 2013). Real-world examples include NHS-supported applications that encourage </w:t>
      </w:r>
      <w:r w:rsidRPr="00475662">
        <w:lastRenderedPageBreak/>
        <w:t xml:space="preserve">users to log their fitness and create health goals, therefore preventing illnesses like obesity and type 2 diabetes. </w:t>
      </w:r>
      <w:r w:rsidRPr="00475662">
        <w:br/>
        <w:t xml:space="preserve">These technologies give individualised feedback and reminders, promoting long-term habit modification. According to the Technology Acceptance Model, people are more likely to use these technologies when they are convenient and useful (Davis, 1989). </w:t>
      </w:r>
      <w:r w:rsidRPr="00475662">
        <w:br/>
        <w:t xml:space="preserve">In practice, digital prevention lowers long-term healthcare demand by addressing risk factors early. This not only improves population health but also promotes cost-effective care delivery, emphasising the need of innovation in current healthcare systems. </w:t>
      </w:r>
    </w:p>
    <w:p w14:paraId="00E84829" w14:textId="77777777" w:rsidR="000C57B7" w:rsidRDefault="000C57B7" w:rsidP="004F5FE2">
      <w:pPr>
        <w:tabs>
          <w:tab w:val="left" w:pos="1050"/>
        </w:tabs>
      </w:pPr>
    </w:p>
    <w:p w14:paraId="57FF8FFB" w14:textId="6C1B6981" w:rsidR="00475662" w:rsidRPr="00606B19" w:rsidRDefault="00475662" w:rsidP="004F5FE2">
      <w:pPr>
        <w:tabs>
          <w:tab w:val="left" w:pos="1050"/>
        </w:tabs>
        <w:rPr>
          <w:b/>
          <w:bCs/>
          <w:sz w:val="28"/>
          <w:szCs w:val="28"/>
        </w:rPr>
      </w:pPr>
      <w:r w:rsidRPr="00606B19">
        <w:rPr>
          <w:b/>
          <w:bCs/>
          <w:sz w:val="28"/>
          <w:szCs w:val="28"/>
        </w:rPr>
        <w:t>Task 7</w:t>
      </w:r>
    </w:p>
    <w:p w14:paraId="2F8EE646" w14:textId="033D0C13" w:rsidR="00475662" w:rsidRDefault="00606B19" w:rsidP="00475662">
      <w:pPr>
        <w:tabs>
          <w:tab w:val="left" w:pos="1050"/>
        </w:tabs>
        <w:rPr>
          <w:b/>
          <w:bCs/>
        </w:rPr>
      </w:pPr>
      <w:r>
        <w:rPr>
          <w:b/>
          <w:bCs/>
        </w:rPr>
        <w:t>7.</w:t>
      </w:r>
      <w:r w:rsidR="00475662">
        <w:rPr>
          <w:b/>
          <w:bCs/>
        </w:rPr>
        <w:t>1</w:t>
      </w:r>
      <w:r>
        <w:rPr>
          <w:b/>
          <w:bCs/>
        </w:rPr>
        <w:t xml:space="preserve"> </w:t>
      </w:r>
      <w:r w:rsidR="00475662" w:rsidRPr="00475662">
        <w:rPr>
          <w:b/>
          <w:bCs/>
        </w:rPr>
        <w:t>Summary of the NHS Leadership Framework</w:t>
      </w:r>
    </w:p>
    <w:p w14:paraId="56C0BEF3" w14:textId="77777777" w:rsidR="00475662" w:rsidRDefault="00475662" w:rsidP="00475662">
      <w:pPr>
        <w:tabs>
          <w:tab w:val="left" w:pos="1050"/>
        </w:tabs>
      </w:pPr>
      <w:r w:rsidRPr="00475662">
        <w:t xml:space="preserve">The NHS Leadership Framework, which is now included into the NHS Leadership Academy Healthcare Leadership Model, identifies core characteristics necessary for successful leadership in health and social care. It covers topics like leading with care, expressing a vision, engaging the team, and assessing information. These traits highlight compassion, teamwork, and ongoing progress (NHS Leadership Academy, 2013). </w:t>
      </w:r>
      <w:r w:rsidRPr="00475662">
        <w:br/>
        <w:t xml:space="preserve">The framework is vital because leadership has a direct impact on employee well-being, service quality, and patient outcomes. Effective leaders create cultures that foster innovation and safe practice. It also encourages consistent leadership standards throughout healthcare facilities, ensuring that care is person-centred and </w:t>
      </w:r>
      <w:proofErr w:type="gramStart"/>
      <w:r w:rsidRPr="00475662">
        <w:t>evidence-based</w:t>
      </w:r>
      <w:proofErr w:type="gramEnd"/>
      <w:r w:rsidRPr="00475662">
        <w:t>.</w:t>
      </w:r>
      <w:r w:rsidRPr="00475662">
        <w:br/>
        <w:t>The framework promotes an accountability and learning culture by linking leadership practices with corporate objectives. This is critical in complex organisations like the NHS, which requires coordinated cooperation and adaptable leadership to address changing patient requirements.</w:t>
      </w:r>
    </w:p>
    <w:p w14:paraId="7F9E354A" w14:textId="3DCF7B64" w:rsidR="00475662" w:rsidRDefault="00606B19" w:rsidP="00475662">
      <w:pPr>
        <w:tabs>
          <w:tab w:val="left" w:pos="1050"/>
        </w:tabs>
        <w:rPr>
          <w:b/>
          <w:bCs/>
        </w:rPr>
      </w:pPr>
      <w:r>
        <w:rPr>
          <w:b/>
          <w:bCs/>
        </w:rPr>
        <w:t>7.</w:t>
      </w:r>
      <w:r w:rsidR="00475662" w:rsidRPr="00B14FF6">
        <w:rPr>
          <w:b/>
          <w:bCs/>
        </w:rPr>
        <w:t>2 Leadership Behaviour: Leading with Care</w:t>
      </w:r>
    </w:p>
    <w:p w14:paraId="71D6F409" w14:textId="77777777" w:rsidR="00475662" w:rsidRPr="00475662" w:rsidRDefault="00475662" w:rsidP="00475662">
      <w:pPr>
        <w:tabs>
          <w:tab w:val="left" w:pos="1050"/>
        </w:tabs>
      </w:pPr>
      <w:r w:rsidRPr="00475662">
        <w:t xml:space="preserve">The "leading with care" behaviour focuses on improving employee well-being, appreciating contributions, and building trust. Leaders who display empathy and compassion may establish psychologically secure settings in which employees feel comfortable sharing ideas. This relates to transformational leadership, in which leaders inspire and encourage teams to innovate. </w:t>
      </w:r>
      <w:r w:rsidRPr="00475662">
        <w:br/>
        <w:t>For example, a manager that checks in with employees on a frequent basis and supports open conversation may stimulate innovation in issue resolution, such as increasing patient flow or communication. This method may boost worker morale and improve patient care since engaged teams are more likely to provide high-quality, compassionate services.</w:t>
      </w:r>
    </w:p>
    <w:p w14:paraId="199AE334" w14:textId="77777777" w:rsidR="00475662" w:rsidRDefault="00475662" w:rsidP="00475662">
      <w:pPr>
        <w:tabs>
          <w:tab w:val="left" w:pos="1050"/>
        </w:tabs>
      </w:pPr>
    </w:p>
    <w:p w14:paraId="0ADE2906" w14:textId="18C65AAA" w:rsidR="00475662" w:rsidRDefault="00606B19" w:rsidP="00475662">
      <w:pPr>
        <w:tabs>
          <w:tab w:val="left" w:pos="1050"/>
        </w:tabs>
        <w:rPr>
          <w:b/>
          <w:bCs/>
        </w:rPr>
      </w:pPr>
      <w:r>
        <w:rPr>
          <w:b/>
          <w:bCs/>
        </w:rPr>
        <w:lastRenderedPageBreak/>
        <w:t>7.</w:t>
      </w:r>
      <w:r w:rsidR="00475662" w:rsidRPr="008070B3">
        <w:rPr>
          <w:b/>
          <w:bCs/>
        </w:rPr>
        <w:t>3 Reflective Journal Entry</w:t>
      </w:r>
    </w:p>
    <w:p w14:paraId="118A4362" w14:textId="77777777" w:rsidR="00475662" w:rsidRPr="00475662" w:rsidRDefault="00475662" w:rsidP="00475662">
      <w:pPr>
        <w:tabs>
          <w:tab w:val="left" w:pos="1050"/>
        </w:tabs>
      </w:pPr>
      <w:r w:rsidRPr="00475662">
        <w:t xml:space="preserve">Throughout this session, my knowledge of creativity in health and social care has substantially improved. Initially, I thought creativity had little to do with clinical practice, but today I see it as crucial for issue resolution and service improvement. Group activities on convergent and divergent thinking helped me realise how to produce and improve ideas jointly. </w:t>
      </w:r>
      <w:r w:rsidRPr="00475662">
        <w:br/>
        <w:t>I've also learnt that value creation entails improving results for both patients and staff, rather than just adopting new technologies. This knowledge will guide my future practice by motivating me to be more open to innovation and provide ideas to teams. I want to encourage continual development and provide more effective, person-centred care.</w:t>
      </w:r>
    </w:p>
    <w:p w14:paraId="486D163A" w14:textId="77777777" w:rsidR="00475662" w:rsidRDefault="00475662" w:rsidP="00475662">
      <w:pPr>
        <w:tabs>
          <w:tab w:val="left" w:pos="1050"/>
        </w:tabs>
      </w:pPr>
    </w:p>
    <w:p w14:paraId="6AB4751E" w14:textId="77777777" w:rsidR="00475662" w:rsidRPr="00606B19" w:rsidRDefault="00475662" w:rsidP="00475662">
      <w:pPr>
        <w:rPr>
          <w:b/>
          <w:bCs/>
          <w:sz w:val="28"/>
          <w:szCs w:val="28"/>
        </w:rPr>
      </w:pPr>
      <w:r w:rsidRPr="00606B19">
        <w:rPr>
          <w:b/>
          <w:bCs/>
          <w:sz w:val="28"/>
          <w:szCs w:val="28"/>
        </w:rPr>
        <w:t>Task 8</w:t>
      </w:r>
    </w:p>
    <w:p w14:paraId="27FDF6E3" w14:textId="77777777" w:rsidR="00475662" w:rsidRPr="002B0506" w:rsidRDefault="00475662" w:rsidP="00475662">
      <w:r w:rsidRPr="002B0506">
        <w:rPr>
          <w:b/>
          <w:bCs/>
        </w:rPr>
        <w:t>Self-Reflection Journal Entry</w:t>
      </w:r>
    </w:p>
    <w:p w14:paraId="5A718D75" w14:textId="77777777" w:rsidR="00DC13BD" w:rsidRPr="00DC13BD" w:rsidRDefault="00DC13BD" w:rsidP="00DC13BD">
      <w:pPr>
        <w:tabs>
          <w:tab w:val="left" w:pos="1050"/>
        </w:tabs>
      </w:pPr>
      <w:r w:rsidRPr="00DC13BD">
        <w:t xml:space="preserve">Using Kolb's Experiential Learning Cycle, I can think about how this module has influenced my perception of creativity and value creation. As a field care supervisor in domiciliary care, I used to think about innovation primarily in terms of digital systems and policy. However, I now realise that minor, practical improvements, such as enhancing communication among carers or modifying care routines, may have an equivalent effect. </w:t>
      </w:r>
      <w:r w:rsidRPr="00DC13BD">
        <w:br/>
        <w:t>Exploring real-life issues such as staff stress and digital exclusion had a significant impact on my thinking on how innovative solutions may directly enhance care delivery. This has transformed my view on creativity as a component of daily leadership and problem solving.</w:t>
      </w:r>
      <w:r w:rsidRPr="00DC13BD">
        <w:br/>
        <w:t xml:space="preserve">In my work, I can utilise this to encourage carers to exchange ideas, enable flexible ways to care, and improve service user experiences. This knowledge will help me to lead more effectively, encourage continual development, and provide more responsive, person-centred care in practice. </w:t>
      </w:r>
    </w:p>
    <w:p w14:paraId="527196D6" w14:textId="2919EB56" w:rsidR="00475662" w:rsidRPr="00475662" w:rsidRDefault="00E84C91" w:rsidP="00475662">
      <w:pPr>
        <w:tabs>
          <w:tab w:val="left" w:pos="1050"/>
        </w:tabs>
      </w:pPr>
      <w:r>
        <w:t xml:space="preserve"> </w:t>
      </w:r>
    </w:p>
    <w:p w14:paraId="1ADCD213" w14:textId="77777777" w:rsidR="00475662" w:rsidRDefault="00475662" w:rsidP="00475662">
      <w:pPr>
        <w:tabs>
          <w:tab w:val="left" w:pos="1050"/>
        </w:tabs>
        <w:rPr>
          <w:b/>
          <w:bCs/>
        </w:rPr>
      </w:pPr>
    </w:p>
    <w:p w14:paraId="180153D1" w14:textId="77777777" w:rsidR="00B466ED" w:rsidRDefault="00B466ED" w:rsidP="00475662">
      <w:pPr>
        <w:tabs>
          <w:tab w:val="left" w:pos="1050"/>
        </w:tabs>
        <w:rPr>
          <w:b/>
          <w:bCs/>
        </w:rPr>
      </w:pPr>
    </w:p>
    <w:p w14:paraId="43DB7512" w14:textId="77777777" w:rsidR="00B466ED" w:rsidRDefault="00B466ED" w:rsidP="00475662">
      <w:pPr>
        <w:tabs>
          <w:tab w:val="left" w:pos="1050"/>
        </w:tabs>
        <w:rPr>
          <w:b/>
          <w:bCs/>
        </w:rPr>
      </w:pPr>
    </w:p>
    <w:p w14:paraId="581BFE2F" w14:textId="77777777" w:rsidR="00B466ED" w:rsidRDefault="00B466ED" w:rsidP="00475662">
      <w:pPr>
        <w:tabs>
          <w:tab w:val="left" w:pos="1050"/>
        </w:tabs>
        <w:rPr>
          <w:b/>
          <w:bCs/>
        </w:rPr>
      </w:pPr>
    </w:p>
    <w:p w14:paraId="3F6BE88F" w14:textId="77777777" w:rsidR="00B466ED" w:rsidRDefault="00B466ED" w:rsidP="00475662">
      <w:pPr>
        <w:tabs>
          <w:tab w:val="left" w:pos="1050"/>
        </w:tabs>
        <w:rPr>
          <w:b/>
          <w:bCs/>
        </w:rPr>
      </w:pPr>
    </w:p>
    <w:p w14:paraId="1C607C17" w14:textId="77777777" w:rsidR="00B466ED" w:rsidRDefault="00B466ED" w:rsidP="00475662">
      <w:pPr>
        <w:tabs>
          <w:tab w:val="left" w:pos="1050"/>
        </w:tabs>
        <w:rPr>
          <w:b/>
          <w:bCs/>
        </w:rPr>
      </w:pPr>
    </w:p>
    <w:p w14:paraId="5F0EB071" w14:textId="3938C2BC" w:rsidR="00B466ED" w:rsidRPr="00606B19" w:rsidRDefault="00CC3543" w:rsidP="00475662">
      <w:pPr>
        <w:tabs>
          <w:tab w:val="left" w:pos="1050"/>
        </w:tabs>
        <w:rPr>
          <w:b/>
          <w:bCs/>
          <w:sz w:val="28"/>
          <w:szCs w:val="28"/>
        </w:rPr>
      </w:pPr>
      <w:r w:rsidRPr="00606B19">
        <w:rPr>
          <w:b/>
          <w:bCs/>
          <w:sz w:val="28"/>
          <w:szCs w:val="28"/>
        </w:rPr>
        <w:lastRenderedPageBreak/>
        <w:t>Reference list</w:t>
      </w:r>
    </w:p>
    <w:p w14:paraId="24707D02" w14:textId="77777777" w:rsidR="00312539" w:rsidRPr="00312539" w:rsidRDefault="00312539" w:rsidP="00312539">
      <w:pPr>
        <w:tabs>
          <w:tab w:val="left" w:pos="1050"/>
        </w:tabs>
        <w:rPr>
          <w:noProof/>
          <w14:ligatures w14:val="standardContextual"/>
        </w:rPr>
      </w:pPr>
      <w:r w:rsidRPr="00312539">
        <w:rPr>
          <w:noProof/>
          <w14:ligatures w14:val="standardContextual"/>
        </w:rPr>
        <w:t xml:space="preserve">Aiken, L.H. et al. (2012) ‘Patient satisfaction with hospital care and nurses in England’, </w:t>
      </w:r>
      <w:r w:rsidRPr="00312539">
        <w:rPr>
          <w:i/>
          <w:iCs/>
          <w:noProof/>
          <w14:ligatures w14:val="standardContextual"/>
        </w:rPr>
        <w:t>BMJ Open</w:t>
      </w:r>
      <w:r w:rsidRPr="00312539">
        <w:rPr>
          <w:noProof/>
          <w14:ligatures w14:val="standardContextual"/>
        </w:rPr>
        <w:t>, 2(1), e000435.</w:t>
      </w:r>
    </w:p>
    <w:p w14:paraId="0A786F6D" w14:textId="77777777" w:rsidR="00312539" w:rsidRPr="00312539" w:rsidRDefault="00312539" w:rsidP="00312539">
      <w:pPr>
        <w:tabs>
          <w:tab w:val="left" w:pos="1050"/>
        </w:tabs>
        <w:rPr>
          <w:noProof/>
          <w14:ligatures w14:val="standardContextual"/>
        </w:rPr>
      </w:pPr>
      <w:r w:rsidRPr="00312539">
        <w:rPr>
          <w:noProof/>
          <w14:ligatures w14:val="standardContextual"/>
        </w:rPr>
        <w:t xml:space="preserve">Amabile, T.M. (1996) </w:t>
      </w:r>
      <w:r w:rsidRPr="00312539">
        <w:rPr>
          <w:i/>
          <w:iCs/>
          <w:noProof/>
          <w14:ligatures w14:val="standardContextual"/>
        </w:rPr>
        <w:t>Creativity in context</w:t>
      </w:r>
      <w:r w:rsidRPr="00312539">
        <w:rPr>
          <w:noProof/>
          <w14:ligatures w14:val="standardContextual"/>
        </w:rPr>
        <w:t>. Boulder, CO: Westview Press.</w:t>
      </w:r>
    </w:p>
    <w:p w14:paraId="495756D4" w14:textId="77777777" w:rsidR="00312539" w:rsidRPr="00312539" w:rsidRDefault="00312539" w:rsidP="00312539">
      <w:pPr>
        <w:tabs>
          <w:tab w:val="left" w:pos="1050"/>
        </w:tabs>
        <w:rPr>
          <w:noProof/>
          <w14:ligatures w14:val="standardContextual"/>
        </w:rPr>
      </w:pPr>
      <w:r w:rsidRPr="00312539">
        <w:rPr>
          <w:noProof/>
          <w14:ligatures w14:val="standardContextual"/>
        </w:rPr>
        <w:t xml:space="preserve">Bass, B.M. and Avolio, B.J. (1994) </w:t>
      </w:r>
      <w:r w:rsidRPr="00312539">
        <w:rPr>
          <w:i/>
          <w:iCs/>
          <w:noProof/>
          <w14:ligatures w14:val="standardContextual"/>
        </w:rPr>
        <w:t>Improving organizational effectiveness through transformational leadership</w:t>
      </w:r>
      <w:r w:rsidRPr="00312539">
        <w:rPr>
          <w:noProof/>
          <w14:ligatures w14:val="standardContextual"/>
        </w:rPr>
        <w:t>. Thousand Oaks: Sage.</w:t>
      </w:r>
    </w:p>
    <w:p w14:paraId="36AADFA1" w14:textId="77777777" w:rsidR="00312539" w:rsidRPr="00312539" w:rsidRDefault="00312539" w:rsidP="00312539">
      <w:pPr>
        <w:tabs>
          <w:tab w:val="left" w:pos="1050"/>
        </w:tabs>
        <w:rPr>
          <w:noProof/>
          <w14:ligatures w14:val="standardContextual"/>
        </w:rPr>
      </w:pPr>
      <w:r w:rsidRPr="00312539">
        <w:rPr>
          <w:noProof/>
          <w14:ligatures w14:val="standardContextual"/>
        </w:rPr>
        <w:t xml:space="preserve">Burnes, B. (2017) ‘Kurt Lewin and the Harwood studies: The foundations of OD’, </w:t>
      </w:r>
      <w:r w:rsidRPr="00312539">
        <w:rPr>
          <w:i/>
          <w:iCs/>
          <w:noProof/>
          <w14:ligatures w14:val="standardContextual"/>
        </w:rPr>
        <w:t>Journal of Applied Behavioral Science</w:t>
      </w:r>
      <w:r w:rsidRPr="00312539">
        <w:rPr>
          <w:noProof/>
          <w14:ligatures w14:val="standardContextual"/>
        </w:rPr>
        <w:t>, 53(3), pp. 305–326.</w:t>
      </w:r>
    </w:p>
    <w:p w14:paraId="5451EA72" w14:textId="77777777" w:rsidR="00312539" w:rsidRPr="00312539" w:rsidRDefault="00312539" w:rsidP="00312539">
      <w:pPr>
        <w:tabs>
          <w:tab w:val="left" w:pos="1050"/>
        </w:tabs>
        <w:rPr>
          <w:noProof/>
          <w14:ligatures w14:val="standardContextual"/>
        </w:rPr>
      </w:pPr>
      <w:r w:rsidRPr="00312539">
        <w:rPr>
          <w:noProof/>
          <w14:ligatures w14:val="standardContextual"/>
        </w:rPr>
        <w:t xml:space="preserve">Cropley, A. (2006) ‘In praise of convergent thinking’, </w:t>
      </w:r>
      <w:r w:rsidRPr="00312539">
        <w:rPr>
          <w:i/>
          <w:iCs/>
          <w:noProof/>
          <w14:ligatures w14:val="standardContextual"/>
        </w:rPr>
        <w:t>Creativity Research Journal</w:t>
      </w:r>
      <w:r w:rsidRPr="00312539">
        <w:rPr>
          <w:noProof/>
          <w14:ligatures w14:val="standardContextual"/>
        </w:rPr>
        <w:t>, 18(3), pp. 391–404.</w:t>
      </w:r>
    </w:p>
    <w:p w14:paraId="659BF1C7" w14:textId="77777777" w:rsidR="00312539" w:rsidRPr="00312539" w:rsidRDefault="00312539" w:rsidP="00312539">
      <w:pPr>
        <w:tabs>
          <w:tab w:val="left" w:pos="1050"/>
        </w:tabs>
        <w:rPr>
          <w:noProof/>
          <w14:ligatures w14:val="standardContextual"/>
        </w:rPr>
      </w:pPr>
      <w:r w:rsidRPr="00312539">
        <w:rPr>
          <w:noProof/>
          <w14:ligatures w14:val="standardContextual"/>
        </w:rPr>
        <w:t xml:space="preserve">Davis, F.D. (1989) ‘Perceived usefulness, perceived ease of use, and user acceptance of information technology’, </w:t>
      </w:r>
      <w:r w:rsidRPr="00312539">
        <w:rPr>
          <w:i/>
          <w:iCs/>
          <w:noProof/>
          <w14:ligatures w14:val="standardContextual"/>
        </w:rPr>
        <w:t>MIS Quarterly</w:t>
      </w:r>
      <w:r w:rsidRPr="00312539">
        <w:rPr>
          <w:noProof/>
          <w14:ligatures w14:val="standardContextual"/>
        </w:rPr>
        <w:t>, 13(3), pp. 319–340.</w:t>
      </w:r>
    </w:p>
    <w:p w14:paraId="2A973B62" w14:textId="77777777" w:rsidR="00312539" w:rsidRPr="00312539" w:rsidRDefault="00312539" w:rsidP="00312539">
      <w:pPr>
        <w:tabs>
          <w:tab w:val="left" w:pos="1050"/>
        </w:tabs>
        <w:rPr>
          <w:noProof/>
          <w14:ligatures w14:val="standardContextual"/>
        </w:rPr>
      </w:pPr>
      <w:r w:rsidRPr="00312539">
        <w:rPr>
          <w:noProof/>
          <w14:ligatures w14:val="standardContextual"/>
        </w:rPr>
        <w:t xml:space="preserve">Dennison, L. et al. (2013) ‘Opportunities and challenges for smartphone applications in supporting health behaviour change’, </w:t>
      </w:r>
      <w:r w:rsidRPr="00312539">
        <w:rPr>
          <w:i/>
          <w:iCs/>
          <w:noProof/>
          <w14:ligatures w14:val="standardContextual"/>
        </w:rPr>
        <w:t>Journal of Medical Internet Research</w:t>
      </w:r>
      <w:r w:rsidRPr="00312539">
        <w:rPr>
          <w:noProof/>
          <w14:ligatures w14:val="standardContextual"/>
        </w:rPr>
        <w:t>, 15(4), e86.</w:t>
      </w:r>
    </w:p>
    <w:p w14:paraId="06CDDB26" w14:textId="77777777" w:rsidR="00312539" w:rsidRPr="00312539" w:rsidRDefault="00312539" w:rsidP="00312539">
      <w:pPr>
        <w:tabs>
          <w:tab w:val="left" w:pos="1050"/>
        </w:tabs>
        <w:rPr>
          <w:noProof/>
          <w14:ligatures w14:val="standardContextual"/>
        </w:rPr>
      </w:pPr>
      <w:r w:rsidRPr="00312539">
        <w:rPr>
          <w:noProof/>
          <w14:ligatures w14:val="standardContextual"/>
        </w:rPr>
        <w:t xml:space="preserve">Gibbs, G. (1988) </w:t>
      </w:r>
      <w:r w:rsidRPr="00312539">
        <w:rPr>
          <w:i/>
          <w:iCs/>
          <w:noProof/>
          <w14:ligatures w14:val="standardContextual"/>
        </w:rPr>
        <w:t>Learning by doing: A guide to teaching and learning methods</w:t>
      </w:r>
      <w:r w:rsidRPr="00312539">
        <w:rPr>
          <w:noProof/>
          <w14:ligatures w14:val="standardContextual"/>
        </w:rPr>
        <w:t>. Oxford: Oxford Polytechnic.</w:t>
      </w:r>
    </w:p>
    <w:p w14:paraId="225CEB4B" w14:textId="77777777" w:rsidR="00312539" w:rsidRPr="00312539" w:rsidRDefault="00312539" w:rsidP="00312539">
      <w:pPr>
        <w:tabs>
          <w:tab w:val="left" w:pos="1050"/>
        </w:tabs>
        <w:rPr>
          <w:noProof/>
          <w14:ligatures w14:val="standardContextual"/>
        </w:rPr>
      </w:pPr>
      <w:r w:rsidRPr="00312539">
        <w:rPr>
          <w:noProof/>
          <w14:ligatures w14:val="standardContextual"/>
        </w:rPr>
        <w:t xml:space="preserve">Greenhalgh, T. et al. (2004) ‘Diffusion of innovations in service organizations: Systematic review’, </w:t>
      </w:r>
      <w:r w:rsidRPr="00312539">
        <w:rPr>
          <w:i/>
          <w:iCs/>
          <w:noProof/>
          <w14:ligatures w14:val="standardContextual"/>
        </w:rPr>
        <w:t>Milbank Quarterly</w:t>
      </w:r>
      <w:r w:rsidRPr="00312539">
        <w:rPr>
          <w:noProof/>
          <w14:ligatures w14:val="standardContextual"/>
        </w:rPr>
        <w:t>, 82(4), pp. 581–629.</w:t>
      </w:r>
    </w:p>
    <w:p w14:paraId="61BB4F58" w14:textId="77777777" w:rsidR="00312539" w:rsidRPr="00312539" w:rsidRDefault="00312539" w:rsidP="00312539">
      <w:pPr>
        <w:tabs>
          <w:tab w:val="left" w:pos="1050"/>
        </w:tabs>
        <w:rPr>
          <w:noProof/>
          <w14:ligatures w14:val="standardContextual"/>
        </w:rPr>
      </w:pPr>
      <w:r w:rsidRPr="00312539">
        <w:rPr>
          <w:noProof/>
          <w14:ligatures w14:val="standardContextual"/>
        </w:rPr>
        <w:t xml:space="preserve">Hall, L.H. et al. (2016) ‘Healthcare staff wellbeing, burnout, and patient safety’, </w:t>
      </w:r>
      <w:r w:rsidRPr="00312539">
        <w:rPr>
          <w:i/>
          <w:iCs/>
          <w:noProof/>
          <w14:ligatures w14:val="standardContextual"/>
        </w:rPr>
        <w:t>PLoS ONE</w:t>
      </w:r>
      <w:r w:rsidRPr="00312539">
        <w:rPr>
          <w:noProof/>
          <w14:ligatures w14:val="standardContextual"/>
        </w:rPr>
        <w:t>, 11(7), e0159015.</w:t>
      </w:r>
    </w:p>
    <w:p w14:paraId="69DFDE86" w14:textId="77777777" w:rsidR="00312539" w:rsidRPr="00312539" w:rsidRDefault="00312539" w:rsidP="00312539">
      <w:pPr>
        <w:tabs>
          <w:tab w:val="left" w:pos="1050"/>
        </w:tabs>
        <w:rPr>
          <w:noProof/>
          <w14:ligatures w14:val="standardContextual"/>
        </w:rPr>
      </w:pPr>
      <w:r w:rsidRPr="00312539">
        <w:rPr>
          <w:noProof/>
          <w14:ligatures w14:val="standardContextual"/>
        </w:rPr>
        <w:t xml:space="preserve">Heinemann, L. (2018) ‘Continuous glucose monitoring (CGM) and diabetes management’, </w:t>
      </w:r>
      <w:r w:rsidRPr="00312539">
        <w:rPr>
          <w:i/>
          <w:iCs/>
          <w:noProof/>
          <w14:ligatures w14:val="standardContextual"/>
        </w:rPr>
        <w:t>Diabetes Technology &amp; Therapeutics</w:t>
      </w:r>
      <w:r w:rsidRPr="00312539">
        <w:rPr>
          <w:noProof/>
          <w14:ligatures w14:val="standardContextual"/>
        </w:rPr>
        <w:t>, 20(S2), pp. S2–25–S2–33.</w:t>
      </w:r>
    </w:p>
    <w:p w14:paraId="4C68A8AD" w14:textId="77777777" w:rsidR="00312539" w:rsidRPr="00312539" w:rsidRDefault="00312539" w:rsidP="00312539">
      <w:pPr>
        <w:tabs>
          <w:tab w:val="left" w:pos="1050"/>
        </w:tabs>
        <w:rPr>
          <w:noProof/>
          <w14:ligatures w14:val="standardContextual"/>
        </w:rPr>
      </w:pPr>
      <w:r w:rsidRPr="00312539">
        <w:rPr>
          <w:noProof/>
          <w14:ligatures w14:val="standardContextual"/>
        </w:rPr>
        <w:t xml:space="preserve">Kruse, C.S. et al. (2018) ‘The impact of electronic health records on healthcare quality’, </w:t>
      </w:r>
      <w:r w:rsidRPr="00312539">
        <w:rPr>
          <w:i/>
          <w:iCs/>
          <w:noProof/>
          <w14:ligatures w14:val="standardContextual"/>
        </w:rPr>
        <w:t>Journal of Medical Systems</w:t>
      </w:r>
      <w:r w:rsidRPr="00312539">
        <w:rPr>
          <w:noProof/>
          <w14:ligatures w14:val="standardContextual"/>
        </w:rPr>
        <w:t>, 42(11), 214.</w:t>
      </w:r>
    </w:p>
    <w:p w14:paraId="661BC133" w14:textId="77777777" w:rsidR="00312539" w:rsidRPr="00312539" w:rsidRDefault="00312539" w:rsidP="00312539">
      <w:pPr>
        <w:tabs>
          <w:tab w:val="left" w:pos="1050"/>
        </w:tabs>
        <w:rPr>
          <w:noProof/>
          <w14:ligatures w14:val="standardContextual"/>
        </w:rPr>
      </w:pPr>
      <w:r w:rsidRPr="00312539">
        <w:rPr>
          <w:noProof/>
          <w14:ligatures w14:val="standardContextual"/>
        </w:rPr>
        <w:t xml:space="preserve">Maslach, C. and Leiter, M.P. (2016) </w:t>
      </w:r>
      <w:r w:rsidRPr="00312539">
        <w:rPr>
          <w:i/>
          <w:iCs/>
          <w:noProof/>
          <w14:ligatures w14:val="standardContextual"/>
        </w:rPr>
        <w:t>Burnout</w:t>
      </w:r>
      <w:r w:rsidRPr="00312539">
        <w:rPr>
          <w:noProof/>
          <w14:ligatures w14:val="standardContextual"/>
        </w:rPr>
        <w:t>. 2nd edn. Cambridge: Cambridge University Press.</w:t>
      </w:r>
    </w:p>
    <w:p w14:paraId="51CF9EE3" w14:textId="77777777" w:rsidR="00312539" w:rsidRPr="00312539" w:rsidRDefault="00312539" w:rsidP="00312539">
      <w:pPr>
        <w:tabs>
          <w:tab w:val="left" w:pos="1050"/>
        </w:tabs>
        <w:rPr>
          <w:noProof/>
          <w14:ligatures w14:val="standardContextual"/>
        </w:rPr>
      </w:pPr>
      <w:r w:rsidRPr="00312539">
        <w:rPr>
          <w:noProof/>
          <w14:ligatures w14:val="standardContextual"/>
        </w:rPr>
        <w:t xml:space="preserve">Meadows, D. (2008) </w:t>
      </w:r>
      <w:r w:rsidRPr="00312539">
        <w:rPr>
          <w:i/>
          <w:iCs/>
          <w:noProof/>
          <w14:ligatures w14:val="standardContextual"/>
        </w:rPr>
        <w:t>Thinking in systems: A primer</w:t>
      </w:r>
      <w:r w:rsidRPr="00312539">
        <w:rPr>
          <w:noProof/>
          <w14:ligatures w14:val="standardContextual"/>
        </w:rPr>
        <w:t>. White River Junction: Chelsea Green Publishing.</w:t>
      </w:r>
    </w:p>
    <w:p w14:paraId="250F50BE" w14:textId="77777777" w:rsidR="00312539" w:rsidRPr="00312539" w:rsidRDefault="00312539" w:rsidP="00312539">
      <w:pPr>
        <w:tabs>
          <w:tab w:val="left" w:pos="1050"/>
        </w:tabs>
        <w:rPr>
          <w:noProof/>
          <w14:ligatures w14:val="standardContextual"/>
        </w:rPr>
      </w:pPr>
      <w:r w:rsidRPr="00312539">
        <w:rPr>
          <w:noProof/>
          <w14:ligatures w14:val="standardContextual"/>
        </w:rPr>
        <w:t xml:space="preserve">NHS England (2022) </w:t>
      </w:r>
      <w:r w:rsidRPr="00312539">
        <w:rPr>
          <w:i/>
          <w:iCs/>
          <w:noProof/>
          <w14:ligatures w14:val="standardContextual"/>
        </w:rPr>
        <w:t>Virtual wards including hospital at home</w:t>
      </w:r>
      <w:r w:rsidRPr="00312539">
        <w:rPr>
          <w:noProof/>
          <w14:ligatures w14:val="standardContextual"/>
        </w:rPr>
        <w:t>. London: NHS England.</w:t>
      </w:r>
    </w:p>
    <w:p w14:paraId="5799608A" w14:textId="77777777" w:rsidR="00312539" w:rsidRPr="00312539" w:rsidRDefault="00312539" w:rsidP="00312539">
      <w:pPr>
        <w:tabs>
          <w:tab w:val="left" w:pos="1050"/>
        </w:tabs>
        <w:rPr>
          <w:noProof/>
          <w14:ligatures w14:val="standardContextual"/>
        </w:rPr>
      </w:pPr>
      <w:r w:rsidRPr="00312539">
        <w:rPr>
          <w:noProof/>
          <w14:ligatures w14:val="standardContextual"/>
        </w:rPr>
        <w:t xml:space="preserve">NHS Leadership Academy (2013) </w:t>
      </w:r>
      <w:r w:rsidRPr="00312539">
        <w:rPr>
          <w:i/>
          <w:iCs/>
          <w:noProof/>
          <w14:ligatures w14:val="standardContextual"/>
        </w:rPr>
        <w:t>Healthcare leadership model</w:t>
      </w:r>
      <w:r w:rsidRPr="00312539">
        <w:rPr>
          <w:noProof/>
          <w14:ligatures w14:val="standardContextual"/>
        </w:rPr>
        <w:t>. London: NHS Leadership Academy.</w:t>
      </w:r>
    </w:p>
    <w:p w14:paraId="32196DF8" w14:textId="77777777" w:rsidR="00312539" w:rsidRPr="00312539" w:rsidRDefault="00312539" w:rsidP="00312539">
      <w:pPr>
        <w:tabs>
          <w:tab w:val="left" w:pos="1050"/>
        </w:tabs>
        <w:rPr>
          <w:noProof/>
          <w14:ligatures w14:val="standardContextual"/>
        </w:rPr>
      </w:pPr>
      <w:r w:rsidRPr="00312539">
        <w:rPr>
          <w:noProof/>
          <w14:ligatures w14:val="standardContextual"/>
        </w:rPr>
        <w:t xml:space="preserve">Piwek, L. et al. (2016) ‘The rise of consumer health wearables’, </w:t>
      </w:r>
      <w:r w:rsidRPr="00312539">
        <w:rPr>
          <w:i/>
          <w:iCs/>
          <w:noProof/>
          <w14:ligatures w14:val="standardContextual"/>
        </w:rPr>
        <w:t>PLoS Medicine</w:t>
      </w:r>
      <w:r w:rsidRPr="00312539">
        <w:rPr>
          <w:noProof/>
          <w14:ligatures w14:val="standardContextual"/>
        </w:rPr>
        <w:t>, 13(2), e1001953.</w:t>
      </w:r>
    </w:p>
    <w:p w14:paraId="149C82C9" w14:textId="77777777" w:rsidR="00312539" w:rsidRPr="00312539" w:rsidRDefault="00312539" w:rsidP="00312539">
      <w:pPr>
        <w:tabs>
          <w:tab w:val="left" w:pos="1050"/>
        </w:tabs>
        <w:rPr>
          <w:noProof/>
          <w14:ligatures w14:val="standardContextual"/>
        </w:rPr>
      </w:pPr>
      <w:r w:rsidRPr="00312539">
        <w:rPr>
          <w:noProof/>
          <w14:ligatures w14:val="standardContextual"/>
        </w:rPr>
        <w:lastRenderedPageBreak/>
        <w:t xml:space="preserve">Porter, M.E. (2010) ‘What is value in health care?’, </w:t>
      </w:r>
      <w:r w:rsidRPr="00312539">
        <w:rPr>
          <w:i/>
          <w:iCs/>
          <w:noProof/>
          <w14:ligatures w14:val="standardContextual"/>
        </w:rPr>
        <w:t>New England Journal of Medicine</w:t>
      </w:r>
      <w:r w:rsidRPr="00312539">
        <w:rPr>
          <w:noProof/>
          <w14:ligatures w14:val="standardContextual"/>
        </w:rPr>
        <w:t>, 363(26), pp. 2477–2481.</w:t>
      </w:r>
    </w:p>
    <w:p w14:paraId="53521BA1" w14:textId="77777777" w:rsidR="00312539" w:rsidRPr="00312539" w:rsidRDefault="00312539" w:rsidP="00312539">
      <w:pPr>
        <w:tabs>
          <w:tab w:val="left" w:pos="1050"/>
        </w:tabs>
        <w:rPr>
          <w:noProof/>
          <w14:ligatures w14:val="standardContextual"/>
        </w:rPr>
      </w:pPr>
      <w:r w:rsidRPr="00312539">
        <w:rPr>
          <w:noProof/>
          <w14:ligatures w14:val="standardContextual"/>
        </w:rPr>
        <w:t xml:space="preserve">Rogers, E.M. (2003) </w:t>
      </w:r>
      <w:r w:rsidRPr="00312539">
        <w:rPr>
          <w:i/>
          <w:iCs/>
          <w:noProof/>
          <w14:ligatures w14:val="standardContextual"/>
        </w:rPr>
        <w:t>Diffusion of innovations</w:t>
      </w:r>
      <w:r w:rsidRPr="00312539">
        <w:rPr>
          <w:noProof/>
          <w14:ligatures w14:val="standardContextual"/>
        </w:rPr>
        <w:t>. 5th edn. New York: Free Press.</w:t>
      </w:r>
    </w:p>
    <w:p w14:paraId="0FFADBB0" w14:textId="77777777" w:rsidR="00312539" w:rsidRPr="00312539" w:rsidRDefault="00312539" w:rsidP="00312539">
      <w:pPr>
        <w:tabs>
          <w:tab w:val="left" w:pos="1050"/>
        </w:tabs>
        <w:rPr>
          <w:noProof/>
          <w14:ligatures w14:val="standardContextual"/>
        </w:rPr>
      </w:pPr>
      <w:r w:rsidRPr="00312539">
        <w:rPr>
          <w:noProof/>
          <w14:ligatures w14:val="standardContextual"/>
        </w:rPr>
        <w:t xml:space="preserve">van Dijk, J. (2020) </w:t>
      </w:r>
      <w:r w:rsidRPr="00312539">
        <w:rPr>
          <w:i/>
          <w:iCs/>
          <w:noProof/>
          <w14:ligatures w14:val="standardContextual"/>
        </w:rPr>
        <w:t>The digital divide</w:t>
      </w:r>
      <w:r w:rsidRPr="00312539">
        <w:rPr>
          <w:noProof/>
          <w14:ligatures w14:val="standardContextual"/>
        </w:rPr>
        <w:t>. Cambridge: Polity Press.</w:t>
      </w:r>
    </w:p>
    <w:p w14:paraId="25CAAD81" w14:textId="77777777" w:rsidR="00312539" w:rsidRPr="00312539" w:rsidRDefault="00312539" w:rsidP="00312539">
      <w:pPr>
        <w:tabs>
          <w:tab w:val="left" w:pos="1050"/>
        </w:tabs>
        <w:rPr>
          <w:noProof/>
          <w14:ligatures w14:val="standardContextual"/>
        </w:rPr>
      </w:pPr>
      <w:r w:rsidRPr="00312539">
        <w:rPr>
          <w:noProof/>
          <w14:ligatures w14:val="standardContextual"/>
        </w:rPr>
        <w:t xml:space="preserve">Vindrola-Padros, C. et al. (2021) ‘Implementation of remote home monitoring models during COVID-19’, </w:t>
      </w:r>
      <w:r w:rsidRPr="00312539">
        <w:rPr>
          <w:i/>
          <w:iCs/>
          <w:noProof/>
          <w14:ligatures w14:val="standardContextual"/>
        </w:rPr>
        <w:t>BMJ Open</w:t>
      </w:r>
      <w:r w:rsidRPr="00312539">
        <w:rPr>
          <w:noProof/>
          <w14:ligatures w14:val="standardContextual"/>
        </w:rPr>
        <w:t>, 11(3), e047763.</w:t>
      </w:r>
    </w:p>
    <w:p w14:paraId="244E1D61" w14:textId="77777777" w:rsidR="00CC3543" w:rsidRDefault="00CC3543" w:rsidP="00475662">
      <w:pPr>
        <w:tabs>
          <w:tab w:val="left" w:pos="1050"/>
        </w:tabs>
      </w:pPr>
    </w:p>
    <w:p w14:paraId="34720C7B" w14:textId="77777777" w:rsidR="003D22F7" w:rsidRDefault="003D22F7" w:rsidP="00475662">
      <w:pPr>
        <w:tabs>
          <w:tab w:val="left" w:pos="1050"/>
        </w:tabs>
      </w:pPr>
    </w:p>
    <w:p w14:paraId="6EF45615" w14:textId="77777777" w:rsidR="003D22F7" w:rsidRDefault="003D22F7" w:rsidP="00475662">
      <w:pPr>
        <w:tabs>
          <w:tab w:val="left" w:pos="1050"/>
        </w:tabs>
      </w:pPr>
    </w:p>
    <w:p w14:paraId="7DAA790E" w14:textId="77777777" w:rsidR="003D22F7" w:rsidRDefault="003D22F7" w:rsidP="00475662">
      <w:pPr>
        <w:tabs>
          <w:tab w:val="left" w:pos="1050"/>
        </w:tabs>
      </w:pPr>
    </w:p>
    <w:p w14:paraId="7A4720E6" w14:textId="77777777" w:rsidR="003D22F7" w:rsidRDefault="003D22F7" w:rsidP="00475662">
      <w:pPr>
        <w:tabs>
          <w:tab w:val="left" w:pos="1050"/>
        </w:tabs>
      </w:pPr>
    </w:p>
    <w:p w14:paraId="6C8FD387" w14:textId="77777777" w:rsidR="003D22F7" w:rsidRDefault="003D22F7" w:rsidP="00475662">
      <w:pPr>
        <w:tabs>
          <w:tab w:val="left" w:pos="1050"/>
        </w:tabs>
      </w:pPr>
    </w:p>
    <w:p w14:paraId="3B2E98C6" w14:textId="77777777" w:rsidR="003D22F7" w:rsidRDefault="003D22F7" w:rsidP="00475662">
      <w:pPr>
        <w:tabs>
          <w:tab w:val="left" w:pos="1050"/>
        </w:tabs>
      </w:pPr>
    </w:p>
    <w:p w14:paraId="0D36B69D" w14:textId="77777777" w:rsidR="003D22F7" w:rsidRDefault="003D22F7" w:rsidP="00475662">
      <w:pPr>
        <w:tabs>
          <w:tab w:val="left" w:pos="1050"/>
        </w:tabs>
      </w:pPr>
    </w:p>
    <w:p w14:paraId="6982A55E" w14:textId="77777777" w:rsidR="003D22F7" w:rsidRDefault="003D22F7" w:rsidP="00475662">
      <w:pPr>
        <w:tabs>
          <w:tab w:val="left" w:pos="1050"/>
        </w:tabs>
      </w:pPr>
    </w:p>
    <w:p w14:paraId="5CCE1991" w14:textId="77777777" w:rsidR="003D22F7" w:rsidRDefault="003D22F7" w:rsidP="00475662">
      <w:pPr>
        <w:tabs>
          <w:tab w:val="left" w:pos="1050"/>
        </w:tabs>
      </w:pPr>
    </w:p>
    <w:p w14:paraId="4A2AADDE" w14:textId="77777777" w:rsidR="003D22F7" w:rsidRDefault="003D22F7" w:rsidP="00475662">
      <w:pPr>
        <w:tabs>
          <w:tab w:val="left" w:pos="1050"/>
        </w:tabs>
      </w:pPr>
    </w:p>
    <w:p w14:paraId="2660C7A0" w14:textId="77777777" w:rsidR="003D22F7" w:rsidRDefault="003D22F7" w:rsidP="00475662">
      <w:pPr>
        <w:tabs>
          <w:tab w:val="left" w:pos="1050"/>
        </w:tabs>
      </w:pPr>
    </w:p>
    <w:p w14:paraId="77315BEF" w14:textId="77777777" w:rsidR="003D22F7" w:rsidRDefault="003D22F7" w:rsidP="00475662">
      <w:pPr>
        <w:tabs>
          <w:tab w:val="left" w:pos="1050"/>
        </w:tabs>
      </w:pPr>
    </w:p>
    <w:p w14:paraId="23667965" w14:textId="77777777" w:rsidR="003D22F7" w:rsidRDefault="003D22F7" w:rsidP="00475662">
      <w:pPr>
        <w:tabs>
          <w:tab w:val="left" w:pos="1050"/>
        </w:tabs>
      </w:pPr>
    </w:p>
    <w:p w14:paraId="545B6D24" w14:textId="77777777" w:rsidR="003D22F7" w:rsidRDefault="003D22F7" w:rsidP="00475662">
      <w:pPr>
        <w:tabs>
          <w:tab w:val="left" w:pos="1050"/>
        </w:tabs>
      </w:pPr>
    </w:p>
    <w:p w14:paraId="0CBC5838" w14:textId="77777777" w:rsidR="003D22F7" w:rsidRDefault="003D22F7" w:rsidP="00475662">
      <w:pPr>
        <w:tabs>
          <w:tab w:val="left" w:pos="1050"/>
        </w:tabs>
      </w:pPr>
    </w:p>
    <w:p w14:paraId="5ECD674F" w14:textId="77777777" w:rsidR="00DC0B5E" w:rsidRDefault="00DC0B5E" w:rsidP="00475662">
      <w:pPr>
        <w:tabs>
          <w:tab w:val="left" w:pos="1050"/>
        </w:tabs>
      </w:pPr>
    </w:p>
    <w:p w14:paraId="0F27B9A8" w14:textId="77777777" w:rsidR="00DC0B5E" w:rsidRDefault="00DC0B5E" w:rsidP="00475662">
      <w:pPr>
        <w:tabs>
          <w:tab w:val="left" w:pos="1050"/>
        </w:tabs>
      </w:pPr>
    </w:p>
    <w:p w14:paraId="56F958A2" w14:textId="77777777" w:rsidR="00DC0B5E" w:rsidRDefault="00DC0B5E" w:rsidP="00475662">
      <w:pPr>
        <w:tabs>
          <w:tab w:val="left" w:pos="1050"/>
        </w:tabs>
      </w:pPr>
    </w:p>
    <w:p w14:paraId="01954D51" w14:textId="77777777" w:rsidR="00DC0B5E" w:rsidRDefault="00DC0B5E" w:rsidP="00475662">
      <w:pPr>
        <w:tabs>
          <w:tab w:val="left" w:pos="1050"/>
        </w:tabs>
      </w:pPr>
    </w:p>
    <w:p w14:paraId="0E22A18F" w14:textId="77777777" w:rsidR="00DC0B5E" w:rsidRDefault="00DC0B5E" w:rsidP="00475662">
      <w:pPr>
        <w:tabs>
          <w:tab w:val="left" w:pos="1050"/>
        </w:tabs>
      </w:pPr>
    </w:p>
    <w:p w14:paraId="52EC10F2" w14:textId="77777777" w:rsidR="00DC0B5E" w:rsidRDefault="00DC0B5E" w:rsidP="00475662">
      <w:pPr>
        <w:tabs>
          <w:tab w:val="left" w:pos="1050"/>
        </w:tabs>
      </w:pPr>
    </w:p>
    <w:p w14:paraId="1C211823" w14:textId="77777777" w:rsidR="00DC0B5E" w:rsidRDefault="00DC0B5E" w:rsidP="00475662">
      <w:pPr>
        <w:tabs>
          <w:tab w:val="left" w:pos="1050"/>
        </w:tabs>
      </w:pPr>
    </w:p>
    <w:p w14:paraId="0A43E86E" w14:textId="127859FA" w:rsidR="00DC0B5E" w:rsidRPr="00DC0B5E" w:rsidRDefault="00DC0B5E" w:rsidP="00475662">
      <w:pPr>
        <w:tabs>
          <w:tab w:val="left" w:pos="1050"/>
        </w:tabs>
        <w:rPr>
          <w:b/>
          <w:bCs/>
        </w:rPr>
      </w:pPr>
      <w:r w:rsidRPr="00DC0B5E">
        <w:rPr>
          <w:b/>
          <w:bCs/>
        </w:rPr>
        <w:lastRenderedPageBreak/>
        <w:t>Screenshots from forum</w:t>
      </w:r>
    </w:p>
    <w:p w14:paraId="32893836" w14:textId="147AE055" w:rsidR="00DC0B5E" w:rsidRDefault="00241262" w:rsidP="00475662">
      <w:pPr>
        <w:tabs>
          <w:tab w:val="left" w:pos="1050"/>
        </w:tabs>
      </w:pPr>
      <w:r>
        <w:rPr>
          <w:noProof/>
          <w14:ligatures w14:val="standardContextual"/>
        </w:rPr>
        <w:drawing>
          <wp:inline distT="0" distB="0" distL="0" distR="0" wp14:anchorId="48FCCE55" wp14:editId="6F3E51E1">
            <wp:extent cx="5731510" cy="3582035"/>
            <wp:effectExtent l="0" t="0" r="2540" b="0"/>
            <wp:docPr id="10852093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209307" name="Picture 108520930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0D4FCD2" w14:textId="24BF059D" w:rsidR="00241262" w:rsidRDefault="00241262" w:rsidP="00475662">
      <w:pPr>
        <w:tabs>
          <w:tab w:val="left" w:pos="1050"/>
        </w:tabs>
      </w:pPr>
      <w:r>
        <w:rPr>
          <w:noProof/>
          <w14:ligatures w14:val="standardContextual"/>
        </w:rPr>
        <w:drawing>
          <wp:inline distT="0" distB="0" distL="0" distR="0" wp14:anchorId="4F472091" wp14:editId="520D9C9F">
            <wp:extent cx="5731510" cy="3582035"/>
            <wp:effectExtent l="0" t="0" r="2540" b="0"/>
            <wp:docPr id="12017764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776448" name="Picture 120177644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F02F807" w14:textId="7E4EEE96" w:rsidR="000652BC" w:rsidRDefault="000652BC" w:rsidP="00475662">
      <w:pPr>
        <w:tabs>
          <w:tab w:val="left" w:pos="1050"/>
        </w:tabs>
      </w:pPr>
      <w:r>
        <w:rPr>
          <w:noProof/>
          <w14:ligatures w14:val="standardContextual"/>
        </w:rPr>
        <w:lastRenderedPageBreak/>
        <w:drawing>
          <wp:inline distT="0" distB="0" distL="0" distR="0" wp14:anchorId="3523E335" wp14:editId="5C3BE3DF">
            <wp:extent cx="5731510" cy="3397250"/>
            <wp:effectExtent l="0" t="0" r="2540" b="0"/>
            <wp:docPr id="7558674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867438" name="Picture 75586743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397250"/>
                    </a:xfrm>
                    <a:prstGeom prst="rect">
                      <a:avLst/>
                    </a:prstGeom>
                  </pic:spPr>
                </pic:pic>
              </a:graphicData>
            </a:graphic>
          </wp:inline>
        </w:drawing>
      </w:r>
    </w:p>
    <w:p w14:paraId="322F50CF" w14:textId="38989795" w:rsidR="000652BC" w:rsidRDefault="003014FF" w:rsidP="00475662">
      <w:pPr>
        <w:tabs>
          <w:tab w:val="left" w:pos="1050"/>
        </w:tabs>
      </w:pPr>
      <w:r>
        <w:rPr>
          <w:noProof/>
          <w14:ligatures w14:val="standardContextual"/>
        </w:rPr>
        <w:drawing>
          <wp:inline distT="0" distB="0" distL="0" distR="0" wp14:anchorId="50FBF8C8" wp14:editId="55D73891">
            <wp:extent cx="5731510" cy="3492500"/>
            <wp:effectExtent l="0" t="0" r="2540" b="0"/>
            <wp:docPr id="15167040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704065" name="Picture 151670406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492500"/>
                    </a:xfrm>
                    <a:prstGeom prst="rect">
                      <a:avLst/>
                    </a:prstGeom>
                  </pic:spPr>
                </pic:pic>
              </a:graphicData>
            </a:graphic>
          </wp:inline>
        </w:drawing>
      </w:r>
    </w:p>
    <w:p w14:paraId="24F9993F" w14:textId="1AE09F41" w:rsidR="00B849D6" w:rsidRDefault="00AA1829" w:rsidP="00475662">
      <w:pPr>
        <w:tabs>
          <w:tab w:val="left" w:pos="1050"/>
        </w:tabs>
      </w:pPr>
      <w:r>
        <w:rPr>
          <w:noProof/>
          <w14:ligatures w14:val="standardContextual"/>
        </w:rPr>
        <w:lastRenderedPageBreak/>
        <w:drawing>
          <wp:inline distT="0" distB="0" distL="0" distR="0" wp14:anchorId="364A506A" wp14:editId="43BEE13A">
            <wp:extent cx="5731510" cy="3183890"/>
            <wp:effectExtent l="0" t="0" r="2540" b="0"/>
            <wp:docPr id="14637460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746012" name="Picture 146374601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83890"/>
                    </a:xfrm>
                    <a:prstGeom prst="rect">
                      <a:avLst/>
                    </a:prstGeom>
                  </pic:spPr>
                </pic:pic>
              </a:graphicData>
            </a:graphic>
          </wp:inline>
        </w:drawing>
      </w:r>
    </w:p>
    <w:p w14:paraId="63FB88E0" w14:textId="2FD40546" w:rsidR="00AA1829" w:rsidRDefault="00EE1754" w:rsidP="00475662">
      <w:pPr>
        <w:tabs>
          <w:tab w:val="left" w:pos="1050"/>
        </w:tabs>
      </w:pPr>
      <w:r>
        <w:rPr>
          <w:noProof/>
          <w14:ligatures w14:val="standardContextual"/>
        </w:rPr>
        <w:drawing>
          <wp:inline distT="0" distB="0" distL="0" distR="0" wp14:anchorId="73DB2485" wp14:editId="0960A052">
            <wp:extent cx="5731510" cy="3751580"/>
            <wp:effectExtent l="0" t="0" r="2540" b="1270"/>
            <wp:docPr id="49952196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521960" name="Picture 49952196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751580"/>
                    </a:xfrm>
                    <a:prstGeom prst="rect">
                      <a:avLst/>
                    </a:prstGeom>
                  </pic:spPr>
                </pic:pic>
              </a:graphicData>
            </a:graphic>
          </wp:inline>
        </w:drawing>
      </w:r>
    </w:p>
    <w:p w14:paraId="474A530B" w14:textId="1708437C" w:rsidR="00EE1754" w:rsidRDefault="00DB2A4A" w:rsidP="00475662">
      <w:pPr>
        <w:tabs>
          <w:tab w:val="left" w:pos="1050"/>
        </w:tabs>
      </w:pPr>
      <w:r>
        <w:rPr>
          <w:noProof/>
          <w14:ligatures w14:val="standardContextual"/>
        </w:rPr>
        <w:lastRenderedPageBreak/>
        <w:drawing>
          <wp:inline distT="0" distB="0" distL="0" distR="0" wp14:anchorId="3311970F" wp14:editId="11B14917">
            <wp:extent cx="5731510" cy="3110230"/>
            <wp:effectExtent l="0" t="0" r="2540" b="0"/>
            <wp:docPr id="17337857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785712" name="Picture 173378571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110230"/>
                    </a:xfrm>
                    <a:prstGeom prst="rect">
                      <a:avLst/>
                    </a:prstGeom>
                  </pic:spPr>
                </pic:pic>
              </a:graphicData>
            </a:graphic>
          </wp:inline>
        </w:drawing>
      </w:r>
    </w:p>
    <w:p w14:paraId="4E9DAAE1" w14:textId="327DF663" w:rsidR="00DB2A4A" w:rsidRPr="00CC3543" w:rsidRDefault="007A711D" w:rsidP="00475662">
      <w:pPr>
        <w:tabs>
          <w:tab w:val="left" w:pos="1050"/>
        </w:tabs>
      </w:pPr>
      <w:r>
        <w:rPr>
          <w:noProof/>
          <w14:ligatures w14:val="standardContextual"/>
        </w:rPr>
        <w:drawing>
          <wp:inline distT="0" distB="0" distL="0" distR="0" wp14:anchorId="2561FCB9" wp14:editId="3E4F352B">
            <wp:extent cx="5731510" cy="2938145"/>
            <wp:effectExtent l="0" t="0" r="2540" b="0"/>
            <wp:docPr id="49774487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744872" name="Picture 49774487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938145"/>
                    </a:xfrm>
                    <a:prstGeom prst="rect">
                      <a:avLst/>
                    </a:prstGeom>
                  </pic:spPr>
                </pic:pic>
              </a:graphicData>
            </a:graphic>
          </wp:inline>
        </w:drawing>
      </w:r>
    </w:p>
    <w:sectPr w:rsidR="00DB2A4A" w:rsidRPr="00CC354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CF78AC" w14:textId="77777777" w:rsidR="007D2292" w:rsidRDefault="007D2292" w:rsidP="00F9681E">
      <w:pPr>
        <w:spacing w:after="0" w:line="240" w:lineRule="auto"/>
      </w:pPr>
      <w:r>
        <w:separator/>
      </w:r>
    </w:p>
  </w:endnote>
  <w:endnote w:type="continuationSeparator" w:id="0">
    <w:p w14:paraId="3634354E" w14:textId="77777777" w:rsidR="007D2292" w:rsidRDefault="007D2292" w:rsidP="00F96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3292885"/>
      <w:docPartObj>
        <w:docPartGallery w:val="Page Numbers (Bottom of Page)"/>
        <w:docPartUnique/>
      </w:docPartObj>
    </w:sdtPr>
    <w:sdtEndPr>
      <w:rPr>
        <w:noProof/>
      </w:rPr>
    </w:sdtEndPr>
    <w:sdtContent>
      <w:p w14:paraId="0CFC4E94" w14:textId="5CB8ED8D" w:rsidR="00F9681E" w:rsidRDefault="00F968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F0A1E4" w14:textId="77777777" w:rsidR="00F9681E" w:rsidRDefault="00F968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04F860" w14:textId="77777777" w:rsidR="007D2292" w:rsidRDefault="007D2292" w:rsidP="00F9681E">
      <w:pPr>
        <w:spacing w:after="0" w:line="240" w:lineRule="auto"/>
      </w:pPr>
      <w:r>
        <w:separator/>
      </w:r>
    </w:p>
  </w:footnote>
  <w:footnote w:type="continuationSeparator" w:id="0">
    <w:p w14:paraId="44B227A9" w14:textId="77777777" w:rsidR="007D2292" w:rsidRDefault="007D2292" w:rsidP="00F968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763385"/>
    <w:multiLevelType w:val="hybridMultilevel"/>
    <w:tmpl w:val="12F00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0D2D0D"/>
    <w:multiLevelType w:val="hybridMultilevel"/>
    <w:tmpl w:val="16065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6226993">
    <w:abstractNumId w:val="1"/>
  </w:num>
  <w:num w:numId="2" w16cid:durableId="9789985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311"/>
    <w:rsid w:val="000652BC"/>
    <w:rsid w:val="000C57B7"/>
    <w:rsid w:val="001A2B4C"/>
    <w:rsid w:val="00221A2F"/>
    <w:rsid w:val="00241262"/>
    <w:rsid w:val="00267090"/>
    <w:rsid w:val="0027477D"/>
    <w:rsid w:val="002D6686"/>
    <w:rsid w:val="002E61F6"/>
    <w:rsid w:val="003014FF"/>
    <w:rsid w:val="00312539"/>
    <w:rsid w:val="003B7F35"/>
    <w:rsid w:val="003C4133"/>
    <w:rsid w:val="003D22F7"/>
    <w:rsid w:val="004153AC"/>
    <w:rsid w:val="00475662"/>
    <w:rsid w:val="004F5FE2"/>
    <w:rsid w:val="00544533"/>
    <w:rsid w:val="00606B19"/>
    <w:rsid w:val="00770AC7"/>
    <w:rsid w:val="007A711D"/>
    <w:rsid w:val="007D2292"/>
    <w:rsid w:val="00830F0B"/>
    <w:rsid w:val="00A85311"/>
    <w:rsid w:val="00AA1829"/>
    <w:rsid w:val="00AC7820"/>
    <w:rsid w:val="00B466ED"/>
    <w:rsid w:val="00B824C2"/>
    <w:rsid w:val="00B8331A"/>
    <w:rsid w:val="00B849D6"/>
    <w:rsid w:val="00CC3543"/>
    <w:rsid w:val="00CD6767"/>
    <w:rsid w:val="00D154F9"/>
    <w:rsid w:val="00DB0BA2"/>
    <w:rsid w:val="00DB2A4A"/>
    <w:rsid w:val="00DC0B5E"/>
    <w:rsid w:val="00DC13BD"/>
    <w:rsid w:val="00E65909"/>
    <w:rsid w:val="00E84C91"/>
    <w:rsid w:val="00EE1754"/>
    <w:rsid w:val="00F9681E"/>
    <w:rsid w:val="00FA16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70EAD"/>
  <w15:chartTrackingRefBased/>
  <w15:docId w15:val="{AE6DFD46-1374-4695-86A4-D19E4E924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5311"/>
    <w:pPr>
      <w:spacing w:line="278" w:lineRule="auto"/>
    </w:pPr>
    <w:rPr>
      <w:rFonts w:ascii="Aptos" w:eastAsia="Aptos" w:hAnsi="Aptos" w:cs="Times New Roman"/>
      <w:sz w:val="24"/>
      <w:szCs w:val="24"/>
      <w14:ligatures w14:val="none"/>
    </w:rPr>
  </w:style>
  <w:style w:type="paragraph" w:styleId="Heading1">
    <w:name w:val="heading 1"/>
    <w:basedOn w:val="Normal"/>
    <w:next w:val="Normal"/>
    <w:link w:val="Heading1Char"/>
    <w:uiPriority w:val="9"/>
    <w:qFormat/>
    <w:rsid w:val="00A85311"/>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14:ligatures w14:val="standardContextual"/>
    </w:rPr>
  </w:style>
  <w:style w:type="paragraph" w:styleId="Heading2">
    <w:name w:val="heading 2"/>
    <w:basedOn w:val="Normal"/>
    <w:next w:val="Normal"/>
    <w:link w:val="Heading2Char"/>
    <w:uiPriority w:val="9"/>
    <w:semiHidden/>
    <w:unhideWhenUsed/>
    <w:qFormat/>
    <w:rsid w:val="00A85311"/>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14:ligatures w14:val="standardContextual"/>
    </w:rPr>
  </w:style>
  <w:style w:type="paragraph" w:styleId="Heading3">
    <w:name w:val="heading 3"/>
    <w:basedOn w:val="Normal"/>
    <w:next w:val="Normal"/>
    <w:link w:val="Heading3Char"/>
    <w:uiPriority w:val="9"/>
    <w:semiHidden/>
    <w:unhideWhenUsed/>
    <w:qFormat/>
    <w:rsid w:val="00A85311"/>
    <w:pPr>
      <w:keepNext/>
      <w:keepLines/>
      <w:spacing w:before="160" w:after="80" w:line="259" w:lineRule="auto"/>
      <w:outlineLvl w:val="2"/>
    </w:pPr>
    <w:rPr>
      <w:rFonts w:asciiTheme="minorHAnsi" w:eastAsiaTheme="majorEastAsia" w:hAnsiTheme="minorHAnsi" w:cstheme="majorBidi"/>
      <w:color w:val="0F4761" w:themeColor="accent1" w:themeShade="BF"/>
      <w:sz w:val="28"/>
      <w:szCs w:val="28"/>
      <w14:ligatures w14:val="standardContextual"/>
    </w:rPr>
  </w:style>
  <w:style w:type="paragraph" w:styleId="Heading4">
    <w:name w:val="heading 4"/>
    <w:basedOn w:val="Normal"/>
    <w:next w:val="Normal"/>
    <w:link w:val="Heading4Char"/>
    <w:uiPriority w:val="9"/>
    <w:semiHidden/>
    <w:unhideWhenUsed/>
    <w:qFormat/>
    <w:rsid w:val="00A85311"/>
    <w:pPr>
      <w:keepNext/>
      <w:keepLines/>
      <w:spacing w:before="80" w:after="40" w:line="259" w:lineRule="auto"/>
      <w:outlineLvl w:val="3"/>
    </w:pPr>
    <w:rPr>
      <w:rFonts w:asciiTheme="minorHAnsi" w:eastAsiaTheme="majorEastAsia" w:hAnsiTheme="minorHAnsi" w:cstheme="majorBidi"/>
      <w:i/>
      <w:iCs/>
      <w:color w:val="0F4761" w:themeColor="accent1" w:themeShade="BF"/>
      <w:sz w:val="22"/>
      <w:szCs w:val="22"/>
      <w14:ligatures w14:val="standardContextual"/>
    </w:rPr>
  </w:style>
  <w:style w:type="paragraph" w:styleId="Heading5">
    <w:name w:val="heading 5"/>
    <w:basedOn w:val="Normal"/>
    <w:next w:val="Normal"/>
    <w:link w:val="Heading5Char"/>
    <w:uiPriority w:val="9"/>
    <w:semiHidden/>
    <w:unhideWhenUsed/>
    <w:qFormat/>
    <w:rsid w:val="00A85311"/>
    <w:pPr>
      <w:keepNext/>
      <w:keepLines/>
      <w:spacing w:before="80" w:after="40" w:line="259" w:lineRule="auto"/>
      <w:outlineLvl w:val="4"/>
    </w:pPr>
    <w:rPr>
      <w:rFonts w:asciiTheme="minorHAnsi" w:eastAsiaTheme="majorEastAsia" w:hAnsiTheme="minorHAnsi" w:cstheme="majorBidi"/>
      <w:color w:val="0F4761" w:themeColor="accent1" w:themeShade="BF"/>
      <w:sz w:val="22"/>
      <w:szCs w:val="22"/>
      <w14:ligatures w14:val="standardContextual"/>
    </w:rPr>
  </w:style>
  <w:style w:type="paragraph" w:styleId="Heading6">
    <w:name w:val="heading 6"/>
    <w:basedOn w:val="Normal"/>
    <w:next w:val="Normal"/>
    <w:link w:val="Heading6Char"/>
    <w:uiPriority w:val="9"/>
    <w:semiHidden/>
    <w:unhideWhenUsed/>
    <w:qFormat/>
    <w:rsid w:val="00A85311"/>
    <w:pPr>
      <w:keepNext/>
      <w:keepLines/>
      <w:spacing w:before="40" w:after="0" w:line="259" w:lineRule="auto"/>
      <w:outlineLvl w:val="5"/>
    </w:pPr>
    <w:rPr>
      <w:rFonts w:asciiTheme="minorHAnsi" w:eastAsiaTheme="majorEastAsia" w:hAnsiTheme="minorHAnsi" w:cstheme="majorBidi"/>
      <w:i/>
      <w:iCs/>
      <w:color w:val="595959" w:themeColor="text1" w:themeTint="A6"/>
      <w:sz w:val="22"/>
      <w:szCs w:val="22"/>
      <w14:ligatures w14:val="standardContextual"/>
    </w:rPr>
  </w:style>
  <w:style w:type="paragraph" w:styleId="Heading7">
    <w:name w:val="heading 7"/>
    <w:basedOn w:val="Normal"/>
    <w:next w:val="Normal"/>
    <w:link w:val="Heading7Char"/>
    <w:uiPriority w:val="9"/>
    <w:semiHidden/>
    <w:unhideWhenUsed/>
    <w:qFormat/>
    <w:rsid w:val="00A85311"/>
    <w:pPr>
      <w:keepNext/>
      <w:keepLines/>
      <w:spacing w:before="40" w:after="0" w:line="259" w:lineRule="auto"/>
      <w:outlineLvl w:val="6"/>
    </w:pPr>
    <w:rPr>
      <w:rFonts w:asciiTheme="minorHAnsi" w:eastAsiaTheme="majorEastAsia" w:hAnsiTheme="minorHAnsi" w:cstheme="majorBidi"/>
      <w:color w:val="595959" w:themeColor="text1" w:themeTint="A6"/>
      <w:sz w:val="22"/>
      <w:szCs w:val="22"/>
      <w14:ligatures w14:val="standardContextual"/>
    </w:rPr>
  </w:style>
  <w:style w:type="paragraph" w:styleId="Heading8">
    <w:name w:val="heading 8"/>
    <w:basedOn w:val="Normal"/>
    <w:next w:val="Normal"/>
    <w:link w:val="Heading8Char"/>
    <w:uiPriority w:val="9"/>
    <w:semiHidden/>
    <w:unhideWhenUsed/>
    <w:qFormat/>
    <w:rsid w:val="00A85311"/>
    <w:pPr>
      <w:keepNext/>
      <w:keepLines/>
      <w:spacing w:after="0" w:line="259" w:lineRule="auto"/>
      <w:outlineLvl w:val="7"/>
    </w:pPr>
    <w:rPr>
      <w:rFonts w:asciiTheme="minorHAnsi" w:eastAsiaTheme="majorEastAsia" w:hAnsiTheme="minorHAnsi" w:cstheme="majorBidi"/>
      <w:i/>
      <w:iCs/>
      <w:color w:val="272727" w:themeColor="text1" w:themeTint="D8"/>
      <w:sz w:val="22"/>
      <w:szCs w:val="22"/>
      <w14:ligatures w14:val="standardContextual"/>
    </w:rPr>
  </w:style>
  <w:style w:type="paragraph" w:styleId="Heading9">
    <w:name w:val="heading 9"/>
    <w:basedOn w:val="Normal"/>
    <w:next w:val="Normal"/>
    <w:link w:val="Heading9Char"/>
    <w:uiPriority w:val="9"/>
    <w:semiHidden/>
    <w:unhideWhenUsed/>
    <w:qFormat/>
    <w:rsid w:val="00A85311"/>
    <w:pPr>
      <w:keepNext/>
      <w:keepLines/>
      <w:spacing w:after="0" w:line="259" w:lineRule="auto"/>
      <w:outlineLvl w:val="8"/>
    </w:pPr>
    <w:rPr>
      <w:rFonts w:asciiTheme="minorHAnsi" w:eastAsiaTheme="majorEastAsia" w:hAnsiTheme="minorHAnsi" w:cstheme="majorBidi"/>
      <w:color w:val="272727" w:themeColor="text1" w:themeTint="D8"/>
      <w:sz w:val="22"/>
      <w:szCs w:val="2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3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53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53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53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53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53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53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53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5311"/>
    <w:rPr>
      <w:rFonts w:eastAsiaTheme="majorEastAsia" w:cstheme="majorBidi"/>
      <w:color w:val="272727" w:themeColor="text1" w:themeTint="D8"/>
    </w:rPr>
  </w:style>
  <w:style w:type="paragraph" w:styleId="Title">
    <w:name w:val="Title"/>
    <w:basedOn w:val="Normal"/>
    <w:next w:val="Normal"/>
    <w:link w:val="TitleChar"/>
    <w:uiPriority w:val="10"/>
    <w:qFormat/>
    <w:rsid w:val="00A85311"/>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A853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5311"/>
    <w:pPr>
      <w:numPr>
        <w:ilvl w:val="1"/>
      </w:numPr>
      <w:spacing w:line="259" w:lineRule="auto"/>
    </w:pPr>
    <w:rPr>
      <w:rFonts w:asciiTheme="minorHAnsi" w:eastAsiaTheme="majorEastAsia" w:hAnsiTheme="minorHAnsi" w:cstheme="majorBidi"/>
      <w:color w:val="595959" w:themeColor="text1" w:themeTint="A6"/>
      <w:spacing w:val="15"/>
      <w:sz w:val="28"/>
      <w:szCs w:val="28"/>
      <w14:ligatures w14:val="standardContextual"/>
    </w:rPr>
  </w:style>
  <w:style w:type="character" w:customStyle="1" w:styleId="SubtitleChar">
    <w:name w:val="Subtitle Char"/>
    <w:basedOn w:val="DefaultParagraphFont"/>
    <w:link w:val="Subtitle"/>
    <w:uiPriority w:val="11"/>
    <w:rsid w:val="00A853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5311"/>
    <w:pPr>
      <w:spacing w:before="160" w:line="259" w:lineRule="auto"/>
      <w:jc w:val="center"/>
    </w:pPr>
    <w:rPr>
      <w:rFonts w:asciiTheme="minorHAnsi" w:eastAsiaTheme="minorHAnsi" w:hAnsiTheme="minorHAnsi" w:cstheme="minorBidi"/>
      <w:i/>
      <w:iCs/>
      <w:color w:val="404040" w:themeColor="text1" w:themeTint="BF"/>
      <w:sz w:val="22"/>
      <w:szCs w:val="22"/>
      <w14:ligatures w14:val="standardContextual"/>
    </w:rPr>
  </w:style>
  <w:style w:type="character" w:customStyle="1" w:styleId="QuoteChar">
    <w:name w:val="Quote Char"/>
    <w:basedOn w:val="DefaultParagraphFont"/>
    <w:link w:val="Quote"/>
    <w:uiPriority w:val="29"/>
    <w:rsid w:val="00A85311"/>
    <w:rPr>
      <w:i/>
      <w:iCs/>
      <w:color w:val="404040" w:themeColor="text1" w:themeTint="BF"/>
    </w:rPr>
  </w:style>
  <w:style w:type="paragraph" w:styleId="ListParagraph">
    <w:name w:val="List Paragraph"/>
    <w:basedOn w:val="Normal"/>
    <w:uiPriority w:val="34"/>
    <w:qFormat/>
    <w:rsid w:val="00A85311"/>
    <w:pPr>
      <w:spacing w:line="259" w:lineRule="auto"/>
      <w:ind w:left="720"/>
      <w:contextualSpacing/>
    </w:pPr>
    <w:rPr>
      <w:rFonts w:asciiTheme="minorHAnsi" w:eastAsiaTheme="minorHAnsi" w:hAnsiTheme="minorHAnsi" w:cstheme="minorBidi"/>
      <w:sz w:val="22"/>
      <w:szCs w:val="22"/>
      <w14:ligatures w14:val="standardContextual"/>
    </w:rPr>
  </w:style>
  <w:style w:type="character" w:styleId="IntenseEmphasis">
    <w:name w:val="Intense Emphasis"/>
    <w:basedOn w:val="DefaultParagraphFont"/>
    <w:uiPriority w:val="21"/>
    <w:qFormat/>
    <w:rsid w:val="00A85311"/>
    <w:rPr>
      <w:i/>
      <w:iCs/>
      <w:color w:val="0F4761" w:themeColor="accent1" w:themeShade="BF"/>
    </w:rPr>
  </w:style>
  <w:style w:type="paragraph" w:styleId="IntenseQuote">
    <w:name w:val="Intense Quote"/>
    <w:basedOn w:val="Normal"/>
    <w:next w:val="Normal"/>
    <w:link w:val="IntenseQuoteChar"/>
    <w:uiPriority w:val="30"/>
    <w:qFormat/>
    <w:rsid w:val="00A85311"/>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sz w:val="22"/>
      <w:szCs w:val="22"/>
      <w14:ligatures w14:val="standardContextual"/>
    </w:rPr>
  </w:style>
  <w:style w:type="character" w:customStyle="1" w:styleId="IntenseQuoteChar">
    <w:name w:val="Intense Quote Char"/>
    <w:basedOn w:val="DefaultParagraphFont"/>
    <w:link w:val="IntenseQuote"/>
    <w:uiPriority w:val="30"/>
    <w:rsid w:val="00A85311"/>
    <w:rPr>
      <w:i/>
      <w:iCs/>
      <w:color w:val="0F4761" w:themeColor="accent1" w:themeShade="BF"/>
    </w:rPr>
  </w:style>
  <w:style w:type="character" w:styleId="IntenseReference">
    <w:name w:val="Intense Reference"/>
    <w:basedOn w:val="DefaultParagraphFont"/>
    <w:uiPriority w:val="32"/>
    <w:qFormat/>
    <w:rsid w:val="00A85311"/>
    <w:rPr>
      <w:b/>
      <w:bCs/>
      <w:smallCaps/>
      <w:color w:val="0F4761" w:themeColor="accent1" w:themeShade="BF"/>
      <w:spacing w:val="5"/>
    </w:rPr>
  </w:style>
  <w:style w:type="character" w:styleId="Strong">
    <w:name w:val="Strong"/>
    <w:uiPriority w:val="22"/>
    <w:qFormat/>
    <w:rsid w:val="00A85311"/>
    <w:rPr>
      <w:b/>
      <w:bCs/>
    </w:rPr>
  </w:style>
  <w:style w:type="paragraph" w:styleId="NormalWeb">
    <w:name w:val="Normal (Web)"/>
    <w:basedOn w:val="Normal"/>
    <w:uiPriority w:val="99"/>
    <w:unhideWhenUsed/>
    <w:rsid w:val="00A85311"/>
    <w:pPr>
      <w:spacing w:before="100" w:beforeAutospacing="1" w:after="100" w:afterAutospacing="1" w:line="240" w:lineRule="auto"/>
    </w:pPr>
    <w:rPr>
      <w:rFonts w:ascii="Times New Roman" w:eastAsia="Times New Roman" w:hAnsi="Times New Roman"/>
      <w:kern w:val="0"/>
      <w:lang w:eastAsia="en-GB"/>
    </w:rPr>
  </w:style>
  <w:style w:type="paragraph" w:styleId="Header">
    <w:name w:val="header"/>
    <w:basedOn w:val="Normal"/>
    <w:link w:val="HeaderChar"/>
    <w:uiPriority w:val="99"/>
    <w:unhideWhenUsed/>
    <w:rsid w:val="00F968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681E"/>
    <w:rPr>
      <w:rFonts w:ascii="Aptos" w:eastAsia="Aptos" w:hAnsi="Aptos" w:cs="Times New Roman"/>
      <w:sz w:val="24"/>
      <w:szCs w:val="24"/>
      <w14:ligatures w14:val="none"/>
    </w:rPr>
  </w:style>
  <w:style w:type="paragraph" w:styleId="Footer">
    <w:name w:val="footer"/>
    <w:basedOn w:val="Normal"/>
    <w:link w:val="FooterChar"/>
    <w:uiPriority w:val="99"/>
    <w:unhideWhenUsed/>
    <w:rsid w:val="00F968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681E"/>
    <w:rPr>
      <w:rFonts w:ascii="Aptos" w:eastAsia="Aptos" w:hAnsi="Aptos" w:cs="Times New Roman"/>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15</Pages>
  <Words>2647</Words>
  <Characters>15093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melinda avram</dc:creator>
  <cp:keywords/>
  <dc:description/>
  <cp:lastModifiedBy>melinda avram</cp:lastModifiedBy>
  <cp:revision>33</cp:revision>
  <dcterms:created xsi:type="dcterms:W3CDTF">2026-04-19T14:22:00Z</dcterms:created>
  <dcterms:modified xsi:type="dcterms:W3CDTF">2026-04-20T23:45:00Z</dcterms:modified>
</cp:coreProperties>
</file>