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6144E" w14:textId="6DFBC9CD" w:rsidR="009C77E1" w:rsidRPr="008F3853" w:rsidRDefault="009C77E1" w:rsidP="008F3853">
      <w:pPr>
        <w:tabs>
          <w:tab w:val="num" w:pos="720"/>
        </w:tabs>
        <w:ind w:left="720" w:hanging="360"/>
        <w:jc w:val="center"/>
        <w:rPr>
          <w:b/>
          <w:bCs/>
          <w:u w:val="single"/>
        </w:rPr>
      </w:pPr>
      <w:r w:rsidRPr="008F3853">
        <w:rPr>
          <w:b/>
          <w:bCs/>
          <w:u w:val="single"/>
        </w:rPr>
        <w:t>Pension Protection Fund (PPF) – DEI strategy</w:t>
      </w:r>
      <w:r w:rsidR="008F3853" w:rsidRPr="008F3853">
        <w:rPr>
          <w:b/>
          <w:bCs/>
          <w:u w:val="single"/>
        </w:rPr>
        <w:t xml:space="preserve"> summary</w:t>
      </w:r>
    </w:p>
    <w:p w14:paraId="5C155626" w14:textId="77777777" w:rsidR="00935B5B" w:rsidRPr="00935B5B" w:rsidRDefault="00935B5B" w:rsidP="00935B5B">
      <w:pPr>
        <w:numPr>
          <w:ilvl w:val="0"/>
          <w:numId w:val="1"/>
        </w:numPr>
      </w:pPr>
      <w:r w:rsidRPr="00935B5B">
        <w:t>Builds on a previous 2020–25 Diversity &amp; Inclusion strategy, which focused mainly on gender, ethnicity and disability representation and inclusive culture work.</w:t>
      </w:r>
    </w:p>
    <w:p w14:paraId="3996E452" w14:textId="77777777" w:rsidR="00935B5B" w:rsidRPr="00935B5B" w:rsidRDefault="00935B5B" w:rsidP="00935B5B">
      <w:pPr>
        <w:numPr>
          <w:ilvl w:val="0"/>
          <w:numId w:val="1"/>
        </w:numPr>
      </w:pPr>
      <w:r w:rsidRPr="00935B5B">
        <w:t>Rebrands to DEI with a stronger emphasis on equity, explicitly recognising that staff do not all start from a level playing field and that different groups face different structural barriers; equity is framed as changing systems and decisions, not just offering identical treatment.</w:t>
      </w:r>
    </w:p>
    <w:p w14:paraId="6CC1E292" w14:textId="77777777" w:rsidR="00935B5B" w:rsidRPr="00935B5B" w:rsidRDefault="00935B5B" w:rsidP="00935B5B">
      <w:pPr>
        <w:numPr>
          <w:ilvl w:val="0"/>
          <w:numId w:val="1"/>
        </w:numPr>
      </w:pPr>
      <w:r w:rsidRPr="00935B5B">
        <w:t>Expands its focus areas to five – continuing gender, ethnicity and disability, and adding </w:t>
      </w:r>
      <w:r w:rsidRPr="00935B5B">
        <w:rPr>
          <w:i/>
          <w:iCs/>
        </w:rPr>
        <w:t>social mobility</w:t>
      </w:r>
      <w:r w:rsidRPr="00935B5B">
        <w:t> and </w:t>
      </w:r>
      <w:r w:rsidRPr="00935B5B">
        <w:rPr>
          <w:i/>
          <w:iCs/>
        </w:rPr>
        <w:t>LGBTQ+ inclusion</w:t>
      </w:r>
      <w:r w:rsidRPr="00935B5B">
        <w:t> as new target areas, with an explicit commitment to intersectionality (how multiple characteristics combine to create barriers).</w:t>
      </w:r>
    </w:p>
    <w:p w14:paraId="651DF180" w14:textId="77777777" w:rsidR="00935B5B" w:rsidRPr="00935B5B" w:rsidRDefault="00935B5B" w:rsidP="00935B5B">
      <w:pPr>
        <w:numPr>
          <w:ilvl w:val="0"/>
          <w:numId w:val="1"/>
        </w:numPr>
      </w:pPr>
      <w:r w:rsidRPr="00935B5B">
        <w:t>Sets quantitative representation and inclusion aims, for example increasing representation of Black employees and women in senior roles, and using workforce data to monitor progress and inform targeted interventions.</w:t>
      </w:r>
    </w:p>
    <w:p w14:paraId="48C69C15" w14:textId="77777777" w:rsidR="00935B5B" w:rsidRPr="00935B5B" w:rsidRDefault="00935B5B" w:rsidP="00935B5B">
      <w:pPr>
        <w:numPr>
          <w:ilvl w:val="0"/>
          <w:numId w:val="1"/>
        </w:numPr>
      </w:pPr>
      <w:r w:rsidRPr="00935B5B">
        <w:t>Links DEI to organisational performance and governance, stating that being an inclusive employer benefits employees, members and partners, and positioning DEI as part of its responsibility as a public</w:t>
      </w:r>
      <w:r w:rsidRPr="00935B5B">
        <w:noBreakHyphen/>
        <w:t>purpose financial institution.</w:t>
      </w:r>
    </w:p>
    <w:p w14:paraId="065EB0A4" w14:textId="77777777" w:rsidR="00935B5B" w:rsidRPr="00935B5B" w:rsidRDefault="00935B5B" w:rsidP="00935B5B">
      <w:pPr>
        <w:numPr>
          <w:ilvl w:val="0"/>
          <w:numId w:val="1"/>
        </w:numPr>
      </w:pPr>
      <w:r w:rsidRPr="00935B5B">
        <w:t>Outlines practical enablers, such as:</w:t>
      </w:r>
    </w:p>
    <w:p w14:paraId="79AB4357" w14:textId="77777777" w:rsidR="00935B5B" w:rsidRPr="00935B5B" w:rsidRDefault="00935B5B" w:rsidP="00935B5B">
      <w:pPr>
        <w:numPr>
          <w:ilvl w:val="1"/>
          <w:numId w:val="1"/>
        </w:numPr>
      </w:pPr>
      <w:r w:rsidRPr="00935B5B">
        <w:t>Leadership sponsorship (an executive DEI sponsor and non</w:t>
      </w:r>
      <w:r w:rsidRPr="00935B5B">
        <w:noBreakHyphen/>
        <w:t>executive oversight).</w:t>
      </w:r>
    </w:p>
    <w:p w14:paraId="3A43508D" w14:textId="77777777" w:rsidR="00935B5B" w:rsidRPr="00935B5B" w:rsidRDefault="00935B5B" w:rsidP="00935B5B">
      <w:pPr>
        <w:numPr>
          <w:ilvl w:val="1"/>
          <w:numId w:val="1"/>
        </w:numPr>
      </w:pPr>
      <w:r w:rsidRPr="00935B5B">
        <w:t>Employee</w:t>
      </w:r>
      <w:r w:rsidRPr="00935B5B">
        <w:noBreakHyphen/>
        <w:t>led networks and working groups identifying barriers (e.g. access, non</w:t>
      </w:r>
      <w:r w:rsidRPr="00935B5B">
        <w:noBreakHyphen/>
        <w:t>binary inclusion) and proposing changes.</w:t>
      </w:r>
    </w:p>
    <w:p w14:paraId="4375F316" w14:textId="77777777" w:rsidR="00935B5B" w:rsidRPr="00935B5B" w:rsidRDefault="00935B5B" w:rsidP="00935B5B">
      <w:pPr>
        <w:numPr>
          <w:ilvl w:val="1"/>
          <w:numId w:val="1"/>
        </w:numPr>
      </w:pPr>
      <w:r w:rsidRPr="00935B5B">
        <w:t>Use of external programmes and partnerships (e.g. initiatives to diversify the investment profession) to widen talent pipelines.</w:t>
      </w:r>
    </w:p>
    <w:p w14:paraId="1EFB5FDF" w14:textId="77777777" w:rsidR="00935B5B" w:rsidRPr="00935B5B" w:rsidRDefault="00935B5B" w:rsidP="00935B5B">
      <w:pPr>
        <w:numPr>
          <w:ilvl w:val="1"/>
          <w:numId w:val="1"/>
        </w:numPr>
      </w:pPr>
      <w:r w:rsidRPr="00935B5B">
        <w:t>A three</w:t>
      </w:r>
      <w:r w:rsidRPr="00935B5B">
        <w:noBreakHyphen/>
        <w:t>year action plan, updated annually, that specifies activities and measures for each focus area.</w:t>
      </w:r>
    </w:p>
    <w:p w14:paraId="0B2CD9FF" w14:textId="77777777" w:rsidR="003E1F24" w:rsidRDefault="003E1F24"/>
    <w:sectPr w:rsidR="003E1F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501336"/>
    <w:multiLevelType w:val="multilevel"/>
    <w:tmpl w:val="44A28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140070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B5B"/>
    <w:rsid w:val="003E1F24"/>
    <w:rsid w:val="003E28CC"/>
    <w:rsid w:val="008F3853"/>
    <w:rsid w:val="00935B5B"/>
    <w:rsid w:val="00976E03"/>
    <w:rsid w:val="009C77E1"/>
    <w:rsid w:val="00BC2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9346D1"/>
  <w15:chartTrackingRefBased/>
  <w15:docId w15:val="{3EAEC844-72F3-4F9B-8811-50D5D8BEF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35B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5B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35B5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5B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35B5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5B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5B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5B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5B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5B5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5B5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35B5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5B5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35B5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5B5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5B5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5B5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5B5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35B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35B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35B5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35B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35B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35B5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35B5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35B5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35B5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35B5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35B5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1447</Characters>
  <Application>Microsoft Office Word</Application>
  <DocSecurity>0</DocSecurity>
  <Lines>26</Lines>
  <Paragraphs>11</Paragraphs>
  <ScaleCrop>false</ScaleCrop>
  <Company>University of Wales Trinity Saint David</Company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Akers</dc:creator>
  <cp:keywords/>
  <dc:description/>
  <cp:lastModifiedBy>Rhiannon Akers</cp:lastModifiedBy>
  <cp:revision>3</cp:revision>
  <dcterms:created xsi:type="dcterms:W3CDTF">2026-02-11T11:42:00Z</dcterms:created>
  <dcterms:modified xsi:type="dcterms:W3CDTF">2026-02-11T11:45:00Z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97ad0381-b684-404b-b02e-1e680e411a8a</vt:lpwstr>
  </property>
</Properties>
</file>