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92AEBD" w14:textId="77777777" w:rsidR="00BC7C3F" w:rsidRDefault="00BC7C3F">
      <w:pPr>
        <w:rPr>
          <w:rFonts w:ascii="Times New Roman" w:hAnsi="Times New Roman"/>
          <w:b/>
          <w:bCs/>
          <w:sz w:val="28"/>
          <w:szCs w:val="28"/>
        </w:rPr>
      </w:pPr>
    </w:p>
    <w:p w14:paraId="1692AEBE" w14:textId="77777777" w:rsidR="00BC7C3F" w:rsidRDefault="00BC7C3F">
      <w:pPr>
        <w:rPr>
          <w:rFonts w:ascii="Times New Roman" w:hAnsi="Times New Roman"/>
          <w:b/>
          <w:bCs/>
          <w:sz w:val="28"/>
          <w:szCs w:val="28"/>
        </w:rPr>
      </w:pPr>
    </w:p>
    <w:p w14:paraId="1692AEBF" w14:textId="77777777" w:rsidR="00BC7C3F" w:rsidRDefault="00A6763E">
      <w:pPr>
        <w:jc w:val="center"/>
        <w:rPr>
          <w:rFonts w:ascii="Times New Roman" w:hAnsi="Times New Roman"/>
          <w:b/>
          <w:bCs/>
          <w:sz w:val="36"/>
          <w:szCs w:val="36"/>
        </w:rPr>
      </w:pPr>
      <w:r>
        <w:rPr>
          <w:rFonts w:ascii="Times New Roman" w:hAnsi="Times New Roman"/>
          <w:b/>
          <w:bCs/>
          <w:sz w:val="36"/>
          <w:szCs w:val="36"/>
        </w:rPr>
        <w:t>The Influence of Organisational Culture on Structure, Decision-Making and Performance: A Case Study of Severn Trent Water</w:t>
      </w:r>
    </w:p>
    <w:p w14:paraId="1692AEC0" w14:textId="77777777" w:rsidR="00BC7C3F" w:rsidRDefault="00BC7C3F">
      <w:pPr>
        <w:rPr>
          <w:rFonts w:ascii="Times New Roman" w:hAnsi="Times New Roman"/>
          <w:b/>
          <w:bCs/>
          <w:sz w:val="28"/>
          <w:szCs w:val="28"/>
        </w:rPr>
      </w:pPr>
    </w:p>
    <w:p w14:paraId="1692AEC1" w14:textId="77777777" w:rsidR="00BC7C3F" w:rsidRDefault="00BC7C3F">
      <w:pPr>
        <w:rPr>
          <w:rFonts w:ascii="Times New Roman" w:hAnsi="Times New Roman"/>
          <w:b/>
          <w:bCs/>
          <w:sz w:val="28"/>
          <w:szCs w:val="28"/>
        </w:rPr>
      </w:pPr>
    </w:p>
    <w:p w14:paraId="1692AEC2" w14:textId="77777777" w:rsidR="00BC7C3F" w:rsidRDefault="00BC7C3F">
      <w:pPr>
        <w:rPr>
          <w:rFonts w:ascii="Times New Roman" w:hAnsi="Times New Roman"/>
          <w:b/>
          <w:bCs/>
          <w:sz w:val="28"/>
          <w:szCs w:val="28"/>
        </w:rPr>
      </w:pPr>
    </w:p>
    <w:p w14:paraId="1692AEC3" w14:textId="77777777" w:rsidR="00BC7C3F" w:rsidRDefault="00BC7C3F">
      <w:pPr>
        <w:rPr>
          <w:rFonts w:ascii="Times New Roman" w:hAnsi="Times New Roman"/>
          <w:b/>
          <w:bCs/>
          <w:sz w:val="28"/>
          <w:szCs w:val="28"/>
        </w:rPr>
      </w:pPr>
    </w:p>
    <w:p w14:paraId="1692AEC4" w14:textId="77777777" w:rsidR="00BC7C3F" w:rsidRDefault="00BC7C3F">
      <w:pPr>
        <w:rPr>
          <w:rFonts w:ascii="Times New Roman" w:hAnsi="Times New Roman"/>
          <w:b/>
          <w:bCs/>
          <w:sz w:val="28"/>
          <w:szCs w:val="28"/>
        </w:rPr>
      </w:pPr>
    </w:p>
    <w:p w14:paraId="1692AEC5" w14:textId="77777777" w:rsidR="00BC7C3F" w:rsidRDefault="00BC7C3F">
      <w:pPr>
        <w:rPr>
          <w:rFonts w:ascii="Times New Roman" w:hAnsi="Times New Roman"/>
          <w:b/>
          <w:bCs/>
          <w:sz w:val="28"/>
          <w:szCs w:val="28"/>
        </w:rPr>
      </w:pPr>
    </w:p>
    <w:p w14:paraId="1692AEC6" w14:textId="77777777" w:rsidR="00BC7C3F" w:rsidRDefault="00BC7C3F">
      <w:pPr>
        <w:rPr>
          <w:rFonts w:ascii="Times New Roman" w:hAnsi="Times New Roman"/>
          <w:b/>
          <w:bCs/>
          <w:sz w:val="28"/>
          <w:szCs w:val="28"/>
        </w:rPr>
      </w:pPr>
    </w:p>
    <w:p w14:paraId="1692AEC7" w14:textId="77777777" w:rsidR="00BC7C3F" w:rsidRDefault="00BC7C3F">
      <w:pPr>
        <w:rPr>
          <w:rFonts w:ascii="Times New Roman" w:hAnsi="Times New Roman"/>
          <w:b/>
          <w:bCs/>
          <w:sz w:val="28"/>
          <w:szCs w:val="28"/>
        </w:rPr>
      </w:pPr>
    </w:p>
    <w:p w14:paraId="1692AEC8" w14:textId="77777777" w:rsidR="00BC7C3F" w:rsidRDefault="00BC7C3F">
      <w:pPr>
        <w:rPr>
          <w:rFonts w:ascii="Times New Roman" w:hAnsi="Times New Roman"/>
          <w:b/>
          <w:bCs/>
          <w:sz w:val="28"/>
          <w:szCs w:val="28"/>
        </w:rPr>
      </w:pPr>
    </w:p>
    <w:p w14:paraId="1692AEC9" w14:textId="77777777" w:rsidR="00BC7C3F" w:rsidRDefault="00BC7C3F">
      <w:pPr>
        <w:rPr>
          <w:rFonts w:ascii="Times New Roman" w:hAnsi="Times New Roman"/>
          <w:b/>
          <w:bCs/>
          <w:sz w:val="28"/>
          <w:szCs w:val="28"/>
        </w:rPr>
      </w:pPr>
    </w:p>
    <w:p w14:paraId="1692AECA" w14:textId="77777777" w:rsidR="00BC7C3F" w:rsidRDefault="00BC7C3F">
      <w:pPr>
        <w:rPr>
          <w:rFonts w:ascii="Times New Roman" w:hAnsi="Times New Roman"/>
          <w:b/>
          <w:bCs/>
          <w:sz w:val="28"/>
          <w:szCs w:val="28"/>
        </w:rPr>
      </w:pPr>
    </w:p>
    <w:p w14:paraId="1692AECB" w14:textId="77777777" w:rsidR="00BC7C3F" w:rsidRDefault="00BC7C3F">
      <w:pPr>
        <w:rPr>
          <w:rFonts w:ascii="Times New Roman" w:hAnsi="Times New Roman"/>
          <w:b/>
          <w:bCs/>
          <w:sz w:val="28"/>
          <w:szCs w:val="28"/>
        </w:rPr>
      </w:pPr>
    </w:p>
    <w:p w14:paraId="1692AECC" w14:textId="77777777" w:rsidR="00BC7C3F" w:rsidRDefault="00BC7C3F">
      <w:pPr>
        <w:rPr>
          <w:rFonts w:ascii="Times New Roman" w:hAnsi="Times New Roman"/>
          <w:b/>
          <w:bCs/>
          <w:sz w:val="28"/>
          <w:szCs w:val="28"/>
        </w:rPr>
      </w:pPr>
    </w:p>
    <w:p w14:paraId="1692AECD" w14:textId="77777777" w:rsidR="00BC7C3F" w:rsidRDefault="00BC7C3F">
      <w:pPr>
        <w:rPr>
          <w:rFonts w:ascii="Times New Roman" w:hAnsi="Times New Roman"/>
          <w:b/>
          <w:bCs/>
          <w:sz w:val="28"/>
          <w:szCs w:val="28"/>
        </w:rPr>
      </w:pPr>
    </w:p>
    <w:p w14:paraId="1692AECE" w14:textId="77777777" w:rsidR="00BC7C3F" w:rsidRDefault="00BC7C3F">
      <w:pPr>
        <w:rPr>
          <w:rFonts w:ascii="Times New Roman" w:hAnsi="Times New Roman"/>
          <w:b/>
          <w:bCs/>
          <w:sz w:val="28"/>
          <w:szCs w:val="28"/>
        </w:rPr>
      </w:pPr>
    </w:p>
    <w:p w14:paraId="1692AECF" w14:textId="77777777" w:rsidR="00BC7C3F" w:rsidRDefault="00BC7C3F">
      <w:pPr>
        <w:rPr>
          <w:rFonts w:ascii="Times New Roman" w:hAnsi="Times New Roman"/>
          <w:b/>
          <w:bCs/>
          <w:sz w:val="28"/>
          <w:szCs w:val="28"/>
        </w:rPr>
      </w:pPr>
    </w:p>
    <w:p w14:paraId="1692AED0" w14:textId="77777777" w:rsidR="00BC7C3F" w:rsidRDefault="00BC7C3F">
      <w:pPr>
        <w:rPr>
          <w:rFonts w:ascii="Times New Roman" w:hAnsi="Times New Roman"/>
          <w:b/>
          <w:bCs/>
          <w:sz w:val="28"/>
          <w:szCs w:val="28"/>
        </w:rPr>
      </w:pPr>
    </w:p>
    <w:p w14:paraId="1692AED1" w14:textId="77777777" w:rsidR="00BC7C3F" w:rsidRDefault="00BC7C3F">
      <w:pPr>
        <w:rPr>
          <w:rFonts w:ascii="Times New Roman" w:hAnsi="Times New Roman"/>
          <w:b/>
          <w:bCs/>
          <w:sz w:val="28"/>
          <w:szCs w:val="28"/>
        </w:rPr>
      </w:pPr>
    </w:p>
    <w:p w14:paraId="1692AED2" w14:textId="77777777" w:rsidR="00BC7C3F" w:rsidRDefault="00A6763E">
      <w:pPr>
        <w:rPr>
          <w:rFonts w:ascii="Times New Roman" w:hAnsi="Times New Roman"/>
          <w:b/>
          <w:bCs/>
          <w:sz w:val="28"/>
          <w:szCs w:val="28"/>
        </w:rPr>
      </w:pPr>
      <w:r>
        <w:rPr>
          <w:rFonts w:ascii="Times New Roman" w:hAnsi="Times New Roman"/>
          <w:b/>
          <w:bCs/>
          <w:sz w:val="28"/>
          <w:szCs w:val="28"/>
        </w:rPr>
        <w:t xml:space="preserve">Name: </w:t>
      </w:r>
    </w:p>
    <w:p w14:paraId="1692AED3" w14:textId="77777777" w:rsidR="00BC7C3F" w:rsidRDefault="00A6763E">
      <w:pPr>
        <w:rPr>
          <w:rFonts w:ascii="Times New Roman" w:hAnsi="Times New Roman"/>
          <w:b/>
          <w:bCs/>
          <w:sz w:val="28"/>
          <w:szCs w:val="28"/>
        </w:rPr>
      </w:pPr>
      <w:r>
        <w:rPr>
          <w:rFonts w:ascii="Times New Roman" w:hAnsi="Times New Roman"/>
          <w:b/>
          <w:bCs/>
          <w:sz w:val="28"/>
          <w:szCs w:val="28"/>
        </w:rPr>
        <w:t>Student ID:</w:t>
      </w:r>
    </w:p>
    <w:p w14:paraId="1692AED4" w14:textId="77777777" w:rsidR="00BC7C3F" w:rsidRDefault="00A6763E">
      <w:pPr>
        <w:rPr>
          <w:rFonts w:ascii="Times New Roman" w:hAnsi="Times New Roman"/>
          <w:b/>
          <w:bCs/>
          <w:sz w:val="28"/>
          <w:szCs w:val="28"/>
        </w:rPr>
      </w:pPr>
      <w:r>
        <w:rPr>
          <w:rFonts w:ascii="Times New Roman" w:hAnsi="Times New Roman"/>
          <w:b/>
          <w:bCs/>
          <w:sz w:val="28"/>
          <w:szCs w:val="28"/>
        </w:rPr>
        <w:t>Module:</w:t>
      </w:r>
    </w:p>
    <w:p w14:paraId="1692AED5" w14:textId="77777777" w:rsidR="00BC7C3F" w:rsidRDefault="00A6763E">
      <w:pPr>
        <w:rPr>
          <w:rFonts w:ascii="Times New Roman" w:hAnsi="Times New Roman"/>
          <w:b/>
          <w:bCs/>
          <w:sz w:val="28"/>
          <w:szCs w:val="28"/>
        </w:rPr>
      </w:pPr>
      <w:r>
        <w:rPr>
          <w:rFonts w:ascii="Times New Roman" w:hAnsi="Times New Roman"/>
          <w:b/>
          <w:bCs/>
          <w:sz w:val="28"/>
          <w:szCs w:val="28"/>
        </w:rPr>
        <w:t>Date:</w:t>
      </w:r>
    </w:p>
    <w:p w14:paraId="1692AED6" w14:textId="77777777" w:rsidR="00BC7C3F" w:rsidRDefault="00A6763E">
      <w:pPr>
        <w:rPr>
          <w:rFonts w:ascii="Times New Roman" w:hAnsi="Times New Roman"/>
          <w:b/>
          <w:bCs/>
          <w:sz w:val="28"/>
          <w:szCs w:val="28"/>
        </w:rPr>
      </w:pPr>
      <w:r>
        <w:rPr>
          <w:rFonts w:ascii="Times New Roman" w:hAnsi="Times New Roman"/>
          <w:b/>
          <w:bCs/>
          <w:sz w:val="28"/>
          <w:szCs w:val="28"/>
        </w:rPr>
        <w:t>Table of Contents</w:t>
      </w:r>
    </w:p>
    <w:p w14:paraId="1692AED7" w14:textId="77777777" w:rsidR="00BC7C3F" w:rsidRDefault="00A6763E">
      <w:pPr>
        <w:rPr>
          <w:rFonts w:ascii="Times New Roman" w:hAnsi="Times New Roman"/>
          <w:b/>
          <w:bCs/>
          <w:sz w:val="28"/>
          <w:szCs w:val="28"/>
        </w:rPr>
      </w:pPr>
      <w:r>
        <w:rPr>
          <w:rFonts w:ascii="Times New Roman" w:hAnsi="Times New Roman"/>
          <w:b/>
          <w:bCs/>
          <w:sz w:val="28"/>
          <w:szCs w:val="28"/>
        </w:rPr>
        <w:lastRenderedPageBreak/>
        <w:t xml:space="preserve">Table of Contents </w:t>
      </w:r>
      <w:r>
        <w:rPr>
          <w:rFonts w:ascii="Times New Roman" w:hAnsi="Times New Roman"/>
          <w:b/>
          <w:bCs/>
          <w:sz w:val="28"/>
          <w:szCs w:val="28"/>
        </w:rPr>
        <w:t>............................................................................. 2</w:t>
      </w:r>
    </w:p>
    <w:p w14:paraId="1692AED8" w14:textId="77777777" w:rsidR="00BC7C3F" w:rsidRDefault="00A6763E">
      <w:pPr>
        <w:numPr>
          <w:ilvl w:val="0"/>
          <w:numId w:val="1"/>
        </w:numPr>
        <w:rPr>
          <w:rFonts w:ascii="Times New Roman" w:hAnsi="Times New Roman"/>
          <w:b/>
          <w:bCs/>
          <w:sz w:val="28"/>
          <w:szCs w:val="28"/>
        </w:rPr>
      </w:pPr>
      <w:r>
        <w:rPr>
          <w:rFonts w:ascii="Times New Roman" w:hAnsi="Times New Roman"/>
          <w:b/>
          <w:bCs/>
          <w:sz w:val="28"/>
          <w:szCs w:val="28"/>
        </w:rPr>
        <w:t>Introduction .............................................................................3</w:t>
      </w:r>
    </w:p>
    <w:p w14:paraId="1692AED9" w14:textId="77777777" w:rsidR="00BC7C3F" w:rsidRDefault="00A6763E">
      <w:pPr>
        <w:numPr>
          <w:ilvl w:val="0"/>
          <w:numId w:val="1"/>
        </w:numPr>
        <w:rPr>
          <w:rFonts w:ascii="Times New Roman" w:hAnsi="Times New Roman"/>
          <w:b/>
          <w:bCs/>
          <w:sz w:val="28"/>
          <w:szCs w:val="28"/>
        </w:rPr>
      </w:pPr>
      <w:r>
        <w:rPr>
          <w:rFonts w:ascii="Times New Roman" w:hAnsi="Times New Roman"/>
          <w:b/>
          <w:bCs/>
          <w:sz w:val="28"/>
          <w:szCs w:val="28"/>
        </w:rPr>
        <w:t>Organisational Culture and Its Influence on Structure and Decision-Making .......... 3</w:t>
      </w:r>
    </w:p>
    <w:p w14:paraId="1692AEDA" w14:textId="77777777" w:rsidR="00BC7C3F" w:rsidRDefault="00A6763E">
      <w:pPr>
        <w:numPr>
          <w:ilvl w:val="0"/>
          <w:numId w:val="1"/>
        </w:numPr>
      </w:pPr>
      <w:r>
        <w:rPr>
          <w:rFonts w:ascii="Times New Roman" w:hAnsi="Times New Roman"/>
          <w:b/>
          <w:bCs/>
          <w:sz w:val="28"/>
          <w:szCs w:val="28"/>
        </w:rPr>
        <w:t>Identifying Organisational Culture Using Cultural Models ............................. 4</w:t>
      </w:r>
      <w:r>
        <w:rPr>
          <w:rFonts w:ascii="Times New Roman" w:hAnsi="Times New Roman"/>
          <w:b/>
          <w:bCs/>
          <w:sz w:val="28"/>
          <w:szCs w:val="28"/>
        </w:rPr>
        <w:br/>
      </w:r>
      <w:r>
        <w:rPr>
          <w:rFonts w:ascii="Times New Roman" w:hAnsi="Times New Roman"/>
          <w:b/>
          <w:bCs/>
          <w:sz w:val="28"/>
          <w:szCs w:val="28"/>
        </w:rPr>
        <w:t> </w:t>
      </w:r>
      <w:r>
        <w:rPr>
          <w:rFonts w:ascii="Times New Roman" w:hAnsi="Times New Roman"/>
          <w:b/>
          <w:bCs/>
          <w:sz w:val="28"/>
          <w:szCs w:val="28"/>
        </w:rPr>
        <w:t>3.1 Schein’s Model of Organisational Culture ............................4</w:t>
      </w:r>
      <w:r>
        <w:rPr>
          <w:rFonts w:ascii="Times New Roman" w:hAnsi="Times New Roman"/>
          <w:b/>
          <w:bCs/>
          <w:sz w:val="28"/>
          <w:szCs w:val="28"/>
        </w:rPr>
        <w:br/>
      </w:r>
      <w:r>
        <w:rPr>
          <w:rFonts w:ascii="Times New Roman" w:hAnsi="Times New Roman"/>
          <w:b/>
          <w:bCs/>
          <w:sz w:val="28"/>
          <w:szCs w:val="28"/>
        </w:rPr>
        <w:t> </w:t>
      </w:r>
      <w:r>
        <w:rPr>
          <w:rFonts w:ascii="Times New Roman" w:hAnsi="Times New Roman"/>
          <w:b/>
          <w:bCs/>
          <w:sz w:val="28"/>
          <w:szCs w:val="28"/>
        </w:rPr>
        <w:t>3.2 Hofstede’s Cultural Dimensions .............................................5</w:t>
      </w:r>
      <w:r>
        <w:rPr>
          <w:rFonts w:ascii="Times New Roman" w:hAnsi="Times New Roman"/>
          <w:b/>
          <w:bCs/>
          <w:sz w:val="28"/>
          <w:szCs w:val="28"/>
        </w:rPr>
        <w:br/>
      </w:r>
      <w:r>
        <w:rPr>
          <w:rFonts w:ascii="Times New Roman" w:hAnsi="Times New Roman"/>
          <w:b/>
          <w:bCs/>
          <w:sz w:val="28"/>
          <w:szCs w:val="28"/>
        </w:rPr>
        <w:t> </w:t>
      </w:r>
      <w:r>
        <w:rPr>
          <w:rFonts w:ascii="Times New Roman" w:hAnsi="Times New Roman"/>
          <w:b/>
          <w:bCs/>
          <w:sz w:val="28"/>
          <w:szCs w:val="28"/>
        </w:rPr>
        <w:t>3.3 Handy’s Cultural Types ...........................................................5</w:t>
      </w:r>
    </w:p>
    <w:p w14:paraId="1692AEDB" w14:textId="77777777" w:rsidR="00BC7C3F" w:rsidRDefault="00A6763E">
      <w:pPr>
        <w:numPr>
          <w:ilvl w:val="0"/>
          <w:numId w:val="1"/>
        </w:numPr>
        <w:rPr>
          <w:rFonts w:ascii="Times New Roman" w:hAnsi="Times New Roman"/>
          <w:b/>
          <w:bCs/>
          <w:sz w:val="28"/>
          <w:szCs w:val="28"/>
        </w:rPr>
      </w:pPr>
      <w:r>
        <w:rPr>
          <w:rFonts w:ascii="Times New Roman" w:hAnsi="Times New Roman"/>
          <w:b/>
          <w:bCs/>
          <w:sz w:val="28"/>
          <w:szCs w:val="28"/>
        </w:rPr>
        <w:t>Organisational Culture and Adaptation to the External Environment ................. 6</w:t>
      </w:r>
    </w:p>
    <w:p w14:paraId="1692AEDC" w14:textId="77777777" w:rsidR="00BC7C3F" w:rsidRDefault="00A6763E">
      <w:pPr>
        <w:numPr>
          <w:ilvl w:val="0"/>
          <w:numId w:val="1"/>
        </w:numPr>
        <w:rPr>
          <w:rFonts w:ascii="Times New Roman" w:hAnsi="Times New Roman"/>
          <w:b/>
          <w:bCs/>
          <w:sz w:val="28"/>
          <w:szCs w:val="28"/>
        </w:rPr>
      </w:pPr>
      <w:r>
        <w:rPr>
          <w:rFonts w:ascii="Times New Roman" w:hAnsi="Times New Roman"/>
          <w:b/>
          <w:bCs/>
          <w:sz w:val="28"/>
          <w:szCs w:val="28"/>
        </w:rPr>
        <w:t>Organisational Culture as a Barrier or Enabler ...................................... 8</w:t>
      </w:r>
    </w:p>
    <w:p w14:paraId="1692AEDD" w14:textId="77777777" w:rsidR="00BC7C3F" w:rsidRDefault="00A6763E">
      <w:pPr>
        <w:numPr>
          <w:ilvl w:val="0"/>
          <w:numId w:val="1"/>
        </w:numPr>
        <w:rPr>
          <w:rFonts w:ascii="Times New Roman" w:hAnsi="Times New Roman"/>
          <w:b/>
          <w:bCs/>
          <w:sz w:val="28"/>
          <w:szCs w:val="28"/>
        </w:rPr>
      </w:pPr>
      <w:r>
        <w:rPr>
          <w:rFonts w:ascii="Times New Roman" w:hAnsi="Times New Roman"/>
          <w:b/>
          <w:bCs/>
          <w:sz w:val="28"/>
          <w:szCs w:val="28"/>
        </w:rPr>
        <w:t>Impact of Organisational Culture on Organisational Performance .................... 9</w:t>
      </w:r>
    </w:p>
    <w:p w14:paraId="1692AEDE" w14:textId="77777777" w:rsidR="00BC7C3F" w:rsidRDefault="00A6763E">
      <w:pPr>
        <w:numPr>
          <w:ilvl w:val="0"/>
          <w:numId w:val="1"/>
        </w:numPr>
        <w:rPr>
          <w:rFonts w:ascii="Times New Roman" w:hAnsi="Times New Roman"/>
          <w:b/>
          <w:bCs/>
          <w:sz w:val="28"/>
          <w:szCs w:val="28"/>
        </w:rPr>
      </w:pPr>
      <w:r>
        <w:rPr>
          <w:rFonts w:ascii="Times New Roman" w:hAnsi="Times New Roman"/>
          <w:b/>
          <w:bCs/>
          <w:sz w:val="28"/>
          <w:szCs w:val="28"/>
        </w:rPr>
        <w:t>Recommendations ................................................................11</w:t>
      </w:r>
    </w:p>
    <w:p w14:paraId="1692AEDF" w14:textId="77777777" w:rsidR="00BC7C3F" w:rsidRDefault="00A6763E">
      <w:pPr>
        <w:numPr>
          <w:ilvl w:val="0"/>
          <w:numId w:val="1"/>
        </w:numPr>
        <w:rPr>
          <w:rFonts w:ascii="Times New Roman" w:hAnsi="Times New Roman"/>
          <w:b/>
          <w:bCs/>
          <w:sz w:val="28"/>
          <w:szCs w:val="28"/>
        </w:rPr>
      </w:pPr>
      <w:r>
        <w:rPr>
          <w:rFonts w:ascii="Times New Roman" w:hAnsi="Times New Roman"/>
          <w:b/>
          <w:bCs/>
          <w:sz w:val="28"/>
          <w:szCs w:val="28"/>
        </w:rPr>
        <w:t>Conclusion ..............................................................................12</w:t>
      </w:r>
    </w:p>
    <w:p w14:paraId="1692AEE0" w14:textId="77777777" w:rsidR="00BC7C3F" w:rsidRDefault="00A6763E">
      <w:pPr>
        <w:rPr>
          <w:rFonts w:ascii="Times New Roman" w:hAnsi="Times New Roman"/>
          <w:b/>
          <w:bCs/>
          <w:sz w:val="28"/>
          <w:szCs w:val="28"/>
        </w:rPr>
      </w:pPr>
      <w:r>
        <w:rPr>
          <w:rFonts w:ascii="Times New Roman" w:hAnsi="Times New Roman"/>
          <w:b/>
          <w:bCs/>
          <w:sz w:val="28"/>
          <w:szCs w:val="28"/>
        </w:rPr>
        <w:t>Reference List ................................................................................. 12</w:t>
      </w:r>
    </w:p>
    <w:p w14:paraId="1692AEE1" w14:textId="77777777" w:rsidR="00BC7C3F" w:rsidRDefault="00BC7C3F">
      <w:pPr>
        <w:rPr>
          <w:b/>
          <w:bCs/>
        </w:rPr>
      </w:pPr>
    </w:p>
    <w:p w14:paraId="1692AEE2" w14:textId="77777777" w:rsidR="00BC7C3F" w:rsidRDefault="00BC7C3F"/>
    <w:p w14:paraId="1692AEE3" w14:textId="77777777" w:rsidR="00BC7C3F" w:rsidRDefault="00BC7C3F"/>
    <w:p w14:paraId="1692AEE4" w14:textId="77777777" w:rsidR="00BC7C3F" w:rsidRDefault="00BC7C3F"/>
    <w:p w14:paraId="1692AEE5" w14:textId="77777777" w:rsidR="00BC7C3F" w:rsidRDefault="00BC7C3F"/>
    <w:p w14:paraId="1692AEE6" w14:textId="77777777" w:rsidR="00BC7C3F" w:rsidRDefault="00BC7C3F"/>
    <w:p w14:paraId="1692AEE7" w14:textId="77777777" w:rsidR="00BC7C3F" w:rsidRDefault="00BC7C3F"/>
    <w:p w14:paraId="1692AEE8" w14:textId="77777777" w:rsidR="00BC7C3F" w:rsidRDefault="00BC7C3F"/>
    <w:p w14:paraId="1692AEE9" w14:textId="77777777" w:rsidR="00BC7C3F" w:rsidRDefault="00BC7C3F"/>
    <w:p w14:paraId="1692AEEA" w14:textId="77777777" w:rsidR="00BC7C3F" w:rsidRDefault="00BC7C3F"/>
    <w:p w14:paraId="1692AEEB" w14:textId="77777777" w:rsidR="00BC7C3F" w:rsidRDefault="00BC7C3F"/>
    <w:p w14:paraId="1692AEEC" w14:textId="77777777" w:rsidR="00BC7C3F" w:rsidRDefault="00BC7C3F"/>
    <w:p w14:paraId="1692AEED" w14:textId="77777777" w:rsidR="00BC7C3F" w:rsidRDefault="00BC7C3F"/>
    <w:p w14:paraId="1692AEEE" w14:textId="77777777" w:rsidR="00BC7C3F" w:rsidRDefault="00BC7C3F"/>
    <w:p w14:paraId="1692AEEF" w14:textId="77777777" w:rsidR="00BC7C3F" w:rsidRDefault="00A6763E">
      <w:pPr>
        <w:rPr>
          <w:rFonts w:ascii="Times New Roman" w:hAnsi="Times New Roman"/>
          <w:b/>
          <w:bCs/>
          <w:sz w:val="32"/>
          <w:szCs w:val="32"/>
        </w:rPr>
      </w:pPr>
      <w:r>
        <w:rPr>
          <w:rFonts w:ascii="Times New Roman" w:hAnsi="Times New Roman"/>
          <w:b/>
          <w:bCs/>
          <w:sz w:val="32"/>
          <w:szCs w:val="32"/>
        </w:rPr>
        <w:lastRenderedPageBreak/>
        <w:t>1. Introduction</w:t>
      </w:r>
    </w:p>
    <w:p w14:paraId="1692AEF0" w14:textId="77777777" w:rsidR="00BC7C3F" w:rsidRDefault="00A6763E">
      <w:pPr>
        <w:rPr>
          <w:rFonts w:ascii="Times New Roman" w:hAnsi="Times New Roman"/>
          <w:sz w:val="24"/>
          <w:szCs w:val="24"/>
        </w:rPr>
      </w:pPr>
      <w:r>
        <w:rPr>
          <w:rFonts w:ascii="Times New Roman" w:hAnsi="Times New Roman"/>
          <w:sz w:val="24"/>
          <w:szCs w:val="24"/>
        </w:rPr>
        <w:t xml:space="preserve">Organisational culture has a big impact on how businesses function, make choices, and handle both internal and </w:t>
      </w:r>
      <w:r>
        <w:rPr>
          <w:rFonts w:ascii="Times New Roman" w:hAnsi="Times New Roman"/>
          <w:sz w:val="24"/>
          <w:szCs w:val="24"/>
        </w:rPr>
        <w:t xml:space="preserve">external problems. The common ideals, attitudes, and behaviours that affect how workers interact and complete tasks within a company are referred to as its culture. According to Mullins and Christy (2016), organisational culture </w:t>
      </w:r>
      <w:proofErr w:type="gramStart"/>
      <w:r>
        <w:rPr>
          <w:rFonts w:ascii="Times New Roman" w:hAnsi="Times New Roman"/>
          <w:sz w:val="24"/>
          <w:szCs w:val="24"/>
        </w:rPr>
        <w:t>is a reflection of</w:t>
      </w:r>
      <w:proofErr w:type="gramEnd"/>
      <w:r>
        <w:rPr>
          <w:rFonts w:ascii="Times New Roman" w:hAnsi="Times New Roman"/>
          <w:sz w:val="24"/>
          <w:szCs w:val="24"/>
        </w:rPr>
        <w:t xml:space="preserve"> "how things are done around here" and has a big impact on important processes like management control, organisational structure, employee motivation, and decision-making.</w:t>
      </w:r>
    </w:p>
    <w:p w14:paraId="1692AEF1" w14:textId="77777777" w:rsidR="00BC7C3F" w:rsidRDefault="00A6763E">
      <w:pPr>
        <w:rPr>
          <w:rFonts w:ascii="Times New Roman" w:hAnsi="Times New Roman"/>
          <w:sz w:val="24"/>
          <w:szCs w:val="24"/>
        </w:rPr>
      </w:pPr>
      <w:r>
        <w:rPr>
          <w:rFonts w:ascii="Times New Roman" w:hAnsi="Times New Roman"/>
          <w:sz w:val="24"/>
          <w:szCs w:val="24"/>
        </w:rPr>
        <w:t>Millions of consumers in the Midlands and Wales rely on Severn Trent Water, one of the biggest water and wastewater service providers in the UK (Severn Trent, 2024). The company must strike a balance between operational effectiveness, regulatory compliance, and environmental sustainability because it operates in a highly regulated and environmentally sensitive industry.</w:t>
      </w:r>
    </w:p>
    <w:p w14:paraId="1692AEF2" w14:textId="77777777" w:rsidR="00BC7C3F" w:rsidRDefault="00A6763E">
      <w:pPr>
        <w:rPr>
          <w:rFonts w:ascii="Times New Roman" w:hAnsi="Times New Roman"/>
          <w:sz w:val="24"/>
          <w:szCs w:val="24"/>
        </w:rPr>
      </w:pPr>
      <w:r>
        <w:rPr>
          <w:rFonts w:ascii="Times New Roman" w:hAnsi="Times New Roman"/>
          <w:sz w:val="24"/>
          <w:szCs w:val="24"/>
        </w:rPr>
        <w:t>Using pertinent cultural frameworks to study the dominant culture inside the company, this paper critically assesses how organisational culture affects Severn Trent Water's structure, decision-making procedures, and overall organisational performance.</w:t>
      </w:r>
    </w:p>
    <w:p w14:paraId="1692AEF3" w14:textId="77777777" w:rsidR="00BC7C3F" w:rsidRDefault="00BC7C3F">
      <w:pPr>
        <w:rPr>
          <w:rFonts w:ascii="Times New Roman" w:hAnsi="Times New Roman"/>
          <w:sz w:val="24"/>
          <w:szCs w:val="24"/>
        </w:rPr>
      </w:pPr>
    </w:p>
    <w:p w14:paraId="1692AEF4" w14:textId="77777777" w:rsidR="00BC7C3F" w:rsidRDefault="00A6763E">
      <w:pPr>
        <w:rPr>
          <w:rFonts w:ascii="Times New Roman" w:hAnsi="Times New Roman"/>
          <w:b/>
          <w:bCs/>
          <w:sz w:val="32"/>
          <w:szCs w:val="32"/>
        </w:rPr>
      </w:pPr>
      <w:r>
        <w:rPr>
          <w:rFonts w:ascii="Times New Roman" w:hAnsi="Times New Roman"/>
          <w:b/>
          <w:bCs/>
          <w:sz w:val="32"/>
          <w:szCs w:val="32"/>
        </w:rPr>
        <w:t>2. Organisational Culture and Its Influence on Structure and Decision-Making</w:t>
      </w:r>
    </w:p>
    <w:p w14:paraId="1692AEF5" w14:textId="77777777" w:rsidR="00BC7C3F" w:rsidRDefault="00A6763E">
      <w:pPr>
        <w:rPr>
          <w:rFonts w:ascii="Times New Roman" w:hAnsi="Times New Roman"/>
          <w:sz w:val="24"/>
          <w:szCs w:val="24"/>
        </w:rPr>
      </w:pPr>
      <w:r>
        <w:rPr>
          <w:rFonts w:ascii="Times New Roman" w:hAnsi="Times New Roman"/>
          <w:sz w:val="24"/>
          <w:szCs w:val="24"/>
        </w:rPr>
        <w:t>Decision-making procedures and organisational structures are greatly influenced by organisational culture. The distribution of authority, internal communication, and employee participation in decision-making processes are all influenced by culture (Robbins and Judge, 2023).</w:t>
      </w:r>
    </w:p>
    <w:p w14:paraId="1692AEF6" w14:textId="77777777" w:rsidR="00BC7C3F" w:rsidRDefault="00A6763E">
      <w:pPr>
        <w:rPr>
          <w:rFonts w:ascii="Times New Roman" w:hAnsi="Times New Roman"/>
          <w:sz w:val="24"/>
          <w:szCs w:val="24"/>
        </w:rPr>
      </w:pPr>
      <w:r>
        <w:rPr>
          <w:rFonts w:ascii="Times New Roman" w:hAnsi="Times New Roman"/>
          <w:sz w:val="24"/>
          <w:szCs w:val="24"/>
        </w:rPr>
        <w:t xml:space="preserve">The complicated regulatory environment in which Severn Trent Water operates need organised governance and transparent accountability procedures. The organization must uphold a structured management hierarchy </w:t>
      </w:r>
      <w:proofErr w:type="gramStart"/>
      <w:r>
        <w:rPr>
          <w:rFonts w:ascii="Times New Roman" w:hAnsi="Times New Roman"/>
          <w:sz w:val="24"/>
          <w:szCs w:val="24"/>
        </w:rPr>
        <w:t>in order to</w:t>
      </w:r>
      <w:proofErr w:type="gramEnd"/>
      <w:r>
        <w:rPr>
          <w:rFonts w:ascii="Times New Roman" w:hAnsi="Times New Roman"/>
          <w:sz w:val="24"/>
          <w:szCs w:val="24"/>
        </w:rPr>
        <w:t xml:space="preserve"> guarantee operational dependability and regulatory compliance as a utility supplier in charge of vital public services. In these kinds of settings, organisational culture typically places a strong emphasis on accountability, uniformity in procedures, and risk management (Johnson et al., 2020).</w:t>
      </w:r>
    </w:p>
    <w:p w14:paraId="1692AEF7" w14:textId="77777777" w:rsidR="00BC7C3F" w:rsidRDefault="00A6763E">
      <w:pPr>
        <w:rPr>
          <w:rFonts w:ascii="Times New Roman" w:hAnsi="Times New Roman"/>
          <w:b/>
          <w:bCs/>
          <w:sz w:val="28"/>
          <w:szCs w:val="28"/>
        </w:rPr>
      </w:pPr>
      <w:r>
        <w:rPr>
          <w:rFonts w:ascii="Times New Roman" w:hAnsi="Times New Roman"/>
          <w:b/>
          <w:bCs/>
          <w:sz w:val="28"/>
          <w:szCs w:val="28"/>
        </w:rPr>
        <w:t>Culture and Organisational Structure</w:t>
      </w:r>
    </w:p>
    <w:p w14:paraId="1692AEF8" w14:textId="77777777" w:rsidR="00BC7C3F" w:rsidRDefault="00A6763E">
      <w:pPr>
        <w:rPr>
          <w:rFonts w:ascii="Times New Roman" w:hAnsi="Times New Roman"/>
          <w:sz w:val="24"/>
          <w:szCs w:val="24"/>
        </w:rPr>
      </w:pPr>
      <w:r>
        <w:rPr>
          <w:rFonts w:ascii="Times New Roman" w:hAnsi="Times New Roman"/>
          <w:sz w:val="24"/>
          <w:szCs w:val="24"/>
        </w:rPr>
        <w:t>The formal arrangement of roles, duties, and routes of communication inside an organization is referred to as its organisational structure (Mintzberg, 1980). Organisations may choose to use network-based, decentralised, or hierarchical structures based on their culture. Organisations frequently use structured role-based systems in regulated sectors like water utilities to guarantee accountability and efficiency.</w:t>
      </w:r>
    </w:p>
    <w:p w14:paraId="1692AEF9" w14:textId="77777777" w:rsidR="00BC7C3F" w:rsidRDefault="00A6763E">
      <w:pPr>
        <w:rPr>
          <w:rFonts w:ascii="Times New Roman" w:hAnsi="Times New Roman"/>
          <w:sz w:val="24"/>
          <w:szCs w:val="24"/>
        </w:rPr>
      </w:pPr>
      <w:r>
        <w:rPr>
          <w:rFonts w:ascii="Times New Roman" w:hAnsi="Times New Roman"/>
          <w:sz w:val="24"/>
          <w:szCs w:val="24"/>
        </w:rPr>
        <w:t>Severn Trent Water employs an organised organisational structure that promotes departmental cooperation and operational control. This organisational structure represents aspects of a role culture, in which personnel follow predetermined protocols and have well defined responsibilities (Handy, 1993).</w:t>
      </w:r>
    </w:p>
    <w:p w14:paraId="1692AEFA" w14:textId="77777777" w:rsidR="00BC7C3F" w:rsidRDefault="00A6763E">
      <w:pPr>
        <w:rPr>
          <w:rFonts w:ascii="Times New Roman" w:hAnsi="Times New Roman"/>
          <w:sz w:val="24"/>
          <w:szCs w:val="24"/>
        </w:rPr>
      </w:pPr>
      <w:r>
        <w:rPr>
          <w:rFonts w:ascii="Times New Roman" w:hAnsi="Times New Roman"/>
          <w:sz w:val="24"/>
          <w:szCs w:val="24"/>
        </w:rPr>
        <w:t xml:space="preserve">Because infrastructure management, environmental monitoring, and customer service operations need to be efficiently linked, clear organisational structures are especially crucial </w:t>
      </w:r>
      <w:r>
        <w:rPr>
          <w:rFonts w:ascii="Times New Roman" w:hAnsi="Times New Roman"/>
          <w:sz w:val="24"/>
          <w:szCs w:val="24"/>
        </w:rPr>
        <w:lastRenderedPageBreak/>
        <w:t>for water utilities. Regulatory standards are upheld and structured decision-making is reinforced by a culture that promotes professionalism and accountability (Ofwat, 2023).</w:t>
      </w:r>
    </w:p>
    <w:p w14:paraId="1692AEFB" w14:textId="77777777" w:rsidR="00BC7C3F" w:rsidRDefault="00A6763E">
      <w:pPr>
        <w:rPr>
          <w:rFonts w:ascii="Times New Roman" w:hAnsi="Times New Roman"/>
          <w:b/>
          <w:bCs/>
          <w:sz w:val="28"/>
          <w:szCs w:val="28"/>
        </w:rPr>
      </w:pPr>
      <w:r>
        <w:rPr>
          <w:rFonts w:ascii="Times New Roman" w:hAnsi="Times New Roman"/>
          <w:b/>
          <w:bCs/>
          <w:sz w:val="28"/>
          <w:szCs w:val="28"/>
        </w:rPr>
        <w:t>Culture and Decision-Making Processes</w:t>
      </w:r>
    </w:p>
    <w:p w14:paraId="1692AEFC" w14:textId="77777777" w:rsidR="00BC7C3F" w:rsidRDefault="00A6763E">
      <w:pPr>
        <w:rPr>
          <w:rFonts w:ascii="Times New Roman" w:hAnsi="Times New Roman"/>
          <w:sz w:val="24"/>
          <w:szCs w:val="24"/>
        </w:rPr>
      </w:pPr>
      <w:r>
        <w:rPr>
          <w:rFonts w:ascii="Times New Roman" w:hAnsi="Times New Roman"/>
          <w:sz w:val="24"/>
          <w:szCs w:val="24"/>
        </w:rPr>
        <w:t>Decision-making procedures inside businesses are also impacted by organisational culture. Depending on management philosophies and cultural norms, decision-making can be either centralised or dispersed (Daft, 2021). Employees may be encouraged to offer suggestions and take part in problem-solving in companies with collaborative cultures.</w:t>
      </w:r>
    </w:p>
    <w:p w14:paraId="1692AEFD" w14:textId="77777777" w:rsidR="00BC7C3F" w:rsidRDefault="00A6763E">
      <w:pPr>
        <w:rPr>
          <w:rFonts w:ascii="Times New Roman" w:hAnsi="Times New Roman"/>
          <w:sz w:val="24"/>
          <w:szCs w:val="24"/>
        </w:rPr>
      </w:pPr>
      <w:r>
        <w:rPr>
          <w:rFonts w:ascii="Times New Roman" w:hAnsi="Times New Roman"/>
          <w:sz w:val="24"/>
          <w:szCs w:val="24"/>
        </w:rPr>
        <w:t>Severn Trent Water encourages employees at all levels to participate in operational enhancements and innovative projects by fostering a culture of cooperation and employee involvement. According to Cameron and Quinn (2011), such participatory approaches to decision-making can improve employee commitment and organisational adaptability.</w:t>
      </w:r>
    </w:p>
    <w:p w14:paraId="1692AEFE" w14:textId="77777777" w:rsidR="00BC7C3F" w:rsidRDefault="00A6763E">
      <w:pPr>
        <w:rPr>
          <w:rFonts w:ascii="Times New Roman" w:hAnsi="Times New Roman"/>
          <w:sz w:val="24"/>
          <w:szCs w:val="24"/>
        </w:rPr>
      </w:pPr>
      <w:r>
        <w:rPr>
          <w:rFonts w:ascii="Times New Roman" w:hAnsi="Times New Roman"/>
          <w:sz w:val="24"/>
          <w:szCs w:val="24"/>
        </w:rPr>
        <w:t>However, operational safety standards and compliance regulations must also be taken into consideration while making decisions in regulated utilities. As a result, judgements may require systematic evaluation procedures and several levels of approval. Innovation and operational dependability are guaranteed by this combination of formal governance and cooperative contribution.</w:t>
      </w:r>
    </w:p>
    <w:p w14:paraId="1692AEFF" w14:textId="77777777" w:rsidR="00BC7C3F" w:rsidRDefault="00BC7C3F">
      <w:pPr>
        <w:rPr>
          <w:rFonts w:ascii="Times New Roman" w:hAnsi="Times New Roman"/>
          <w:sz w:val="24"/>
          <w:szCs w:val="24"/>
        </w:rPr>
      </w:pPr>
    </w:p>
    <w:p w14:paraId="1692AF00" w14:textId="77777777" w:rsidR="00BC7C3F" w:rsidRDefault="00A6763E">
      <w:pPr>
        <w:rPr>
          <w:rFonts w:ascii="Times New Roman" w:hAnsi="Times New Roman"/>
          <w:b/>
          <w:bCs/>
          <w:sz w:val="32"/>
          <w:szCs w:val="32"/>
        </w:rPr>
      </w:pPr>
      <w:r>
        <w:rPr>
          <w:rFonts w:ascii="Times New Roman" w:hAnsi="Times New Roman"/>
          <w:b/>
          <w:bCs/>
          <w:sz w:val="32"/>
          <w:szCs w:val="32"/>
        </w:rPr>
        <w:t>3. Identifying Organisational Culture Using Cultural Models</w:t>
      </w:r>
    </w:p>
    <w:p w14:paraId="1692AF01" w14:textId="77777777" w:rsidR="00BC7C3F" w:rsidRDefault="00A6763E">
      <w:pPr>
        <w:rPr>
          <w:rFonts w:ascii="Times New Roman" w:hAnsi="Times New Roman"/>
          <w:sz w:val="24"/>
          <w:szCs w:val="24"/>
        </w:rPr>
      </w:pPr>
      <w:r>
        <w:rPr>
          <w:rFonts w:ascii="Times New Roman" w:hAnsi="Times New Roman"/>
          <w:sz w:val="24"/>
          <w:szCs w:val="24"/>
        </w:rPr>
        <w:t xml:space="preserve">To evaluate and interpret corporate culture, </w:t>
      </w:r>
      <w:proofErr w:type="gramStart"/>
      <w:r>
        <w:rPr>
          <w:rFonts w:ascii="Times New Roman" w:hAnsi="Times New Roman"/>
          <w:sz w:val="24"/>
          <w:szCs w:val="24"/>
        </w:rPr>
        <w:t>a number of</w:t>
      </w:r>
      <w:proofErr w:type="gramEnd"/>
      <w:r>
        <w:rPr>
          <w:rFonts w:ascii="Times New Roman" w:hAnsi="Times New Roman"/>
          <w:sz w:val="24"/>
          <w:szCs w:val="24"/>
        </w:rPr>
        <w:t xml:space="preserve"> theoretical frameworks have been established. Using these models makes it easier to pinpoint the fundamental cultural traits of companies like Severn Trent Water.</w:t>
      </w:r>
    </w:p>
    <w:p w14:paraId="1692AF02" w14:textId="77777777" w:rsidR="00BC7C3F" w:rsidRDefault="00A6763E">
      <w:pPr>
        <w:rPr>
          <w:rFonts w:ascii="Times New Roman" w:hAnsi="Times New Roman"/>
          <w:b/>
          <w:bCs/>
          <w:sz w:val="28"/>
          <w:szCs w:val="28"/>
        </w:rPr>
      </w:pPr>
      <w:r>
        <w:rPr>
          <w:rFonts w:ascii="Times New Roman" w:hAnsi="Times New Roman"/>
          <w:b/>
          <w:bCs/>
          <w:sz w:val="28"/>
          <w:szCs w:val="28"/>
        </w:rPr>
        <w:t>3.1 Schein’s Model of Organisational Culture</w:t>
      </w:r>
    </w:p>
    <w:p w14:paraId="1692AF03" w14:textId="77777777" w:rsidR="00BC7C3F" w:rsidRDefault="00A6763E">
      <w:pPr>
        <w:rPr>
          <w:rFonts w:ascii="Times New Roman" w:hAnsi="Times New Roman"/>
          <w:sz w:val="24"/>
          <w:szCs w:val="24"/>
        </w:rPr>
      </w:pPr>
      <w:r>
        <w:rPr>
          <w:rFonts w:ascii="Times New Roman" w:hAnsi="Times New Roman"/>
          <w:sz w:val="24"/>
          <w:szCs w:val="24"/>
        </w:rPr>
        <w:t>According to Schein (2010), there are three interrelated levels of corporate culture: fundamental underlying assumptions, espoused ideals, and objects.</w:t>
      </w:r>
    </w:p>
    <w:p w14:paraId="1692AF04" w14:textId="77777777" w:rsidR="00BC7C3F" w:rsidRDefault="00BC7C3F">
      <w:pPr>
        <w:rPr>
          <w:rFonts w:ascii="Times New Roman" w:hAnsi="Times New Roman"/>
          <w:sz w:val="24"/>
          <w:szCs w:val="24"/>
        </w:rPr>
      </w:pPr>
    </w:p>
    <w:tbl>
      <w:tblPr>
        <w:tblW w:w="9026" w:type="dxa"/>
        <w:tblCellMar>
          <w:left w:w="10" w:type="dxa"/>
          <w:right w:w="10" w:type="dxa"/>
        </w:tblCellMar>
        <w:tblLook w:val="0000" w:firstRow="0" w:lastRow="0" w:firstColumn="0" w:lastColumn="0" w:noHBand="0" w:noVBand="0"/>
      </w:tblPr>
      <w:tblGrid>
        <w:gridCol w:w="1610"/>
        <w:gridCol w:w="3438"/>
        <w:gridCol w:w="3978"/>
      </w:tblGrid>
      <w:tr w:rsidR="00BC7C3F" w14:paraId="1692AF08" w14:textId="77777777">
        <w:tblPrEx>
          <w:tblCellMar>
            <w:top w:w="0" w:type="dxa"/>
            <w:bottom w:w="0" w:type="dxa"/>
          </w:tblCellMar>
        </w:tblPrEx>
        <w:trPr>
          <w:tblHeader/>
        </w:trPr>
        <w:tc>
          <w:tcPr>
            <w:tcW w:w="1610" w:type="dxa"/>
            <w:shd w:val="clear" w:color="auto" w:fill="00B050"/>
            <w:tcMar>
              <w:top w:w="15" w:type="dxa"/>
              <w:left w:w="15" w:type="dxa"/>
              <w:bottom w:w="15" w:type="dxa"/>
              <w:right w:w="15" w:type="dxa"/>
            </w:tcMar>
            <w:vAlign w:val="center"/>
          </w:tcPr>
          <w:p w14:paraId="1692AF05" w14:textId="77777777" w:rsidR="00BC7C3F" w:rsidRDefault="00A6763E">
            <w:pPr>
              <w:rPr>
                <w:rFonts w:ascii="Times New Roman" w:hAnsi="Times New Roman"/>
                <w:b/>
                <w:bCs/>
                <w:sz w:val="24"/>
                <w:szCs w:val="24"/>
              </w:rPr>
            </w:pPr>
            <w:r>
              <w:rPr>
                <w:rFonts w:ascii="Times New Roman" w:hAnsi="Times New Roman"/>
                <w:b/>
                <w:bCs/>
                <w:sz w:val="24"/>
                <w:szCs w:val="24"/>
              </w:rPr>
              <w:t>Level</w:t>
            </w:r>
          </w:p>
        </w:tc>
        <w:tc>
          <w:tcPr>
            <w:tcW w:w="3438" w:type="dxa"/>
            <w:shd w:val="clear" w:color="auto" w:fill="00B0F0"/>
            <w:tcMar>
              <w:top w:w="15" w:type="dxa"/>
              <w:left w:w="15" w:type="dxa"/>
              <w:bottom w:w="15" w:type="dxa"/>
              <w:right w:w="15" w:type="dxa"/>
            </w:tcMar>
            <w:vAlign w:val="center"/>
          </w:tcPr>
          <w:p w14:paraId="1692AF06" w14:textId="77777777" w:rsidR="00BC7C3F" w:rsidRDefault="00A6763E">
            <w:pPr>
              <w:rPr>
                <w:rFonts w:ascii="Times New Roman" w:hAnsi="Times New Roman"/>
                <w:b/>
                <w:bCs/>
                <w:sz w:val="24"/>
                <w:szCs w:val="24"/>
              </w:rPr>
            </w:pPr>
            <w:r>
              <w:rPr>
                <w:rFonts w:ascii="Times New Roman" w:hAnsi="Times New Roman"/>
                <w:b/>
                <w:bCs/>
                <w:sz w:val="24"/>
                <w:szCs w:val="24"/>
              </w:rPr>
              <w:t>Description</w:t>
            </w:r>
          </w:p>
        </w:tc>
        <w:tc>
          <w:tcPr>
            <w:tcW w:w="3978" w:type="dxa"/>
            <w:shd w:val="clear" w:color="auto" w:fill="FFC000"/>
            <w:tcMar>
              <w:top w:w="15" w:type="dxa"/>
              <w:left w:w="15" w:type="dxa"/>
              <w:bottom w:w="15" w:type="dxa"/>
              <w:right w:w="15" w:type="dxa"/>
            </w:tcMar>
            <w:vAlign w:val="center"/>
          </w:tcPr>
          <w:p w14:paraId="1692AF07" w14:textId="77777777" w:rsidR="00BC7C3F" w:rsidRDefault="00A6763E">
            <w:pPr>
              <w:rPr>
                <w:rFonts w:ascii="Times New Roman" w:hAnsi="Times New Roman"/>
                <w:b/>
                <w:bCs/>
                <w:sz w:val="24"/>
                <w:szCs w:val="24"/>
              </w:rPr>
            </w:pPr>
            <w:r>
              <w:rPr>
                <w:rFonts w:ascii="Times New Roman" w:hAnsi="Times New Roman"/>
                <w:b/>
                <w:bCs/>
                <w:sz w:val="24"/>
                <w:szCs w:val="24"/>
              </w:rPr>
              <w:t>Example at Severn Trent</w:t>
            </w:r>
          </w:p>
        </w:tc>
      </w:tr>
      <w:tr w:rsidR="00BC7C3F" w14:paraId="1692AF0C" w14:textId="77777777">
        <w:tblPrEx>
          <w:tblCellMar>
            <w:top w:w="0" w:type="dxa"/>
            <w:bottom w:w="0" w:type="dxa"/>
          </w:tblCellMar>
        </w:tblPrEx>
        <w:tc>
          <w:tcPr>
            <w:tcW w:w="1610" w:type="dxa"/>
            <w:shd w:val="clear" w:color="auto" w:fill="00B050"/>
            <w:tcMar>
              <w:top w:w="15" w:type="dxa"/>
              <w:left w:w="15" w:type="dxa"/>
              <w:bottom w:w="15" w:type="dxa"/>
              <w:right w:w="15" w:type="dxa"/>
            </w:tcMar>
            <w:vAlign w:val="center"/>
          </w:tcPr>
          <w:p w14:paraId="1692AF09" w14:textId="77777777" w:rsidR="00BC7C3F" w:rsidRDefault="00A6763E">
            <w:pPr>
              <w:rPr>
                <w:rFonts w:ascii="Times New Roman" w:hAnsi="Times New Roman"/>
                <w:sz w:val="24"/>
                <w:szCs w:val="24"/>
              </w:rPr>
            </w:pPr>
            <w:r>
              <w:rPr>
                <w:rFonts w:ascii="Times New Roman" w:hAnsi="Times New Roman"/>
                <w:sz w:val="24"/>
                <w:szCs w:val="24"/>
              </w:rPr>
              <w:t>Artefacts</w:t>
            </w:r>
          </w:p>
        </w:tc>
        <w:tc>
          <w:tcPr>
            <w:tcW w:w="3438" w:type="dxa"/>
            <w:shd w:val="clear" w:color="auto" w:fill="00B0F0"/>
            <w:tcMar>
              <w:top w:w="15" w:type="dxa"/>
              <w:left w:w="15" w:type="dxa"/>
              <w:bottom w:w="15" w:type="dxa"/>
              <w:right w:w="15" w:type="dxa"/>
            </w:tcMar>
            <w:vAlign w:val="center"/>
          </w:tcPr>
          <w:p w14:paraId="1692AF0A" w14:textId="77777777" w:rsidR="00BC7C3F" w:rsidRDefault="00A6763E">
            <w:pPr>
              <w:rPr>
                <w:rFonts w:ascii="Times New Roman" w:hAnsi="Times New Roman"/>
                <w:sz w:val="24"/>
                <w:szCs w:val="24"/>
              </w:rPr>
            </w:pPr>
            <w:r>
              <w:rPr>
                <w:rFonts w:ascii="Times New Roman" w:hAnsi="Times New Roman"/>
                <w:sz w:val="24"/>
                <w:szCs w:val="24"/>
              </w:rPr>
              <w:t>Visible organisational structures, symbols and behaviours</w:t>
            </w:r>
          </w:p>
        </w:tc>
        <w:tc>
          <w:tcPr>
            <w:tcW w:w="3978" w:type="dxa"/>
            <w:shd w:val="clear" w:color="auto" w:fill="FFC000"/>
            <w:tcMar>
              <w:top w:w="15" w:type="dxa"/>
              <w:left w:w="15" w:type="dxa"/>
              <w:bottom w:w="15" w:type="dxa"/>
              <w:right w:w="15" w:type="dxa"/>
            </w:tcMar>
            <w:vAlign w:val="center"/>
          </w:tcPr>
          <w:p w14:paraId="1692AF0B" w14:textId="77777777" w:rsidR="00BC7C3F" w:rsidRDefault="00A6763E">
            <w:pPr>
              <w:rPr>
                <w:rFonts w:ascii="Times New Roman" w:hAnsi="Times New Roman"/>
                <w:sz w:val="24"/>
                <w:szCs w:val="24"/>
              </w:rPr>
            </w:pPr>
            <w:r>
              <w:rPr>
                <w:rFonts w:ascii="Times New Roman" w:hAnsi="Times New Roman"/>
                <w:sz w:val="24"/>
                <w:szCs w:val="24"/>
              </w:rPr>
              <w:t>Sustainability initiatives, corporate branding, employee programmes</w:t>
            </w:r>
          </w:p>
        </w:tc>
      </w:tr>
      <w:tr w:rsidR="00BC7C3F" w14:paraId="1692AF10" w14:textId="77777777">
        <w:tblPrEx>
          <w:tblCellMar>
            <w:top w:w="0" w:type="dxa"/>
            <w:bottom w:w="0" w:type="dxa"/>
          </w:tblCellMar>
        </w:tblPrEx>
        <w:tc>
          <w:tcPr>
            <w:tcW w:w="1610" w:type="dxa"/>
            <w:shd w:val="clear" w:color="auto" w:fill="00B050"/>
            <w:tcMar>
              <w:top w:w="15" w:type="dxa"/>
              <w:left w:w="15" w:type="dxa"/>
              <w:bottom w:w="15" w:type="dxa"/>
              <w:right w:w="15" w:type="dxa"/>
            </w:tcMar>
            <w:vAlign w:val="center"/>
          </w:tcPr>
          <w:p w14:paraId="1692AF0D" w14:textId="77777777" w:rsidR="00BC7C3F" w:rsidRDefault="00A6763E">
            <w:pPr>
              <w:rPr>
                <w:rFonts w:ascii="Times New Roman" w:hAnsi="Times New Roman"/>
                <w:sz w:val="24"/>
                <w:szCs w:val="24"/>
              </w:rPr>
            </w:pPr>
            <w:r>
              <w:rPr>
                <w:rFonts w:ascii="Times New Roman" w:hAnsi="Times New Roman"/>
                <w:sz w:val="24"/>
                <w:szCs w:val="24"/>
              </w:rPr>
              <w:t>Espoused Values</w:t>
            </w:r>
          </w:p>
        </w:tc>
        <w:tc>
          <w:tcPr>
            <w:tcW w:w="3438" w:type="dxa"/>
            <w:shd w:val="clear" w:color="auto" w:fill="00B0F0"/>
            <w:tcMar>
              <w:top w:w="15" w:type="dxa"/>
              <w:left w:w="15" w:type="dxa"/>
              <w:bottom w:w="15" w:type="dxa"/>
              <w:right w:w="15" w:type="dxa"/>
            </w:tcMar>
            <w:vAlign w:val="center"/>
          </w:tcPr>
          <w:p w14:paraId="1692AF0E" w14:textId="77777777" w:rsidR="00BC7C3F" w:rsidRDefault="00A6763E">
            <w:pPr>
              <w:rPr>
                <w:rFonts w:ascii="Times New Roman" w:hAnsi="Times New Roman"/>
                <w:sz w:val="24"/>
                <w:szCs w:val="24"/>
              </w:rPr>
            </w:pPr>
            <w:r>
              <w:rPr>
                <w:rFonts w:ascii="Times New Roman" w:hAnsi="Times New Roman"/>
                <w:sz w:val="24"/>
                <w:szCs w:val="24"/>
              </w:rPr>
              <w:t>Stated values and strategies guiding behaviour</w:t>
            </w:r>
          </w:p>
        </w:tc>
        <w:tc>
          <w:tcPr>
            <w:tcW w:w="3978" w:type="dxa"/>
            <w:shd w:val="clear" w:color="auto" w:fill="FFC000"/>
            <w:tcMar>
              <w:top w:w="15" w:type="dxa"/>
              <w:left w:w="15" w:type="dxa"/>
              <w:bottom w:w="15" w:type="dxa"/>
              <w:right w:w="15" w:type="dxa"/>
            </w:tcMar>
            <w:vAlign w:val="center"/>
          </w:tcPr>
          <w:p w14:paraId="1692AF0F" w14:textId="77777777" w:rsidR="00BC7C3F" w:rsidRDefault="00A6763E">
            <w:pPr>
              <w:rPr>
                <w:rFonts w:ascii="Times New Roman" w:hAnsi="Times New Roman"/>
                <w:sz w:val="24"/>
                <w:szCs w:val="24"/>
              </w:rPr>
            </w:pPr>
            <w:r>
              <w:rPr>
                <w:rFonts w:ascii="Times New Roman" w:hAnsi="Times New Roman"/>
                <w:sz w:val="24"/>
                <w:szCs w:val="24"/>
              </w:rPr>
              <w:t>Commitment to environmental protection and customer service</w:t>
            </w:r>
          </w:p>
        </w:tc>
      </w:tr>
      <w:tr w:rsidR="00BC7C3F" w14:paraId="1692AF14" w14:textId="77777777">
        <w:tblPrEx>
          <w:tblCellMar>
            <w:top w:w="0" w:type="dxa"/>
            <w:bottom w:w="0" w:type="dxa"/>
          </w:tblCellMar>
        </w:tblPrEx>
        <w:tc>
          <w:tcPr>
            <w:tcW w:w="1610" w:type="dxa"/>
            <w:shd w:val="clear" w:color="auto" w:fill="00B050"/>
            <w:tcMar>
              <w:top w:w="15" w:type="dxa"/>
              <w:left w:w="15" w:type="dxa"/>
              <w:bottom w:w="15" w:type="dxa"/>
              <w:right w:w="15" w:type="dxa"/>
            </w:tcMar>
            <w:vAlign w:val="center"/>
          </w:tcPr>
          <w:p w14:paraId="1692AF11" w14:textId="77777777" w:rsidR="00BC7C3F" w:rsidRDefault="00A6763E">
            <w:pPr>
              <w:rPr>
                <w:rFonts w:ascii="Times New Roman" w:hAnsi="Times New Roman"/>
                <w:sz w:val="24"/>
                <w:szCs w:val="24"/>
              </w:rPr>
            </w:pPr>
            <w:r>
              <w:rPr>
                <w:rFonts w:ascii="Times New Roman" w:hAnsi="Times New Roman"/>
                <w:sz w:val="24"/>
                <w:szCs w:val="24"/>
              </w:rPr>
              <w:t>Basic Assumptions</w:t>
            </w:r>
          </w:p>
        </w:tc>
        <w:tc>
          <w:tcPr>
            <w:tcW w:w="3438" w:type="dxa"/>
            <w:shd w:val="clear" w:color="auto" w:fill="00B0F0"/>
            <w:tcMar>
              <w:top w:w="15" w:type="dxa"/>
              <w:left w:w="15" w:type="dxa"/>
              <w:bottom w:w="15" w:type="dxa"/>
              <w:right w:w="15" w:type="dxa"/>
            </w:tcMar>
            <w:vAlign w:val="center"/>
          </w:tcPr>
          <w:p w14:paraId="1692AF12" w14:textId="77777777" w:rsidR="00BC7C3F" w:rsidRDefault="00A6763E">
            <w:pPr>
              <w:rPr>
                <w:rFonts w:ascii="Times New Roman" w:hAnsi="Times New Roman"/>
                <w:sz w:val="24"/>
                <w:szCs w:val="24"/>
              </w:rPr>
            </w:pPr>
            <w:r>
              <w:rPr>
                <w:rFonts w:ascii="Times New Roman" w:hAnsi="Times New Roman"/>
                <w:sz w:val="24"/>
                <w:szCs w:val="24"/>
              </w:rPr>
              <w:t>Deeply embedded beliefs guiding behaviour</w:t>
            </w:r>
          </w:p>
        </w:tc>
        <w:tc>
          <w:tcPr>
            <w:tcW w:w="3978" w:type="dxa"/>
            <w:shd w:val="clear" w:color="auto" w:fill="FFC000"/>
            <w:tcMar>
              <w:top w:w="15" w:type="dxa"/>
              <w:left w:w="15" w:type="dxa"/>
              <w:bottom w:w="15" w:type="dxa"/>
              <w:right w:w="15" w:type="dxa"/>
            </w:tcMar>
            <w:vAlign w:val="center"/>
          </w:tcPr>
          <w:p w14:paraId="1692AF13" w14:textId="77777777" w:rsidR="00BC7C3F" w:rsidRDefault="00A6763E">
            <w:pPr>
              <w:rPr>
                <w:rFonts w:ascii="Times New Roman" w:hAnsi="Times New Roman"/>
                <w:sz w:val="24"/>
                <w:szCs w:val="24"/>
              </w:rPr>
            </w:pPr>
            <w:r>
              <w:rPr>
                <w:rFonts w:ascii="Times New Roman" w:hAnsi="Times New Roman"/>
                <w:sz w:val="24"/>
                <w:szCs w:val="24"/>
              </w:rPr>
              <w:t>Responsibility to protect water resources and public health</w:t>
            </w:r>
          </w:p>
        </w:tc>
      </w:tr>
    </w:tbl>
    <w:p w14:paraId="1692AF15" w14:textId="77777777" w:rsidR="00BC7C3F" w:rsidRDefault="00BC7C3F">
      <w:pPr>
        <w:rPr>
          <w:rFonts w:ascii="Times New Roman" w:hAnsi="Times New Roman"/>
          <w:sz w:val="24"/>
          <w:szCs w:val="24"/>
        </w:rPr>
      </w:pPr>
    </w:p>
    <w:p w14:paraId="1692AF16" w14:textId="77777777" w:rsidR="00BC7C3F" w:rsidRDefault="00BC7C3F">
      <w:pPr>
        <w:rPr>
          <w:rFonts w:ascii="Times New Roman" w:hAnsi="Times New Roman"/>
          <w:sz w:val="24"/>
          <w:szCs w:val="24"/>
        </w:rPr>
      </w:pPr>
    </w:p>
    <w:p w14:paraId="1692AF17" w14:textId="77777777" w:rsidR="00BC7C3F" w:rsidRDefault="00A6763E">
      <w:pPr>
        <w:rPr>
          <w:rFonts w:ascii="Times New Roman" w:hAnsi="Times New Roman"/>
          <w:sz w:val="24"/>
          <w:szCs w:val="24"/>
        </w:rPr>
      </w:pPr>
      <w:r>
        <w:rPr>
          <w:rFonts w:ascii="Times New Roman" w:hAnsi="Times New Roman"/>
          <w:sz w:val="24"/>
          <w:szCs w:val="24"/>
        </w:rPr>
        <w:t xml:space="preserve">Corporate sustainability programs, environmental projects, and </w:t>
      </w:r>
      <w:r>
        <w:rPr>
          <w:rFonts w:ascii="Times New Roman" w:hAnsi="Times New Roman"/>
          <w:sz w:val="24"/>
          <w:szCs w:val="24"/>
        </w:rPr>
        <w:t xml:space="preserve">obvious investments in infrastructure upgrades are examples of artefacts at Severn Trent Water. Customer </w:t>
      </w:r>
      <w:r>
        <w:rPr>
          <w:rFonts w:ascii="Times New Roman" w:hAnsi="Times New Roman"/>
          <w:sz w:val="24"/>
          <w:szCs w:val="24"/>
        </w:rPr>
        <w:lastRenderedPageBreak/>
        <w:t>satisfaction, community involvement, and environmental sustainability are the organization's core values (Severn Trent, 2024).</w:t>
      </w:r>
    </w:p>
    <w:p w14:paraId="1692AF18" w14:textId="77777777" w:rsidR="00BC7C3F" w:rsidRDefault="00A6763E">
      <w:pPr>
        <w:rPr>
          <w:rFonts w:ascii="Times New Roman" w:hAnsi="Times New Roman"/>
          <w:sz w:val="24"/>
          <w:szCs w:val="24"/>
        </w:rPr>
      </w:pPr>
      <w:r>
        <w:rPr>
          <w:rFonts w:ascii="Times New Roman" w:hAnsi="Times New Roman"/>
          <w:sz w:val="24"/>
          <w:szCs w:val="24"/>
        </w:rPr>
        <w:t>The organization's deeper underlying presumptions are related to the significance of protecting water resources and guaranteeing dependable services for clients. These cultural presumptions affect organisational priorities and how workers approach their duties.</w:t>
      </w:r>
    </w:p>
    <w:p w14:paraId="1692AF19" w14:textId="77777777" w:rsidR="00BC7C3F" w:rsidRDefault="00A6763E">
      <w:pPr>
        <w:rPr>
          <w:rFonts w:ascii="Times New Roman" w:hAnsi="Times New Roman"/>
          <w:b/>
          <w:bCs/>
          <w:sz w:val="28"/>
          <w:szCs w:val="28"/>
        </w:rPr>
      </w:pPr>
      <w:r>
        <w:rPr>
          <w:rFonts w:ascii="Times New Roman" w:hAnsi="Times New Roman"/>
          <w:b/>
          <w:bCs/>
          <w:sz w:val="28"/>
          <w:szCs w:val="28"/>
        </w:rPr>
        <w:t>3.2 Hofstede’s Cultural Dimensions</w:t>
      </w:r>
    </w:p>
    <w:p w14:paraId="1692AF1A" w14:textId="77777777" w:rsidR="00BC7C3F" w:rsidRDefault="00A6763E">
      <w:pPr>
        <w:rPr>
          <w:rFonts w:ascii="Times New Roman" w:hAnsi="Times New Roman"/>
          <w:sz w:val="24"/>
          <w:szCs w:val="24"/>
        </w:rPr>
      </w:pPr>
      <w:r>
        <w:rPr>
          <w:rFonts w:ascii="Times New Roman" w:hAnsi="Times New Roman"/>
          <w:sz w:val="24"/>
          <w:szCs w:val="24"/>
        </w:rPr>
        <w:t>The framework of Hofstede's cultural aspects sheds light on how organisational behaviour is influenced by national cultural values (Hofstede, Hofstede, and Minkov, 2010). The framework can be used to understand organisational cultural characteristics even though it was initially created to compare country cultures.</w:t>
      </w:r>
    </w:p>
    <w:tbl>
      <w:tblPr>
        <w:tblW w:w="9026" w:type="dxa"/>
        <w:tblCellMar>
          <w:left w:w="10" w:type="dxa"/>
          <w:right w:w="10" w:type="dxa"/>
        </w:tblCellMar>
        <w:tblLook w:val="0000" w:firstRow="0" w:lastRow="0" w:firstColumn="0" w:lastColumn="0" w:noHBand="0" w:noVBand="0"/>
      </w:tblPr>
      <w:tblGrid>
        <w:gridCol w:w="2439"/>
        <w:gridCol w:w="2773"/>
        <w:gridCol w:w="3814"/>
      </w:tblGrid>
      <w:tr w:rsidR="00BC7C3F" w14:paraId="1692AF1E" w14:textId="77777777">
        <w:tblPrEx>
          <w:tblCellMar>
            <w:top w:w="0" w:type="dxa"/>
            <w:bottom w:w="0" w:type="dxa"/>
          </w:tblCellMar>
        </w:tblPrEx>
        <w:trPr>
          <w:tblHeader/>
        </w:trPr>
        <w:tc>
          <w:tcPr>
            <w:tcW w:w="2439" w:type="dxa"/>
            <w:shd w:val="clear" w:color="auto" w:fill="00B050"/>
            <w:tcMar>
              <w:top w:w="15" w:type="dxa"/>
              <w:left w:w="15" w:type="dxa"/>
              <w:bottom w:w="15" w:type="dxa"/>
              <w:right w:w="15" w:type="dxa"/>
            </w:tcMar>
            <w:vAlign w:val="center"/>
          </w:tcPr>
          <w:p w14:paraId="1692AF1B" w14:textId="77777777" w:rsidR="00BC7C3F" w:rsidRDefault="00A6763E">
            <w:pPr>
              <w:rPr>
                <w:rFonts w:ascii="Times New Roman" w:hAnsi="Times New Roman"/>
                <w:b/>
                <w:bCs/>
                <w:sz w:val="24"/>
                <w:szCs w:val="24"/>
              </w:rPr>
            </w:pPr>
            <w:r>
              <w:rPr>
                <w:rFonts w:ascii="Times New Roman" w:hAnsi="Times New Roman"/>
                <w:b/>
                <w:bCs/>
                <w:sz w:val="24"/>
                <w:szCs w:val="24"/>
              </w:rPr>
              <w:t>Dimension</w:t>
            </w:r>
          </w:p>
        </w:tc>
        <w:tc>
          <w:tcPr>
            <w:tcW w:w="2773" w:type="dxa"/>
            <w:shd w:val="clear" w:color="auto" w:fill="00B0F0"/>
            <w:tcMar>
              <w:top w:w="15" w:type="dxa"/>
              <w:left w:w="15" w:type="dxa"/>
              <w:bottom w:w="15" w:type="dxa"/>
              <w:right w:w="15" w:type="dxa"/>
            </w:tcMar>
            <w:vAlign w:val="center"/>
          </w:tcPr>
          <w:p w14:paraId="1692AF1C" w14:textId="77777777" w:rsidR="00BC7C3F" w:rsidRDefault="00A6763E">
            <w:pPr>
              <w:rPr>
                <w:rFonts w:ascii="Times New Roman" w:hAnsi="Times New Roman"/>
                <w:b/>
                <w:bCs/>
                <w:sz w:val="24"/>
                <w:szCs w:val="24"/>
              </w:rPr>
            </w:pPr>
            <w:r>
              <w:rPr>
                <w:rFonts w:ascii="Times New Roman" w:hAnsi="Times New Roman"/>
                <w:b/>
                <w:bCs/>
                <w:sz w:val="24"/>
                <w:szCs w:val="24"/>
              </w:rPr>
              <w:t>Description</w:t>
            </w:r>
          </w:p>
        </w:tc>
        <w:tc>
          <w:tcPr>
            <w:tcW w:w="3814" w:type="dxa"/>
            <w:shd w:val="clear" w:color="auto" w:fill="FFC000"/>
            <w:tcMar>
              <w:top w:w="15" w:type="dxa"/>
              <w:left w:w="15" w:type="dxa"/>
              <w:bottom w:w="15" w:type="dxa"/>
              <w:right w:w="15" w:type="dxa"/>
            </w:tcMar>
            <w:vAlign w:val="center"/>
          </w:tcPr>
          <w:p w14:paraId="1692AF1D" w14:textId="77777777" w:rsidR="00BC7C3F" w:rsidRDefault="00A6763E">
            <w:pPr>
              <w:rPr>
                <w:rFonts w:ascii="Times New Roman" w:hAnsi="Times New Roman"/>
                <w:b/>
                <w:bCs/>
                <w:sz w:val="24"/>
                <w:szCs w:val="24"/>
              </w:rPr>
            </w:pPr>
            <w:r>
              <w:rPr>
                <w:rFonts w:ascii="Times New Roman" w:hAnsi="Times New Roman"/>
                <w:b/>
                <w:bCs/>
                <w:sz w:val="24"/>
                <w:szCs w:val="24"/>
              </w:rPr>
              <w:t>Relevance to Severn Trent</w:t>
            </w:r>
          </w:p>
        </w:tc>
      </w:tr>
      <w:tr w:rsidR="00BC7C3F" w14:paraId="1692AF22" w14:textId="77777777">
        <w:tblPrEx>
          <w:tblCellMar>
            <w:top w:w="0" w:type="dxa"/>
            <w:bottom w:w="0" w:type="dxa"/>
          </w:tblCellMar>
        </w:tblPrEx>
        <w:tc>
          <w:tcPr>
            <w:tcW w:w="2439" w:type="dxa"/>
            <w:shd w:val="clear" w:color="auto" w:fill="00B050"/>
            <w:tcMar>
              <w:top w:w="15" w:type="dxa"/>
              <w:left w:w="15" w:type="dxa"/>
              <w:bottom w:w="15" w:type="dxa"/>
              <w:right w:w="15" w:type="dxa"/>
            </w:tcMar>
            <w:vAlign w:val="center"/>
          </w:tcPr>
          <w:p w14:paraId="1692AF1F" w14:textId="77777777" w:rsidR="00BC7C3F" w:rsidRDefault="00A6763E">
            <w:pPr>
              <w:rPr>
                <w:rFonts w:ascii="Times New Roman" w:hAnsi="Times New Roman"/>
                <w:sz w:val="24"/>
                <w:szCs w:val="24"/>
              </w:rPr>
            </w:pPr>
            <w:r>
              <w:rPr>
                <w:rFonts w:ascii="Times New Roman" w:hAnsi="Times New Roman"/>
                <w:sz w:val="24"/>
                <w:szCs w:val="24"/>
              </w:rPr>
              <w:t>Power Distance</w:t>
            </w:r>
          </w:p>
        </w:tc>
        <w:tc>
          <w:tcPr>
            <w:tcW w:w="2773" w:type="dxa"/>
            <w:shd w:val="clear" w:color="auto" w:fill="00B0F0"/>
            <w:tcMar>
              <w:top w:w="15" w:type="dxa"/>
              <w:left w:w="15" w:type="dxa"/>
              <w:bottom w:w="15" w:type="dxa"/>
              <w:right w:w="15" w:type="dxa"/>
            </w:tcMar>
            <w:vAlign w:val="center"/>
          </w:tcPr>
          <w:p w14:paraId="1692AF20" w14:textId="77777777" w:rsidR="00BC7C3F" w:rsidRDefault="00A6763E">
            <w:pPr>
              <w:rPr>
                <w:rFonts w:ascii="Times New Roman" w:hAnsi="Times New Roman"/>
                <w:sz w:val="24"/>
                <w:szCs w:val="24"/>
              </w:rPr>
            </w:pPr>
            <w:r>
              <w:rPr>
                <w:rFonts w:ascii="Times New Roman" w:hAnsi="Times New Roman"/>
                <w:sz w:val="24"/>
                <w:szCs w:val="24"/>
              </w:rPr>
              <w:t>Acceptance of hierarchical authority</w:t>
            </w:r>
          </w:p>
        </w:tc>
        <w:tc>
          <w:tcPr>
            <w:tcW w:w="3814" w:type="dxa"/>
            <w:shd w:val="clear" w:color="auto" w:fill="FFC000"/>
            <w:tcMar>
              <w:top w:w="15" w:type="dxa"/>
              <w:left w:w="15" w:type="dxa"/>
              <w:bottom w:w="15" w:type="dxa"/>
              <w:right w:w="15" w:type="dxa"/>
            </w:tcMar>
            <w:vAlign w:val="center"/>
          </w:tcPr>
          <w:p w14:paraId="1692AF21" w14:textId="77777777" w:rsidR="00BC7C3F" w:rsidRDefault="00A6763E">
            <w:pPr>
              <w:rPr>
                <w:rFonts w:ascii="Times New Roman" w:hAnsi="Times New Roman"/>
                <w:sz w:val="24"/>
                <w:szCs w:val="24"/>
              </w:rPr>
            </w:pPr>
            <w:r>
              <w:rPr>
                <w:rFonts w:ascii="Times New Roman" w:hAnsi="Times New Roman"/>
                <w:sz w:val="24"/>
                <w:szCs w:val="24"/>
              </w:rPr>
              <w:t>Moderate hierarchy due to regulatory governance</w:t>
            </w:r>
          </w:p>
        </w:tc>
      </w:tr>
      <w:tr w:rsidR="00BC7C3F" w14:paraId="1692AF26" w14:textId="77777777">
        <w:tblPrEx>
          <w:tblCellMar>
            <w:top w:w="0" w:type="dxa"/>
            <w:bottom w:w="0" w:type="dxa"/>
          </w:tblCellMar>
        </w:tblPrEx>
        <w:tc>
          <w:tcPr>
            <w:tcW w:w="2439" w:type="dxa"/>
            <w:shd w:val="clear" w:color="auto" w:fill="00B050"/>
            <w:tcMar>
              <w:top w:w="15" w:type="dxa"/>
              <w:left w:w="15" w:type="dxa"/>
              <w:bottom w:w="15" w:type="dxa"/>
              <w:right w:w="15" w:type="dxa"/>
            </w:tcMar>
            <w:vAlign w:val="center"/>
          </w:tcPr>
          <w:p w14:paraId="1692AF23" w14:textId="77777777" w:rsidR="00BC7C3F" w:rsidRDefault="00A6763E">
            <w:pPr>
              <w:rPr>
                <w:rFonts w:ascii="Times New Roman" w:hAnsi="Times New Roman"/>
                <w:sz w:val="24"/>
                <w:szCs w:val="24"/>
              </w:rPr>
            </w:pPr>
            <w:r>
              <w:rPr>
                <w:rFonts w:ascii="Times New Roman" w:hAnsi="Times New Roman"/>
                <w:sz w:val="24"/>
                <w:szCs w:val="24"/>
              </w:rPr>
              <w:t xml:space="preserve">Uncertainty </w:t>
            </w:r>
            <w:r>
              <w:rPr>
                <w:rFonts w:ascii="Times New Roman" w:hAnsi="Times New Roman"/>
                <w:sz w:val="24"/>
                <w:szCs w:val="24"/>
              </w:rPr>
              <w:t>Avoidance</w:t>
            </w:r>
          </w:p>
        </w:tc>
        <w:tc>
          <w:tcPr>
            <w:tcW w:w="2773" w:type="dxa"/>
            <w:shd w:val="clear" w:color="auto" w:fill="00B0F0"/>
            <w:tcMar>
              <w:top w:w="15" w:type="dxa"/>
              <w:left w:w="15" w:type="dxa"/>
              <w:bottom w:w="15" w:type="dxa"/>
              <w:right w:w="15" w:type="dxa"/>
            </w:tcMar>
            <w:vAlign w:val="center"/>
          </w:tcPr>
          <w:p w14:paraId="1692AF24" w14:textId="77777777" w:rsidR="00BC7C3F" w:rsidRDefault="00A6763E">
            <w:pPr>
              <w:rPr>
                <w:rFonts w:ascii="Times New Roman" w:hAnsi="Times New Roman"/>
                <w:sz w:val="24"/>
                <w:szCs w:val="24"/>
              </w:rPr>
            </w:pPr>
            <w:r>
              <w:rPr>
                <w:rFonts w:ascii="Times New Roman" w:hAnsi="Times New Roman"/>
                <w:sz w:val="24"/>
                <w:szCs w:val="24"/>
              </w:rPr>
              <w:t>Preference for structured processes</w:t>
            </w:r>
          </w:p>
        </w:tc>
        <w:tc>
          <w:tcPr>
            <w:tcW w:w="3814" w:type="dxa"/>
            <w:shd w:val="clear" w:color="auto" w:fill="FFC000"/>
            <w:tcMar>
              <w:top w:w="15" w:type="dxa"/>
              <w:left w:w="15" w:type="dxa"/>
              <w:bottom w:w="15" w:type="dxa"/>
              <w:right w:w="15" w:type="dxa"/>
            </w:tcMar>
            <w:vAlign w:val="center"/>
          </w:tcPr>
          <w:p w14:paraId="1692AF25" w14:textId="77777777" w:rsidR="00BC7C3F" w:rsidRDefault="00A6763E">
            <w:pPr>
              <w:rPr>
                <w:rFonts w:ascii="Times New Roman" w:hAnsi="Times New Roman"/>
                <w:sz w:val="24"/>
                <w:szCs w:val="24"/>
              </w:rPr>
            </w:pPr>
            <w:r>
              <w:rPr>
                <w:rFonts w:ascii="Times New Roman" w:hAnsi="Times New Roman"/>
                <w:sz w:val="24"/>
                <w:szCs w:val="24"/>
              </w:rPr>
              <w:t>High emphasis on compliance and risk management</w:t>
            </w:r>
          </w:p>
        </w:tc>
      </w:tr>
      <w:tr w:rsidR="00BC7C3F" w14:paraId="1692AF2A" w14:textId="77777777">
        <w:tblPrEx>
          <w:tblCellMar>
            <w:top w:w="0" w:type="dxa"/>
            <w:bottom w:w="0" w:type="dxa"/>
          </w:tblCellMar>
        </w:tblPrEx>
        <w:tc>
          <w:tcPr>
            <w:tcW w:w="2439" w:type="dxa"/>
            <w:shd w:val="clear" w:color="auto" w:fill="00B050"/>
            <w:tcMar>
              <w:top w:w="15" w:type="dxa"/>
              <w:left w:w="15" w:type="dxa"/>
              <w:bottom w:w="15" w:type="dxa"/>
              <w:right w:w="15" w:type="dxa"/>
            </w:tcMar>
            <w:vAlign w:val="center"/>
          </w:tcPr>
          <w:p w14:paraId="1692AF27" w14:textId="77777777" w:rsidR="00BC7C3F" w:rsidRDefault="00A6763E">
            <w:pPr>
              <w:rPr>
                <w:rFonts w:ascii="Times New Roman" w:hAnsi="Times New Roman"/>
                <w:sz w:val="24"/>
                <w:szCs w:val="24"/>
              </w:rPr>
            </w:pPr>
            <w:r>
              <w:rPr>
                <w:rFonts w:ascii="Times New Roman" w:hAnsi="Times New Roman"/>
                <w:sz w:val="24"/>
                <w:szCs w:val="24"/>
              </w:rPr>
              <w:t>Individualism vs Collectivism</w:t>
            </w:r>
          </w:p>
        </w:tc>
        <w:tc>
          <w:tcPr>
            <w:tcW w:w="2773" w:type="dxa"/>
            <w:shd w:val="clear" w:color="auto" w:fill="00B0F0"/>
            <w:tcMar>
              <w:top w:w="15" w:type="dxa"/>
              <w:left w:w="15" w:type="dxa"/>
              <w:bottom w:w="15" w:type="dxa"/>
              <w:right w:w="15" w:type="dxa"/>
            </w:tcMar>
            <w:vAlign w:val="center"/>
          </w:tcPr>
          <w:p w14:paraId="1692AF28" w14:textId="77777777" w:rsidR="00BC7C3F" w:rsidRDefault="00A6763E">
            <w:pPr>
              <w:rPr>
                <w:rFonts w:ascii="Times New Roman" w:hAnsi="Times New Roman"/>
                <w:sz w:val="24"/>
                <w:szCs w:val="24"/>
              </w:rPr>
            </w:pPr>
            <w:r>
              <w:rPr>
                <w:rFonts w:ascii="Times New Roman" w:hAnsi="Times New Roman"/>
                <w:sz w:val="24"/>
                <w:szCs w:val="24"/>
              </w:rPr>
              <w:t>Focus on individual vs team goals</w:t>
            </w:r>
          </w:p>
        </w:tc>
        <w:tc>
          <w:tcPr>
            <w:tcW w:w="3814" w:type="dxa"/>
            <w:shd w:val="clear" w:color="auto" w:fill="FFC000"/>
            <w:tcMar>
              <w:top w:w="15" w:type="dxa"/>
              <w:left w:w="15" w:type="dxa"/>
              <w:bottom w:w="15" w:type="dxa"/>
              <w:right w:w="15" w:type="dxa"/>
            </w:tcMar>
            <w:vAlign w:val="center"/>
          </w:tcPr>
          <w:p w14:paraId="1692AF29" w14:textId="77777777" w:rsidR="00BC7C3F" w:rsidRDefault="00A6763E">
            <w:pPr>
              <w:rPr>
                <w:rFonts w:ascii="Times New Roman" w:hAnsi="Times New Roman"/>
                <w:sz w:val="24"/>
                <w:szCs w:val="24"/>
              </w:rPr>
            </w:pPr>
            <w:r>
              <w:rPr>
                <w:rFonts w:ascii="Times New Roman" w:hAnsi="Times New Roman"/>
                <w:sz w:val="24"/>
                <w:szCs w:val="24"/>
              </w:rPr>
              <w:t>Strong emphasis on teamwork and collaboration</w:t>
            </w:r>
          </w:p>
        </w:tc>
      </w:tr>
    </w:tbl>
    <w:p w14:paraId="1692AF2B" w14:textId="77777777" w:rsidR="00BC7C3F" w:rsidRDefault="00BC7C3F">
      <w:pPr>
        <w:rPr>
          <w:rFonts w:ascii="Times New Roman" w:hAnsi="Times New Roman"/>
          <w:sz w:val="24"/>
          <w:szCs w:val="24"/>
        </w:rPr>
      </w:pPr>
    </w:p>
    <w:p w14:paraId="1692AF2C" w14:textId="77777777" w:rsidR="00BC7C3F" w:rsidRDefault="00A6763E">
      <w:pPr>
        <w:rPr>
          <w:rFonts w:ascii="Times New Roman" w:hAnsi="Times New Roman"/>
          <w:sz w:val="24"/>
          <w:szCs w:val="24"/>
        </w:rPr>
      </w:pPr>
      <w:r>
        <w:rPr>
          <w:rFonts w:ascii="Times New Roman" w:hAnsi="Times New Roman"/>
          <w:sz w:val="24"/>
          <w:szCs w:val="24"/>
        </w:rPr>
        <w:t>Because infrastructure safety and regulatory compliance are so important, Severn Trent Water operates in a setting where uncertainty avoidance is rather high. To reduce the hazards involved in water management activities, organised procedures and thorough planning are crucial.</w:t>
      </w:r>
    </w:p>
    <w:p w14:paraId="1692AF2D" w14:textId="77777777" w:rsidR="00BC7C3F" w:rsidRDefault="00A6763E">
      <w:pPr>
        <w:rPr>
          <w:rFonts w:ascii="Times New Roman" w:hAnsi="Times New Roman"/>
          <w:b/>
          <w:bCs/>
          <w:sz w:val="28"/>
          <w:szCs w:val="28"/>
        </w:rPr>
      </w:pPr>
      <w:r>
        <w:rPr>
          <w:rFonts w:ascii="Times New Roman" w:hAnsi="Times New Roman"/>
          <w:b/>
          <w:bCs/>
          <w:sz w:val="28"/>
          <w:szCs w:val="28"/>
        </w:rPr>
        <w:t>3.3 Handy’s Cultural Types</w:t>
      </w:r>
    </w:p>
    <w:p w14:paraId="1692AF2E" w14:textId="77777777" w:rsidR="00BC7C3F" w:rsidRDefault="00A6763E">
      <w:pPr>
        <w:rPr>
          <w:rFonts w:ascii="Times New Roman" w:hAnsi="Times New Roman"/>
          <w:sz w:val="24"/>
          <w:szCs w:val="24"/>
        </w:rPr>
      </w:pPr>
      <w:r>
        <w:rPr>
          <w:rFonts w:ascii="Times New Roman" w:hAnsi="Times New Roman"/>
          <w:sz w:val="24"/>
          <w:szCs w:val="24"/>
        </w:rPr>
        <w:t>Power culture, role culture, task culture, and person culture are the four categories of organisational culture that Handy (1993) distinguished.</w:t>
      </w:r>
    </w:p>
    <w:tbl>
      <w:tblPr>
        <w:tblW w:w="6590" w:type="dxa"/>
        <w:tblCellMar>
          <w:left w:w="10" w:type="dxa"/>
          <w:right w:w="10" w:type="dxa"/>
        </w:tblCellMar>
        <w:tblLook w:val="0000" w:firstRow="0" w:lastRow="0" w:firstColumn="0" w:lastColumn="0" w:noHBand="0" w:noVBand="0"/>
      </w:tblPr>
      <w:tblGrid>
        <w:gridCol w:w="1748"/>
        <w:gridCol w:w="4842"/>
      </w:tblGrid>
      <w:tr w:rsidR="00BC7C3F" w14:paraId="1692AF31" w14:textId="77777777">
        <w:tblPrEx>
          <w:tblCellMar>
            <w:top w:w="0" w:type="dxa"/>
            <w:bottom w:w="0" w:type="dxa"/>
          </w:tblCellMar>
        </w:tblPrEx>
        <w:trPr>
          <w:tblHeader/>
        </w:trPr>
        <w:tc>
          <w:tcPr>
            <w:tcW w:w="1748" w:type="dxa"/>
            <w:shd w:val="clear" w:color="auto" w:fill="00B0F0"/>
            <w:tcMar>
              <w:top w:w="15" w:type="dxa"/>
              <w:left w:w="15" w:type="dxa"/>
              <w:bottom w:w="15" w:type="dxa"/>
              <w:right w:w="15" w:type="dxa"/>
            </w:tcMar>
            <w:vAlign w:val="center"/>
          </w:tcPr>
          <w:p w14:paraId="1692AF2F" w14:textId="77777777" w:rsidR="00BC7C3F" w:rsidRDefault="00A6763E">
            <w:pPr>
              <w:rPr>
                <w:rFonts w:ascii="Times New Roman" w:hAnsi="Times New Roman"/>
                <w:b/>
                <w:bCs/>
                <w:sz w:val="28"/>
                <w:szCs w:val="28"/>
              </w:rPr>
            </w:pPr>
            <w:r>
              <w:rPr>
                <w:rFonts w:ascii="Times New Roman" w:hAnsi="Times New Roman"/>
                <w:b/>
                <w:bCs/>
                <w:sz w:val="28"/>
                <w:szCs w:val="28"/>
              </w:rPr>
              <w:t>Culture Type</w:t>
            </w:r>
          </w:p>
        </w:tc>
        <w:tc>
          <w:tcPr>
            <w:tcW w:w="4842" w:type="dxa"/>
            <w:shd w:val="clear" w:color="auto" w:fill="FFC000"/>
            <w:tcMar>
              <w:top w:w="15" w:type="dxa"/>
              <w:left w:w="15" w:type="dxa"/>
              <w:bottom w:w="15" w:type="dxa"/>
              <w:right w:w="15" w:type="dxa"/>
            </w:tcMar>
            <w:vAlign w:val="center"/>
          </w:tcPr>
          <w:p w14:paraId="1692AF30" w14:textId="77777777" w:rsidR="00BC7C3F" w:rsidRDefault="00A6763E">
            <w:pPr>
              <w:rPr>
                <w:rFonts w:ascii="Times New Roman" w:hAnsi="Times New Roman"/>
                <w:b/>
                <w:bCs/>
                <w:sz w:val="28"/>
                <w:szCs w:val="28"/>
              </w:rPr>
            </w:pPr>
            <w:r>
              <w:rPr>
                <w:rFonts w:ascii="Times New Roman" w:hAnsi="Times New Roman"/>
                <w:b/>
                <w:bCs/>
                <w:sz w:val="28"/>
                <w:szCs w:val="28"/>
              </w:rPr>
              <w:t>Characteristics</w:t>
            </w:r>
          </w:p>
        </w:tc>
      </w:tr>
      <w:tr w:rsidR="00BC7C3F" w14:paraId="1692AF34" w14:textId="77777777">
        <w:tblPrEx>
          <w:tblCellMar>
            <w:top w:w="0" w:type="dxa"/>
            <w:bottom w:w="0" w:type="dxa"/>
          </w:tblCellMar>
        </w:tblPrEx>
        <w:tc>
          <w:tcPr>
            <w:tcW w:w="1748" w:type="dxa"/>
            <w:shd w:val="clear" w:color="auto" w:fill="00B0F0"/>
            <w:tcMar>
              <w:top w:w="15" w:type="dxa"/>
              <w:left w:w="15" w:type="dxa"/>
              <w:bottom w:w="15" w:type="dxa"/>
              <w:right w:w="15" w:type="dxa"/>
            </w:tcMar>
            <w:vAlign w:val="center"/>
          </w:tcPr>
          <w:p w14:paraId="1692AF32" w14:textId="77777777" w:rsidR="00BC7C3F" w:rsidRDefault="00A6763E">
            <w:pPr>
              <w:rPr>
                <w:rFonts w:ascii="Times New Roman" w:hAnsi="Times New Roman"/>
                <w:sz w:val="28"/>
                <w:szCs w:val="28"/>
              </w:rPr>
            </w:pPr>
            <w:r>
              <w:rPr>
                <w:rFonts w:ascii="Times New Roman" w:hAnsi="Times New Roman"/>
                <w:sz w:val="28"/>
                <w:szCs w:val="28"/>
              </w:rPr>
              <w:t>Power Culture</w:t>
            </w:r>
          </w:p>
        </w:tc>
        <w:tc>
          <w:tcPr>
            <w:tcW w:w="4842" w:type="dxa"/>
            <w:shd w:val="clear" w:color="auto" w:fill="FFC000"/>
            <w:tcMar>
              <w:top w:w="15" w:type="dxa"/>
              <w:left w:w="15" w:type="dxa"/>
              <w:bottom w:w="15" w:type="dxa"/>
              <w:right w:w="15" w:type="dxa"/>
            </w:tcMar>
            <w:vAlign w:val="center"/>
          </w:tcPr>
          <w:p w14:paraId="1692AF33" w14:textId="77777777" w:rsidR="00BC7C3F" w:rsidRDefault="00A6763E">
            <w:pPr>
              <w:rPr>
                <w:rFonts w:ascii="Times New Roman" w:hAnsi="Times New Roman"/>
                <w:sz w:val="28"/>
                <w:szCs w:val="28"/>
              </w:rPr>
            </w:pPr>
            <w:r>
              <w:rPr>
                <w:rFonts w:ascii="Times New Roman" w:hAnsi="Times New Roman"/>
                <w:sz w:val="28"/>
                <w:szCs w:val="28"/>
              </w:rPr>
              <w:t>Centralised authority and decision-making</w:t>
            </w:r>
          </w:p>
        </w:tc>
      </w:tr>
      <w:tr w:rsidR="00BC7C3F" w14:paraId="1692AF37" w14:textId="77777777">
        <w:tblPrEx>
          <w:tblCellMar>
            <w:top w:w="0" w:type="dxa"/>
            <w:bottom w:w="0" w:type="dxa"/>
          </w:tblCellMar>
        </w:tblPrEx>
        <w:tc>
          <w:tcPr>
            <w:tcW w:w="1748" w:type="dxa"/>
            <w:shd w:val="clear" w:color="auto" w:fill="00B0F0"/>
            <w:tcMar>
              <w:top w:w="15" w:type="dxa"/>
              <w:left w:w="15" w:type="dxa"/>
              <w:bottom w:w="15" w:type="dxa"/>
              <w:right w:w="15" w:type="dxa"/>
            </w:tcMar>
            <w:vAlign w:val="center"/>
          </w:tcPr>
          <w:p w14:paraId="1692AF35" w14:textId="77777777" w:rsidR="00BC7C3F" w:rsidRDefault="00A6763E">
            <w:pPr>
              <w:rPr>
                <w:rFonts w:ascii="Times New Roman" w:hAnsi="Times New Roman"/>
                <w:sz w:val="28"/>
                <w:szCs w:val="28"/>
              </w:rPr>
            </w:pPr>
            <w:r>
              <w:rPr>
                <w:rFonts w:ascii="Times New Roman" w:hAnsi="Times New Roman"/>
                <w:sz w:val="28"/>
                <w:szCs w:val="28"/>
              </w:rPr>
              <w:t>Role Culture</w:t>
            </w:r>
          </w:p>
        </w:tc>
        <w:tc>
          <w:tcPr>
            <w:tcW w:w="4842" w:type="dxa"/>
            <w:shd w:val="clear" w:color="auto" w:fill="FFC000"/>
            <w:tcMar>
              <w:top w:w="15" w:type="dxa"/>
              <w:left w:w="15" w:type="dxa"/>
              <w:bottom w:w="15" w:type="dxa"/>
              <w:right w:w="15" w:type="dxa"/>
            </w:tcMar>
            <w:vAlign w:val="center"/>
          </w:tcPr>
          <w:p w14:paraId="1692AF36" w14:textId="77777777" w:rsidR="00BC7C3F" w:rsidRDefault="00A6763E">
            <w:pPr>
              <w:rPr>
                <w:rFonts w:ascii="Times New Roman" w:hAnsi="Times New Roman"/>
                <w:sz w:val="28"/>
                <w:szCs w:val="28"/>
              </w:rPr>
            </w:pPr>
            <w:r>
              <w:rPr>
                <w:rFonts w:ascii="Times New Roman" w:hAnsi="Times New Roman"/>
                <w:sz w:val="28"/>
                <w:szCs w:val="28"/>
              </w:rPr>
              <w:t>Defined roles, procedures and hierarchy</w:t>
            </w:r>
          </w:p>
        </w:tc>
      </w:tr>
      <w:tr w:rsidR="00BC7C3F" w14:paraId="1692AF3A" w14:textId="77777777">
        <w:tblPrEx>
          <w:tblCellMar>
            <w:top w:w="0" w:type="dxa"/>
            <w:bottom w:w="0" w:type="dxa"/>
          </w:tblCellMar>
        </w:tblPrEx>
        <w:tc>
          <w:tcPr>
            <w:tcW w:w="1748" w:type="dxa"/>
            <w:shd w:val="clear" w:color="auto" w:fill="00B0F0"/>
            <w:tcMar>
              <w:top w:w="15" w:type="dxa"/>
              <w:left w:w="15" w:type="dxa"/>
              <w:bottom w:w="15" w:type="dxa"/>
              <w:right w:w="15" w:type="dxa"/>
            </w:tcMar>
            <w:vAlign w:val="center"/>
          </w:tcPr>
          <w:p w14:paraId="1692AF38" w14:textId="77777777" w:rsidR="00BC7C3F" w:rsidRDefault="00A6763E">
            <w:pPr>
              <w:rPr>
                <w:rFonts w:ascii="Times New Roman" w:hAnsi="Times New Roman"/>
                <w:sz w:val="28"/>
                <w:szCs w:val="28"/>
              </w:rPr>
            </w:pPr>
            <w:r>
              <w:rPr>
                <w:rFonts w:ascii="Times New Roman" w:hAnsi="Times New Roman"/>
                <w:sz w:val="28"/>
                <w:szCs w:val="28"/>
              </w:rPr>
              <w:t>Task Culture</w:t>
            </w:r>
          </w:p>
        </w:tc>
        <w:tc>
          <w:tcPr>
            <w:tcW w:w="4842" w:type="dxa"/>
            <w:shd w:val="clear" w:color="auto" w:fill="FFC000"/>
            <w:tcMar>
              <w:top w:w="15" w:type="dxa"/>
              <w:left w:w="15" w:type="dxa"/>
              <w:bottom w:w="15" w:type="dxa"/>
              <w:right w:w="15" w:type="dxa"/>
            </w:tcMar>
            <w:vAlign w:val="center"/>
          </w:tcPr>
          <w:p w14:paraId="1692AF39" w14:textId="77777777" w:rsidR="00BC7C3F" w:rsidRDefault="00A6763E">
            <w:pPr>
              <w:rPr>
                <w:rFonts w:ascii="Times New Roman" w:hAnsi="Times New Roman"/>
                <w:sz w:val="28"/>
                <w:szCs w:val="28"/>
              </w:rPr>
            </w:pPr>
            <w:r>
              <w:rPr>
                <w:rFonts w:ascii="Times New Roman" w:hAnsi="Times New Roman"/>
                <w:sz w:val="28"/>
                <w:szCs w:val="28"/>
              </w:rPr>
              <w:t>Team-based, project-oriented work</w:t>
            </w:r>
          </w:p>
        </w:tc>
      </w:tr>
      <w:tr w:rsidR="00BC7C3F" w14:paraId="1692AF3D" w14:textId="77777777">
        <w:tblPrEx>
          <w:tblCellMar>
            <w:top w:w="0" w:type="dxa"/>
            <w:bottom w:w="0" w:type="dxa"/>
          </w:tblCellMar>
        </w:tblPrEx>
        <w:tc>
          <w:tcPr>
            <w:tcW w:w="1748" w:type="dxa"/>
            <w:shd w:val="clear" w:color="auto" w:fill="00B0F0"/>
            <w:tcMar>
              <w:top w:w="15" w:type="dxa"/>
              <w:left w:w="15" w:type="dxa"/>
              <w:bottom w:w="15" w:type="dxa"/>
              <w:right w:w="15" w:type="dxa"/>
            </w:tcMar>
            <w:vAlign w:val="center"/>
          </w:tcPr>
          <w:p w14:paraId="1692AF3B" w14:textId="77777777" w:rsidR="00BC7C3F" w:rsidRDefault="00A6763E">
            <w:pPr>
              <w:rPr>
                <w:rFonts w:ascii="Times New Roman" w:hAnsi="Times New Roman"/>
                <w:sz w:val="28"/>
                <w:szCs w:val="28"/>
              </w:rPr>
            </w:pPr>
            <w:r>
              <w:rPr>
                <w:rFonts w:ascii="Times New Roman" w:hAnsi="Times New Roman"/>
                <w:sz w:val="28"/>
                <w:szCs w:val="28"/>
              </w:rPr>
              <w:t>Person Culture</w:t>
            </w:r>
          </w:p>
        </w:tc>
        <w:tc>
          <w:tcPr>
            <w:tcW w:w="4842" w:type="dxa"/>
            <w:shd w:val="clear" w:color="auto" w:fill="FFC000"/>
            <w:tcMar>
              <w:top w:w="15" w:type="dxa"/>
              <w:left w:w="15" w:type="dxa"/>
              <w:bottom w:w="15" w:type="dxa"/>
              <w:right w:w="15" w:type="dxa"/>
            </w:tcMar>
            <w:vAlign w:val="center"/>
          </w:tcPr>
          <w:p w14:paraId="1692AF3C" w14:textId="77777777" w:rsidR="00BC7C3F" w:rsidRDefault="00A6763E">
            <w:pPr>
              <w:rPr>
                <w:rFonts w:ascii="Times New Roman" w:hAnsi="Times New Roman"/>
                <w:sz w:val="28"/>
                <w:szCs w:val="28"/>
              </w:rPr>
            </w:pPr>
            <w:r>
              <w:rPr>
                <w:rFonts w:ascii="Times New Roman" w:hAnsi="Times New Roman"/>
                <w:sz w:val="28"/>
                <w:szCs w:val="28"/>
              </w:rPr>
              <w:t>Individual autonomy prioritised</w:t>
            </w:r>
          </w:p>
        </w:tc>
      </w:tr>
    </w:tbl>
    <w:p w14:paraId="1692AF3E" w14:textId="77777777" w:rsidR="00BC7C3F" w:rsidRDefault="00BC7C3F">
      <w:pPr>
        <w:rPr>
          <w:rFonts w:ascii="Times New Roman" w:hAnsi="Times New Roman"/>
          <w:sz w:val="24"/>
          <w:szCs w:val="24"/>
        </w:rPr>
      </w:pPr>
    </w:p>
    <w:p w14:paraId="1692AF3F" w14:textId="77777777" w:rsidR="00BC7C3F" w:rsidRDefault="00BC7C3F">
      <w:pPr>
        <w:rPr>
          <w:rFonts w:ascii="Times New Roman" w:hAnsi="Times New Roman"/>
          <w:sz w:val="24"/>
          <w:szCs w:val="24"/>
        </w:rPr>
      </w:pPr>
    </w:p>
    <w:p w14:paraId="1692AF40" w14:textId="77777777" w:rsidR="00BC7C3F" w:rsidRDefault="00A6763E">
      <w:pPr>
        <w:rPr>
          <w:rFonts w:ascii="Times New Roman" w:hAnsi="Times New Roman"/>
          <w:sz w:val="24"/>
          <w:szCs w:val="24"/>
        </w:rPr>
      </w:pPr>
      <w:r>
        <w:rPr>
          <w:rFonts w:ascii="Times New Roman" w:hAnsi="Times New Roman"/>
          <w:sz w:val="24"/>
          <w:szCs w:val="24"/>
        </w:rPr>
        <w:t xml:space="preserve">Severn Trent Water mostly exhibits traits of a role culture, in which employees follow set protocols and have </w:t>
      </w:r>
      <w:r>
        <w:rPr>
          <w:rFonts w:ascii="Times New Roman" w:hAnsi="Times New Roman"/>
          <w:sz w:val="24"/>
          <w:szCs w:val="24"/>
        </w:rPr>
        <w:t>clearly defined roles. However, project teams in charge of sustainability and infrastructure development also exhibit aspects of task culture.</w:t>
      </w:r>
    </w:p>
    <w:p w14:paraId="1692AF41" w14:textId="77777777" w:rsidR="00BC7C3F" w:rsidRDefault="00A6763E">
      <w:pPr>
        <w:rPr>
          <w:rFonts w:ascii="Times New Roman" w:hAnsi="Times New Roman"/>
          <w:sz w:val="24"/>
          <w:szCs w:val="24"/>
        </w:rPr>
      </w:pPr>
      <w:r>
        <w:rPr>
          <w:rFonts w:ascii="Times New Roman" w:hAnsi="Times New Roman"/>
          <w:sz w:val="24"/>
          <w:szCs w:val="24"/>
        </w:rPr>
        <w:lastRenderedPageBreak/>
        <w:t>The organization can preserve operational stability while promoting creativity and teamwork thanks to the coexistence of role and task cultures.</w:t>
      </w:r>
    </w:p>
    <w:p w14:paraId="1692AF42" w14:textId="77777777" w:rsidR="00BC7C3F" w:rsidRDefault="00BC7C3F">
      <w:pPr>
        <w:rPr>
          <w:rFonts w:ascii="Times New Roman" w:hAnsi="Times New Roman"/>
          <w:sz w:val="24"/>
          <w:szCs w:val="24"/>
        </w:rPr>
      </w:pPr>
    </w:p>
    <w:p w14:paraId="1692AF43" w14:textId="77777777" w:rsidR="00BC7C3F" w:rsidRDefault="00A6763E">
      <w:pPr>
        <w:rPr>
          <w:rFonts w:ascii="Times New Roman" w:hAnsi="Times New Roman"/>
          <w:b/>
          <w:bCs/>
          <w:sz w:val="32"/>
          <w:szCs w:val="32"/>
        </w:rPr>
      </w:pPr>
      <w:r>
        <w:rPr>
          <w:rFonts w:ascii="Times New Roman" w:hAnsi="Times New Roman"/>
          <w:b/>
          <w:bCs/>
          <w:sz w:val="32"/>
          <w:szCs w:val="32"/>
        </w:rPr>
        <w:t>4. Organisational Culture and Adaptation to the External Environment</w:t>
      </w:r>
    </w:p>
    <w:p w14:paraId="1692AF44" w14:textId="77777777" w:rsidR="00BC7C3F" w:rsidRDefault="00A6763E">
      <w:pPr>
        <w:rPr>
          <w:rFonts w:ascii="Times New Roman" w:hAnsi="Times New Roman"/>
          <w:sz w:val="24"/>
          <w:szCs w:val="24"/>
        </w:rPr>
      </w:pPr>
      <w:r>
        <w:rPr>
          <w:rFonts w:ascii="Times New Roman" w:hAnsi="Times New Roman"/>
          <w:sz w:val="24"/>
          <w:szCs w:val="24"/>
        </w:rPr>
        <w:t xml:space="preserve">Organisations function in dynamic external settings that are influenced by shifting stakeholder expectations, environmental challenges, technological advancements, and regulatory frameworks. How well businesses react to these outside forces is largely determined by their organisational culture. Organisations with adaptable cultures are better able to respond to external changes and sustain long-term success, claim Kotter and Heskett (1992). Rigid organisational cultures, on the other hand, may make it more </w:t>
      </w:r>
      <w:r>
        <w:rPr>
          <w:rFonts w:ascii="Times New Roman" w:hAnsi="Times New Roman"/>
          <w:sz w:val="24"/>
          <w:szCs w:val="24"/>
        </w:rPr>
        <w:t>difficult for businesses to adapt to changing external circumstances.</w:t>
      </w:r>
    </w:p>
    <w:p w14:paraId="1692AF45" w14:textId="77777777" w:rsidR="00BC7C3F" w:rsidRDefault="00A6763E">
      <w:pPr>
        <w:rPr>
          <w:rFonts w:ascii="Times New Roman" w:hAnsi="Times New Roman"/>
          <w:sz w:val="24"/>
          <w:szCs w:val="24"/>
        </w:rPr>
      </w:pPr>
      <w:r>
        <w:rPr>
          <w:rFonts w:ascii="Times New Roman" w:hAnsi="Times New Roman"/>
          <w:sz w:val="24"/>
          <w:szCs w:val="24"/>
        </w:rPr>
        <w:t>Below is a summary of the external influences that have an impact on Severn Trent Water as well as the cultural responses that the organization has created.</w:t>
      </w:r>
    </w:p>
    <w:tbl>
      <w:tblPr>
        <w:tblW w:w="9026" w:type="dxa"/>
        <w:tblCellMar>
          <w:left w:w="10" w:type="dxa"/>
          <w:right w:w="10" w:type="dxa"/>
        </w:tblCellMar>
        <w:tblLook w:val="0000" w:firstRow="0" w:lastRow="0" w:firstColumn="0" w:lastColumn="0" w:noHBand="0" w:noVBand="0"/>
      </w:tblPr>
      <w:tblGrid>
        <w:gridCol w:w="1705"/>
        <w:gridCol w:w="3868"/>
        <w:gridCol w:w="3453"/>
      </w:tblGrid>
      <w:tr w:rsidR="00BC7C3F" w14:paraId="1692AF49" w14:textId="77777777">
        <w:tblPrEx>
          <w:tblCellMar>
            <w:top w:w="0" w:type="dxa"/>
            <w:bottom w:w="0" w:type="dxa"/>
          </w:tblCellMar>
        </w:tblPrEx>
        <w:trPr>
          <w:tblHeader/>
        </w:trPr>
        <w:tc>
          <w:tcPr>
            <w:tcW w:w="1705" w:type="dxa"/>
            <w:shd w:val="clear" w:color="auto" w:fill="00B050"/>
            <w:tcMar>
              <w:top w:w="15" w:type="dxa"/>
              <w:left w:w="15" w:type="dxa"/>
              <w:bottom w:w="15" w:type="dxa"/>
              <w:right w:w="15" w:type="dxa"/>
            </w:tcMar>
            <w:vAlign w:val="center"/>
          </w:tcPr>
          <w:p w14:paraId="1692AF46" w14:textId="77777777" w:rsidR="00BC7C3F" w:rsidRDefault="00A6763E">
            <w:pPr>
              <w:rPr>
                <w:rFonts w:ascii="Times New Roman" w:hAnsi="Times New Roman"/>
                <w:b/>
                <w:bCs/>
                <w:sz w:val="24"/>
                <w:szCs w:val="24"/>
              </w:rPr>
            </w:pPr>
            <w:r>
              <w:rPr>
                <w:rFonts w:ascii="Times New Roman" w:hAnsi="Times New Roman"/>
                <w:b/>
                <w:bCs/>
                <w:sz w:val="24"/>
                <w:szCs w:val="24"/>
              </w:rPr>
              <w:t>External Factor</w:t>
            </w:r>
          </w:p>
        </w:tc>
        <w:tc>
          <w:tcPr>
            <w:tcW w:w="3868" w:type="dxa"/>
            <w:shd w:val="clear" w:color="auto" w:fill="00B0F0"/>
            <w:tcMar>
              <w:top w:w="15" w:type="dxa"/>
              <w:left w:w="15" w:type="dxa"/>
              <w:bottom w:w="15" w:type="dxa"/>
              <w:right w:w="15" w:type="dxa"/>
            </w:tcMar>
            <w:vAlign w:val="center"/>
          </w:tcPr>
          <w:p w14:paraId="1692AF47" w14:textId="77777777" w:rsidR="00BC7C3F" w:rsidRDefault="00A6763E">
            <w:pPr>
              <w:rPr>
                <w:rFonts w:ascii="Times New Roman" w:hAnsi="Times New Roman"/>
                <w:b/>
                <w:bCs/>
                <w:sz w:val="24"/>
                <w:szCs w:val="24"/>
              </w:rPr>
            </w:pPr>
            <w:r>
              <w:rPr>
                <w:rFonts w:ascii="Times New Roman" w:hAnsi="Times New Roman"/>
                <w:b/>
                <w:bCs/>
                <w:sz w:val="24"/>
                <w:szCs w:val="24"/>
              </w:rPr>
              <w:t>Description</w:t>
            </w:r>
          </w:p>
        </w:tc>
        <w:tc>
          <w:tcPr>
            <w:tcW w:w="3453" w:type="dxa"/>
            <w:shd w:val="clear" w:color="auto" w:fill="FFC000"/>
            <w:tcMar>
              <w:top w:w="15" w:type="dxa"/>
              <w:left w:w="15" w:type="dxa"/>
              <w:bottom w:w="15" w:type="dxa"/>
              <w:right w:w="15" w:type="dxa"/>
            </w:tcMar>
            <w:vAlign w:val="center"/>
          </w:tcPr>
          <w:p w14:paraId="1692AF48" w14:textId="77777777" w:rsidR="00BC7C3F" w:rsidRDefault="00A6763E">
            <w:pPr>
              <w:rPr>
                <w:rFonts w:ascii="Times New Roman" w:hAnsi="Times New Roman"/>
                <w:b/>
                <w:bCs/>
                <w:sz w:val="24"/>
                <w:szCs w:val="24"/>
              </w:rPr>
            </w:pPr>
            <w:r>
              <w:rPr>
                <w:rFonts w:ascii="Times New Roman" w:hAnsi="Times New Roman"/>
                <w:b/>
                <w:bCs/>
                <w:sz w:val="24"/>
                <w:szCs w:val="24"/>
              </w:rPr>
              <w:t>Cultural Response at Severn Trent</w:t>
            </w:r>
          </w:p>
        </w:tc>
      </w:tr>
      <w:tr w:rsidR="00BC7C3F" w14:paraId="1692AF4D" w14:textId="77777777">
        <w:tblPrEx>
          <w:tblCellMar>
            <w:top w:w="0" w:type="dxa"/>
            <w:bottom w:w="0" w:type="dxa"/>
          </w:tblCellMar>
        </w:tblPrEx>
        <w:tc>
          <w:tcPr>
            <w:tcW w:w="1705" w:type="dxa"/>
            <w:shd w:val="clear" w:color="auto" w:fill="00B050"/>
            <w:tcMar>
              <w:top w:w="15" w:type="dxa"/>
              <w:left w:w="15" w:type="dxa"/>
              <w:bottom w:w="15" w:type="dxa"/>
              <w:right w:w="15" w:type="dxa"/>
            </w:tcMar>
            <w:vAlign w:val="center"/>
          </w:tcPr>
          <w:p w14:paraId="1692AF4A" w14:textId="77777777" w:rsidR="00BC7C3F" w:rsidRDefault="00A6763E">
            <w:pPr>
              <w:rPr>
                <w:rFonts w:ascii="Times New Roman" w:hAnsi="Times New Roman"/>
                <w:sz w:val="24"/>
                <w:szCs w:val="24"/>
              </w:rPr>
            </w:pPr>
            <w:r>
              <w:rPr>
                <w:rFonts w:ascii="Times New Roman" w:hAnsi="Times New Roman"/>
                <w:sz w:val="24"/>
                <w:szCs w:val="24"/>
              </w:rPr>
              <w:t>Regulatory pressure</w:t>
            </w:r>
          </w:p>
        </w:tc>
        <w:tc>
          <w:tcPr>
            <w:tcW w:w="3868" w:type="dxa"/>
            <w:shd w:val="clear" w:color="auto" w:fill="00B0F0"/>
            <w:tcMar>
              <w:top w:w="15" w:type="dxa"/>
              <w:left w:w="15" w:type="dxa"/>
              <w:bottom w:w="15" w:type="dxa"/>
              <w:right w:w="15" w:type="dxa"/>
            </w:tcMar>
            <w:vAlign w:val="center"/>
          </w:tcPr>
          <w:p w14:paraId="1692AF4B" w14:textId="77777777" w:rsidR="00BC7C3F" w:rsidRDefault="00A6763E">
            <w:pPr>
              <w:rPr>
                <w:rFonts w:ascii="Times New Roman" w:hAnsi="Times New Roman"/>
                <w:sz w:val="24"/>
                <w:szCs w:val="24"/>
              </w:rPr>
            </w:pPr>
            <w:r>
              <w:rPr>
                <w:rFonts w:ascii="Times New Roman" w:hAnsi="Times New Roman"/>
                <w:sz w:val="24"/>
                <w:szCs w:val="24"/>
              </w:rPr>
              <w:t>Water companies must comply with strict regulations from Ofwat and environmental agencies</w:t>
            </w:r>
          </w:p>
        </w:tc>
        <w:tc>
          <w:tcPr>
            <w:tcW w:w="3453" w:type="dxa"/>
            <w:shd w:val="clear" w:color="auto" w:fill="FFC000"/>
            <w:tcMar>
              <w:top w:w="15" w:type="dxa"/>
              <w:left w:w="15" w:type="dxa"/>
              <w:bottom w:w="15" w:type="dxa"/>
              <w:right w:w="15" w:type="dxa"/>
            </w:tcMar>
            <w:vAlign w:val="center"/>
          </w:tcPr>
          <w:p w14:paraId="1692AF4C" w14:textId="77777777" w:rsidR="00BC7C3F" w:rsidRDefault="00A6763E">
            <w:pPr>
              <w:rPr>
                <w:rFonts w:ascii="Times New Roman" w:hAnsi="Times New Roman"/>
                <w:sz w:val="24"/>
                <w:szCs w:val="24"/>
              </w:rPr>
            </w:pPr>
            <w:r>
              <w:rPr>
                <w:rFonts w:ascii="Times New Roman" w:hAnsi="Times New Roman"/>
                <w:sz w:val="24"/>
                <w:szCs w:val="24"/>
              </w:rPr>
              <w:t>Culture emphasises accountability, compliance and responsible governance</w:t>
            </w:r>
          </w:p>
        </w:tc>
      </w:tr>
      <w:tr w:rsidR="00BC7C3F" w14:paraId="1692AF51" w14:textId="77777777">
        <w:tblPrEx>
          <w:tblCellMar>
            <w:top w:w="0" w:type="dxa"/>
            <w:bottom w:w="0" w:type="dxa"/>
          </w:tblCellMar>
        </w:tblPrEx>
        <w:tc>
          <w:tcPr>
            <w:tcW w:w="1705" w:type="dxa"/>
            <w:shd w:val="clear" w:color="auto" w:fill="00B050"/>
            <w:tcMar>
              <w:top w:w="15" w:type="dxa"/>
              <w:left w:w="15" w:type="dxa"/>
              <w:bottom w:w="15" w:type="dxa"/>
              <w:right w:w="15" w:type="dxa"/>
            </w:tcMar>
            <w:vAlign w:val="center"/>
          </w:tcPr>
          <w:p w14:paraId="1692AF4E" w14:textId="77777777" w:rsidR="00BC7C3F" w:rsidRDefault="00A6763E">
            <w:pPr>
              <w:rPr>
                <w:rFonts w:ascii="Times New Roman" w:hAnsi="Times New Roman"/>
                <w:sz w:val="24"/>
                <w:szCs w:val="24"/>
              </w:rPr>
            </w:pPr>
            <w:r>
              <w:rPr>
                <w:rFonts w:ascii="Times New Roman" w:hAnsi="Times New Roman"/>
                <w:sz w:val="24"/>
                <w:szCs w:val="24"/>
              </w:rPr>
              <w:t>Climate change</w:t>
            </w:r>
          </w:p>
        </w:tc>
        <w:tc>
          <w:tcPr>
            <w:tcW w:w="3868" w:type="dxa"/>
            <w:shd w:val="clear" w:color="auto" w:fill="00B0F0"/>
            <w:tcMar>
              <w:top w:w="15" w:type="dxa"/>
              <w:left w:w="15" w:type="dxa"/>
              <w:bottom w:w="15" w:type="dxa"/>
              <w:right w:w="15" w:type="dxa"/>
            </w:tcMar>
            <w:vAlign w:val="center"/>
          </w:tcPr>
          <w:p w14:paraId="1692AF4F" w14:textId="77777777" w:rsidR="00BC7C3F" w:rsidRDefault="00A6763E">
            <w:pPr>
              <w:rPr>
                <w:rFonts w:ascii="Times New Roman" w:hAnsi="Times New Roman"/>
                <w:sz w:val="24"/>
                <w:szCs w:val="24"/>
              </w:rPr>
            </w:pPr>
            <w:r>
              <w:rPr>
                <w:rFonts w:ascii="Times New Roman" w:hAnsi="Times New Roman"/>
                <w:sz w:val="24"/>
                <w:szCs w:val="24"/>
              </w:rPr>
              <w:t>Increased droughts, floods and environmental risks affecting water supply</w:t>
            </w:r>
          </w:p>
        </w:tc>
        <w:tc>
          <w:tcPr>
            <w:tcW w:w="3453" w:type="dxa"/>
            <w:shd w:val="clear" w:color="auto" w:fill="FFC000"/>
            <w:tcMar>
              <w:top w:w="15" w:type="dxa"/>
              <w:left w:w="15" w:type="dxa"/>
              <w:bottom w:w="15" w:type="dxa"/>
              <w:right w:w="15" w:type="dxa"/>
            </w:tcMar>
            <w:vAlign w:val="center"/>
          </w:tcPr>
          <w:p w14:paraId="1692AF50" w14:textId="77777777" w:rsidR="00BC7C3F" w:rsidRDefault="00A6763E">
            <w:pPr>
              <w:rPr>
                <w:rFonts w:ascii="Times New Roman" w:hAnsi="Times New Roman"/>
                <w:sz w:val="24"/>
                <w:szCs w:val="24"/>
              </w:rPr>
            </w:pPr>
            <w:r>
              <w:rPr>
                <w:rFonts w:ascii="Times New Roman" w:hAnsi="Times New Roman"/>
                <w:sz w:val="24"/>
                <w:szCs w:val="24"/>
              </w:rPr>
              <w:t>Culture promotes sustainability and environmental stewardship</w:t>
            </w:r>
          </w:p>
        </w:tc>
      </w:tr>
      <w:tr w:rsidR="00BC7C3F" w14:paraId="1692AF55" w14:textId="77777777">
        <w:tblPrEx>
          <w:tblCellMar>
            <w:top w:w="0" w:type="dxa"/>
            <w:bottom w:w="0" w:type="dxa"/>
          </w:tblCellMar>
        </w:tblPrEx>
        <w:tc>
          <w:tcPr>
            <w:tcW w:w="1705" w:type="dxa"/>
            <w:shd w:val="clear" w:color="auto" w:fill="00B050"/>
            <w:tcMar>
              <w:top w:w="15" w:type="dxa"/>
              <w:left w:w="15" w:type="dxa"/>
              <w:bottom w:w="15" w:type="dxa"/>
              <w:right w:w="15" w:type="dxa"/>
            </w:tcMar>
            <w:vAlign w:val="center"/>
          </w:tcPr>
          <w:p w14:paraId="1692AF52" w14:textId="77777777" w:rsidR="00BC7C3F" w:rsidRDefault="00A6763E">
            <w:pPr>
              <w:rPr>
                <w:rFonts w:ascii="Times New Roman" w:hAnsi="Times New Roman"/>
                <w:sz w:val="24"/>
                <w:szCs w:val="24"/>
              </w:rPr>
            </w:pPr>
            <w:r>
              <w:rPr>
                <w:rFonts w:ascii="Times New Roman" w:hAnsi="Times New Roman"/>
                <w:sz w:val="24"/>
                <w:szCs w:val="24"/>
              </w:rPr>
              <w:t>Technological change</w:t>
            </w:r>
          </w:p>
        </w:tc>
        <w:tc>
          <w:tcPr>
            <w:tcW w:w="3868" w:type="dxa"/>
            <w:shd w:val="clear" w:color="auto" w:fill="00B0F0"/>
            <w:tcMar>
              <w:top w:w="15" w:type="dxa"/>
              <w:left w:w="15" w:type="dxa"/>
              <w:bottom w:w="15" w:type="dxa"/>
              <w:right w:w="15" w:type="dxa"/>
            </w:tcMar>
            <w:vAlign w:val="center"/>
          </w:tcPr>
          <w:p w14:paraId="1692AF53" w14:textId="77777777" w:rsidR="00BC7C3F" w:rsidRDefault="00A6763E">
            <w:pPr>
              <w:rPr>
                <w:rFonts w:ascii="Times New Roman" w:hAnsi="Times New Roman"/>
                <w:sz w:val="24"/>
                <w:szCs w:val="24"/>
              </w:rPr>
            </w:pPr>
            <w:r>
              <w:rPr>
                <w:rFonts w:ascii="Times New Roman" w:hAnsi="Times New Roman"/>
                <w:sz w:val="24"/>
                <w:szCs w:val="24"/>
              </w:rPr>
              <w:t>Adoption of digital monitoring systems and smart water technologies</w:t>
            </w:r>
          </w:p>
        </w:tc>
        <w:tc>
          <w:tcPr>
            <w:tcW w:w="3453" w:type="dxa"/>
            <w:shd w:val="clear" w:color="auto" w:fill="FFC000"/>
            <w:tcMar>
              <w:top w:w="15" w:type="dxa"/>
              <w:left w:w="15" w:type="dxa"/>
              <w:bottom w:w="15" w:type="dxa"/>
              <w:right w:w="15" w:type="dxa"/>
            </w:tcMar>
            <w:vAlign w:val="center"/>
          </w:tcPr>
          <w:p w14:paraId="1692AF54" w14:textId="77777777" w:rsidR="00BC7C3F" w:rsidRDefault="00A6763E">
            <w:pPr>
              <w:rPr>
                <w:rFonts w:ascii="Times New Roman" w:hAnsi="Times New Roman"/>
                <w:sz w:val="24"/>
                <w:szCs w:val="24"/>
              </w:rPr>
            </w:pPr>
            <w:r>
              <w:rPr>
                <w:rFonts w:ascii="Times New Roman" w:hAnsi="Times New Roman"/>
                <w:sz w:val="24"/>
                <w:szCs w:val="24"/>
              </w:rPr>
              <w:t>Culture encourages innovation and continuous improvement</w:t>
            </w:r>
          </w:p>
        </w:tc>
      </w:tr>
      <w:tr w:rsidR="00BC7C3F" w14:paraId="1692AF59" w14:textId="77777777">
        <w:tblPrEx>
          <w:tblCellMar>
            <w:top w:w="0" w:type="dxa"/>
            <w:bottom w:w="0" w:type="dxa"/>
          </w:tblCellMar>
        </w:tblPrEx>
        <w:tc>
          <w:tcPr>
            <w:tcW w:w="1705" w:type="dxa"/>
            <w:shd w:val="clear" w:color="auto" w:fill="00B050"/>
            <w:tcMar>
              <w:top w:w="15" w:type="dxa"/>
              <w:left w:w="15" w:type="dxa"/>
              <w:bottom w:w="15" w:type="dxa"/>
              <w:right w:w="15" w:type="dxa"/>
            </w:tcMar>
            <w:vAlign w:val="center"/>
          </w:tcPr>
          <w:p w14:paraId="1692AF56" w14:textId="77777777" w:rsidR="00BC7C3F" w:rsidRDefault="00A6763E">
            <w:pPr>
              <w:rPr>
                <w:rFonts w:ascii="Times New Roman" w:hAnsi="Times New Roman"/>
                <w:sz w:val="24"/>
                <w:szCs w:val="24"/>
              </w:rPr>
            </w:pPr>
            <w:r>
              <w:rPr>
                <w:rFonts w:ascii="Times New Roman" w:hAnsi="Times New Roman"/>
                <w:sz w:val="24"/>
                <w:szCs w:val="24"/>
              </w:rPr>
              <w:t>Customer expectations</w:t>
            </w:r>
          </w:p>
        </w:tc>
        <w:tc>
          <w:tcPr>
            <w:tcW w:w="3868" w:type="dxa"/>
            <w:shd w:val="clear" w:color="auto" w:fill="00B0F0"/>
            <w:tcMar>
              <w:top w:w="15" w:type="dxa"/>
              <w:left w:w="15" w:type="dxa"/>
              <w:bottom w:w="15" w:type="dxa"/>
              <w:right w:w="15" w:type="dxa"/>
            </w:tcMar>
            <w:vAlign w:val="center"/>
          </w:tcPr>
          <w:p w14:paraId="1692AF57" w14:textId="77777777" w:rsidR="00BC7C3F" w:rsidRDefault="00A6763E">
            <w:pPr>
              <w:rPr>
                <w:rFonts w:ascii="Times New Roman" w:hAnsi="Times New Roman"/>
                <w:sz w:val="24"/>
                <w:szCs w:val="24"/>
              </w:rPr>
            </w:pPr>
            <w:r>
              <w:rPr>
                <w:rFonts w:ascii="Times New Roman" w:hAnsi="Times New Roman"/>
                <w:sz w:val="24"/>
                <w:szCs w:val="24"/>
              </w:rPr>
              <w:t>Demand for reliable services and environmentally responsible operations</w:t>
            </w:r>
          </w:p>
        </w:tc>
        <w:tc>
          <w:tcPr>
            <w:tcW w:w="3453" w:type="dxa"/>
            <w:shd w:val="clear" w:color="auto" w:fill="FFC000"/>
            <w:tcMar>
              <w:top w:w="15" w:type="dxa"/>
              <w:left w:w="15" w:type="dxa"/>
              <w:bottom w:w="15" w:type="dxa"/>
              <w:right w:w="15" w:type="dxa"/>
            </w:tcMar>
            <w:vAlign w:val="center"/>
          </w:tcPr>
          <w:p w14:paraId="1692AF58" w14:textId="77777777" w:rsidR="00BC7C3F" w:rsidRDefault="00A6763E">
            <w:pPr>
              <w:rPr>
                <w:rFonts w:ascii="Times New Roman" w:hAnsi="Times New Roman"/>
                <w:sz w:val="24"/>
                <w:szCs w:val="24"/>
              </w:rPr>
            </w:pPr>
            <w:r>
              <w:rPr>
                <w:rFonts w:ascii="Times New Roman" w:hAnsi="Times New Roman"/>
                <w:sz w:val="24"/>
                <w:szCs w:val="24"/>
              </w:rPr>
              <w:t>Culture focuses on customer service and stakeholder engagement</w:t>
            </w:r>
          </w:p>
        </w:tc>
      </w:tr>
      <w:tr w:rsidR="00BC7C3F" w14:paraId="1692AF5D" w14:textId="77777777">
        <w:tblPrEx>
          <w:tblCellMar>
            <w:top w:w="0" w:type="dxa"/>
            <w:bottom w:w="0" w:type="dxa"/>
          </w:tblCellMar>
        </w:tblPrEx>
        <w:tc>
          <w:tcPr>
            <w:tcW w:w="1705" w:type="dxa"/>
            <w:shd w:val="clear" w:color="auto" w:fill="00B050"/>
            <w:tcMar>
              <w:top w:w="15" w:type="dxa"/>
              <w:left w:w="15" w:type="dxa"/>
              <w:bottom w:w="15" w:type="dxa"/>
              <w:right w:w="15" w:type="dxa"/>
            </w:tcMar>
            <w:vAlign w:val="center"/>
          </w:tcPr>
          <w:p w14:paraId="1692AF5A" w14:textId="77777777" w:rsidR="00BC7C3F" w:rsidRDefault="00A6763E">
            <w:pPr>
              <w:rPr>
                <w:rFonts w:ascii="Times New Roman" w:hAnsi="Times New Roman"/>
                <w:sz w:val="24"/>
                <w:szCs w:val="24"/>
              </w:rPr>
            </w:pPr>
            <w:r>
              <w:rPr>
                <w:rFonts w:ascii="Times New Roman" w:hAnsi="Times New Roman"/>
                <w:sz w:val="24"/>
                <w:szCs w:val="24"/>
              </w:rPr>
              <w:t>Sustainability pressures</w:t>
            </w:r>
          </w:p>
        </w:tc>
        <w:tc>
          <w:tcPr>
            <w:tcW w:w="3868" w:type="dxa"/>
            <w:shd w:val="clear" w:color="auto" w:fill="00B0F0"/>
            <w:tcMar>
              <w:top w:w="15" w:type="dxa"/>
              <w:left w:w="15" w:type="dxa"/>
              <w:bottom w:w="15" w:type="dxa"/>
              <w:right w:w="15" w:type="dxa"/>
            </w:tcMar>
            <w:vAlign w:val="center"/>
          </w:tcPr>
          <w:p w14:paraId="1692AF5B" w14:textId="77777777" w:rsidR="00BC7C3F" w:rsidRDefault="00A6763E">
            <w:pPr>
              <w:rPr>
                <w:rFonts w:ascii="Times New Roman" w:hAnsi="Times New Roman"/>
                <w:sz w:val="24"/>
                <w:szCs w:val="24"/>
              </w:rPr>
            </w:pPr>
            <w:r>
              <w:rPr>
                <w:rFonts w:ascii="Times New Roman" w:hAnsi="Times New Roman"/>
                <w:sz w:val="24"/>
                <w:szCs w:val="24"/>
              </w:rPr>
              <w:t>Increasing expectations for ESG and environmental responsibility</w:t>
            </w:r>
          </w:p>
        </w:tc>
        <w:tc>
          <w:tcPr>
            <w:tcW w:w="3453" w:type="dxa"/>
            <w:shd w:val="clear" w:color="auto" w:fill="FFC000"/>
            <w:tcMar>
              <w:top w:w="15" w:type="dxa"/>
              <w:left w:w="15" w:type="dxa"/>
              <w:bottom w:w="15" w:type="dxa"/>
              <w:right w:w="15" w:type="dxa"/>
            </w:tcMar>
            <w:vAlign w:val="center"/>
          </w:tcPr>
          <w:p w14:paraId="1692AF5C" w14:textId="77777777" w:rsidR="00BC7C3F" w:rsidRDefault="00A6763E">
            <w:pPr>
              <w:rPr>
                <w:rFonts w:ascii="Times New Roman" w:hAnsi="Times New Roman"/>
                <w:sz w:val="24"/>
                <w:szCs w:val="24"/>
              </w:rPr>
            </w:pPr>
            <w:r>
              <w:rPr>
                <w:rFonts w:ascii="Times New Roman" w:hAnsi="Times New Roman"/>
                <w:sz w:val="24"/>
                <w:szCs w:val="24"/>
              </w:rPr>
              <w:t>Corporate culture promotes green initiatives and long-term environmental planning</w:t>
            </w:r>
          </w:p>
        </w:tc>
      </w:tr>
    </w:tbl>
    <w:p w14:paraId="1692AF5E" w14:textId="77777777" w:rsidR="00BC7C3F" w:rsidRDefault="00BC7C3F">
      <w:pPr>
        <w:rPr>
          <w:rFonts w:ascii="Times New Roman" w:hAnsi="Times New Roman"/>
          <w:sz w:val="24"/>
          <w:szCs w:val="24"/>
        </w:rPr>
      </w:pPr>
    </w:p>
    <w:p w14:paraId="1692AF5F" w14:textId="77777777" w:rsidR="00BC7C3F" w:rsidRDefault="00A6763E">
      <w:pPr>
        <w:rPr>
          <w:rFonts w:ascii="Times New Roman" w:hAnsi="Times New Roman"/>
          <w:sz w:val="24"/>
          <w:szCs w:val="24"/>
        </w:rPr>
      </w:pPr>
      <w:proofErr w:type="gramStart"/>
      <w:r>
        <w:rPr>
          <w:rFonts w:ascii="Times New Roman" w:hAnsi="Times New Roman"/>
          <w:sz w:val="24"/>
          <w:szCs w:val="24"/>
        </w:rPr>
        <w:t>In order to</w:t>
      </w:r>
      <w:proofErr w:type="gramEnd"/>
      <w:r>
        <w:rPr>
          <w:rFonts w:ascii="Times New Roman" w:hAnsi="Times New Roman"/>
          <w:sz w:val="24"/>
          <w:szCs w:val="24"/>
        </w:rPr>
        <w:t xml:space="preserve"> preserve service quality and </w:t>
      </w:r>
      <w:r>
        <w:rPr>
          <w:rFonts w:ascii="Times New Roman" w:hAnsi="Times New Roman"/>
          <w:sz w:val="24"/>
          <w:szCs w:val="24"/>
        </w:rPr>
        <w:t>environmental sustainability, businesses in the UK water industry must adhere to stringent regulations. Regulatory agencies including the Drinking Water Inspectorate, the Environment Agency, and the Water Services Regulation Authority (Ofwat) oversee water corporations like Severn Trent Water. These legal frameworks set performance goals for environmental preservation, water quality, and customer service (Ofwat, 2023). Water utilities must therefore prioritise responsibility, openness, and regulatory compli</w:t>
      </w:r>
      <w:r>
        <w:rPr>
          <w:rFonts w:ascii="Times New Roman" w:hAnsi="Times New Roman"/>
          <w:sz w:val="24"/>
          <w:szCs w:val="24"/>
        </w:rPr>
        <w:t>ance in their organisational culture.</w:t>
      </w:r>
    </w:p>
    <w:p w14:paraId="1692AF60" w14:textId="77777777" w:rsidR="00BC7C3F" w:rsidRDefault="00A6763E">
      <w:pPr>
        <w:rPr>
          <w:rFonts w:ascii="Times New Roman" w:hAnsi="Times New Roman"/>
          <w:sz w:val="24"/>
          <w:szCs w:val="24"/>
        </w:rPr>
      </w:pPr>
      <w:r>
        <w:rPr>
          <w:rFonts w:ascii="Times New Roman" w:hAnsi="Times New Roman"/>
          <w:sz w:val="24"/>
          <w:szCs w:val="24"/>
        </w:rPr>
        <w:lastRenderedPageBreak/>
        <w:t>Climate change is one of the biggest external environmental issues facing the water industry. Water resources and infrastructural systems are under stress due to rising temperatures, harsh weather, and shifting rainfall patterns (OECD, 2022). As a result, companies in the industry need to create plans that promote infrastructure resilience and long-term environmental sustainability. In response to these difficulties, Severn Trent Water has promoted a corporate culture that is focused on sustainable resource</w:t>
      </w:r>
      <w:r>
        <w:rPr>
          <w:rFonts w:ascii="Times New Roman" w:hAnsi="Times New Roman"/>
          <w:sz w:val="24"/>
          <w:szCs w:val="24"/>
        </w:rPr>
        <w:t xml:space="preserve"> management and environmental care. For instance, the organization has made significant investments in renewable energy projects, water conservation programs, and infrastructure upgrades intended to lessen their negative effects on the environment (Severn Trent, 2024).</w:t>
      </w:r>
    </w:p>
    <w:p w14:paraId="1692AF61" w14:textId="77777777" w:rsidR="00BC7C3F" w:rsidRDefault="00A6763E">
      <w:pPr>
        <w:rPr>
          <w:rFonts w:ascii="Times New Roman" w:hAnsi="Times New Roman"/>
          <w:sz w:val="24"/>
          <w:szCs w:val="24"/>
        </w:rPr>
      </w:pPr>
      <w:r>
        <w:rPr>
          <w:rFonts w:ascii="Times New Roman" w:hAnsi="Times New Roman"/>
          <w:sz w:val="24"/>
          <w:szCs w:val="24"/>
        </w:rPr>
        <w:t xml:space="preserve">The organization's sustainability-focused culture </w:t>
      </w:r>
      <w:proofErr w:type="gramStart"/>
      <w:r>
        <w:rPr>
          <w:rFonts w:ascii="Times New Roman" w:hAnsi="Times New Roman"/>
          <w:sz w:val="24"/>
          <w:szCs w:val="24"/>
        </w:rPr>
        <w:t>is a reflection of</w:t>
      </w:r>
      <w:proofErr w:type="gramEnd"/>
      <w:r>
        <w:rPr>
          <w:rFonts w:ascii="Times New Roman" w:hAnsi="Times New Roman"/>
          <w:sz w:val="24"/>
          <w:szCs w:val="24"/>
        </w:rPr>
        <w:t xml:space="preserve"> what Cameron and Quinn (2011) refer to as an adaptable organisational culture, in which proactive responses to external problems and innovation are encouraged by values and behaviours. The organization may include environmental factors into operational and strategic decision-making processes because to this cultural orientation. Severn Trent Water </w:t>
      </w:r>
      <w:proofErr w:type="gramStart"/>
      <w:r>
        <w:rPr>
          <w:rFonts w:ascii="Times New Roman" w:hAnsi="Times New Roman"/>
          <w:sz w:val="24"/>
          <w:szCs w:val="24"/>
        </w:rPr>
        <w:t>is able to</w:t>
      </w:r>
      <w:proofErr w:type="gramEnd"/>
      <w:r>
        <w:rPr>
          <w:rFonts w:ascii="Times New Roman" w:hAnsi="Times New Roman"/>
          <w:sz w:val="24"/>
          <w:szCs w:val="24"/>
        </w:rPr>
        <w:t xml:space="preserve"> match employee actions with more general corporate objectives of environmental responsibility by integrating sustainability values i</w:t>
      </w:r>
      <w:r>
        <w:rPr>
          <w:rFonts w:ascii="Times New Roman" w:hAnsi="Times New Roman"/>
          <w:sz w:val="24"/>
          <w:szCs w:val="24"/>
        </w:rPr>
        <w:t>nto the company culture.</w:t>
      </w:r>
    </w:p>
    <w:p w14:paraId="1692AF62" w14:textId="77777777" w:rsidR="00BC7C3F" w:rsidRDefault="00A6763E">
      <w:pPr>
        <w:rPr>
          <w:rFonts w:ascii="Times New Roman" w:hAnsi="Times New Roman"/>
          <w:sz w:val="24"/>
          <w:szCs w:val="24"/>
        </w:rPr>
      </w:pPr>
      <w:r>
        <w:rPr>
          <w:rFonts w:ascii="Times New Roman" w:hAnsi="Times New Roman"/>
          <w:sz w:val="24"/>
          <w:szCs w:val="24"/>
        </w:rPr>
        <w:t xml:space="preserve">Another significant external factor influencing water utility companies is technological progress. Digital technology advancements, such as data analytics, remote monitoring systems, and smart water infrastructure, have </w:t>
      </w:r>
      <w:proofErr w:type="gramStart"/>
      <w:r>
        <w:rPr>
          <w:rFonts w:ascii="Times New Roman" w:hAnsi="Times New Roman"/>
          <w:sz w:val="24"/>
          <w:szCs w:val="24"/>
        </w:rPr>
        <w:t>opened up</w:t>
      </w:r>
      <w:proofErr w:type="gramEnd"/>
      <w:r>
        <w:rPr>
          <w:rFonts w:ascii="Times New Roman" w:hAnsi="Times New Roman"/>
          <w:sz w:val="24"/>
          <w:szCs w:val="24"/>
        </w:rPr>
        <w:t xml:space="preserve"> new possibilities for enhancing resource management and operational effectiveness (PwC, 2023). Adoption of these technologies frequently necessitates organisational cultural support, especially when it comes to fostering staff innovation and ongoing learning.</w:t>
      </w:r>
    </w:p>
    <w:p w14:paraId="1692AF63" w14:textId="77777777" w:rsidR="00BC7C3F" w:rsidRDefault="00A6763E">
      <w:pPr>
        <w:rPr>
          <w:rFonts w:ascii="Times New Roman" w:hAnsi="Times New Roman"/>
          <w:sz w:val="24"/>
          <w:szCs w:val="24"/>
        </w:rPr>
      </w:pPr>
      <w:r>
        <w:rPr>
          <w:rFonts w:ascii="Times New Roman" w:hAnsi="Times New Roman"/>
          <w:sz w:val="24"/>
          <w:szCs w:val="24"/>
        </w:rPr>
        <w:t>Severn Trent Water has shown that it is prepared to incorporate technological innovation into its corporate culture. The business has put in place digital monitoring technologies that are intended to find water leaks and boost network effectiveness. By encouraging staff members to engage with creative ideas and take part in organisational change processes, such efforts show how organisational culture may assist the adoption of new technology.</w:t>
      </w:r>
    </w:p>
    <w:p w14:paraId="1692AF64" w14:textId="77777777" w:rsidR="00BC7C3F" w:rsidRDefault="00A6763E">
      <w:pPr>
        <w:rPr>
          <w:rFonts w:ascii="Times New Roman" w:hAnsi="Times New Roman"/>
          <w:sz w:val="24"/>
          <w:szCs w:val="24"/>
        </w:rPr>
      </w:pPr>
      <w:r>
        <w:rPr>
          <w:rFonts w:ascii="Times New Roman" w:hAnsi="Times New Roman"/>
          <w:sz w:val="24"/>
          <w:szCs w:val="24"/>
        </w:rPr>
        <w:t xml:space="preserve">Organisational culture is also greatly influenced by stakeholder expectations. It is becoming </w:t>
      </w:r>
      <w:proofErr w:type="gramStart"/>
      <w:r>
        <w:rPr>
          <w:rFonts w:ascii="Times New Roman" w:hAnsi="Times New Roman"/>
          <w:sz w:val="24"/>
          <w:szCs w:val="24"/>
        </w:rPr>
        <w:t>more and more</w:t>
      </w:r>
      <w:proofErr w:type="gramEnd"/>
      <w:r>
        <w:rPr>
          <w:rFonts w:ascii="Times New Roman" w:hAnsi="Times New Roman"/>
          <w:sz w:val="24"/>
          <w:szCs w:val="24"/>
        </w:rPr>
        <w:t xml:space="preserve"> expected of modern businesses to exhibit corporate social responsibility and build solid ties with consumers and communities. Since water utilities </w:t>
      </w:r>
      <w:proofErr w:type="gramStart"/>
      <w:r>
        <w:rPr>
          <w:rFonts w:ascii="Times New Roman" w:hAnsi="Times New Roman"/>
          <w:sz w:val="24"/>
          <w:szCs w:val="24"/>
        </w:rPr>
        <w:t>are in charge of</w:t>
      </w:r>
      <w:proofErr w:type="gramEnd"/>
      <w:r>
        <w:rPr>
          <w:rFonts w:ascii="Times New Roman" w:hAnsi="Times New Roman"/>
          <w:sz w:val="24"/>
          <w:szCs w:val="24"/>
        </w:rPr>
        <w:t xml:space="preserve"> providing vital services that have an impact on environmental sustainability and public health, public trust is especially crucial in this situation (CIPD, 2023).</w:t>
      </w:r>
    </w:p>
    <w:p w14:paraId="1692AF65" w14:textId="77777777" w:rsidR="00BC7C3F" w:rsidRDefault="00BC7C3F">
      <w:pPr>
        <w:rPr>
          <w:rFonts w:ascii="Times New Roman" w:hAnsi="Times New Roman"/>
          <w:sz w:val="32"/>
          <w:szCs w:val="32"/>
        </w:rPr>
      </w:pPr>
    </w:p>
    <w:p w14:paraId="1692AF66" w14:textId="77777777" w:rsidR="00BC7C3F" w:rsidRDefault="00BC7C3F">
      <w:pPr>
        <w:rPr>
          <w:rFonts w:ascii="Times New Roman" w:hAnsi="Times New Roman"/>
          <w:sz w:val="32"/>
          <w:szCs w:val="32"/>
        </w:rPr>
      </w:pPr>
    </w:p>
    <w:p w14:paraId="1692AF67" w14:textId="77777777" w:rsidR="00BC7C3F" w:rsidRDefault="00BC7C3F">
      <w:pPr>
        <w:rPr>
          <w:rFonts w:ascii="Times New Roman" w:hAnsi="Times New Roman"/>
          <w:sz w:val="32"/>
          <w:szCs w:val="32"/>
        </w:rPr>
      </w:pPr>
    </w:p>
    <w:p w14:paraId="1692AF68" w14:textId="77777777" w:rsidR="00BC7C3F" w:rsidRDefault="00BC7C3F">
      <w:pPr>
        <w:rPr>
          <w:rFonts w:ascii="Times New Roman" w:hAnsi="Times New Roman"/>
          <w:sz w:val="32"/>
          <w:szCs w:val="32"/>
        </w:rPr>
      </w:pPr>
    </w:p>
    <w:p w14:paraId="1692AF69" w14:textId="77777777" w:rsidR="00BC7C3F" w:rsidRDefault="00BC7C3F">
      <w:pPr>
        <w:rPr>
          <w:rFonts w:ascii="Times New Roman" w:hAnsi="Times New Roman"/>
          <w:sz w:val="32"/>
          <w:szCs w:val="32"/>
        </w:rPr>
      </w:pPr>
    </w:p>
    <w:p w14:paraId="1692AF6A" w14:textId="77777777" w:rsidR="00BC7C3F" w:rsidRDefault="00BC7C3F">
      <w:pPr>
        <w:rPr>
          <w:rFonts w:ascii="Times New Roman" w:hAnsi="Times New Roman"/>
          <w:sz w:val="32"/>
          <w:szCs w:val="32"/>
        </w:rPr>
      </w:pPr>
    </w:p>
    <w:p w14:paraId="1692AF6B" w14:textId="77777777" w:rsidR="00BC7C3F" w:rsidRDefault="00BC7C3F">
      <w:pPr>
        <w:rPr>
          <w:rFonts w:ascii="Times New Roman" w:hAnsi="Times New Roman"/>
          <w:sz w:val="32"/>
          <w:szCs w:val="32"/>
        </w:rPr>
      </w:pPr>
    </w:p>
    <w:p w14:paraId="1692AF6C" w14:textId="77777777" w:rsidR="00BC7C3F" w:rsidRDefault="00A6763E">
      <w:pPr>
        <w:rPr>
          <w:rFonts w:ascii="Times New Roman" w:hAnsi="Times New Roman"/>
          <w:b/>
          <w:bCs/>
          <w:sz w:val="32"/>
          <w:szCs w:val="32"/>
        </w:rPr>
      </w:pPr>
      <w:r>
        <w:rPr>
          <w:rFonts w:ascii="Times New Roman" w:hAnsi="Times New Roman"/>
          <w:b/>
          <w:bCs/>
          <w:sz w:val="32"/>
          <w:szCs w:val="32"/>
        </w:rPr>
        <w:lastRenderedPageBreak/>
        <w:t>5. Organisational Culture as a Barrier or Enabler</w:t>
      </w:r>
    </w:p>
    <w:p w14:paraId="1692AF6D" w14:textId="77777777" w:rsidR="00BC7C3F" w:rsidRDefault="00A6763E">
      <w:pPr>
        <w:rPr>
          <w:rFonts w:ascii="Times New Roman" w:hAnsi="Times New Roman"/>
          <w:sz w:val="24"/>
          <w:szCs w:val="24"/>
        </w:rPr>
      </w:pPr>
      <w:r>
        <w:rPr>
          <w:rFonts w:ascii="Times New Roman" w:hAnsi="Times New Roman"/>
          <w:sz w:val="24"/>
          <w:szCs w:val="24"/>
        </w:rPr>
        <w:t>Organisational effectiveness can be impacted by organisational culture in both positive and bad ways. Strong cultures can improve organisational cohesiveness and employee engagement, but they can also obstruct change when strongly ingrained norms and beliefs stifle creativity or different viewpoints (Schein, 2010). As a result, it's necessary to assess whether an organization's culture predominantly serves as a barrier to organisational growth or as an enabler of success.</w:t>
      </w:r>
    </w:p>
    <w:p w14:paraId="1692AF6E" w14:textId="77777777" w:rsidR="00BC7C3F" w:rsidRDefault="00A6763E">
      <w:pPr>
        <w:rPr>
          <w:rFonts w:ascii="Times New Roman" w:hAnsi="Times New Roman"/>
          <w:sz w:val="24"/>
          <w:szCs w:val="24"/>
        </w:rPr>
      </w:pPr>
      <w:r>
        <w:rPr>
          <w:rFonts w:ascii="Times New Roman" w:hAnsi="Times New Roman"/>
          <w:sz w:val="24"/>
          <w:szCs w:val="24"/>
        </w:rPr>
        <w:t>By giving workers a common sense of direction and purpose, culture serves as a facilitator in many businesses. By matching employee behaviours with corporate goals, a strong culture can promote coordination and enhance organisational performance (Denison, 1990). Cultural values at Severn Trent Water that prioritise customer service, teamwork, and environmental responsibility seem to boost organisational effectiveness. These principles motivate staff to concentrate on providing dependable services while upho</w:t>
      </w:r>
      <w:r>
        <w:rPr>
          <w:rFonts w:ascii="Times New Roman" w:hAnsi="Times New Roman"/>
          <w:sz w:val="24"/>
          <w:szCs w:val="24"/>
        </w:rPr>
        <w:t>lding environmental sustainability.</w:t>
      </w:r>
    </w:p>
    <w:p w14:paraId="1692AF6F" w14:textId="77777777" w:rsidR="00BC7C3F" w:rsidRDefault="00A6763E">
      <w:pPr>
        <w:rPr>
          <w:rFonts w:ascii="Times New Roman" w:hAnsi="Times New Roman"/>
          <w:sz w:val="24"/>
          <w:szCs w:val="24"/>
        </w:rPr>
      </w:pPr>
      <w:r>
        <w:rPr>
          <w:rFonts w:ascii="Times New Roman" w:hAnsi="Times New Roman"/>
          <w:sz w:val="24"/>
          <w:szCs w:val="24"/>
        </w:rPr>
        <w:t xml:space="preserve">One of the main areas where culture can be an enabling factor is employee engagement. According to research, companies with favourable workplace cultures typically have more motivated and satisfied workers (Harter, Schmidt, and Hayes, 2002). Severn Trent Water has made investments in initiatives and programs for staff development that encourage teamwork in the workplace. These programs boost employee engagement and foster an environment where workers feel appreciated and empowered to support organisational </w:t>
      </w:r>
      <w:r>
        <w:rPr>
          <w:rFonts w:ascii="Times New Roman" w:hAnsi="Times New Roman"/>
          <w:sz w:val="24"/>
          <w:szCs w:val="24"/>
        </w:rPr>
        <w:t>goals.</w:t>
      </w:r>
    </w:p>
    <w:p w14:paraId="1692AF70" w14:textId="77777777" w:rsidR="00BC7C3F" w:rsidRDefault="00A6763E">
      <w:pPr>
        <w:rPr>
          <w:rFonts w:ascii="Times New Roman" w:hAnsi="Times New Roman"/>
          <w:sz w:val="24"/>
          <w:szCs w:val="24"/>
        </w:rPr>
      </w:pPr>
      <w:r>
        <w:rPr>
          <w:rFonts w:ascii="Times New Roman" w:hAnsi="Times New Roman"/>
          <w:sz w:val="24"/>
          <w:szCs w:val="24"/>
        </w:rPr>
        <w:t>However, in some situations, organisational effectiveness may also be hampered by culture. For instance, highly structured organisational cultures may place a strong focus on hierarchical authority and procedural conformity, which can occasionally limit flexibility and impede decision-making (Mintzberg, 1980). Strict attention to protocols is required in regulated industries like water utilities to guarantee safety and regulatory compliance. However, overly bureaucratic procedures can often make it more dif</w:t>
      </w:r>
      <w:r>
        <w:rPr>
          <w:rFonts w:ascii="Times New Roman" w:hAnsi="Times New Roman"/>
          <w:sz w:val="24"/>
          <w:szCs w:val="24"/>
        </w:rPr>
        <w:t>ficult for the organization to react swiftly to new problems.</w:t>
      </w:r>
    </w:p>
    <w:p w14:paraId="1692AF71" w14:textId="77777777" w:rsidR="00BC7C3F" w:rsidRDefault="00A6763E">
      <w:pPr>
        <w:rPr>
          <w:rFonts w:ascii="Times New Roman" w:hAnsi="Times New Roman"/>
          <w:sz w:val="24"/>
          <w:szCs w:val="24"/>
        </w:rPr>
      </w:pPr>
      <w:r>
        <w:rPr>
          <w:rFonts w:ascii="Times New Roman" w:hAnsi="Times New Roman"/>
          <w:sz w:val="24"/>
          <w:szCs w:val="24"/>
        </w:rPr>
        <w:t>The discouragement of innovation by established organisational rules presents another possible barrier. Stability and consistency may take precedence over innovation and innovative problem-solving in organisations with strong role cultures (Handy, 1993). Although this strategy can enhance operational dependability, it might also restrict the possibility of creating novel answers to challenging environmental problems.</w:t>
      </w:r>
    </w:p>
    <w:p w14:paraId="1692AF72" w14:textId="77777777" w:rsidR="00BC7C3F" w:rsidRDefault="00BC7C3F">
      <w:pPr>
        <w:rPr>
          <w:rFonts w:ascii="Times New Roman" w:hAnsi="Times New Roman"/>
          <w:sz w:val="24"/>
          <w:szCs w:val="24"/>
        </w:rPr>
      </w:pPr>
    </w:p>
    <w:p w14:paraId="1692AF73" w14:textId="77777777" w:rsidR="00BC7C3F" w:rsidRDefault="00BC7C3F">
      <w:pPr>
        <w:rPr>
          <w:rFonts w:ascii="Times New Roman" w:hAnsi="Times New Roman"/>
          <w:sz w:val="24"/>
          <w:szCs w:val="24"/>
        </w:rPr>
      </w:pPr>
    </w:p>
    <w:p w14:paraId="1692AF74" w14:textId="77777777" w:rsidR="00BC7C3F" w:rsidRDefault="00BC7C3F">
      <w:pPr>
        <w:rPr>
          <w:rFonts w:ascii="Times New Roman" w:hAnsi="Times New Roman"/>
          <w:sz w:val="24"/>
          <w:szCs w:val="24"/>
        </w:rPr>
      </w:pPr>
    </w:p>
    <w:p w14:paraId="1692AF75" w14:textId="77777777" w:rsidR="00BC7C3F" w:rsidRDefault="00BC7C3F">
      <w:pPr>
        <w:rPr>
          <w:rFonts w:ascii="Times New Roman" w:hAnsi="Times New Roman"/>
          <w:sz w:val="24"/>
          <w:szCs w:val="24"/>
        </w:rPr>
      </w:pPr>
    </w:p>
    <w:p w14:paraId="1692AF76" w14:textId="77777777" w:rsidR="00BC7C3F" w:rsidRDefault="00BC7C3F">
      <w:pPr>
        <w:rPr>
          <w:rFonts w:ascii="Times New Roman" w:hAnsi="Times New Roman"/>
          <w:sz w:val="24"/>
          <w:szCs w:val="24"/>
        </w:rPr>
      </w:pPr>
    </w:p>
    <w:p w14:paraId="1692AF77" w14:textId="77777777" w:rsidR="00BC7C3F" w:rsidRDefault="00BC7C3F">
      <w:pPr>
        <w:rPr>
          <w:rFonts w:ascii="Times New Roman" w:hAnsi="Times New Roman"/>
          <w:sz w:val="24"/>
          <w:szCs w:val="24"/>
        </w:rPr>
      </w:pPr>
    </w:p>
    <w:p w14:paraId="1692AF78" w14:textId="77777777" w:rsidR="00BC7C3F" w:rsidRDefault="00BC7C3F">
      <w:pPr>
        <w:rPr>
          <w:rFonts w:ascii="Times New Roman" w:hAnsi="Times New Roman"/>
          <w:sz w:val="24"/>
          <w:szCs w:val="24"/>
        </w:rPr>
      </w:pPr>
    </w:p>
    <w:p w14:paraId="1692AF79" w14:textId="77777777" w:rsidR="00BC7C3F" w:rsidRDefault="00BC7C3F">
      <w:pPr>
        <w:rPr>
          <w:rFonts w:ascii="Times New Roman" w:hAnsi="Times New Roman"/>
          <w:sz w:val="24"/>
          <w:szCs w:val="24"/>
        </w:rPr>
      </w:pPr>
    </w:p>
    <w:p w14:paraId="1692AF7A" w14:textId="77777777" w:rsidR="00BC7C3F" w:rsidRDefault="00A6763E">
      <w:pPr>
        <w:rPr>
          <w:rFonts w:ascii="Times New Roman" w:hAnsi="Times New Roman"/>
          <w:sz w:val="24"/>
          <w:szCs w:val="24"/>
        </w:rPr>
      </w:pPr>
      <w:r>
        <w:rPr>
          <w:rFonts w:ascii="Times New Roman" w:hAnsi="Times New Roman"/>
          <w:sz w:val="24"/>
          <w:szCs w:val="24"/>
        </w:rPr>
        <w:lastRenderedPageBreak/>
        <w:t>The following examples show how corporate culture may be both a facilitator and a barrier.</w:t>
      </w:r>
    </w:p>
    <w:tbl>
      <w:tblPr>
        <w:tblW w:w="9026" w:type="dxa"/>
        <w:tblCellMar>
          <w:left w:w="10" w:type="dxa"/>
          <w:right w:w="10" w:type="dxa"/>
        </w:tblCellMar>
        <w:tblLook w:val="0000" w:firstRow="0" w:lastRow="0" w:firstColumn="0" w:lastColumn="0" w:noHBand="0" w:noVBand="0"/>
      </w:tblPr>
      <w:tblGrid>
        <w:gridCol w:w="2205"/>
        <w:gridCol w:w="3449"/>
        <w:gridCol w:w="3372"/>
      </w:tblGrid>
      <w:tr w:rsidR="00BC7C3F" w14:paraId="1692AF7E" w14:textId="77777777">
        <w:tblPrEx>
          <w:tblCellMar>
            <w:top w:w="0" w:type="dxa"/>
            <w:bottom w:w="0" w:type="dxa"/>
          </w:tblCellMar>
        </w:tblPrEx>
        <w:trPr>
          <w:tblHeader/>
        </w:trPr>
        <w:tc>
          <w:tcPr>
            <w:tcW w:w="2205" w:type="dxa"/>
            <w:shd w:val="clear" w:color="auto" w:fill="00B050"/>
            <w:tcMar>
              <w:top w:w="15" w:type="dxa"/>
              <w:left w:w="15" w:type="dxa"/>
              <w:bottom w:w="15" w:type="dxa"/>
              <w:right w:w="15" w:type="dxa"/>
            </w:tcMar>
            <w:vAlign w:val="center"/>
          </w:tcPr>
          <w:p w14:paraId="1692AF7B" w14:textId="77777777" w:rsidR="00BC7C3F" w:rsidRDefault="00A6763E">
            <w:pPr>
              <w:rPr>
                <w:rFonts w:ascii="Times New Roman" w:hAnsi="Times New Roman"/>
                <w:b/>
                <w:bCs/>
                <w:sz w:val="24"/>
                <w:szCs w:val="24"/>
              </w:rPr>
            </w:pPr>
            <w:r>
              <w:rPr>
                <w:rFonts w:ascii="Times New Roman" w:hAnsi="Times New Roman"/>
                <w:b/>
                <w:bCs/>
                <w:sz w:val="24"/>
                <w:szCs w:val="24"/>
              </w:rPr>
              <w:t>Cultural Characteristic</w:t>
            </w:r>
          </w:p>
        </w:tc>
        <w:tc>
          <w:tcPr>
            <w:tcW w:w="3449" w:type="dxa"/>
            <w:shd w:val="clear" w:color="auto" w:fill="00B0F0"/>
            <w:tcMar>
              <w:top w:w="15" w:type="dxa"/>
              <w:left w:w="15" w:type="dxa"/>
              <w:bottom w:w="15" w:type="dxa"/>
              <w:right w:w="15" w:type="dxa"/>
            </w:tcMar>
            <w:vAlign w:val="center"/>
          </w:tcPr>
          <w:p w14:paraId="1692AF7C" w14:textId="77777777" w:rsidR="00BC7C3F" w:rsidRDefault="00A6763E">
            <w:pPr>
              <w:rPr>
                <w:rFonts w:ascii="Times New Roman" w:hAnsi="Times New Roman"/>
                <w:b/>
                <w:bCs/>
                <w:sz w:val="24"/>
                <w:szCs w:val="24"/>
              </w:rPr>
            </w:pPr>
            <w:r>
              <w:rPr>
                <w:rFonts w:ascii="Times New Roman" w:hAnsi="Times New Roman"/>
                <w:b/>
                <w:bCs/>
                <w:sz w:val="24"/>
                <w:szCs w:val="24"/>
              </w:rPr>
              <w:t>Enabler for Organisation</w:t>
            </w:r>
          </w:p>
        </w:tc>
        <w:tc>
          <w:tcPr>
            <w:tcW w:w="3372" w:type="dxa"/>
            <w:shd w:val="clear" w:color="auto" w:fill="FFC000"/>
            <w:tcMar>
              <w:top w:w="15" w:type="dxa"/>
              <w:left w:w="15" w:type="dxa"/>
              <w:bottom w:w="15" w:type="dxa"/>
              <w:right w:w="15" w:type="dxa"/>
            </w:tcMar>
            <w:vAlign w:val="center"/>
          </w:tcPr>
          <w:p w14:paraId="1692AF7D" w14:textId="77777777" w:rsidR="00BC7C3F" w:rsidRDefault="00A6763E">
            <w:pPr>
              <w:rPr>
                <w:rFonts w:ascii="Times New Roman" w:hAnsi="Times New Roman"/>
                <w:b/>
                <w:bCs/>
                <w:sz w:val="24"/>
                <w:szCs w:val="24"/>
              </w:rPr>
            </w:pPr>
            <w:r>
              <w:rPr>
                <w:rFonts w:ascii="Times New Roman" w:hAnsi="Times New Roman"/>
                <w:b/>
                <w:bCs/>
                <w:sz w:val="24"/>
                <w:szCs w:val="24"/>
              </w:rPr>
              <w:t>Potential Barrier</w:t>
            </w:r>
          </w:p>
        </w:tc>
      </w:tr>
      <w:tr w:rsidR="00BC7C3F" w14:paraId="1692AF82" w14:textId="77777777">
        <w:tblPrEx>
          <w:tblCellMar>
            <w:top w:w="0" w:type="dxa"/>
            <w:bottom w:w="0" w:type="dxa"/>
          </w:tblCellMar>
        </w:tblPrEx>
        <w:tc>
          <w:tcPr>
            <w:tcW w:w="2205" w:type="dxa"/>
            <w:shd w:val="clear" w:color="auto" w:fill="00B050"/>
            <w:tcMar>
              <w:top w:w="15" w:type="dxa"/>
              <w:left w:w="15" w:type="dxa"/>
              <w:bottom w:w="15" w:type="dxa"/>
              <w:right w:w="15" w:type="dxa"/>
            </w:tcMar>
            <w:vAlign w:val="center"/>
          </w:tcPr>
          <w:p w14:paraId="1692AF7F" w14:textId="77777777" w:rsidR="00BC7C3F" w:rsidRDefault="00A6763E">
            <w:pPr>
              <w:rPr>
                <w:rFonts w:ascii="Times New Roman" w:hAnsi="Times New Roman"/>
                <w:sz w:val="24"/>
                <w:szCs w:val="24"/>
              </w:rPr>
            </w:pPr>
            <w:r>
              <w:rPr>
                <w:rFonts w:ascii="Times New Roman" w:hAnsi="Times New Roman"/>
                <w:sz w:val="24"/>
                <w:szCs w:val="24"/>
              </w:rPr>
              <w:t>Strong regulatory culture</w:t>
            </w:r>
          </w:p>
        </w:tc>
        <w:tc>
          <w:tcPr>
            <w:tcW w:w="3449" w:type="dxa"/>
            <w:shd w:val="clear" w:color="auto" w:fill="00B0F0"/>
            <w:tcMar>
              <w:top w:w="15" w:type="dxa"/>
              <w:left w:w="15" w:type="dxa"/>
              <w:bottom w:w="15" w:type="dxa"/>
              <w:right w:w="15" w:type="dxa"/>
            </w:tcMar>
            <w:vAlign w:val="center"/>
          </w:tcPr>
          <w:p w14:paraId="1692AF80" w14:textId="77777777" w:rsidR="00BC7C3F" w:rsidRDefault="00A6763E">
            <w:pPr>
              <w:rPr>
                <w:rFonts w:ascii="Times New Roman" w:hAnsi="Times New Roman"/>
                <w:sz w:val="24"/>
                <w:szCs w:val="24"/>
              </w:rPr>
            </w:pPr>
            <w:r>
              <w:rPr>
                <w:rFonts w:ascii="Times New Roman" w:hAnsi="Times New Roman"/>
                <w:sz w:val="24"/>
                <w:szCs w:val="24"/>
              </w:rPr>
              <w:t xml:space="preserve">Ensures safety, compliance and operational </w:t>
            </w:r>
            <w:r>
              <w:rPr>
                <w:rFonts w:ascii="Times New Roman" w:hAnsi="Times New Roman"/>
                <w:sz w:val="24"/>
                <w:szCs w:val="24"/>
              </w:rPr>
              <w:t>reliability</w:t>
            </w:r>
          </w:p>
        </w:tc>
        <w:tc>
          <w:tcPr>
            <w:tcW w:w="3372" w:type="dxa"/>
            <w:shd w:val="clear" w:color="auto" w:fill="FFC000"/>
            <w:tcMar>
              <w:top w:w="15" w:type="dxa"/>
              <w:left w:w="15" w:type="dxa"/>
              <w:bottom w:w="15" w:type="dxa"/>
              <w:right w:w="15" w:type="dxa"/>
            </w:tcMar>
            <w:vAlign w:val="center"/>
          </w:tcPr>
          <w:p w14:paraId="1692AF81" w14:textId="77777777" w:rsidR="00BC7C3F" w:rsidRDefault="00A6763E">
            <w:pPr>
              <w:rPr>
                <w:rFonts w:ascii="Times New Roman" w:hAnsi="Times New Roman"/>
                <w:sz w:val="24"/>
                <w:szCs w:val="24"/>
              </w:rPr>
            </w:pPr>
            <w:r>
              <w:rPr>
                <w:rFonts w:ascii="Times New Roman" w:hAnsi="Times New Roman"/>
                <w:sz w:val="24"/>
                <w:szCs w:val="24"/>
              </w:rPr>
              <w:t>May slow decision-making due to bureaucracy</w:t>
            </w:r>
          </w:p>
        </w:tc>
      </w:tr>
      <w:tr w:rsidR="00BC7C3F" w14:paraId="1692AF86" w14:textId="77777777">
        <w:tblPrEx>
          <w:tblCellMar>
            <w:top w:w="0" w:type="dxa"/>
            <w:bottom w:w="0" w:type="dxa"/>
          </w:tblCellMar>
        </w:tblPrEx>
        <w:tc>
          <w:tcPr>
            <w:tcW w:w="2205" w:type="dxa"/>
            <w:shd w:val="clear" w:color="auto" w:fill="00B050"/>
            <w:tcMar>
              <w:top w:w="15" w:type="dxa"/>
              <w:left w:w="15" w:type="dxa"/>
              <w:bottom w:w="15" w:type="dxa"/>
              <w:right w:w="15" w:type="dxa"/>
            </w:tcMar>
            <w:vAlign w:val="center"/>
          </w:tcPr>
          <w:p w14:paraId="1692AF83" w14:textId="77777777" w:rsidR="00BC7C3F" w:rsidRDefault="00A6763E">
            <w:pPr>
              <w:rPr>
                <w:rFonts w:ascii="Times New Roman" w:hAnsi="Times New Roman"/>
                <w:sz w:val="24"/>
                <w:szCs w:val="24"/>
              </w:rPr>
            </w:pPr>
            <w:r>
              <w:rPr>
                <w:rFonts w:ascii="Times New Roman" w:hAnsi="Times New Roman"/>
                <w:sz w:val="24"/>
                <w:szCs w:val="24"/>
              </w:rPr>
              <w:t>Clear role structure</w:t>
            </w:r>
          </w:p>
        </w:tc>
        <w:tc>
          <w:tcPr>
            <w:tcW w:w="3449" w:type="dxa"/>
            <w:shd w:val="clear" w:color="auto" w:fill="00B0F0"/>
            <w:tcMar>
              <w:top w:w="15" w:type="dxa"/>
              <w:left w:w="15" w:type="dxa"/>
              <w:bottom w:w="15" w:type="dxa"/>
              <w:right w:w="15" w:type="dxa"/>
            </w:tcMar>
            <w:vAlign w:val="center"/>
          </w:tcPr>
          <w:p w14:paraId="1692AF84" w14:textId="77777777" w:rsidR="00BC7C3F" w:rsidRDefault="00A6763E">
            <w:pPr>
              <w:rPr>
                <w:rFonts w:ascii="Times New Roman" w:hAnsi="Times New Roman"/>
                <w:sz w:val="24"/>
                <w:szCs w:val="24"/>
              </w:rPr>
            </w:pPr>
            <w:r>
              <w:rPr>
                <w:rFonts w:ascii="Times New Roman" w:hAnsi="Times New Roman"/>
                <w:sz w:val="24"/>
                <w:szCs w:val="24"/>
              </w:rPr>
              <w:t>Provides clarity of responsibilities and accountability</w:t>
            </w:r>
          </w:p>
        </w:tc>
        <w:tc>
          <w:tcPr>
            <w:tcW w:w="3372" w:type="dxa"/>
            <w:shd w:val="clear" w:color="auto" w:fill="FFC000"/>
            <w:tcMar>
              <w:top w:w="15" w:type="dxa"/>
              <w:left w:w="15" w:type="dxa"/>
              <w:bottom w:w="15" w:type="dxa"/>
              <w:right w:w="15" w:type="dxa"/>
            </w:tcMar>
            <w:vAlign w:val="center"/>
          </w:tcPr>
          <w:p w14:paraId="1692AF85" w14:textId="77777777" w:rsidR="00BC7C3F" w:rsidRDefault="00A6763E">
            <w:pPr>
              <w:rPr>
                <w:rFonts w:ascii="Times New Roman" w:hAnsi="Times New Roman"/>
                <w:sz w:val="24"/>
                <w:szCs w:val="24"/>
              </w:rPr>
            </w:pPr>
            <w:r>
              <w:rPr>
                <w:rFonts w:ascii="Times New Roman" w:hAnsi="Times New Roman"/>
                <w:sz w:val="24"/>
                <w:szCs w:val="24"/>
              </w:rPr>
              <w:t>Can reduce flexibility and innovation</w:t>
            </w:r>
          </w:p>
        </w:tc>
      </w:tr>
      <w:tr w:rsidR="00BC7C3F" w14:paraId="1692AF8A" w14:textId="77777777">
        <w:tblPrEx>
          <w:tblCellMar>
            <w:top w:w="0" w:type="dxa"/>
            <w:bottom w:w="0" w:type="dxa"/>
          </w:tblCellMar>
        </w:tblPrEx>
        <w:tc>
          <w:tcPr>
            <w:tcW w:w="2205" w:type="dxa"/>
            <w:shd w:val="clear" w:color="auto" w:fill="00B050"/>
            <w:tcMar>
              <w:top w:w="15" w:type="dxa"/>
              <w:left w:w="15" w:type="dxa"/>
              <w:bottom w:w="15" w:type="dxa"/>
              <w:right w:w="15" w:type="dxa"/>
            </w:tcMar>
            <w:vAlign w:val="center"/>
          </w:tcPr>
          <w:p w14:paraId="1692AF87" w14:textId="77777777" w:rsidR="00BC7C3F" w:rsidRDefault="00A6763E">
            <w:pPr>
              <w:rPr>
                <w:rFonts w:ascii="Times New Roman" w:hAnsi="Times New Roman"/>
                <w:sz w:val="24"/>
                <w:szCs w:val="24"/>
              </w:rPr>
            </w:pPr>
            <w:r>
              <w:rPr>
                <w:rFonts w:ascii="Times New Roman" w:hAnsi="Times New Roman"/>
                <w:sz w:val="24"/>
                <w:szCs w:val="24"/>
              </w:rPr>
              <w:t>Sustainability-focused values</w:t>
            </w:r>
          </w:p>
        </w:tc>
        <w:tc>
          <w:tcPr>
            <w:tcW w:w="3449" w:type="dxa"/>
            <w:shd w:val="clear" w:color="auto" w:fill="00B0F0"/>
            <w:tcMar>
              <w:top w:w="15" w:type="dxa"/>
              <w:left w:w="15" w:type="dxa"/>
              <w:bottom w:w="15" w:type="dxa"/>
              <w:right w:w="15" w:type="dxa"/>
            </w:tcMar>
            <w:vAlign w:val="center"/>
          </w:tcPr>
          <w:p w14:paraId="1692AF88" w14:textId="77777777" w:rsidR="00BC7C3F" w:rsidRDefault="00A6763E">
            <w:pPr>
              <w:rPr>
                <w:rFonts w:ascii="Times New Roman" w:hAnsi="Times New Roman"/>
                <w:sz w:val="24"/>
                <w:szCs w:val="24"/>
              </w:rPr>
            </w:pPr>
            <w:r>
              <w:rPr>
                <w:rFonts w:ascii="Times New Roman" w:hAnsi="Times New Roman"/>
                <w:sz w:val="24"/>
                <w:szCs w:val="24"/>
              </w:rPr>
              <w:t xml:space="preserve">Supports environmental leadership and </w:t>
            </w:r>
            <w:r>
              <w:rPr>
                <w:rFonts w:ascii="Times New Roman" w:hAnsi="Times New Roman"/>
                <w:sz w:val="24"/>
                <w:szCs w:val="24"/>
              </w:rPr>
              <w:t>stakeholder trust</w:t>
            </w:r>
          </w:p>
        </w:tc>
        <w:tc>
          <w:tcPr>
            <w:tcW w:w="3372" w:type="dxa"/>
            <w:shd w:val="clear" w:color="auto" w:fill="FFC000"/>
            <w:tcMar>
              <w:top w:w="15" w:type="dxa"/>
              <w:left w:w="15" w:type="dxa"/>
              <w:bottom w:w="15" w:type="dxa"/>
              <w:right w:w="15" w:type="dxa"/>
            </w:tcMar>
            <w:vAlign w:val="center"/>
          </w:tcPr>
          <w:p w14:paraId="1692AF89" w14:textId="77777777" w:rsidR="00BC7C3F" w:rsidRDefault="00A6763E">
            <w:pPr>
              <w:rPr>
                <w:rFonts w:ascii="Times New Roman" w:hAnsi="Times New Roman"/>
                <w:sz w:val="24"/>
                <w:szCs w:val="24"/>
              </w:rPr>
            </w:pPr>
            <w:r>
              <w:rPr>
                <w:rFonts w:ascii="Times New Roman" w:hAnsi="Times New Roman"/>
                <w:sz w:val="24"/>
                <w:szCs w:val="24"/>
              </w:rPr>
              <w:t>May increase operational costs in short term</w:t>
            </w:r>
          </w:p>
        </w:tc>
      </w:tr>
      <w:tr w:rsidR="00BC7C3F" w14:paraId="1692AF8E" w14:textId="77777777">
        <w:tblPrEx>
          <w:tblCellMar>
            <w:top w:w="0" w:type="dxa"/>
            <w:bottom w:w="0" w:type="dxa"/>
          </w:tblCellMar>
        </w:tblPrEx>
        <w:tc>
          <w:tcPr>
            <w:tcW w:w="2205" w:type="dxa"/>
            <w:shd w:val="clear" w:color="auto" w:fill="00B050"/>
            <w:tcMar>
              <w:top w:w="15" w:type="dxa"/>
              <w:left w:w="15" w:type="dxa"/>
              <w:bottom w:w="15" w:type="dxa"/>
              <w:right w:w="15" w:type="dxa"/>
            </w:tcMar>
            <w:vAlign w:val="center"/>
          </w:tcPr>
          <w:p w14:paraId="1692AF8B" w14:textId="77777777" w:rsidR="00BC7C3F" w:rsidRDefault="00A6763E">
            <w:pPr>
              <w:rPr>
                <w:rFonts w:ascii="Times New Roman" w:hAnsi="Times New Roman"/>
                <w:sz w:val="24"/>
                <w:szCs w:val="24"/>
              </w:rPr>
            </w:pPr>
            <w:r>
              <w:rPr>
                <w:rFonts w:ascii="Times New Roman" w:hAnsi="Times New Roman"/>
                <w:sz w:val="24"/>
                <w:szCs w:val="24"/>
              </w:rPr>
              <w:t>Team collaboration</w:t>
            </w:r>
          </w:p>
        </w:tc>
        <w:tc>
          <w:tcPr>
            <w:tcW w:w="3449" w:type="dxa"/>
            <w:shd w:val="clear" w:color="auto" w:fill="00B0F0"/>
            <w:tcMar>
              <w:top w:w="15" w:type="dxa"/>
              <w:left w:w="15" w:type="dxa"/>
              <w:bottom w:w="15" w:type="dxa"/>
              <w:right w:w="15" w:type="dxa"/>
            </w:tcMar>
            <w:vAlign w:val="center"/>
          </w:tcPr>
          <w:p w14:paraId="1692AF8C" w14:textId="77777777" w:rsidR="00BC7C3F" w:rsidRDefault="00A6763E">
            <w:pPr>
              <w:rPr>
                <w:rFonts w:ascii="Times New Roman" w:hAnsi="Times New Roman"/>
                <w:sz w:val="24"/>
                <w:szCs w:val="24"/>
              </w:rPr>
            </w:pPr>
            <w:r>
              <w:rPr>
                <w:rFonts w:ascii="Times New Roman" w:hAnsi="Times New Roman"/>
                <w:sz w:val="24"/>
                <w:szCs w:val="24"/>
              </w:rPr>
              <w:t>Improves knowledge sharing and problem-solving</w:t>
            </w:r>
          </w:p>
        </w:tc>
        <w:tc>
          <w:tcPr>
            <w:tcW w:w="3372" w:type="dxa"/>
            <w:shd w:val="clear" w:color="auto" w:fill="FFC000"/>
            <w:tcMar>
              <w:top w:w="15" w:type="dxa"/>
              <w:left w:w="15" w:type="dxa"/>
              <w:bottom w:w="15" w:type="dxa"/>
              <w:right w:w="15" w:type="dxa"/>
            </w:tcMar>
            <w:vAlign w:val="center"/>
          </w:tcPr>
          <w:p w14:paraId="1692AF8D" w14:textId="77777777" w:rsidR="00BC7C3F" w:rsidRDefault="00A6763E">
            <w:pPr>
              <w:rPr>
                <w:rFonts w:ascii="Times New Roman" w:hAnsi="Times New Roman"/>
                <w:sz w:val="24"/>
                <w:szCs w:val="24"/>
              </w:rPr>
            </w:pPr>
            <w:r>
              <w:rPr>
                <w:rFonts w:ascii="Times New Roman" w:hAnsi="Times New Roman"/>
                <w:sz w:val="24"/>
                <w:szCs w:val="24"/>
              </w:rPr>
              <w:t>Coordination across departments may require more time</w:t>
            </w:r>
          </w:p>
        </w:tc>
      </w:tr>
      <w:tr w:rsidR="00BC7C3F" w14:paraId="1692AF92" w14:textId="77777777">
        <w:tblPrEx>
          <w:tblCellMar>
            <w:top w:w="0" w:type="dxa"/>
            <w:bottom w:w="0" w:type="dxa"/>
          </w:tblCellMar>
        </w:tblPrEx>
        <w:tc>
          <w:tcPr>
            <w:tcW w:w="2205" w:type="dxa"/>
            <w:shd w:val="clear" w:color="auto" w:fill="00B050"/>
            <w:tcMar>
              <w:top w:w="15" w:type="dxa"/>
              <w:left w:w="15" w:type="dxa"/>
              <w:bottom w:w="15" w:type="dxa"/>
              <w:right w:w="15" w:type="dxa"/>
            </w:tcMar>
            <w:vAlign w:val="center"/>
          </w:tcPr>
          <w:p w14:paraId="1692AF8F" w14:textId="77777777" w:rsidR="00BC7C3F" w:rsidRDefault="00A6763E">
            <w:pPr>
              <w:rPr>
                <w:rFonts w:ascii="Times New Roman" w:hAnsi="Times New Roman"/>
                <w:sz w:val="24"/>
                <w:szCs w:val="24"/>
              </w:rPr>
            </w:pPr>
            <w:r>
              <w:rPr>
                <w:rFonts w:ascii="Times New Roman" w:hAnsi="Times New Roman"/>
                <w:sz w:val="24"/>
                <w:szCs w:val="24"/>
              </w:rPr>
              <w:t>Structured governance</w:t>
            </w:r>
          </w:p>
        </w:tc>
        <w:tc>
          <w:tcPr>
            <w:tcW w:w="3449" w:type="dxa"/>
            <w:shd w:val="clear" w:color="auto" w:fill="00B0F0"/>
            <w:tcMar>
              <w:top w:w="15" w:type="dxa"/>
              <w:left w:w="15" w:type="dxa"/>
              <w:bottom w:w="15" w:type="dxa"/>
              <w:right w:w="15" w:type="dxa"/>
            </w:tcMar>
            <w:vAlign w:val="center"/>
          </w:tcPr>
          <w:p w14:paraId="1692AF90" w14:textId="77777777" w:rsidR="00BC7C3F" w:rsidRDefault="00A6763E">
            <w:pPr>
              <w:rPr>
                <w:rFonts w:ascii="Times New Roman" w:hAnsi="Times New Roman"/>
                <w:sz w:val="24"/>
                <w:szCs w:val="24"/>
              </w:rPr>
            </w:pPr>
            <w:r>
              <w:rPr>
                <w:rFonts w:ascii="Times New Roman" w:hAnsi="Times New Roman"/>
                <w:sz w:val="24"/>
                <w:szCs w:val="24"/>
              </w:rPr>
              <w:t xml:space="preserve">Maintains organisational control and risk </w:t>
            </w:r>
            <w:r>
              <w:rPr>
                <w:rFonts w:ascii="Times New Roman" w:hAnsi="Times New Roman"/>
                <w:sz w:val="24"/>
                <w:szCs w:val="24"/>
              </w:rPr>
              <w:t>management</w:t>
            </w:r>
          </w:p>
        </w:tc>
        <w:tc>
          <w:tcPr>
            <w:tcW w:w="3372" w:type="dxa"/>
            <w:shd w:val="clear" w:color="auto" w:fill="FFC000"/>
            <w:tcMar>
              <w:top w:w="15" w:type="dxa"/>
              <w:left w:w="15" w:type="dxa"/>
              <w:bottom w:w="15" w:type="dxa"/>
              <w:right w:w="15" w:type="dxa"/>
            </w:tcMar>
            <w:vAlign w:val="center"/>
          </w:tcPr>
          <w:p w14:paraId="1692AF91" w14:textId="77777777" w:rsidR="00BC7C3F" w:rsidRDefault="00A6763E">
            <w:pPr>
              <w:rPr>
                <w:rFonts w:ascii="Times New Roman" w:hAnsi="Times New Roman"/>
                <w:sz w:val="24"/>
                <w:szCs w:val="24"/>
              </w:rPr>
            </w:pPr>
            <w:r>
              <w:rPr>
                <w:rFonts w:ascii="Times New Roman" w:hAnsi="Times New Roman"/>
                <w:sz w:val="24"/>
                <w:szCs w:val="24"/>
              </w:rPr>
              <w:t>Can limit rapid responses to emerging challenges</w:t>
            </w:r>
          </w:p>
        </w:tc>
      </w:tr>
    </w:tbl>
    <w:p w14:paraId="1692AF93" w14:textId="77777777" w:rsidR="00BC7C3F" w:rsidRDefault="00BC7C3F">
      <w:pPr>
        <w:rPr>
          <w:rFonts w:ascii="Times New Roman" w:hAnsi="Times New Roman"/>
          <w:sz w:val="24"/>
          <w:szCs w:val="24"/>
        </w:rPr>
      </w:pPr>
    </w:p>
    <w:p w14:paraId="1692AF94" w14:textId="77777777" w:rsidR="00BC7C3F" w:rsidRDefault="00A6763E">
      <w:pPr>
        <w:rPr>
          <w:rFonts w:ascii="Times New Roman" w:hAnsi="Times New Roman"/>
          <w:sz w:val="24"/>
          <w:szCs w:val="24"/>
        </w:rPr>
      </w:pPr>
      <w:r>
        <w:rPr>
          <w:rFonts w:ascii="Times New Roman" w:hAnsi="Times New Roman"/>
          <w:sz w:val="24"/>
          <w:szCs w:val="24"/>
        </w:rPr>
        <w:t xml:space="preserve">Structured governance structures and cooperative project teams seem to be used by Severn Trent Water to maintain a balance between innovation and procedural compliance. Initiatives for </w:t>
      </w:r>
      <w:r>
        <w:rPr>
          <w:rFonts w:ascii="Times New Roman" w:hAnsi="Times New Roman"/>
          <w:sz w:val="24"/>
          <w:szCs w:val="24"/>
        </w:rPr>
        <w:t>sustainability and infrastructure development frequently involve cross-functional teams that promote creativity and knowledge exchange. These team-based strategies assist in reducing possible obstacles brought on by hierarchical organisational systems.</w:t>
      </w:r>
    </w:p>
    <w:p w14:paraId="1692AF95" w14:textId="77777777" w:rsidR="00BC7C3F" w:rsidRDefault="00A6763E">
      <w:pPr>
        <w:rPr>
          <w:rFonts w:ascii="Times New Roman" w:hAnsi="Times New Roman"/>
          <w:sz w:val="24"/>
          <w:szCs w:val="24"/>
        </w:rPr>
      </w:pPr>
      <w:r>
        <w:rPr>
          <w:rFonts w:ascii="Times New Roman" w:hAnsi="Times New Roman"/>
          <w:sz w:val="24"/>
          <w:szCs w:val="24"/>
        </w:rPr>
        <w:t>Therefore, rather of acting as a barrier to organisational efficiency, Severn Trent Water's corporate culture predominantly serves as a facilitator. Although organised decision-making procedures are required by regulations, the organization has shown a dedication to fostering cooperation, sustainability, and creativity. These cultural traits promote organisational resilience and guarantee that the business can keep adjusting to new difficulties in the water industry.</w:t>
      </w:r>
    </w:p>
    <w:p w14:paraId="1692AF96" w14:textId="77777777" w:rsidR="00BC7C3F" w:rsidRDefault="00BC7C3F">
      <w:pPr>
        <w:rPr>
          <w:rFonts w:ascii="Times New Roman" w:hAnsi="Times New Roman"/>
          <w:sz w:val="24"/>
          <w:szCs w:val="24"/>
        </w:rPr>
      </w:pPr>
    </w:p>
    <w:p w14:paraId="1692AF97" w14:textId="77777777" w:rsidR="00BC7C3F" w:rsidRDefault="00A6763E">
      <w:pPr>
        <w:rPr>
          <w:rFonts w:ascii="Times New Roman" w:hAnsi="Times New Roman"/>
          <w:b/>
          <w:bCs/>
          <w:sz w:val="32"/>
          <w:szCs w:val="32"/>
        </w:rPr>
      </w:pPr>
      <w:r>
        <w:rPr>
          <w:rFonts w:ascii="Times New Roman" w:hAnsi="Times New Roman"/>
          <w:b/>
          <w:bCs/>
          <w:sz w:val="32"/>
          <w:szCs w:val="32"/>
        </w:rPr>
        <w:t>6. Impact of Organisational Culture on Organisational Performance</w:t>
      </w:r>
    </w:p>
    <w:p w14:paraId="1692AF98" w14:textId="77777777" w:rsidR="00BC7C3F" w:rsidRDefault="00A6763E">
      <w:pPr>
        <w:rPr>
          <w:rFonts w:ascii="Times New Roman" w:hAnsi="Times New Roman"/>
          <w:sz w:val="24"/>
          <w:szCs w:val="24"/>
        </w:rPr>
      </w:pPr>
      <w:r>
        <w:rPr>
          <w:rFonts w:ascii="Times New Roman" w:hAnsi="Times New Roman"/>
          <w:sz w:val="24"/>
          <w:szCs w:val="24"/>
        </w:rPr>
        <w:t>By influencing staff conduct, strategic priorities, and stakeholder relationships, organisational culture can have a substantial impact on an organization's overall effectiveness. Organisations with strong, cohesive cultures typically attain greater levels of performance and organisational effectiveness, as research has repeatedly shown (Kotter and Heskett, 1992).</w:t>
      </w:r>
    </w:p>
    <w:p w14:paraId="1692AF99" w14:textId="77777777" w:rsidR="00BC7C3F" w:rsidRDefault="00A6763E">
      <w:pPr>
        <w:rPr>
          <w:rFonts w:ascii="Times New Roman" w:hAnsi="Times New Roman"/>
          <w:sz w:val="24"/>
          <w:szCs w:val="24"/>
        </w:rPr>
      </w:pPr>
      <w:r>
        <w:rPr>
          <w:rFonts w:ascii="Times New Roman" w:hAnsi="Times New Roman"/>
          <w:sz w:val="24"/>
          <w:szCs w:val="24"/>
        </w:rPr>
        <w:t>Employee engagement and motivation are two of the main ways that organisational culture affects performance. Workers who share the organization's values are more likely to show dedication to its goals and make constructive contributions to its results (Robbins and Judge, 2023). Therefore, increased job satisfaction, less employee turnover, and increased productivity might result from a positive corporate culture.</w:t>
      </w:r>
    </w:p>
    <w:tbl>
      <w:tblPr>
        <w:tblW w:w="9026" w:type="dxa"/>
        <w:tblCellMar>
          <w:left w:w="10" w:type="dxa"/>
          <w:right w:w="10" w:type="dxa"/>
        </w:tblCellMar>
        <w:tblLook w:val="0000" w:firstRow="0" w:lastRow="0" w:firstColumn="0" w:lastColumn="0" w:noHBand="0" w:noVBand="0"/>
      </w:tblPr>
      <w:tblGrid>
        <w:gridCol w:w="1940"/>
        <w:gridCol w:w="3645"/>
        <w:gridCol w:w="3441"/>
      </w:tblGrid>
      <w:tr w:rsidR="00BC7C3F" w14:paraId="1692AF9D" w14:textId="77777777">
        <w:tblPrEx>
          <w:tblCellMar>
            <w:top w:w="0" w:type="dxa"/>
            <w:bottom w:w="0" w:type="dxa"/>
          </w:tblCellMar>
        </w:tblPrEx>
        <w:trPr>
          <w:tblHeader/>
        </w:trPr>
        <w:tc>
          <w:tcPr>
            <w:tcW w:w="1940" w:type="dxa"/>
            <w:shd w:val="clear" w:color="auto" w:fill="00B050"/>
            <w:tcMar>
              <w:top w:w="15" w:type="dxa"/>
              <w:left w:w="15" w:type="dxa"/>
              <w:bottom w:w="15" w:type="dxa"/>
              <w:right w:w="15" w:type="dxa"/>
            </w:tcMar>
            <w:vAlign w:val="center"/>
          </w:tcPr>
          <w:p w14:paraId="1692AF9A" w14:textId="77777777" w:rsidR="00BC7C3F" w:rsidRDefault="00A6763E">
            <w:pPr>
              <w:rPr>
                <w:rFonts w:ascii="Times New Roman" w:hAnsi="Times New Roman"/>
                <w:b/>
                <w:bCs/>
                <w:sz w:val="24"/>
                <w:szCs w:val="24"/>
              </w:rPr>
            </w:pPr>
            <w:r>
              <w:rPr>
                <w:rFonts w:ascii="Times New Roman" w:hAnsi="Times New Roman"/>
                <w:b/>
                <w:bCs/>
                <w:sz w:val="24"/>
                <w:szCs w:val="24"/>
              </w:rPr>
              <w:lastRenderedPageBreak/>
              <w:t>Performance Area</w:t>
            </w:r>
          </w:p>
        </w:tc>
        <w:tc>
          <w:tcPr>
            <w:tcW w:w="3645" w:type="dxa"/>
            <w:shd w:val="clear" w:color="auto" w:fill="00B0F0"/>
            <w:tcMar>
              <w:top w:w="15" w:type="dxa"/>
              <w:left w:w="15" w:type="dxa"/>
              <w:bottom w:w="15" w:type="dxa"/>
              <w:right w:w="15" w:type="dxa"/>
            </w:tcMar>
            <w:vAlign w:val="center"/>
          </w:tcPr>
          <w:p w14:paraId="1692AF9B" w14:textId="77777777" w:rsidR="00BC7C3F" w:rsidRDefault="00A6763E">
            <w:pPr>
              <w:rPr>
                <w:rFonts w:ascii="Times New Roman" w:hAnsi="Times New Roman"/>
                <w:b/>
                <w:bCs/>
                <w:sz w:val="24"/>
                <w:szCs w:val="24"/>
              </w:rPr>
            </w:pPr>
            <w:r>
              <w:rPr>
                <w:rFonts w:ascii="Times New Roman" w:hAnsi="Times New Roman"/>
                <w:b/>
                <w:bCs/>
                <w:sz w:val="24"/>
                <w:szCs w:val="24"/>
              </w:rPr>
              <w:t>Cultural Influence</w:t>
            </w:r>
          </w:p>
        </w:tc>
        <w:tc>
          <w:tcPr>
            <w:tcW w:w="3441" w:type="dxa"/>
            <w:shd w:val="clear" w:color="auto" w:fill="FFC000"/>
            <w:tcMar>
              <w:top w:w="15" w:type="dxa"/>
              <w:left w:w="15" w:type="dxa"/>
              <w:bottom w:w="15" w:type="dxa"/>
              <w:right w:w="15" w:type="dxa"/>
            </w:tcMar>
            <w:vAlign w:val="center"/>
          </w:tcPr>
          <w:p w14:paraId="1692AF9C" w14:textId="77777777" w:rsidR="00BC7C3F" w:rsidRDefault="00A6763E">
            <w:pPr>
              <w:rPr>
                <w:rFonts w:ascii="Times New Roman" w:hAnsi="Times New Roman"/>
                <w:b/>
                <w:bCs/>
                <w:sz w:val="24"/>
                <w:szCs w:val="24"/>
              </w:rPr>
            </w:pPr>
            <w:r>
              <w:rPr>
                <w:rFonts w:ascii="Times New Roman" w:hAnsi="Times New Roman"/>
                <w:b/>
                <w:bCs/>
                <w:sz w:val="24"/>
                <w:szCs w:val="24"/>
              </w:rPr>
              <w:t>Organisational Outcome</w:t>
            </w:r>
          </w:p>
        </w:tc>
      </w:tr>
      <w:tr w:rsidR="00BC7C3F" w14:paraId="1692AFA1" w14:textId="77777777">
        <w:tblPrEx>
          <w:tblCellMar>
            <w:top w:w="0" w:type="dxa"/>
            <w:bottom w:w="0" w:type="dxa"/>
          </w:tblCellMar>
        </w:tblPrEx>
        <w:tc>
          <w:tcPr>
            <w:tcW w:w="1940" w:type="dxa"/>
            <w:shd w:val="clear" w:color="auto" w:fill="00B050"/>
            <w:tcMar>
              <w:top w:w="15" w:type="dxa"/>
              <w:left w:w="15" w:type="dxa"/>
              <w:bottom w:w="15" w:type="dxa"/>
              <w:right w:w="15" w:type="dxa"/>
            </w:tcMar>
            <w:vAlign w:val="center"/>
          </w:tcPr>
          <w:p w14:paraId="1692AF9E" w14:textId="77777777" w:rsidR="00BC7C3F" w:rsidRDefault="00A6763E">
            <w:pPr>
              <w:rPr>
                <w:rFonts w:ascii="Times New Roman" w:hAnsi="Times New Roman"/>
                <w:sz w:val="24"/>
                <w:szCs w:val="24"/>
              </w:rPr>
            </w:pPr>
            <w:r>
              <w:rPr>
                <w:rFonts w:ascii="Times New Roman" w:hAnsi="Times New Roman"/>
                <w:sz w:val="24"/>
                <w:szCs w:val="24"/>
              </w:rPr>
              <w:t>Employee engagement</w:t>
            </w:r>
          </w:p>
        </w:tc>
        <w:tc>
          <w:tcPr>
            <w:tcW w:w="3645" w:type="dxa"/>
            <w:shd w:val="clear" w:color="auto" w:fill="00B0F0"/>
            <w:tcMar>
              <w:top w:w="15" w:type="dxa"/>
              <w:left w:w="15" w:type="dxa"/>
              <w:bottom w:w="15" w:type="dxa"/>
              <w:right w:w="15" w:type="dxa"/>
            </w:tcMar>
            <w:vAlign w:val="center"/>
          </w:tcPr>
          <w:p w14:paraId="1692AF9F" w14:textId="77777777" w:rsidR="00BC7C3F" w:rsidRDefault="00A6763E">
            <w:pPr>
              <w:rPr>
                <w:rFonts w:ascii="Times New Roman" w:hAnsi="Times New Roman"/>
                <w:sz w:val="24"/>
                <w:szCs w:val="24"/>
              </w:rPr>
            </w:pPr>
            <w:r>
              <w:rPr>
                <w:rFonts w:ascii="Times New Roman" w:hAnsi="Times New Roman"/>
                <w:sz w:val="24"/>
                <w:szCs w:val="24"/>
              </w:rPr>
              <w:t>Culture encourages collaboration and responsibility</w:t>
            </w:r>
          </w:p>
        </w:tc>
        <w:tc>
          <w:tcPr>
            <w:tcW w:w="3441" w:type="dxa"/>
            <w:shd w:val="clear" w:color="auto" w:fill="FFC000"/>
            <w:tcMar>
              <w:top w:w="15" w:type="dxa"/>
              <w:left w:w="15" w:type="dxa"/>
              <w:bottom w:w="15" w:type="dxa"/>
              <w:right w:w="15" w:type="dxa"/>
            </w:tcMar>
            <w:vAlign w:val="center"/>
          </w:tcPr>
          <w:p w14:paraId="1692AFA0" w14:textId="77777777" w:rsidR="00BC7C3F" w:rsidRDefault="00A6763E">
            <w:pPr>
              <w:rPr>
                <w:rFonts w:ascii="Times New Roman" w:hAnsi="Times New Roman"/>
                <w:sz w:val="24"/>
                <w:szCs w:val="24"/>
              </w:rPr>
            </w:pPr>
            <w:r>
              <w:rPr>
                <w:rFonts w:ascii="Times New Roman" w:hAnsi="Times New Roman"/>
                <w:sz w:val="24"/>
                <w:szCs w:val="24"/>
              </w:rPr>
              <w:t>Higher employee motivation and commitment</w:t>
            </w:r>
          </w:p>
        </w:tc>
      </w:tr>
      <w:tr w:rsidR="00BC7C3F" w14:paraId="1692AFA5" w14:textId="77777777">
        <w:tblPrEx>
          <w:tblCellMar>
            <w:top w:w="0" w:type="dxa"/>
            <w:bottom w:w="0" w:type="dxa"/>
          </w:tblCellMar>
        </w:tblPrEx>
        <w:tc>
          <w:tcPr>
            <w:tcW w:w="1940" w:type="dxa"/>
            <w:shd w:val="clear" w:color="auto" w:fill="00B050"/>
            <w:tcMar>
              <w:top w:w="15" w:type="dxa"/>
              <w:left w:w="15" w:type="dxa"/>
              <w:bottom w:w="15" w:type="dxa"/>
              <w:right w:w="15" w:type="dxa"/>
            </w:tcMar>
            <w:vAlign w:val="center"/>
          </w:tcPr>
          <w:p w14:paraId="1692AFA2" w14:textId="77777777" w:rsidR="00BC7C3F" w:rsidRDefault="00A6763E">
            <w:pPr>
              <w:rPr>
                <w:rFonts w:ascii="Times New Roman" w:hAnsi="Times New Roman"/>
                <w:sz w:val="24"/>
                <w:szCs w:val="24"/>
              </w:rPr>
            </w:pPr>
            <w:r>
              <w:rPr>
                <w:rFonts w:ascii="Times New Roman" w:hAnsi="Times New Roman"/>
                <w:sz w:val="24"/>
                <w:szCs w:val="24"/>
              </w:rPr>
              <w:t>Operational efficiency</w:t>
            </w:r>
          </w:p>
        </w:tc>
        <w:tc>
          <w:tcPr>
            <w:tcW w:w="3645" w:type="dxa"/>
            <w:shd w:val="clear" w:color="auto" w:fill="00B0F0"/>
            <w:tcMar>
              <w:top w:w="15" w:type="dxa"/>
              <w:left w:w="15" w:type="dxa"/>
              <w:bottom w:w="15" w:type="dxa"/>
              <w:right w:w="15" w:type="dxa"/>
            </w:tcMar>
            <w:vAlign w:val="center"/>
          </w:tcPr>
          <w:p w14:paraId="1692AFA3" w14:textId="77777777" w:rsidR="00BC7C3F" w:rsidRDefault="00A6763E">
            <w:pPr>
              <w:rPr>
                <w:rFonts w:ascii="Times New Roman" w:hAnsi="Times New Roman"/>
                <w:sz w:val="24"/>
                <w:szCs w:val="24"/>
              </w:rPr>
            </w:pPr>
            <w:r>
              <w:rPr>
                <w:rFonts w:ascii="Times New Roman" w:hAnsi="Times New Roman"/>
                <w:sz w:val="24"/>
                <w:szCs w:val="24"/>
              </w:rPr>
              <w:t xml:space="preserve">Culture </w:t>
            </w:r>
            <w:r>
              <w:rPr>
                <w:rFonts w:ascii="Times New Roman" w:hAnsi="Times New Roman"/>
                <w:sz w:val="24"/>
                <w:szCs w:val="24"/>
              </w:rPr>
              <w:t>promotes teamwork and knowledge sharing</w:t>
            </w:r>
          </w:p>
        </w:tc>
        <w:tc>
          <w:tcPr>
            <w:tcW w:w="3441" w:type="dxa"/>
            <w:shd w:val="clear" w:color="auto" w:fill="FFC000"/>
            <w:tcMar>
              <w:top w:w="15" w:type="dxa"/>
              <w:left w:w="15" w:type="dxa"/>
              <w:bottom w:w="15" w:type="dxa"/>
              <w:right w:w="15" w:type="dxa"/>
            </w:tcMar>
            <w:vAlign w:val="center"/>
          </w:tcPr>
          <w:p w14:paraId="1692AFA4" w14:textId="77777777" w:rsidR="00BC7C3F" w:rsidRDefault="00A6763E">
            <w:pPr>
              <w:rPr>
                <w:rFonts w:ascii="Times New Roman" w:hAnsi="Times New Roman"/>
                <w:sz w:val="24"/>
                <w:szCs w:val="24"/>
              </w:rPr>
            </w:pPr>
            <w:r>
              <w:rPr>
                <w:rFonts w:ascii="Times New Roman" w:hAnsi="Times New Roman"/>
                <w:sz w:val="24"/>
                <w:szCs w:val="24"/>
              </w:rPr>
              <w:t>Improved coordination across departments</w:t>
            </w:r>
          </w:p>
        </w:tc>
      </w:tr>
      <w:tr w:rsidR="00BC7C3F" w14:paraId="1692AFA9" w14:textId="77777777">
        <w:tblPrEx>
          <w:tblCellMar>
            <w:top w:w="0" w:type="dxa"/>
            <w:bottom w:w="0" w:type="dxa"/>
          </w:tblCellMar>
        </w:tblPrEx>
        <w:tc>
          <w:tcPr>
            <w:tcW w:w="1940" w:type="dxa"/>
            <w:shd w:val="clear" w:color="auto" w:fill="00B050"/>
            <w:tcMar>
              <w:top w:w="15" w:type="dxa"/>
              <w:left w:w="15" w:type="dxa"/>
              <w:bottom w:w="15" w:type="dxa"/>
              <w:right w:w="15" w:type="dxa"/>
            </w:tcMar>
            <w:vAlign w:val="center"/>
          </w:tcPr>
          <w:p w14:paraId="1692AFA6" w14:textId="77777777" w:rsidR="00BC7C3F" w:rsidRDefault="00A6763E">
            <w:pPr>
              <w:rPr>
                <w:rFonts w:ascii="Times New Roman" w:hAnsi="Times New Roman"/>
                <w:sz w:val="24"/>
                <w:szCs w:val="24"/>
              </w:rPr>
            </w:pPr>
            <w:r>
              <w:rPr>
                <w:rFonts w:ascii="Times New Roman" w:hAnsi="Times New Roman"/>
                <w:sz w:val="24"/>
                <w:szCs w:val="24"/>
              </w:rPr>
              <w:t>Corporate reputation</w:t>
            </w:r>
          </w:p>
        </w:tc>
        <w:tc>
          <w:tcPr>
            <w:tcW w:w="3645" w:type="dxa"/>
            <w:shd w:val="clear" w:color="auto" w:fill="00B0F0"/>
            <w:tcMar>
              <w:top w:w="15" w:type="dxa"/>
              <w:left w:w="15" w:type="dxa"/>
              <w:bottom w:w="15" w:type="dxa"/>
              <w:right w:w="15" w:type="dxa"/>
            </w:tcMar>
            <w:vAlign w:val="center"/>
          </w:tcPr>
          <w:p w14:paraId="1692AFA7" w14:textId="77777777" w:rsidR="00BC7C3F" w:rsidRDefault="00A6763E">
            <w:pPr>
              <w:rPr>
                <w:rFonts w:ascii="Times New Roman" w:hAnsi="Times New Roman"/>
                <w:sz w:val="24"/>
                <w:szCs w:val="24"/>
              </w:rPr>
            </w:pPr>
            <w:r>
              <w:rPr>
                <w:rFonts w:ascii="Times New Roman" w:hAnsi="Times New Roman"/>
                <w:sz w:val="24"/>
                <w:szCs w:val="24"/>
              </w:rPr>
              <w:t>Sustainability culture enhances stakeholder trust</w:t>
            </w:r>
          </w:p>
        </w:tc>
        <w:tc>
          <w:tcPr>
            <w:tcW w:w="3441" w:type="dxa"/>
            <w:shd w:val="clear" w:color="auto" w:fill="FFC000"/>
            <w:tcMar>
              <w:top w:w="15" w:type="dxa"/>
              <w:left w:w="15" w:type="dxa"/>
              <w:bottom w:w="15" w:type="dxa"/>
              <w:right w:w="15" w:type="dxa"/>
            </w:tcMar>
            <w:vAlign w:val="center"/>
          </w:tcPr>
          <w:p w14:paraId="1692AFA8" w14:textId="77777777" w:rsidR="00BC7C3F" w:rsidRDefault="00A6763E">
            <w:pPr>
              <w:rPr>
                <w:rFonts w:ascii="Times New Roman" w:hAnsi="Times New Roman"/>
                <w:sz w:val="24"/>
                <w:szCs w:val="24"/>
              </w:rPr>
            </w:pPr>
            <w:r>
              <w:rPr>
                <w:rFonts w:ascii="Times New Roman" w:hAnsi="Times New Roman"/>
                <w:sz w:val="24"/>
                <w:szCs w:val="24"/>
              </w:rPr>
              <w:t>Strong public and regulatory reputation</w:t>
            </w:r>
          </w:p>
        </w:tc>
      </w:tr>
      <w:tr w:rsidR="00BC7C3F" w14:paraId="1692AFAD" w14:textId="77777777">
        <w:tblPrEx>
          <w:tblCellMar>
            <w:top w:w="0" w:type="dxa"/>
            <w:bottom w:w="0" w:type="dxa"/>
          </w:tblCellMar>
        </w:tblPrEx>
        <w:tc>
          <w:tcPr>
            <w:tcW w:w="1940" w:type="dxa"/>
            <w:shd w:val="clear" w:color="auto" w:fill="00B050"/>
            <w:tcMar>
              <w:top w:w="15" w:type="dxa"/>
              <w:left w:w="15" w:type="dxa"/>
              <w:bottom w:w="15" w:type="dxa"/>
              <w:right w:w="15" w:type="dxa"/>
            </w:tcMar>
            <w:vAlign w:val="center"/>
          </w:tcPr>
          <w:p w14:paraId="1692AFAA" w14:textId="77777777" w:rsidR="00BC7C3F" w:rsidRDefault="00A6763E">
            <w:pPr>
              <w:rPr>
                <w:rFonts w:ascii="Times New Roman" w:hAnsi="Times New Roman"/>
                <w:sz w:val="24"/>
                <w:szCs w:val="24"/>
              </w:rPr>
            </w:pPr>
            <w:r>
              <w:rPr>
                <w:rFonts w:ascii="Times New Roman" w:hAnsi="Times New Roman"/>
                <w:sz w:val="24"/>
                <w:szCs w:val="24"/>
              </w:rPr>
              <w:t>Innovation</w:t>
            </w:r>
          </w:p>
        </w:tc>
        <w:tc>
          <w:tcPr>
            <w:tcW w:w="3645" w:type="dxa"/>
            <w:shd w:val="clear" w:color="auto" w:fill="00B0F0"/>
            <w:tcMar>
              <w:top w:w="15" w:type="dxa"/>
              <w:left w:w="15" w:type="dxa"/>
              <w:bottom w:w="15" w:type="dxa"/>
              <w:right w:w="15" w:type="dxa"/>
            </w:tcMar>
            <w:vAlign w:val="center"/>
          </w:tcPr>
          <w:p w14:paraId="1692AFAB" w14:textId="77777777" w:rsidR="00BC7C3F" w:rsidRDefault="00A6763E">
            <w:pPr>
              <w:rPr>
                <w:rFonts w:ascii="Times New Roman" w:hAnsi="Times New Roman"/>
                <w:sz w:val="24"/>
                <w:szCs w:val="24"/>
              </w:rPr>
            </w:pPr>
            <w:r>
              <w:rPr>
                <w:rFonts w:ascii="Times New Roman" w:hAnsi="Times New Roman"/>
                <w:sz w:val="24"/>
                <w:szCs w:val="24"/>
              </w:rPr>
              <w:t>Culture supports adoption of new technologies</w:t>
            </w:r>
          </w:p>
        </w:tc>
        <w:tc>
          <w:tcPr>
            <w:tcW w:w="3441" w:type="dxa"/>
            <w:shd w:val="clear" w:color="auto" w:fill="FFC000"/>
            <w:tcMar>
              <w:top w:w="15" w:type="dxa"/>
              <w:left w:w="15" w:type="dxa"/>
              <w:bottom w:w="15" w:type="dxa"/>
              <w:right w:w="15" w:type="dxa"/>
            </w:tcMar>
            <w:vAlign w:val="center"/>
          </w:tcPr>
          <w:p w14:paraId="1692AFAC" w14:textId="77777777" w:rsidR="00BC7C3F" w:rsidRDefault="00A6763E">
            <w:pPr>
              <w:rPr>
                <w:rFonts w:ascii="Times New Roman" w:hAnsi="Times New Roman"/>
                <w:sz w:val="24"/>
                <w:szCs w:val="24"/>
              </w:rPr>
            </w:pPr>
            <w:r>
              <w:rPr>
                <w:rFonts w:ascii="Times New Roman" w:hAnsi="Times New Roman"/>
                <w:sz w:val="24"/>
                <w:szCs w:val="24"/>
              </w:rPr>
              <w:t>Improved infrastructure and digital monitoring</w:t>
            </w:r>
          </w:p>
        </w:tc>
      </w:tr>
      <w:tr w:rsidR="00BC7C3F" w14:paraId="1692AFB1" w14:textId="77777777">
        <w:tblPrEx>
          <w:tblCellMar>
            <w:top w:w="0" w:type="dxa"/>
            <w:bottom w:w="0" w:type="dxa"/>
          </w:tblCellMar>
        </w:tblPrEx>
        <w:tc>
          <w:tcPr>
            <w:tcW w:w="1940" w:type="dxa"/>
            <w:shd w:val="clear" w:color="auto" w:fill="00B050"/>
            <w:tcMar>
              <w:top w:w="15" w:type="dxa"/>
              <w:left w:w="15" w:type="dxa"/>
              <w:bottom w:w="15" w:type="dxa"/>
              <w:right w:w="15" w:type="dxa"/>
            </w:tcMar>
            <w:vAlign w:val="center"/>
          </w:tcPr>
          <w:p w14:paraId="1692AFAE" w14:textId="77777777" w:rsidR="00BC7C3F" w:rsidRDefault="00A6763E">
            <w:pPr>
              <w:rPr>
                <w:rFonts w:ascii="Times New Roman" w:hAnsi="Times New Roman"/>
                <w:sz w:val="24"/>
                <w:szCs w:val="24"/>
              </w:rPr>
            </w:pPr>
            <w:r>
              <w:rPr>
                <w:rFonts w:ascii="Times New Roman" w:hAnsi="Times New Roman"/>
                <w:sz w:val="24"/>
                <w:szCs w:val="24"/>
              </w:rPr>
              <w:t>Customer satisfaction</w:t>
            </w:r>
          </w:p>
        </w:tc>
        <w:tc>
          <w:tcPr>
            <w:tcW w:w="3645" w:type="dxa"/>
            <w:shd w:val="clear" w:color="auto" w:fill="00B0F0"/>
            <w:tcMar>
              <w:top w:w="15" w:type="dxa"/>
              <w:left w:w="15" w:type="dxa"/>
              <w:bottom w:w="15" w:type="dxa"/>
              <w:right w:w="15" w:type="dxa"/>
            </w:tcMar>
            <w:vAlign w:val="center"/>
          </w:tcPr>
          <w:p w14:paraId="1692AFAF" w14:textId="77777777" w:rsidR="00BC7C3F" w:rsidRDefault="00A6763E">
            <w:pPr>
              <w:rPr>
                <w:rFonts w:ascii="Times New Roman" w:hAnsi="Times New Roman"/>
                <w:sz w:val="24"/>
                <w:szCs w:val="24"/>
              </w:rPr>
            </w:pPr>
            <w:r>
              <w:rPr>
                <w:rFonts w:ascii="Times New Roman" w:hAnsi="Times New Roman"/>
                <w:sz w:val="24"/>
                <w:szCs w:val="24"/>
              </w:rPr>
              <w:t>Customer-focused values guide service delivery</w:t>
            </w:r>
          </w:p>
        </w:tc>
        <w:tc>
          <w:tcPr>
            <w:tcW w:w="3441" w:type="dxa"/>
            <w:shd w:val="clear" w:color="auto" w:fill="FFC000"/>
            <w:tcMar>
              <w:top w:w="15" w:type="dxa"/>
              <w:left w:w="15" w:type="dxa"/>
              <w:bottom w:w="15" w:type="dxa"/>
              <w:right w:w="15" w:type="dxa"/>
            </w:tcMar>
            <w:vAlign w:val="center"/>
          </w:tcPr>
          <w:p w14:paraId="1692AFB0" w14:textId="77777777" w:rsidR="00BC7C3F" w:rsidRDefault="00A6763E">
            <w:pPr>
              <w:rPr>
                <w:rFonts w:ascii="Times New Roman" w:hAnsi="Times New Roman"/>
                <w:sz w:val="24"/>
                <w:szCs w:val="24"/>
              </w:rPr>
            </w:pPr>
            <w:r>
              <w:rPr>
                <w:rFonts w:ascii="Times New Roman" w:hAnsi="Times New Roman"/>
                <w:sz w:val="24"/>
                <w:szCs w:val="24"/>
              </w:rPr>
              <w:t>Higher service reliability and customer trust</w:t>
            </w:r>
          </w:p>
        </w:tc>
      </w:tr>
    </w:tbl>
    <w:p w14:paraId="1692AFB2" w14:textId="77777777" w:rsidR="00BC7C3F" w:rsidRDefault="00BC7C3F">
      <w:pPr>
        <w:rPr>
          <w:rFonts w:ascii="Times New Roman" w:hAnsi="Times New Roman"/>
          <w:sz w:val="24"/>
          <w:szCs w:val="24"/>
        </w:rPr>
      </w:pPr>
    </w:p>
    <w:p w14:paraId="1692AFB3" w14:textId="77777777" w:rsidR="00BC7C3F" w:rsidRDefault="00A6763E">
      <w:pPr>
        <w:rPr>
          <w:rFonts w:ascii="Times New Roman" w:hAnsi="Times New Roman"/>
          <w:sz w:val="24"/>
          <w:szCs w:val="24"/>
        </w:rPr>
      </w:pPr>
      <w:r>
        <w:rPr>
          <w:rFonts w:ascii="Times New Roman" w:hAnsi="Times New Roman"/>
          <w:sz w:val="24"/>
          <w:szCs w:val="24"/>
        </w:rPr>
        <w:t xml:space="preserve">Employee engagement and organisational dedication are enhanced by Severn Trent Water's </w:t>
      </w:r>
      <w:r>
        <w:rPr>
          <w:rFonts w:ascii="Times New Roman" w:hAnsi="Times New Roman"/>
          <w:sz w:val="24"/>
          <w:szCs w:val="24"/>
        </w:rPr>
        <w:t>cultural emphasis on sustainability, teamwork, and community duty. When their job helps preserve natural resources and benefit local communities, employees of companies that encourage environmental responsibility may feel more motivated and purposeful (WEF, 2023).</w:t>
      </w:r>
    </w:p>
    <w:p w14:paraId="1692AFB4" w14:textId="77777777" w:rsidR="00BC7C3F" w:rsidRDefault="00A6763E">
      <w:pPr>
        <w:rPr>
          <w:rFonts w:ascii="Times New Roman" w:hAnsi="Times New Roman"/>
          <w:sz w:val="24"/>
          <w:szCs w:val="24"/>
        </w:rPr>
      </w:pPr>
      <w:r>
        <w:rPr>
          <w:rFonts w:ascii="Times New Roman" w:hAnsi="Times New Roman"/>
          <w:sz w:val="24"/>
          <w:szCs w:val="24"/>
        </w:rPr>
        <w:t>By influencing how staff members approach problem-solving and decision-making procedures, organisational culture can also have an impact on operational performance. Organisations are better able to recognise and address operational issues when they have cultures that encourage cooperation and open communication. Effective departmental coordination is crucial for preserving service dependability and handling technical problems in infrastructure-intensive sectors like water utilities.</w:t>
      </w:r>
    </w:p>
    <w:p w14:paraId="1692AFB5" w14:textId="77777777" w:rsidR="00BC7C3F" w:rsidRDefault="00A6763E">
      <w:pPr>
        <w:rPr>
          <w:rFonts w:ascii="Times New Roman" w:hAnsi="Times New Roman"/>
          <w:sz w:val="24"/>
          <w:szCs w:val="24"/>
        </w:rPr>
      </w:pPr>
      <w:r>
        <w:rPr>
          <w:rFonts w:ascii="Times New Roman" w:hAnsi="Times New Roman"/>
          <w:sz w:val="24"/>
          <w:szCs w:val="24"/>
        </w:rPr>
        <w:t>Effective coordination between various operational departments is supported by Severn Trent Water's emphasis on cooperation and collaboration. To guarantee that water supply systems function effectively and securely, engineering teams, environmental specialists, and customer service divisions must collaborate. Therefore, operational efficiency can be increased by cultural norms that promote information exchange and cooperative decision-making.</w:t>
      </w:r>
    </w:p>
    <w:p w14:paraId="1692AFB6" w14:textId="77777777" w:rsidR="00BC7C3F" w:rsidRDefault="00A6763E">
      <w:pPr>
        <w:rPr>
          <w:rFonts w:ascii="Times New Roman" w:hAnsi="Times New Roman"/>
          <w:sz w:val="24"/>
          <w:szCs w:val="24"/>
        </w:rPr>
      </w:pPr>
      <w:r>
        <w:rPr>
          <w:rFonts w:ascii="Times New Roman" w:hAnsi="Times New Roman"/>
          <w:sz w:val="24"/>
          <w:szCs w:val="24"/>
        </w:rPr>
        <w:t xml:space="preserve">Another significant component of organisational performance that is </w:t>
      </w:r>
      <w:r>
        <w:rPr>
          <w:rFonts w:ascii="Times New Roman" w:hAnsi="Times New Roman"/>
          <w:sz w:val="24"/>
          <w:szCs w:val="24"/>
        </w:rPr>
        <w:t>impacted by organisational culture is corporate reputation. Customers, authorities, and stakeholders are more inclined to trust businesses that exhibit strong moral principles and social responsibilities (Grant, 2019). Public trust is especially crucial in the water industry since water businesses offer vital services that impact environmental sustainability and public health.</w:t>
      </w:r>
    </w:p>
    <w:p w14:paraId="1692AFB7" w14:textId="77777777" w:rsidR="00BC7C3F" w:rsidRDefault="00A6763E">
      <w:pPr>
        <w:rPr>
          <w:rFonts w:ascii="Times New Roman" w:hAnsi="Times New Roman"/>
          <w:sz w:val="24"/>
          <w:szCs w:val="24"/>
        </w:rPr>
      </w:pPr>
      <w:r>
        <w:rPr>
          <w:rFonts w:ascii="Times New Roman" w:hAnsi="Times New Roman"/>
          <w:sz w:val="24"/>
          <w:szCs w:val="24"/>
        </w:rPr>
        <w:t>The organization's reputation among stakeholders is enhanced by Severn Trent Water's dedication to sustainability and community involvement. The organization builds public trust and increases its legitimacy by funding environmental protection projects and interacting with local people.</w:t>
      </w:r>
    </w:p>
    <w:p w14:paraId="1692AFB8" w14:textId="77777777" w:rsidR="00BC7C3F" w:rsidRDefault="00A6763E">
      <w:pPr>
        <w:rPr>
          <w:rFonts w:ascii="Times New Roman" w:hAnsi="Times New Roman"/>
          <w:b/>
          <w:bCs/>
          <w:sz w:val="32"/>
          <w:szCs w:val="32"/>
        </w:rPr>
      </w:pPr>
      <w:r>
        <w:rPr>
          <w:rFonts w:ascii="Times New Roman" w:hAnsi="Times New Roman"/>
          <w:b/>
          <w:bCs/>
          <w:sz w:val="32"/>
          <w:szCs w:val="32"/>
        </w:rPr>
        <w:t>7. Recommendations</w:t>
      </w:r>
    </w:p>
    <w:p w14:paraId="1692AFB9" w14:textId="77777777" w:rsidR="00BC7C3F" w:rsidRDefault="00A6763E">
      <w:pPr>
        <w:rPr>
          <w:rFonts w:ascii="Times New Roman" w:hAnsi="Times New Roman"/>
          <w:sz w:val="24"/>
          <w:szCs w:val="24"/>
        </w:rPr>
      </w:pPr>
      <w:r>
        <w:rPr>
          <w:rFonts w:ascii="Times New Roman" w:hAnsi="Times New Roman"/>
          <w:sz w:val="24"/>
          <w:szCs w:val="24"/>
        </w:rPr>
        <w:lastRenderedPageBreak/>
        <w:t xml:space="preserve">Several suggestions can be made to improve Severn Trent Water's organisational culture </w:t>
      </w:r>
      <w:proofErr w:type="gramStart"/>
      <w:r>
        <w:rPr>
          <w:rFonts w:ascii="Times New Roman" w:hAnsi="Times New Roman"/>
          <w:sz w:val="24"/>
          <w:szCs w:val="24"/>
        </w:rPr>
        <w:t>in light of</w:t>
      </w:r>
      <w:proofErr w:type="gramEnd"/>
      <w:r>
        <w:rPr>
          <w:rFonts w:ascii="Times New Roman" w:hAnsi="Times New Roman"/>
          <w:sz w:val="24"/>
          <w:szCs w:val="24"/>
        </w:rPr>
        <w:t xml:space="preserve"> the study in this report.</w:t>
      </w:r>
    </w:p>
    <w:p w14:paraId="1692AFBA" w14:textId="77777777" w:rsidR="00BC7C3F" w:rsidRDefault="00A6763E">
      <w:pPr>
        <w:rPr>
          <w:rFonts w:ascii="Times New Roman" w:hAnsi="Times New Roman"/>
          <w:b/>
          <w:bCs/>
          <w:sz w:val="24"/>
          <w:szCs w:val="24"/>
        </w:rPr>
      </w:pPr>
      <w:r>
        <w:rPr>
          <w:rFonts w:ascii="Times New Roman" w:hAnsi="Times New Roman"/>
          <w:b/>
          <w:bCs/>
          <w:sz w:val="24"/>
          <w:szCs w:val="24"/>
        </w:rPr>
        <w:t>Cultural Recommendations for Improving Organisational Performance at Severn Trent Water</w:t>
      </w:r>
    </w:p>
    <w:p w14:paraId="1692AFBB" w14:textId="77777777" w:rsidR="00BC7C3F" w:rsidRDefault="00BC7C3F">
      <w:pPr>
        <w:rPr>
          <w:rFonts w:ascii="Times New Roman" w:hAnsi="Times New Roman"/>
          <w:sz w:val="24"/>
          <w:szCs w:val="24"/>
        </w:rPr>
      </w:pPr>
    </w:p>
    <w:p w14:paraId="1692AFBC" w14:textId="77777777" w:rsidR="00BC7C3F" w:rsidRDefault="00A6763E">
      <w:r>
        <w:rPr>
          <w:rFonts w:ascii="Times New Roman" w:hAnsi="Times New Roman"/>
          <w:noProof/>
          <w:sz w:val="24"/>
          <w:szCs w:val="24"/>
        </w:rPr>
        <w:drawing>
          <wp:inline distT="0" distB="0" distL="0" distR="0" wp14:anchorId="1692AEBD" wp14:editId="1692AEBE">
            <wp:extent cx="5731514" cy="4041776"/>
            <wp:effectExtent l="0" t="0" r="2536" b="0"/>
            <wp:docPr id="1104398410"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731514" cy="4041776"/>
                    </a:xfrm>
                    <a:prstGeom prst="rect">
                      <a:avLst/>
                    </a:prstGeom>
                    <a:noFill/>
                    <a:ln>
                      <a:noFill/>
                      <a:prstDash/>
                    </a:ln>
                  </pic:spPr>
                </pic:pic>
              </a:graphicData>
            </a:graphic>
          </wp:inline>
        </w:drawing>
      </w:r>
    </w:p>
    <w:p w14:paraId="1692AFBD" w14:textId="77777777" w:rsidR="00BC7C3F" w:rsidRDefault="00BC7C3F">
      <w:pPr>
        <w:rPr>
          <w:rFonts w:ascii="Times New Roman" w:hAnsi="Times New Roman"/>
          <w:sz w:val="24"/>
          <w:szCs w:val="24"/>
        </w:rPr>
      </w:pPr>
    </w:p>
    <w:p w14:paraId="1692AFBE" w14:textId="77777777" w:rsidR="00BC7C3F" w:rsidRDefault="00A6763E">
      <w:pPr>
        <w:rPr>
          <w:rFonts w:ascii="Times New Roman" w:hAnsi="Times New Roman"/>
          <w:sz w:val="24"/>
          <w:szCs w:val="24"/>
        </w:rPr>
      </w:pPr>
      <w:r>
        <w:rPr>
          <w:rFonts w:ascii="Times New Roman" w:hAnsi="Times New Roman"/>
          <w:sz w:val="24"/>
          <w:szCs w:val="24"/>
        </w:rPr>
        <w:t>First, the company should keep funding employee engagement initiatives that promote creativity and departmental cooperation. Encouraging staff to share their ideas can help organisations become more adaptable and support programs for continual improvement.</w:t>
      </w:r>
    </w:p>
    <w:p w14:paraId="1692AFBF" w14:textId="77777777" w:rsidR="00BC7C3F" w:rsidRDefault="00A6763E">
      <w:pPr>
        <w:rPr>
          <w:rFonts w:ascii="Times New Roman" w:hAnsi="Times New Roman"/>
          <w:sz w:val="24"/>
          <w:szCs w:val="24"/>
        </w:rPr>
      </w:pPr>
      <w:r>
        <w:rPr>
          <w:rFonts w:ascii="Times New Roman" w:hAnsi="Times New Roman"/>
          <w:sz w:val="24"/>
          <w:szCs w:val="24"/>
        </w:rPr>
        <w:t xml:space="preserve">Second, inclusive and transformative leadership styles ought to be highlighted in leadership development programs. </w:t>
      </w:r>
      <w:proofErr w:type="gramStart"/>
      <w:r>
        <w:rPr>
          <w:rFonts w:ascii="Times New Roman" w:hAnsi="Times New Roman"/>
          <w:sz w:val="24"/>
          <w:szCs w:val="24"/>
        </w:rPr>
        <w:t>In order to</w:t>
      </w:r>
      <w:proofErr w:type="gramEnd"/>
      <w:r>
        <w:rPr>
          <w:rFonts w:ascii="Times New Roman" w:hAnsi="Times New Roman"/>
          <w:sz w:val="24"/>
          <w:szCs w:val="24"/>
        </w:rPr>
        <w:t xml:space="preserve"> shape workplace culture and uphold organisational ideals, leaders are essential (Bass and Riggio, 2006).</w:t>
      </w:r>
    </w:p>
    <w:p w14:paraId="1692AFC0" w14:textId="77777777" w:rsidR="00BC7C3F" w:rsidRDefault="00A6763E">
      <w:pPr>
        <w:rPr>
          <w:rFonts w:ascii="Times New Roman" w:hAnsi="Times New Roman"/>
          <w:sz w:val="24"/>
          <w:szCs w:val="24"/>
        </w:rPr>
      </w:pPr>
      <w:r>
        <w:rPr>
          <w:rFonts w:ascii="Times New Roman" w:hAnsi="Times New Roman"/>
          <w:sz w:val="24"/>
          <w:szCs w:val="24"/>
        </w:rPr>
        <w:t>Third, Severn Trent Water ought to keep incorporating sustainability concepts into its organisational decision-making procedures. Enhancing the organization's environmental culture will enable it to effectively address the difficulties posed by climate change and comply with regulations.</w:t>
      </w:r>
    </w:p>
    <w:p w14:paraId="1692AFC1" w14:textId="77777777" w:rsidR="00BC7C3F" w:rsidRDefault="00A6763E">
      <w:pPr>
        <w:rPr>
          <w:rFonts w:ascii="Times New Roman" w:hAnsi="Times New Roman"/>
          <w:sz w:val="24"/>
          <w:szCs w:val="24"/>
        </w:rPr>
      </w:pPr>
      <w:r>
        <w:rPr>
          <w:rFonts w:ascii="Times New Roman" w:hAnsi="Times New Roman"/>
          <w:sz w:val="24"/>
          <w:szCs w:val="24"/>
        </w:rPr>
        <w:t>Lastly, the company should use learning programs and digital platforms to encourage knowledge exchange and cross-functional cooperation. Increased departmental communication can boost creativity and operational effectiveness.</w:t>
      </w:r>
    </w:p>
    <w:p w14:paraId="1692AFC2" w14:textId="77777777" w:rsidR="00BC7C3F" w:rsidRDefault="00BC7C3F">
      <w:pPr>
        <w:rPr>
          <w:rFonts w:ascii="Times New Roman" w:hAnsi="Times New Roman"/>
          <w:sz w:val="24"/>
          <w:szCs w:val="24"/>
        </w:rPr>
      </w:pPr>
    </w:p>
    <w:p w14:paraId="1692AFC3" w14:textId="77777777" w:rsidR="00BC7C3F" w:rsidRDefault="00A6763E">
      <w:pPr>
        <w:rPr>
          <w:rFonts w:ascii="Times New Roman" w:hAnsi="Times New Roman"/>
          <w:b/>
          <w:bCs/>
          <w:sz w:val="32"/>
          <w:szCs w:val="32"/>
        </w:rPr>
      </w:pPr>
      <w:r>
        <w:rPr>
          <w:rFonts w:ascii="Times New Roman" w:hAnsi="Times New Roman"/>
          <w:b/>
          <w:bCs/>
          <w:sz w:val="32"/>
          <w:szCs w:val="32"/>
        </w:rPr>
        <w:lastRenderedPageBreak/>
        <w:t>8. Conclusion</w:t>
      </w:r>
    </w:p>
    <w:p w14:paraId="1692AFC4" w14:textId="77777777" w:rsidR="00BC7C3F" w:rsidRDefault="00A6763E">
      <w:pPr>
        <w:rPr>
          <w:rFonts w:ascii="Times New Roman" w:hAnsi="Times New Roman"/>
          <w:sz w:val="24"/>
          <w:szCs w:val="24"/>
        </w:rPr>
      </w:pPr>
      <w:r>
        <w:rPr>
          <w:rFonts w:ascii="Times New Roman" w:hAnsi="Times New Roman"/>
          <w:sz w:val="24"/>
          <w:szCs w:val="24"/>
        </w:rPr>
        <w:t>Organisational culture has a significant impact on how businesses function, make choices, and react to outside obstacles. Mullins and Christy (2016) have noted that culture has an impact on important organisational functions such as employee behaviour, structure, and decision-making.</w:t>
      </w:r>
    </w:p>
    <w:p w14:paraId="1692AFC5" w14:textId="77777777" w:rsidR="00BC7C3F" w:rsidRDefault="00A6763E">
      <w:pPr>
        <w:rPr>
          <w:rFonts w:ascii="Times New Roman" w:hAnsi="Times New Roman"/>
          <w:sz w:val="24"/>
          <w:szCs w:val="24"/>
        </w:rPr>
      </w:pPr>
      <w:r>
        <w:rPr>
          <w:rFonts w:ascii="Times New Roman" w:hAnsi="Times New Roman"/>
          <w:sz w:val="24"/>
          <w:szCs w:val="24"/>
        </w:rPr>
        <w:t>The report's study shows that Severn Trent Water has an organisational culture that is primarily role-based and bolstered by aspects of task-oriented teamwork. The organization's structure and decision-making procedures are shaped by cultural principles that emphasise sustainability, accountability, and teamwork.</w:t>
      </w:r>
    </w:p>
    <w:p w14:paraId="1692AFC6" w14:textId="77777777" w:rsidR="00BC7C3F" w:rsidRDefault="00A6763E">
      <w:pPr>
        <w:rPr>
          <w:rFonts w:ascii="Times New Roman" w:hAnsi="Times New Roman"/>
          <w:sz w:val="24"/>
          <w:szCs w:val="24"/>
        </w:rPr>
      </w:pPr>
      <w:r>
        <w:rPr>
          <w:rFonts w:ascii="Times New Roman" w:hAnsi="Times New Roman"/>
          <w:sz w:val="24"/>
          <w:szCs w:val="24"/>
        </w:rPr>
        <w:t>Schein's model, Hofstede's cultural dimensions, and Handy's cultural kinds are examples of cultural frameworks that offer important insights into the organization's fundamental cultural traits. These principles show that Severn Trent Water preserves an organised but cooperative culture that encourages environmental responsibility and operational dependability.</w:t>
      </w:r>
    </w:p>
    <w:p w14:paraId="1692AFC7" w14:textId="77777777" w:rsidR="00BC7C3F" w:rsidRDefault="00A6763E">
      <w:pPr>
        <w:rPr>
          <w:rFonts w:ascii="Times New Roman" w:hAnsi="Times New Roman"/>
          <w:sz w:val="24"/>
          <w:szCs w:val="24"/>
        </w:rPr>
      </w:pPr>
      <w:r>
        <w:rPr>
          <w:rFonts w:ascii="Times New Roman" w:hAnsi="Times New Roman"/>
          <w:sz w:val="24"/>
          <w:szCs w:val="24"/>
        </w:rPr>
        <w:t>Effective organisational performance is largely facilitated by Severn Trent Water's organisational culture. Strong corporate reputation and regulatory compliance are facilitated by a cultural commitment to sustainability, employee involvement, and stakeholder responsibility.</w:t>
      </w:r>
    </w:p>
    <w:p w14:paraId="1692AFC8" w14:textId="77777777" w:rsidR="00BC7C3F" w:rsidRDefault="00A6763E">
      <w:pPr>
        <w:rPr>
          <w:rFonts w:ascii="Times New Roman" w:hAnsi="Times New Roman"/>
          <w:sz w:val="24"/>
          <w:szCs w:val="24"/>
        </w:rPr>
      </w:pPr>
      <w:r>
        <w:rPr>
          <w:rFonts w:ascii="Times New Roman" w:hAnsi="Times New Roman"/>
          <w:sz w:val="24"/>
          <w:szCs w:val="24"/>
        </w:rPr>
        <w:t>However, businesses in highly regulated industries need to be mindful of any cultural obstacles that could limit creativity or adaptability. Organisational culture will continue to support long-term organisational performance if leadership development, employee engagement, and sustainability efforts are consistently funded.</w:t>
      </w:r>
    </w:p>
    <w:p w14:paraId="1692AFC9" w14:textId="77777777" w:rsidR="00BC7C3F" w:rsidRDefault="00BC7C3F">
      <w:pPr>
        <w:rPr>
          <w:rFonts w:ascii="Times New Roman" w:hAnsi="Times New Roman"/>
          <w:sz w:val="24"/>
          <w:szCs w:val="24"/>
        </w:rPr>
      </w:pPr>
    </w:p>
    <w:p w14:paraId="1692AFCA" w14:textId="77777777" w:rsidR="00BC7C3F" w:rsidRDefault="00A6763E">
      <w:pPr>
        <w:rPr>
          <w:rFonts w:ascii="Times New Roman" w:hAnsi="Times New Roman"/>
          <w:b/>
          <w:bCs/>
          <w:sz w:val="32"/>
          <w:szCs w:val="32"/>
        </w:rPr>
      </w:pPr>
      <w:r>
        <w:rPr>
          <w:rFonts w:ascii="Times New Roman" w:hAnsi="Times New Roman"/>
          <w:b/>
          <w:bCs/>
          <w:sz w:val="32"/>
          <w:szCs w:val="32"/>
        </w:rPr>
        <w:t xml:space="preserve">Reference List </w:t>
      </w:r>
    </w:p>
    <w:p w14:paraId="1692AFCB" w14:textId="77777777" w:rsidR="00BC7C3F" w:rsidRDefault="00A6763E">
      <w:r>
        <w:t xml:space="preserve">Bass, B.M. and Riggio, R.E. (2006) </w:t>
      </w:r>
      <w:r>
        <w:rPr>
          <w:i/>
          <w:iCs/>
        </w:rPr>
        <w:t>Transformational leadership</w:t>
      </w:r>
      <w:r>
        <w:t xml:space="preserve">. 2nd </w:t>
      </w:r>
      <w:proofErr w:type="spellStart"/>
      <w:r>
        <w:t>edn</w:t>
      </w:r>
      <w:proofErr w:type="spellEnd"/>
      <w:r>
        <w:t>. New York: Psychology Press.</w:t>
      </w:r>
    </w:p>
    <w:p w14:paraId="1692AFCC" w14:textId="77777777" w:rsidR="00BC7C3F" w:rsidRDefault="00A6763E">
      <w:r>
        <w:t xml:space="preserve">Brown, A. (2019) </w:t>
      </w:r>
      <w:r>
        <w:rPr>
          <w:i/>
          <w:iCs/>
        </w:rPr>
        <w:t>Organisational culture</w:t>
      </w:r>
      <w:r>
        <w:t xml:space="preserve">. 2nd </w:t>
      </w:r>
      <w:proofErr w:type="spellStart"/>
      <w:r>
        <w:t>edn</w:t>
      </w:r>
      <w:proofErr w:type="spellEnd"/>
      <w:r>
        <w:t>. Harlow: Pearson Education.</w:t>
      </w:r>
    </w:p>
    <w:p w14:paraId="1692AFCD" w14:textId="77777777" w:rsidR="00BC7C3F" w:rsidRDefault="00A6763E">
      <w:r>
        <w:t xml:space="preserve">Cameron, K.S. and Quinn, R.E. (2011) </w:t>
      </w:r>
      <w:r>
        <w:rPr>
          <w:i/>
          <w:iCs/>
        </w:rPr>
        <w:t>Diagnosing and changing organizational culture: Based on the competing values framework</w:t>
      </w:r>
      <w:r>
        <w:t xml:space="preserve">. 3rd </w:t>
      </w:r>
      <w:proofErr w:type="spellStart"/>
      <w:r>
        <w:t>edn</w:t>
      </w:r>
      <w:proofErr w:type="spellEnd"/>
      <w:r>
        <w:t>. San Francisco: Jossey-Bass.</w:t>
      </w:r>
    </w:p>
    <w:p w14:paraId="1692AFCE" w14:textId="77777777" w:rsidR="00BC7C3F" w:rsidRDefault="00A6763E">
      <w:r>
        <w:t xml:space="preserve">CIPD (2023) </w:t>
      </w:r>
      <w:r>
        <w:rPr>
          <w:i/>
          <w:iCs/>
        </w:rPr>
        <w:t>Organisational culture and workplace behaviour factsheet</w:t>
      </w:r>
      <w:r>
        <w:t xml:space="preserve">. London: Chartered Institute of Personnel and Development. Available at: </w:t>
      </w:r>
      <w:hyperlink r:id="rId8" w:history="1">
        <w:r>
          <w:rPr>
            <w:rStyle w:val="Hyperlink"/>
          </w:rPr>
          <w:t>https://www.cipd.co.uk</w:t>
        </w:r>
      </w:hyperlink>
      <w:r>
        <w:t xml:space="preserve"> </w:t>
      </w:r>
    </w:p>
    <w:p w14:paraId="1692AFCF" w14:textId="77777777" w:rsidR="00BC7C3F" w:rsidRDefault="00A6763E">
      <w:r>
        <w:t xml:space="preserve">Daft, R.L. (2021) </w:t>
      </w:r>
      <w:r>
        <w:rPr>
          <w:i/>
          <w:iCs/>
        </w:rPr>
        <w:t>Organization theory and design</w:t>
      </w:r>
      <w:r>
        <w:t xml:space="preserve">. 13th </w:t>
      </w:r>
      <w:proofErr w:type="spellStart"/>
      <w:r>
        <w:t>edn</w:t>
      </w:r>
      <w:proofErr w:type="spellEnd"/>
      <w:r>
        <w:t>. Boston: Cengage Learning.</w:t>
      </w:r>
    </w:p>
    <w:p w14:paraId="1692AFD0" w14:textId="77777777" w:rsidR="00BC7C3F" w:rsidRDefault="00A6763E">
      <w:r>
        <w:t xml:space="preserve">Deal, T.E. and Kennedy, A.A. (2000) </w:t>
      </w:r>
      <w:r>
        <w:rPr>
          <w:i/>
          <w:iCs/>
        </w:rPr>
        <w:t>Corporate cultures: The rites and rituals of corporate life</w:t>
      </w:r>
      <w:r>
        <w:t xml:space="preserve">. Revised </w:t>
      </w:r>
      <w:proofErr w:type="spellStart"/>
      <w:r>
        <w:t>edn</w:t>
      </w:r>
      <w:proofErr w:type="spellEnd"/>
      <w:r>
        <w:t>. London: Penguin.</w:t>
      </w:r>
    </w:p>
    <w:p w14:paraId="1692AFD1" w14:textId="77777777" w:rsidR="00BC7C3F" w:rsidRDefault="00A6763E">
      <w:r>
        <w:t xml:space="preserve">Denison, D.R. (1990) </w:t>
      </w:r>
      <w:r>
        <w:rPr>
          <w:i/>
          <w:iCs/>
        </w:rPr>
        <w:t>Corporate culture and organizational effectiveness</w:t>
      </w:r>
      <w:r>
        <w:t>. New York: John Wiley &amp; Sons.</w:t>
      </w:r>
    </w:p>
    <w:p w14:paraId="1692AFD2" w14:textId="77777777" w:rsidR="00BC7C3F" w:rsidRDefault="00A6763E">
      <w:r>
        <w:t xml:space="preserve">Deloitte (2022) </w:t>
      </w:r>
      <w:r>
        <w:rPr>
          <w:i/>
          <w:iCs/>
        </w:rPr>
        <w:t>The culture advantage: How organisational culture drives performance</w:t>
      </w:r>
      <w:r>
        <w:t>. London: Deloitte Insights.</w:t>
      </w:r>
    </w:p>
    <w:p w14:paraId="1692AFD3" w14:textId="77777777" w:rsidR="00BC7C3F" w:rsidRDefault="00A6763E">
      <w:r>
        <w:t xml:space="preserve">Grant, R.M. (2019) </w:t>
      </w:r>
      <w:r>
        <w:rPr>
          <w:i/>
          <w:iCs/>
        </w:rPr>
        <w:t>Contemporary strategy analysis</w:t>
      </w:r>
      <w:r>
        <w:t xml:space="preserve">. 10th </w:t>
      </w:r>
      <w:proofErr w:type="spellStart"/>
      <w:r>
        <w:t>edn</w:t>
      </w:r>
      <w:proofErr w:type="spellEnd"/>
      <w:r>
        <w:t>. Oxford: Wiley.</w:t>
      </w:r>
    </w:p>
    <w:p w14:paraId="1692AFD4" w14:textId="77777777" w:rsidR="00BC7C3F" w:rsidRDefault="00A6763E">
      <w:r>
        <w:t xml:space="preserve">Handy, C. (1993) </w:t>
      </w:r>
      <w:r>
        <w:rPr>
          <w:i/>
          <w:iCs/>
        </w:rPr>
        <w:t>Understanding organizations</w:t>
      </w:r>
      <w:r>
        <w:t xml:space="preserve">. 4th </w:t>
      </w:r>
      <w:proofErr w:type="spellStart"/>
      <w:r>
        <w:t>edn</w:t>
      </w:r>
      <w:proofErr w:type="spellEnd"/>
      <w:r>
        <w:t>. London: Penguin.</w:t>
      </w:r>
    </w:p>
    <w:p w14:paraId="1692AFD5" w14:textId="77777777" w:rsidR="00BC7C3F" w:rsidRDefault="00A6763E">
      <w:r>
        <w:lastRenderedPageBreak/>
        <w:t xml:space="preserve">Harter, J.K., Schmidt, F.L. and Hayes, T.L. (2002) ‘Business-unit-level relationship between employee satisfaction, employee engagement and business outcomes’, </w:t>
      </w:r>
      <w:r>
        <w:rPr>
          <w:i/>
          <w:iCs/>
        </w:rPr>
        <w:t>Journal of Applied Psychology</w:t>
      </w:r>
      <w:r>
        <w:t>, 87(2), pp. 268–279.</w:t>
      </w:r>
    </w:p>
    <w:p w14:paraId="1692AFD6" w14:textId="77777777" w:rsidR="00BC7C3F" w:rsidRDefault="00A6763E">
      <w:r>
        <w:t xml:space="preserve">Hatch, M.J. (2018) </w:t>
      </w:r>
      <w:r>
        <w:rPr>
          <w:i/>
          <w:iCs/>
        </w:rPr>
        <w:t>Organization theory: Modern, symbolic and postmodern perspectives</w:t>
      </w:r>
      <w:r>
        <w:t xml:space="preserve">. 4th </w:t>
      </w:r>
      <w:proofErr w:type="spellStart"/>
      <w:r>
        <w:t>edn</w:t>
      </w:r>
      <w:proofErr w:type="spellEnd"/>
      <w:r>
        <w:t>. Oxford: Oxford University Press.</w:t>
      </w:r>
    </w:p>
    <w:p w14:paraId="1692AFD7" w14:textId="77777777" w:rsidR="00BC7C3F" w:rsidRDefault="00A6763E">
      <w:r>
        <w:t xml:space="preserve">Hill, C.W.L., Jones, G.R. and Schilling, M.A. (2020) </w:t>
      </w:r>
      <w:r>
        <w:rPr>
          <w:i/>
          <w:iCs/>
        </w:rPr>
        <w:t>Strategic management: Theory and cases</w:t>
      </w:r>
      <w:r>
        <w:t xml:space="preserve">. 13th </w:t>
      </w:r>
      <w:proofErr w:type="spellStart"/>
      <w:r>
        <w:t>edn</w:t>
      </w:r>
      <w:proofErr w:type="spellEnd"/>
      <w:r>
        <w:t>. Boston: Cengage Learning.</w:t>
      </w:r>
    </w:p>
    <w:p w14:paraId="1692AFD8" w14:textId="77777777" w:rsidR="00BC7C3F" w:rsidRDefault="00A6763E">
      <w:r>
        <w:t xml:space="preserve">Hofstede, G., Hofstede, G.J. and Minkov, M. (2010) </w:t>
      </w:r>
      <w:r>
        <w:rPr>
          <w:i/>
          <w:iCs/>
        </w:rPr>
        <w:t>Cultures and organizations: Software of the mind</w:t>
      </w:r>
      <w:r>
        <w:t xml:space="preserve">. 3rd </w:t>
      </w:r>
      <w:proofErr w:type="spellStart"/>
      <w:r>
        <w:t>edn</w:t>
      </w:r>
      <w:proofErr w:type="spellEnd"/>
      <w:r>
        <w:t>. New York: McGraw-Hill.</w:t>
      </w:r>
    </w:p>
    <w:p w14:paraId="1692AFD9" w14:textId="77777777" w:rsidR="00BC7C3F" w:rsidRDefault="00A6763E">
      <w:r>
        <w:t xml:space="preserve">Johnson, G., Scholes, K. and Whittington, R. (2020) </w:t>
      </w:r>
      <w:r>
        <w:rPr>
          <w:i/>
          <w:iCs/>
        </w:rPr>
        <w:t>Exploring corporate strategy</w:t>
      </w:r>
      <w:r>
        <w:t xml:space="preserve">. 12th </w:t>
      </w:r>
      <w:proofErr w:type="spellStart"/>
      <w:r>
        <w:t>edn</w:t>
      </w:r>
      <w:proofErr w:type="spellEnd"/>
      <w:r>
        <w:t>. Harlow: Pearson Education.</w:t>
      </w:r>
    </w:p>
    <w:p w14:paraId="1692AFDA" w14:textId="77777777" w:rsidR="00BC7C3F" w:rsidRDefault="00A6763E">
      <w:r>
        <w:t xml:space="preserve">Kotter, J.P. and Heskett, J.L. (1992) </w:t>
      </w:r>
      <w:r>
        <w:rPr>
          <w:i/>
          <w:iCs/>
        </w:rPr>
        <w:t>Corporate culture and performance</w:t>
      </w:r>
      <w:r>
        <w:t>. New York: Free Press.</w:t>
      </w:r>
    </w:p>
    <w:p w14:paraId="1692AFDB" w14:textId="77777777" w:rsidR="00BC7C3F" w:rsidRDefault="00A6763E">
      <w:r>
        <w:t xml:space="preserve">Martin, J. (2022) </w:t>
      </w:r>
      <w:r>
        <w:rPr>
          <w:i/>
          <w:iCs/>
        </w:rPr>
        <w:t>Organizational culture: Mapping the terrain</w:t>
      </w:r>
      <w:r>
        <w:t>. Thousand Oaks: Sage Publications.</w:t>
      </w:r>
    </w:p>
    <w:p w14:paraId="1692AFDC" w14:textId="77777777" w:rsidR="00BC7C3F" w:rsidRDefault="00A6763E">
      <w:r>
        <w:t xml:space="preserve">McKinsey &amp; Company (2021) </w:t>
      </w:r>
      <w:r>
        <w:rPr>
          <w:i/>
          <w:iCs/>
        </w:rPr>
        <w:t>Organizational culture and performance</w:t>
      </w:r>
      <w:r>
        <w:t>. New York: McKinsey Insights.</w:t>
      </w:r>
    </w:p>
    <w:p w14:paraId="1692AFDD" w14:textId="77777777" w:rsidR="00BC7C3F" w:rsidRDefault="00A6763E">
      <w:r>
        <w:t xml:space="preserve">Mintzberg, H. (1980) ‘Structure in 5s: A synthesis of the research on organization design’, </w:t>
      </w:r>
      <w:r>
        <w:rPr>
          <w:i/>
          <w:iCs/>
        </w:rPr>
        <w:t>Management Science</w:t>
      </w:r>
      <w:r>
        <w:t>, 26(3), pp. 322–341.</w:t>
      </w:r>
    </w:p>
    <w:p w14:paraId="1692AFDE" w14:textId="77777777" w:rsidR="00BC7C3F" w:rsidRDefault="00A6763E">
      <w:r>
        <w:t xml:space="preserve">Mullins, L.J. and Christy, G. (2016) </w:t>
      </w:r>
      <w:r>
        <w:rPr>
          <w:i/>
          <w:iCs/>
        </w:rPr>
        <w:t>Management and organisational behaviour</w:t>
      </w:r>
      <w:r>
        <w:t xml:space="preserve">. 11th </w:t>
      </w:r>
      <w:proofErr w:type="spellStart"/>
      <w:r>
        <w:t>edn</w:t>
      </w:r>
      <w:proofErr w:type="spellEnd"/>
      <w:r>
        <w:t>. Harlow: Pearson Education Limited.</w:t>
      </w:r>
    </w:p>
    <w:p w14:paraId="1692AFDF" w14:textId="77777777" w:rsidR="00BC7C3F" w:rsidRDefault="00A6763E">
      <w:r>
        <w:t xml:space="preserve">OECD (2022) </w:t>
      </w:r>
      <w:r>
        <w:rPr>
          <w:i/>
          <w:iCs/>
        </w:rPr>
        <w:t>Corporate governance and organisational culture</w:t>
      </w:r>
      <w:r>
        <w:t>. Paris: Organisation for Economic Co-operation and Development.</w:t>
      </w:r>
    </w:p>
    <w:p w14:paraId="1692AFE0" w14:textId="77777777" w:rsidR="00BC7C3F" w:rsidRDefault="00A6763E">
      <w:r>
        <w:t xml:space="preserve">Ofwat (2023) </w:t>
      </w:r>
      <w:r>
        <w:rPr>
          <w:i/>
          <w:iCs/>
        </w:rPr>
        <w:t>Water sector regulatory report</w:t>
      </w:r>
      <w:r>
        <w:t>. Birmingham: Water Services Regulation Authority.</w:t>
      </w:r>
    </w:p>
    <w:p w14:paraId="1692AFE1" w14:textId="77777777" w:rsidR="00BC7C3F" w:rsidRDefault="00A6763E">
      <w:r>
        <w:t xml:space="preserve">Porter, M.E. (2008) </w:t>
      </w:r>
      <w:r>
        <w:rPr>
          <w:i/>
          <w:iCs/>
        </w:rPr>
        <w:t>Competitive strategy: Techniques for analysing industries and competitors</w:t>
      </w:r>
      <w:r>
        <w:t>. New York: Free Press.</w:t>
      </w:r>
    </w:p>
    <w:p w14:paraId="1692AFE2" w14:textId="77777777" w:rsidR="00BC7C3F" w:rsidRDefault="00A6763E">
      <w:r>
        <w:t xml:space="preserve">PwC (2023) </w:t>
      </w:r>
      <w:r>
        <w:rPr>
          <w:i/>
          <w:iCs/>
        </w:rPr>
        <w:t>ESG and corporate culture: Building sustainable organisations</w:t>
      </w:r>
      <w:r>
        <w:t>. London: PricewaterhouseCoopers.</w:t>
      </w:r>
    </w:p>
    <w:p w14:paraId="1692AFE3" w14:textId="77777777" w:rsidR="00BC7C3F" w:rsidRDefault="00A6763E">
      <w:r>
        <w:t xml:space="preserve">Robbins, S.P. and Judge, T.A. (2023) </w:t>
      </w:r>
      <w:r>
        <w:rPr>
          <w:i/>
          <w:iCs/>
        </w:rPr>
        <w:t>Organisational behaviour</w:t>
      </w:r>
      <w:r>
        <w:t xml:space="preserve">. 19th </w:t>
      </w:r>
      <w:proofErr w:type="spellStart"/>
      <w:r>
        <w:t>edn</w:t>
      </w:r>
      <w:proofErr w:type="spellEnd"/>
      <w:r>
        <w:t>. Harlow: Pearson Education.</w:t>
      </w:r>
    </w:p>
    <w:p w14:paraId="1692AFE4" w14:textId="77777777" w:rsidR="00BC7C3F" w:rsidRDefault="00A6763E">
      <w:r>
        <w:t xml:space="preserve">Schein, E.H. (2010) </w:t>
      </w:r>
      <w:r>
        <w:rPr>
          <w:i/>
          <w:iCs/>
        </w:rPr>
        <w:t>Organizational culture and leadership</w:t>
      </w:r>
      <w:r>
        <w:t xml:space="preserve">. 4th </w:t>
      </w:r>
      <w:proofErr w:type="spellStart"/>
      <w:r>
        <w:t>edn</w:t>
      </w:r>
      <w:proofErr w:type="spellEnd"/>
      <w:r>
        <w:t>. San Francisco: Jossey-Bass.</w:t>
      </w:r>
    </w:p>
    <w:p w14:paraId="1692AFE5" w14:textId="77777777" w:rsidR="00BC7C3F" w:rsidRDefault="00A6763E">
      <w:r>
        <w:t xml:space="preserve">Schneider, B., Ehrhart, M.G. and Macey, W.H. (2017) ‘Organizational climate and culture’, </w:t>
      </w:r>
      <w:r>
        <w:rPr>
          <w:i/>
          <w:iCs/>
        </w:rPr>
        <w:t>Annual Review of Psychology</w:t>
      </w:r>
      <w:r>
        <w:t>, 68, pp. 361–388.</w:t>
      </w:r>
    </w:p>
    <w:p w14:paraId="1692AFE6" w14:textId="77777777" w:rsidR="00BC7C3F" w:rsidRDefault="00A6763E">
      <w:r>
        <w:t xml:space="preserve">Severn Trent (2024) </w:t>
      </w:r>
      <w:r>
        <w:rPr>
          <w:i/>
          <w:iCs/>
        </w:rPr>
        <w:t>Annual report and accounts 2024</w:t>
      </w:r>
      <w:r>
        <w:t xml:space="preserve">. Coventry: Severn Trent PLC. Available at: </w:t>
      </w:r>
      <w:hyperlink r:id="rId9" w:history="1">
        <w:r>
          <w:rPr>
            <w:rStyle w:val="Hyperlink"/>
          </w:rPr>
          <w:t>https://www.severntrent.com</w:t>
        </w:r>
      </w:hyperlink>
      <w:r>
        <w:t xml:space="preserve"> </w:t>
      </w:r>
    </w:p>
    <w:p w14:paraId="1692AFE7" w14:textId="77777777" w:rsidR="00BC7C3F" w:rsidRDefault="00A6763E">
      <w:r>
        <w:t xml:space="preserve">Smith, A. (2021) ‘Corporate culture in utility companies’, </w:t>
      </w:r>
      <w:r>
        <w:rPr>
          <w:i/>
          <w:iCs/>
        </w:rPr>
        <w:t>Business Strategy Review</w:t>
      </w:r>
      <w:r>
        <w:t>, 32(2), pp. 44–52.</w:t>
      </w:r>
    </w:p>
    <w:p w14:paraId="1692AFE8" w14:textId="77777777" w:rsidR="00BC7C3F" w:rsidRDefault="00A6763E">
      <w:r>
        <w:t xml:space="preserve">World Economic Forum (2023) </w:t>
      </w:r>
      <w:r>
        <w:rPr>
          <w:i/>
          <w:iCs/>
        </w:rPr>
        <w:t>Corporate sustainability and organisational culture</w:t>
      </w:r>
      <w:r>
        <w:t>. Geneva: World Economic Forum.</w:t>
      </w:r>
    </w:p>
    <w:sectPr w:rsidR="00BC7C3F">
      <w:footerReference w:type="default" r:id="rId10"/>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47CB1F" w14:textId="77777777" w:rsidR="00A6763E" w:rsidRDefault="00A6763E">
      <w:pPr>
        <w:spacing w:after="0" w:line="240" w:lineRule="auto"/>
      </w:pPr>
      <w:r>
        <w:separator/>
      </w:r>
    </w:p>
  </w:endnote>
  <w:endnote w:type="continuationSeparator" w:id="0">
    <w:p w14:paraId="722FB55B" w14:textId="77777777" w:rsidR="00A6763E" w:rsidRDefault="00A676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92AEC7" w14:textId="77777777" w:rsidR="00A6763E" w:rsidRDefault="00A6763E">
    <w:pPr>
      <w:pStyle w:val="Footer"/>
      <w:pBdr>
        <w:top w:val="single" w:sz="4" w:space="1" w:color="D9D9D9"/>
      </w:pBdr>
      <w:jc w:val="right"/>
    </w:pPr>
    <w:r>
      <w:fldChar w:fldCharType="begin"/>
    </w:r>
    <w:r>
      <w:instrText xml:space="preserve"> PAGE </w:instrText>
    </w:r>
    <w:r>
      <w:fldChar w:fldCharType="separate"/>
    </w:r>
    <w:r>
      <w:t>2</w:t>
    </w:r>
    <w:r>
      <w:fldChar w:fldCharType="end"/>
    </w:r>
    <w:r>
      <w:t xml:space="preserve"> | </w:t>
    </w:r>
    <w:r>
      <w:rPr>
        <w:color w:val="7F7F7F"/>
        <w:spacing w:val="60"/>
      </w:rPr>
      <w:t>Page</w:t>
    </w:r>
  </w:p>
  <w:p w14:paraId="1692AEC8" w14:textId="77777777" w:rsidR="00A6763E" w:rsidRDefault="00A676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391305" w14:textId="77777777" w:rsidR="00A6763E" w:rsidRDefault="00A6763E">
      <w:pPr>
        <w:spacing w:after="0" w:line="240" w:lineRule="auto"/>
      </w:pPr>
      <w:r>
        <w:rPr>
          <w:color w:val="000000"/>
        </w:rPr>
        <w:separator/>
      </w:r>
    </w:p>
  </w:footnote>
  <w:footnote w:type="continuationSeparator" w:id="0">
    <w:p w14:paraId="2EDC4E14" w14:textId="77777777" w:rsidR="00A6763E" w:rsidRDefault="00A676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EC11976"/>
    <w:multiLevelType w:val="multilevel"/>
    <w:tmpl w:val="DCBEFD1C"/>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num w:numId="1" w16cid:durableId="15641017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BC7C3F"/>
    <w:rsid w:val="00500E83"/>
    <w:rsid w:val="00A6763E"/>
    <w:rsid w:val="00BC7C3F"/>
    <w:rsid w:val="00F412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2AEBD"/>
  <w15:docId w15:val="{73BF9448-0F09-4A9F-BE16-6D00F582C4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kern w:val="3"/>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Calibri Light" w:eastAsia="Times New Roman" w:hAnsi="Calibri Light"/>
      <w:color w:val="2F5496"/>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Calibri Light" w:eastAsia="Times New Roman" w:hAnsi="Calibri Light"/>
      <w:color w:val="2F5496"/>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2F5496"/>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2F5496"/>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sz w:val="40"/>
      <w:szCs w:val="40"/>
    </w:rPr>
  </w:style>
  <w:style w:type="character" w:customStyle="1" w:styleId="Heading2Char">
    <w:name w:val="Heading 2 Char"/>
    <w:basedOn w:val="DefaultParagraphFont"/>
    <w:rPr>
      <w:rFonts w:ascii="Calibri Light" w:eastAsia="Times New Roman" w:hAnsi="Calibri Light" w:cs="Times New Roman"/>
      <w:color w:val="2F5496"/>
      <w:sz w:val="32"/>
      <w:szCs w:val="32"/>
    </w:rPr>
  </w:style>
  <w:style w:type="character" w:customStyle="1" w:styleId="Heading3Char">
    <w:name w:val="Heading 3 Char"/>
    <w:basedOn w:val="DefaultParagraphFont"/>
    <w:rPr>
      <w:rFonts w:eastAsia="Times New Roman" w:cs="Times New Roman"/>
      <w:color w:val="2F5496"/>
      <w:sz w:val="28"/>
      <w:szCs w:val="28"/>
    </w:rPr>
  </w:style>
  <w:style w:type="character" w:customStyle="1" w:styleId="Heading4Char">
    <w:name w:val="Heading 4 Char"/>
    <w:basedOn w:val="DefaultParagraphFont"/>
    <w:rPr>
      <w:rFonts w:eastAsia="Times New Roman" w:cs="Times New Roman"/>
      <w:i/>
      <w:iCs/>
      <w:color w:val="2F5496"/>
    </w:rPr>
  </w:style>
  <w:style w:type="character" w:customStyle="1" w:styleId="Heading5Char">
    <w:name w:val="Heading 5 Char"/>
    <w:basedOn w:val="DefaultParagraphFont"/>
    <w:rPr>
      <w:rFonts w:eastAsia="Times New Roman" w:cs="Times New Roman"/>
      <w:color w:val="2F5496"/>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Calibri Light" w:eastAsia="Times New Roman" w:hAnsi="Calibri Light"/>
      <w:spacing w:val="-10"/>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2F5496"/>
    </w:rPr>
  </w:style>
  <w:style w:type="paragraph" w:styleId="IntenseQuote">
    <w:name w:val="Intense Quote"/>
    <w:basedOn w:val="Normal"/>
    <w:next w:val="Normal"/>
    <w:pPr>
      <w:pBdr>
        <w:top w:val="single" w:sz="4" w:space="10" w:color="2F5496"/>
        <w:bottom w:val="single" w:sz="4" w:space="10" w:color="2F5496"/>
      </w:pBdr>
      <w:spacing w:before="360" w:after="360"/>
      <w:ind w:left="864" w:right="864"/>
      <w:jc w:val="center"/>
    </w:pPr>
    <w:rPr>
      <w:i/>
      <w:iCs/>
      <w:color w:val="2F5496"/>
    </w:rPr>
  </w:style>
  <w:style w:type="character" w:customStyle="1" w:styleId="IntenseQuoteChar">
    <w:name w:val="Intense Quote Char"/>
    <w:basedOn w:val="DefaultParagraphFont"/>
    <w:rPr>
      <w:i/>
      <w:iCs/>
      <w:color w:val="2F5496"/>
    </w:rPr>
  </w:style>
  <w:style w:type="character" w:styleId="IntenseReference">
    <w:name w:val="Intense Reference"/>
    <w:basedOn w:val="DefaultParagraphFont"/>
    <w:rPr>
      <w:b/>
      <w:bCs/>
      <w:smallCaps/>
      <w:color w:val="2F5496"/>
      <w:spacing w:val="5"/>
    </w:rPr>
  </w:style>
  <w:style w:type="character" w:styleId="Hyperlink">
    <w:name w:val="Hyperlink"/>
    <w:basedOn w:val="DefaultParagraphFont"/>
    <w:rPr>
      <w:color w:val="0563C1"/>
      <w:u w:val="single"/>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cipd.co.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severntrent.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4187</Words>
  <Characters>23871</Characters>
  <Application>Microsoft Office Word</Application>
  <DocSecurity>0</DocSecurity>
  <Lines>198</Lines>
  <Paragraphs>56</Paragraphs>
  <ScaleCrop>false</ScaleCrop>
  <Company/>
  <LinksUpToDate>false</LinksUpToDate>
  <CharactersWithSpaces>28002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 Lucian Tirdea</dc:creator>
  <dc:description/>
  <cp:lastModifiedBy>Ioan Lucian Tirdea</cp:lastModifiedBy>
  <cp:revision>2</cp:revision>
  <dcterms:created xsi:type="dcterms:W3CDTF">2026-03-15T14:57:00Z</dcterms:created>
  <dcterms:modified xsi:type="dcterms:W3CDTF">2026-03-15T14:57:00Z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2e150ff-4790-4db0-9801-e1a2cb83509c_Enabled">
    <vt:lpwstr>true</vt:lpwstr>
  </property>
  <property fmtid="{D5CDD505-2E9C-101B-9397-08002B2CF9AE}" pid="3" name="MSIP_Label_32e150ff-4790-4db0-9801-e1a2cb83509c_SetDate">
    <vt:lpwstr>2026-03-14T19:54:04Z</vt:lpwstr>
  </property>
  <property fmtid="{D5CDD505-2E9C-101B-9397-08002B2CF9AE}" pid="4" name="MSIP_Label_32e150ff-4790-4db0-9801-e1a2cb83509c_Method">
    <vt:lpwstr>Standard</vt:lpwstr>
  </property>
  <property fmtid="{D5CDD505-2E9C-101B-9397-08002B2CF9AE}" pid="5" name="MSIP_Label_32e150ff-4790-4db0-9801-e1a2cb83509c_Name">
    <vt:lpwstr>defa4170-0d19-0005-0004-bc88714345d2</vt:lpwstr>
  </property>
  <property fmtid="{D5CDD505-2E9C-101B-9397-08002B2CF9AE}" pid="6" name="MSIP_Label_32e150ff-4790-4db0-9801-e1a2cb83509c_SiteId">
    <vt:lpwstr>31b813f2-6514-42e9-b2f4-5d69ef68118b</vt:lpwstr>
  </property>
  <property fmtid="{D5CDD505-2E9C-101B-9397-08002B2CF9AE}" pid="7" name="MSIP_Label_32e150ff-4790-4db0-9801-e1a2cb83509c_ActionId">
    <vt:lpwstr>8d49e942-2291-41a7-8f29-f9df77255a12</vt:lpwstr>
  </property>
  <property fmtid="{D5CDD505-2E9C-101B-9397-08002B2CF9AE}" pid="8" name="MSIP_Label_32e150ff-4790-4db0-9801-e1a2cb83509c_ContentBits">
    <vt:lpwstr>0</vt:lpwstr>
  </property>
  <property fmtid="{D5CDD505-2E9C-101B-9397-08002B2CF9AE}" pid="9" name="MSIP_Label_32e150ff-4790-4db0-9801-e1a2cb83509c_Tag">
    <vt:lpwstr>10, 3, 0, 1</vt:lpwstr>
  </property>
</Properties>
</file>