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82943" w14:textId="77777777" w:rsidR="007E281E" w:rsidRDefault="007E281E" w:rsidP="00C23338">
      <w:pPr>
        <w:spacing w:before="100" w:beforeAutospacing="1" w:after="100" w:afterAutospacing="1" w:line="240" w:lineRule="auto"/>
        <w:outlineLvl w:val="1"/>
        <w:rPr>
          <w:rFonts w:ascii="Times New Roman" w:hAnsi="Times New Roman" w:cs="Times New Roman"/>
          <w:b/>
          <w:sz w:val="36"/>
          <w:szCs w:val="36"/>
        </w:rPr>
      </w:pPr>
    </w:p>
    <w:p w14:paraId="7FE079DF" w14:textId="77777777" w:rsidR="00B94E79" w:rsidRPr="00F93476" w:rsidRDefault="00B94E79" w:rsidP="00B94E79">
      <w:pPr>
        <w:pStyle w:val="Heading1"/>
        <w:jc w:val="center"/>
      </w:pPr>
      <w:r w:rsidRPr="00F93476">
        <w:t>BA (Hons) Leadership and management skill for the workplace</w:t>
      </w:r>
    </w:p>
    <w:p w14:paraId="61B067A1" w14:textId="77777777" w:rsidR="00B94E79" w:rsidRPr="00F93476" w:rsidRDefault="00B94E79" w:rsidP="00B94E79">
      <w:pPr>
        <w:pStyle w:val="Heading1"/>
        <w:jc w:val="center"/>
      </w:pPr>
      <w:r w:rsidRPr="00F93476">
        <w:t>Module code: LCLM5001</w:t>
      </w:r>
    </w:p>
    <w:p w14:paraId="478482D9" w14:textId="77777777" w:rsidR="00B94E79" w:rsidRPr="00F93476" w:rsidRDefault="00B94E79" w:rsidP="00B94E79">
      <w:pPr>
        <w:pStyle w:val="Heading1"/>
        <w:jc w:val="center"/>
      </w:pPr>
      <w:r w:rsidRPr="00F93476">
        <w:t>Understanding and Engaging Stakeholders</w:t>
      </w:r>
    </w:p>
    <w:p w14:paraId="419CA63C" w14:textId="77777777" w:rsidR="00B94E79" w:rsidRPr="00F93476" w:rsidRDefault="00B94E79" w:rsidP="00B94E79">
      <w:pPr>
        <w:pStyle w:val="Heading1"/>
        <w:jc w:val="center"/>
        <w:rPr>
          <w:lang w:val="en-GB"/>
        </w:rPr>
      </w:pPr>
      <w:r w:rsidRPr="00F93476">
        <w:t>Lecturer’s name: Aso Abdullah</w:t>
      </w:r>
    </w:p>
    <w:p w14:paraId="31A218C0" w14:textId="77777777" w:rsidR="00B94E79" w:rsidRPr="00F93476" w:rsidRDefault="00B94E79" w:rsidP="00B94E79">
      <w:pPr>
        <w:pStyle w:val="Heading1"/>
        <w:jc w:val="center"/>
        <w:rPr>
          <w:lang w:val="en-GB"/>
        </w:rPr>
      </w:pPr>
      <w:r w:rsidRPr="00F93476">
        <w:t>Student Name: Murtaza Haris</w:t>
      </w:r>
    </w:p>
    <w:p w14:paraId="329C4622" w14:textId="77777777" w:rsidR="00B94E79" w:rsidRPr="00F93476" w:rsidRDefault="00B94E79" w:rsidP="00B94E79">
      <w:pPr>
        <w:pStyle w:val="Heading1"/>
        <w:jc w:val="center"/>
      </w:pPr>
      <w:r w:rsidRPr="00F93476">
        <w:t>Student Number: 2424512</w:t>
      </w:r>
    </w:p>
    <w:p w14:paraId="1AD3A4B1" w14:textId="77777777" w:rsidR="007E281E" w:rsidRDefault="007E281E" w:rsidP="00C23338">
      <w:pPr>
        <w:spacing w:before="100" w:beforeAutospacing="1" w:after="100" w:afterAutospacing="1" w:line="240" w:lineRule="auto"/>
        <w:outlineLvl w:val="1"/>
        <w:rPr>
          <w:rFonts w:ascii="Times New Roman" w:hAnsi="Times New Roman" w:cs="Times New Roman"/>
          <w:b/>
          <w:sz w:val="36"/>
          <w:szCs w:val="36"/>
        </w:rPr>
      </w:pPr>
    </w:p>
    <w:p w14:paraId="4461DA5D" w14:textId="73C25F68" w:rsidR="007E281E" w:rsidRDefault="0066669A" w:rsidP="00C23338">
      <w:pPr>
        <w:spacing w:before="100" w:beforeAutospacing="1" w:after="100" w:afterAutospacing="1" w:line="240" w:lineRule="auto"/>
        <w:outlineLvl w:val="1"/>
        <w:rPr>
          <w:rFonts w:ascii="Times New Roman" w:hAnsi="Times New Roman" w:cs="Times New Roman"/>
          <w:b/>
          <w:sz w:val="36"/>
          <w:szCs w:val="36"/>
        </w:rPr>
      </w:pPr>
      <w:r>
        <w:fldChar w:fldCharType="begin"/>
      </w:r>
      <w:r>
        <w:instrText xml:space="preserve"> INCLUDEPICTURE "https://walesdtp-legacy.cardiff.ac.uk/wp-content/uploads/2023/10/university-of-wales-trinity-saint-david-logo-vector.png" \* MERGEFORMATINET </w:instrText>
      </w:r>
      <w:r>
        <w:fldChar w:fldCharType="separate"/>
      </w:r>
      <w:r>
        <w:rPr>
          <w:noProof/>
        </w:rPr>
        <w:drawing>
          <wp:inline distT="0" distB="0" distL="0" distR="0" wp14:anchorId="02D2FCAA" wp14:editId="7333BE2D">
            <wp:extent cx="5107709" cy="2838496"/>
            <wp:effectExtent l="0" t="0" r="0" b="0"/>
            <wp:docPr id="1828607450"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7971" cy="2866428"/>
                    </a:xfrm>
                    <a:prstGeom prst="rect">
                      <a:avLst/>
                    </a:prstGeom>
                    <a:noFill/>
                    <a:ln>
                      <a:noFill/>
                    </a:ln>
                  </pic:spPr>
                </pic:pic>
              </a:graphicData>
            </a:graphic>
          </wp:inline>
        </w:drawing>
      </w:r>
      <w:r>
        <w:fldChar w:fldCharType="end"/>
      </w:r>
    </w:p>
    <w:p w14:paraId="7903073C" w14:textId="77777777" w:rsidR="007E281E" w:rsidRDefault="007E281E" w:rsidP="00C23338">
      <w:pPr>
        <w:spacing w:before="100" w:beforeAutospacing="1" w:after="100" w:afterAutospacing="1" w:line="240" w:lineRule="auto"/>
        <w:outlineLvl w:val="1"/>
        <w:rPr>
          <w:rFonts w:ascii="Times New Roman" w:hAnsi="Times New Roman" w:cs="Times New Roman"/>
          <w:b/>
          <w:sz w:val="36"/>
          <w:szCs w:val="36"/>
        </w:rPr>
      </w:pPr>
    </w:p>
    <w:p w14:paraId="043986C1" w14:textId="77777777" w:rsidR="007E281E" w:rsidRDefault="007E281E" w:rsidP="00C23338">
      <w:pPr>
        <w:spacing w:before="100" w:beforeAutospacing="1" w:after="100" w:afterAutospacing="1" w:line="240" w:lineRule="auto"/>
        <w:outlineLvl w:val="1"/>
        <w:rPr>
          <w:rFonts w:ascii="Times New Roman" w:hAnsi="Times New Roman" w:cs="Times New Roman"/>
          <w:b/>
          <w:sz w:val="36"/>
          <w:szCs w:val="36"/>
        </w:rPr>
      </w:pPr>
    </w:p>
    <w:p w14:paraId="1AB29EC4" w14:textId="77777777" w:rsidR="007E281E" w:rsidRDefault="007E281E" w:rsidP="00211375">
      <w:pPr>
        <w:spacing w:before="100" w:beforeAutospacing="1" w:after="100" w:afterAutospacing="1" w:line="240" w:lineRule="auto"/>
        <w:outlineLvl w:val="1"/>
        <w:rPr>
          <w:rFonts w:ascii="Times New Roman" w:eastAsia="Times New Roman" w:hAnsi="Times New Roman" w:cs="Times New Roman"/>
          <w:b/>
          <w:bCs/>
          <w:sz w:val="36"/>
          <w:szCs w:val="36"/>
        </w:rPr>
      </w:pPr>
    </w:p>
    <w:p w14:paraId="51817A2D" w14:textId="77777777" w:rsidR="007E281E" w:rsidRDefault="007E281E" w:rsidP="00211375">
      <w:pPr>
        <w:spacing w:before="100" w:beforeAutospacing="1" w:after="100" w:afterAutospacing="1" w:line="240" w:lineRule="auto"/>
        <w:outlineLvl w:val="1"/>
        <w:rPr>
          <w:rFonts w:ascii="Times New Roman" w:eastAsia="Times New Roman" w:hAnsi="Times New Roman" w:cs="Times New Roman"/>
          <w:b/>
          <w:bCs/>
          <w:sz w:val="36"/>
          <w:szCs w:val="36"/>
        </w:rPr>
      </w:pPr>
    </w:p>
    <w:sdt>
      <w:sdtPr>
        <w:rPr>
          <w:rFonts w:asciiTheme="minorHAnsi" w:eastAsiaTheme="minorEastAsia" w:hAnsiTheme="minorHAnsi" w:cstheme="minorBidi"/>
          <w:b w:val="0"/>
          <w:bCs w:val="0"/>
          <w:color w:val="auto"/>
          <w:sz w:val="22"/>
          <w:szCs w:val="22"/>
        </w:rPr>
        <w:id w:val="681232"/>
        <w:docPartObj>
          <w:docPartGallery w:val="Table of Contents"/>
          <w:docPartUnique/>
        </w:docPartObj>
      </w:sdtPr>
      <w:sdtContent>
        <w:p w14:paraId="6F38FA4B" w14:textId="77777777" w:rsidR="004C2DE8" w:rsidRDefault="004C2DE8">
          <w:pPr>
            <w:pStyle w:val="TOCHeading"/>
          </w:pPr>
          <w:r>
            <w:t>Table of Contents</w:t>
          </w:r>
        </w:p>
        <w:p w14:paraId="77E7094D" w14:textId="77777777" w:rsidR="005150AF" w:rsidRDefault="004C2DE8">
          <w:pPr>
            <w:pStyle w:val="TOC2"/>
            <w:tabs>
              <w:tab w:val="right" w:leader="dot" w:pos="9350"/>
            </w:tabs>
            <w:rPr>
              <w:noProof/>
            </w:rPr>
          </w:pPr>
          <w:r>
            <w:fldChar w:fldCharType="begin"/>
          </w:r>
          <w:r>
            <w:instrText xml:space="preserve"> TOC \o "1-3" \h \z \u </w:instrText>
          </w:r>
          <w:r>
            <w:fldChar w:fldCharType="separate"/>
          </w:r>
        </w:p>
        <w:p w14:paraId="755CCB20" w14:textId="77777777" w:rsidR="005150AF" w:rsidRDefault="005150AF">
          <w:pPr>
            <w:pStyle w:val="TOC2"/>
            <w:tabs>
              <w:tab w:val="right" w:leader="dot" w:pos="9350"/>
            </w:tabs>
            <w:rPr>
              <w:noProof/>
            </w:rPr>
          </w:pPr>
          <w:hyperlink w:anchor="_Toc234339935" w:history="1">
            <w:r w:rsidRPr="00120FEA">
              <w:rPr>
                <w:rStyle w:val="Hyperlink"/>
                <w:rFonts w:ascii="Times New Roman" w:eastAsia="Times New Roman" w:hAnsi="Times New Roman" w:cs="Times New Roman"/>
                <w:b/>
                <w:bCs/>
                <w:noProof/>
              </w:rPr>
              <w:t>Executive Summary</w:t>
            </w:r>
            <w:r>
              <w:rPr>
                <w:noProof/>
                <w:webHidden/>
              </w:rPr>
              <w:tab/>
            </w:r>
            <w:r>
              <w:rPr>
                <w:noProof/>
                <w:webHidden/>
              </w:rPr>
              <w:fldChar w:fldCharType="begin"/>
            </w:r>
            <w:r>
              <w:rPr>
                <w:noProof/>
                <w:webHidden/>
              </w:rPr>
              <w:instrText xml:space="preserve"> PAGEREF _Toc234339935 \h </w:instrText>
            </w:r>
            <w:r>
              <w:rPr>
                <w:noProof/>
                <w:webHidden/>
              </w:rPr>
            </w:r>
            <w:r>
              <w:rPr>
                <w:noProof/>
                <w:webHidden/>
              </w:rPr>
              <w:fldChar w:fldCharType="separate"/>
            </w:r>
            <w:r w:rsidR="003E371A">
              <w:rPr>
                <w:noProof/>
                <w:webHidden/>
              </w:rPr>
              <w:t>3</w:t>
            </w:r>
            <w:r>
              <w:rPr>
                <w:noProof/>
                <w:webHidden/>
              </w:rPr>
              <w:fldChar w:fldCharType="end"/>
            </w:r>
          </w:hyperlink>
        </w:p>
        <w:p w14:paraId="03E98A15" w14:textId="77777777" w:rsidR="005150AF" w:rsidRDefault="005150AF">
          <w:pPr>
            <w:pStyle w:val="TOC2"/>
            <w:tabs>
              <w:tab w:val="left" w:pos="660"/>
              <w:tab w:val="right" w:leader="dot" w:pos="9350"/>
            </w:tabs>
            <w:rPr>
              <w:noProof/>
            </w:rPr>
          </w:pPr>
          <w:hyperlink w:anchor="_Toc234339936" w:history="1">
            <w:r w:rsidRPr="00120FEA">
              <w:rPr>
                <w:rStyle w:val="Hyperlink"/>
                <w:rFonts w:ascii="Times New Roman" w:eastAsia="Times New Roman" w:hAnsi="Times New Roman" w:cs="Times New Roman"/>
                <w:b/>
                <w:bCs/>
                <w:noProof/>
              </w:rPr>
              <w:t>1.</w:t>
            </w:r>
            <w:r>
              <w:rPr>
                <w:noProof/>
              </w:rPr>
              <w:tab/>
            </w:r>
            <w:r w:rsidRPr="00120FEA">
              <w:rPr>
                <w:rStyle w:val="Hyperlink"/>
                <w:rFonts w:ascii="Times New Roman" w:eastAsia="Times New Roman" w:hAnsi="Times New Roman" w:cs="Times New Roman"/>
                <w:b/>
                <w:bCs/>
                <w:noProof/>
              </w:rPr>
              <w:t>Introduction</w:t>
            </w:r>
            <w:r>
              <w:rPr>
                <w:noProof/>
                <w:webHidden/>
              </w:rPr>
              <w:tab/>
            </w:r>
            <w:r>
              <w:rPr>
                <w:noProof/>
                <w:webHidden/>
              </w:rPr>
              <w:fldChar w:fldCharType="begin"/>
            </w:r>
            <w:r>
              <w:rPr>
                <w:noProof/>
                <w:webHidden/>
              </w:rPr>
              <w:instrText xml:space="preserve"> PAGEREF _Toc234339936 \h </w:instrText>
            </w:r>
            <w:r>
              <w:rPr>
                <w:noProof/>
                <w:webHidden/>
              </w:rPr>
            </w:r>
            <w:r>
              <w:rPr>
                <w:noProof/>
                <w:webHidden/>
              </w:rPr>
              <w:fldChar w:fldCharType="separate"/>
            </w:r>
            <w:r w:rsidR="003E371A">
              <w:rPr>
                <w:noProof/>
                <w:webHidden/>
              </w:rPr>
              <w:t>4</w:t>
            </w:r>
            <w:r>
              <w:rPr>
                <w:noProof/>
                <w:webHidden/>
              </w:rPr>
              <w:fldChar w:fldCharType="end"/>
            </w:r>
          </w:hyperlink>
        </w:p>
        <w:p w14:paraId="3162FA0F" w14:textId="77777777" w:rsidR="005150AF" w:rsidRDefault="005150AF">
          <w:pPr>
            <w:pStyle w:val="TOC2"/>
            <w:tabs>
              <w:tab w:val="left" w:pos="660"/>
              <w:tab w:val="right" w:leader="dot" w:pos="9350"/>
            </w:tabs>
            <w:rPr>
              <w:noProof/>
            </w:rPr>
          </w:pPr>
          <w:hyperlink w:anchor="_Toc234339937" w:history="1">
            <w:r w:rsidRPr="00120FEA">
              <w:rPr>
                <w:rStyle w:val="Hyperlink"/>
                <w:rFonts w:ascii="Times New Roman" w:eastAsia="Times New Roman" w:hAnsi="Times New Roman" w:cs="Times New Roman"/>
                <w:b/>
                <w:bCs/>
                <w:noProof/>
              </w:rPr>
              <w:t>2.</w:t>
            </w:r>
            <w:r>
              <w:rPr>
                <w:noProof/>
              </w:rPr>
              <w:tab/>
            </w:r>
            <w:r w:rsidRPr="00120FEA">
              <w:rPr>
                <w:rStyle w:val="Hyperlink"/>
                <w:rFonts w:ascii="Times New Roman" w:eastAsia="Times New Roman" w:hAnsi="Times New Roman" w:cs="Times New Roman"/>
                <w:b/>
                <w:bCs/>
                <w:noProof/>
              </w:rPr>
              <w:t>SMART Objectives</w:t>
            </w:r>
            <w:r>
              <w:rPr>
                <w:noProof/>
                <w:webHidden/>
              </w:rPr>
              <w:tab/>
            </w:r>
            <w:r>
              <w:rPr>
                <w:noProof/>
                <w:webHidden/>
              </w:rPr>
              <w:fldChar w:fldCharType="begin"/>
            </w:r>
            <w:r>
              <w:rPr>
                <w:noProof/>
                <w:webHidden/>
              </w:rPr>
              <w:instrText xml:space="preserve"> PAGEREF _Toc234339937 \h </w:instrText>
            </w:r>
            <w:r>
              <w:rPr>
                <w:noProof/>
                <w:webHidden/>
              </w:rPr>
            </w:r>
            <w:r>
              <w:rPr>
                <w:noProof/>
                <w:webHidden/>
              </w:rPr>
              <w:fldChar w:fldCharType="separate"/>
            </w:r>
            <w:r w:rsidR="003E371A">
              <w:rPr>
                <w:noProof/>
                <w:webHidden/>
              </w:rPr>
              <w:t>5</w:t>
            </w:r>
            <w:r>
              <w:rPr>
                <w:noProof/>
                <w:webHidden/>
              </w:rPr>
              <w:fldChar w:fldCharType="end"/>
            </w:r>
          </w:hyperlink>
        </w:p>
        <w:p w14:paraId="3D1FCE4B" w14:textId="77777777" w:rsidR="005150AF" w:rsidRDefault="005150AF">
          <w:pPr>
            <w:pStyle w:val="TOC2"/>
            <w:tabs>
              <w:tab w:val="left" w:pos="660"/>
              <w:tab w:val="right" w:leader="dot" w:pos="9350"/>
            </w:tabs>
            <w:rPr>
              <w:noProof/>
            </w:rPr>
          </w:pPr>
          <w:hyperlink w:anchor="_Toc234339938" w:history="1">
            <w:r w:rsidRPr="00120FEA">
              <w:rPr>
                <w:rStyle w:val="Hyperlink"/>
                <w:rFonts w:ascii="Times New Roman" w:eastAsia="Times New Roman" w:hAnsi="Times New Roman" w:cs="Times New Roman"/>
                <w:b/>
                <w:bCs/>
                <w:noProof/>
              </w:rPr>
              <w:t>3.</w:t>
            </w:r>
            <w:r>
              <w:rPr>
                <w:noProof/>
              </w:rPr>
              <w:tab/>
            </w:r>
            <w:r w:rsidRPr="00120FEA">
              <w:rPr>
                <w:rStyle w:val="Hyperlink"/>
                <w:rFonts w:ascii="Times New Roman" w:eastAsia="Times New Roman" w:hAnsi="Times New Roman" w:cs="Times New Roman"/>
                <w:b/>
                <w:bCs/>
                <w:noProof/>
              </w:rPr>
              <w:t>Stakeholder Identification and Categorization</w:t>
            </w:r>
            <w:r>
              <w:rPr>
                <w:noProof/>
                <w:webHidden/>
              </w:rPr>
              <w:tab/>
            </w:r>
            <w:r>
              <w:rPr>
                <w:noProof/>
                <w:webHidden/>
              </w:rPr>
              <w:fldChar w:fldCharType="begin"/>
            </w:r>
            <w:r>
              <w:rPr>
                <w:noProof/>
                <w:webHidden/>
              </w:rPr>
              <w:instrText xml:space="preserve"> PAGEREF _Toc234339938 \h </w:instrText>
            </w:r>
            <w:r>
              <w:rPr>
                <w:noProof/>
                <w:webHidden/>
              </w:rPr>
            </w:r>
            <w:r>
              <w:rPr>
                <w:noProof/>
                <w:webHidden/>
              </w:rPr>
              <w:fldChar w:fldCharType="separate"/>
            </w:r>
            <w:r w:rsidR="003E371A">
              <w:rPr>
                <w:noProof/>
                <w:webHidden/>
              </w:rPr>
              <w:t>5</w:t>
            </w:r>
            <w:r>
              <w:rPr>
                <w:noProof/>
                <w:webHidden/>
              </w:rPr>
              <w:fldChar w:fldCharType="end"/>
            </w:r>
          </w:hyperlink>
        </w:p>
        <w:p w14:paraId="0839D99C" w14:textId="77777777" w:rsidR="005150AF" w:rsidRPr="005150AF" w:rsidRDefault="005150AF" w:rsidP="005150AF">
          <w:pPr>
            <w:pStyle w:val="TOC1"/>
          </w:pPr>
          <w:r w:rsidRPr="005150AF">
            <w:rPr>
              <w:rStyle w:val="Hyperlink"/>
              <w:u w:val="none"/>
            </w:rPr>
            <w:t xml:space="preserve">    </w:t>
          </w:r>
          <w:hyperlink w:anchor="_Toc234339950" w:history="1">
            <w:r w:rsidRPr="005150AF">
              <w:rPr>
                <w:rStyle w:val="Hyperlink"/>
                <w:u w:val="none"/>
              </w:rPr>
              <w:t>4.</w:t>
            </w:r>
            <w:r w:rsidRPr="005150AF">
              <w:tab/>
              <w:t xml:space="preserve">    </w:t>
            </w:r>
            <w:r w:rsidRPr="005150AF">
              <w:rPr>
                <w:rStyle w:val="Hyperlink"/>
                <w:u w:val="none"/>
              </w:rPr>
              <w:t>SWOT Analysis</w:t>
            </w:r>
            <w:r w:rsidRPr="00F663FF">
              <w:rPr>
                <w:b w:val="0"/>
                <w:webHidden/>
              </w:rPr>
              <w:tab/>
            </w:r>
            <w:r w:rsidRPr="005150AF">
              <w:rPr>
                <w:b w:val="0"/>
                <w:webHidden/>
              </w:rPr>
              <w:fldChar w:fldCharType="begin"/>
            </w:r>
            <w:r w:rsidRPr="005150AF">
              <w:rPr>
                <w:b w:val="0"/>
                <w:webHidden/>
              </w:rPr>
              <w:instrText xml:space="preserve"> PAGEREF _Toc234339950 \h </w:instrText>
            </w:r>
            <w:r w:rsidRPr="005150AF">
              <w:rPr>
                <w:b w:val="0"/>
                <w:webHidden/>
              </w:rPr>
            </w:r>
            <w:r w:rsidRPr="005150AF">
              <w:rPr>
                <w:b w:val="0"/>
                <w:webHidden/>
              </w:rPr>
              <w:fldChar w:fldCharType="separate"/>
            </w:r>
            <w:r w:rsidR="003E371A">
              <w:rPr>
                <w:b w:val="0"/>
                <w:webHidden/>
              </w:rPr>
              <w:t>10</w:t>
            </w:r>
            <w:r w:rsidRPr="005150AF">
              <w:rPr>
                <w:b w:val="0"/>
                <w:webHidden/>
              </w:rPr>
              <w:fldChar w:fldCharType="end"/>
            </w:r>
          </w:hyperlink>
        </w:p>
        <w:p w14:paraId="2E5DD84A" w14:textId="77777777" w:rsidR="005150AF" w:rsidRDefault="005150AF">
          <w:pPr>
            <w:pStyle w:val="TOC2"/>
            <w:tabs>
              <w:tab w:val="left" w:pos="660"/>
              <w:tab w:val="right" w:leader="dot" w:pos="9350"/>
            </w:tabs>
            <w:rPr>
              <w:noProof/>
            </w:rPr>
          </w:pPr>
          <w:hyperlink w:anchor="_Toc234339951" w:history="1">
            <w:r w:rsidRPr="00120FEA">
              <w:rPr>
                <w:rStyle w:val="Hyperlink"/>
                <w:rFonts w:ascii="Times New Roman" w:eastAsia="Times New Roman" w:hAnsi="Times New Roman" w:cs="Times New Roman"/>
                <w:b/>
                <w:bCs/>
                <w:noProof/>
              </w:rPr>
              <w:t>5.</w:t>
            </w:r>
            <w:r>
              <w:rPr>
                <w:noProof/>
              </w:rPr>
              <w:tab/>
            </w:r>
            <w:r w:rsidRPr="00120FEA">
              <w:rPr>
                <w:rStyle w:val="Hyperlink"/>
                <w:rFonts w:ascii="Times New Roman" w:eastAsia="Times New Roman" w:hAnsi="Times New Roman" w:cs="Times New Roman"/>
                <w:b/>
                <w:bCs/>
                <w:noProof/>
              </w:rPr>
              <w:t>Roles, Responsibilities, Benefits and Challenges</w:t>
            </w:r>
            <w:r>
              <w:rPr>
                <w:noProof/>
                <w:webHidden/>
              </w:rPr>
              <w:tab/>
            </w:r>
            <w:r>
              <w:rPr>
                <w:noProof/>
                <w:webHidden/>
              </w:rPr>
              <w:fldChar w:fldCharType="begin"/>
            </w:r>
            <w:r>
              <w:rPr>
                <w:noProof/>
                <w:webHidden/>
              </w:rPr>
              <w:instrText xml:space="preserve"> PAGEREF _Toc234339951 \h </w:instrText>
            </w:r>
            <w:r>
              <w:rPr>
                <w:noProof/>
                <w:webHidden/>
              </w:rPr>
            </w:r>
            <w:r>
              <w:rPr>
                <w:noProof/>
                <w:webHidden/>
              </w:rPr>
              <w:fldChar w:fldCharType="separate"/>
            </w:r>
            <w:r w:rsidR="003E371A">
              <w:rPr>
                <w:noProof/>
                <w:webHidden/>
              </w:rPr>
              <w:t>11</w:t>
            </w:r>
            <w:r>
              <w:rPr>
                <w:noProof/>
                <w:webHidden/>
              </w:rPr>
              <w:fldChar w:fldCharType="end"/>
            </w:r>
          </w:hyperlink>
        </w:p>
        <w:p w14:paraId="613F6593" w14:textId="77777777" w:rsidR="005150AF" w:rsidRDefault="005150AF">
          <w:pPr>
            <w:pStyle w:val="TOC2"/>
            <w:tabs>
              <w:tab w:val="left" w:pos="660"/>
              <w:tab w:val="right" w:leader="dot" w:pos="9350"/>
            </w:tabs>
            <w:rPr>
              <w:noProof/>
            </w:rPr>
          </w:pPr>
          <w:hyperlink w:anchor="_Toc234339958" w:history="1">
            <w:r w:rsidRPr="00120FEA">
              <w:rPr>
                <w:rStyle w:val="Hyperlink"/>
                <w:rFonts w:ascii="Times New Roman" w:eastAsia="Times New Roman" w:hAnsi="Times New Roman" w:cs="Times New Roman"/>
                <w:b/>
                <w:bCs/>
                <w:noProof/>
              </w:rPr>
              <w:t>6.</w:t>
            </w:r>
            <w:r>
              <w:rPr>
                <w:noProof/>
              </w:rPr>
              <w:tab/>
            </w:r>
            <w:r w:rsidRPr="00120FEA">
              <w:rPr>
                <w:rStyle w:val="Hyperlink"/>
                <w:rFonts w:ascii="Times New Roman" w:eastAsia="Times New Roman" w:hAnsi="Times New Roman" w:cs="Times New Roman"/>
                <w:b/>
                <w:bCs/>
                <w:noProof/>
              </w:rPr>
              <w:t>Stakeholder Engagement Strategy</w:t>
            </w:r>
            <w:r>
              <w:rPr>
                <w:noProof/>
                <w:webHidden/>
              </w:rPr>
              <w:tab/>
            </w:r>
            <w:r>
              <w:rPr>
                <w:noProof/>
                <w:webHidden/>
              </w:rPr>
              <w:fldChar w:fldCharType="begin"/>
            </w:r>
            <w:r>
              <w:rPr>
                <w:noProof/>
                <w:webHidden/>
              </w:rPr>
              <w:instrText xml:space="preserve"> PAGEREF _Toc234339958 \h </w:instrText>
            </w:r>
            <w:r>
              <w:rPr>
                <w:noProof/>
                <w:webHidden/>
              </w:rPr>
            </w:r>
            <w:r>
              <w:rPr>
                <w:noProof/>
                <w:webHidden/>
              </w:rPr>
              <w:fldChar w:fldCharType="separate"/>
            </w:r>
            <w:r w:rsidR="003E371A">
              <w:rPr>
                <w:noProof/>
                <w:webHidden/>
              </w:rPr>
              <w:t>13</w:t>
            </w:r>
            <w:r>
              <w:rPr>
                <w:noProof/>
                <w:webHidden/>
              </w:rPr>
              <w:fldChar w:fldCharType="end"/>
            </w:r>
          </w:hyperlink>
        </w:p>
        <w:p w14:paraId="5828984F" w14:textId="77777777" w:rsidR="005150AF" w:rsidRDefault="005150AF">
          <w:pPr>
            <w:pStyle w:val="TOC2"/>
            <w:tabs>
              <w:tab w:val="left" w:pos="660"/>
              <w:tab w:val="right" w:leader="dot" w:pos="9350"/>
            </w:tabs>
            <w:rPr>
              <w:noProof/>
            </w:rPr>
          </w:pPr>
          <w:hyperlink w:anchor="_Toc234339969" w:history="1">
            <w:r w:rsidRPr="00120FEA">
              <w:rPr>
                <w:rStyle w:val="Hyperlink"/>
                <w:rFonts w:ascii="Times New Roman" w:eastAsia="Times New Roman" w:hAnsi="Times New Roman" w:cs="Times New Roman"/>
                <w:b/>
                <w:bCs/>
                <w:noProof/>
              </w:rPr>
              <w:t>7.</w:t>
            </w:r>
            <w:r>
              <w:rPr>
                <w:noProof/>
              </w:rPr>
              <w:tab/>
            </w:r>
            <w:r w:rsidRPr="00120FEA">
              <w:rPr>
                <w:rStyle w:val="Hyperlink"/>
                <w:rFonts w:ascii="Times New Roman" w:eastAsia="Times New Roman" w:hAnsi="Times New Roman" w:cs="Times New Roman"/>
                <w:b/>
                <w:bCs/>
                <w:noProof/>
              </w:rPr>
              <w:t>Sustainable Stakeholder Engagement Impact</w:t>
            </w:r>
            <w:r>
              <w:rPr>
                <w:noProof/>
                <w:webHidden/>
              </w:rPr>
              <w:tab/>
            </w:r>
            <w:r>
              <w:rPr>
                <w:noProof/>
                <w:webHidden/>
              </w:rPr>
              <w:fldChar w:fldCharType="begin"/>
            </w:r>
            <w:r>
              <w:rPr>
                <w:noProof/>
                <w:webHidden/>
              </w:rPr>
              <w:instrText xml:space="preserve"> PAGEREF _Toc234339969 \h </w:instrText>
            </w:r>
            <w:r>
              <w:rPr>
                <w:noProof/>
                <w:webHidden/>
              </w:rPr>
            </w:r>
            <w:r>
              <w:rPr>
                <w:noProof/>
                <w:webHidden/>
              </w:rPr>
              <w:fldChar w:fldCharType="separate"/>
            </w:r>
            <w:r w:rsidR="003E371A">
              <w:rPr>
                <w:noProof/>
                <w:webHidden/>
              </w:rPr>
              <w:t>17</w:t>
            </w:r>
            <w:r>
              <w:rPr>
                <w:noProof/>
                <w:webHidden/>
              </w:rPr>
              <w:fldChar w:fldCharType="end"/>
            </w:r>
          </w:hyperlink>
        </w:p>
        <w:p w14:paraId="2867FBB9" w14:textId="77777777" w:rsidR="005150AF" w:rsidRDefault="005150AF">
          <w:pPr>
            <w:pStyle w:val="TOC2"/>
            <w:tabs>
              <w:tab w:val="left" w:pos="660"/>
              <w:tab w:val="right" w:leader="dot" w:pos="9350"/>
            </w:tabs>
            <w:rPr>
              <w:noProof/>
            </w:rPr>
          </w:pPr>
          <w:hyperlink w:anchor="_Toc234339973" w:history="1">
            <w:r w:rsidRPr="00120FEA">
              <w:rPr>
                <w:rStyle w:val="Hyperlink"/>
                <w:rFonts w:ascii="Times New Roman" w:eastAsia="Times New Roman" w:hAnsi="Times New Roman" w:cs="Times New Roman"/>
                <w:b/>
                <w:bCs/>
                <w:noProof/>
              </w:rPr>
              <w:t>8.</w:t>
            </w:r>
            <w:r>
              <w:rPr>
                <w:noProof/>
              </w:rPr>
              <w:tab/>
            </w:r>
            <w:r w:rsidRPr="00120FEA">
              <w:rPr>
                <w:rStyle w:val="Hyperlink"/>
                <w:rFonts w:ascii="Times New Roman" w:eastAsia="Times New Roman" w:hAnsi="Times New Roman" w:cs="Times New Roman"/>
                <w:b/>
                <w:bCs/>
                <w:noProof/>
              </w:rPr>
              <w:t>Recommendations and Conclusion</w:t>
            </w:r>
            <w:r>
              <w:rPr>
                <w:noProof/>
                <w:webHidden/>
              </w:rPr>
              <w:tab/>
            </w:r>
            <w:r>
              <w:rPr>
                <w:noProof/>
                <w:webHidden/>
              </w:rPr>
              <w:fldChar w:fldCharType="begin"/>
            </w:r>
            <w:r>
              <w:rPr>
                <w:noProof/>
                <w:webHidden/>
              </w:rPr>
              <w:instrText xml:space="preserve"> PAGEREF _Toc234339973 \h </w:instrText>
            </w:r>
            <w:r>
              <w:rPr>
                <w:noProof/>
                <w:webHidden/>
              </w:rPr>
            </w:r>
            <w:r>
              <w:rPr>
                <w:noProof/>
                <w:webHidden/>
              </w:rPr>
              <w:fldChar w:fldCharType="separate"/>
            </w:r>
            <w:r w:rsidR="003E371A">
              <w:rPr>
                <w:noProof/>
                <w:webHidden/>
              </w:rPr>
              <w:t>20</w:t>
            </w:r>
            <w:r>
              <w:rPr>
                <w:noProof/>
                <w:webHidden/>
              </w:rPr>
              <w:fldChar w:fldCharType="end"/>
            </w:r>
          </w:hyperlink>
        </w:p>
        <w:p w14:paraId="3830A6B3" w14:textId="77777777" w:rsidR="005150AF" w:rsidRDefault="005150AF" w:rsidP="005150AF">
          <w:pPr>
            <w:pStyle w:val="TOC1"/>
          </w:pPr>
          <w:hyperlink w:anchor="_Toc234339976" w:history="1">
            <w:r w:rsidRPr="00120FEA">
              <w:rPr>
                <w:rStyle w:val="Hyperlink"/>
                <w:rFonts w:ascii="Times New Roman" w:eastAsia="Times New Roman" w:hAnsi="Times New Roman" w:cs="Times New Roman"/>
                <w:bCs/>
                <w:kern w:val="36"/>
              </w:rPr>
              <w:t>References:</w:t>
            </w:r>
            <w:r>
              <w:rPr>
                <w:webHidden/>
              </w:rPr>
              <w:tab/>
            </w:r>
            <w:r>
              <w:rPr>
                <w:webHidden/>
              </w:rPr>
              <w:fldChar w:fldCharType="begin"/>
            </w:r>
            <w:r>
              <w:rPr>
                <w:webHidden/>
              </w:rPr>
              <w:instrText xml:space="preserve"> PAGEREF _Toc234339976 \h </w:instrText>
            </w:r>
            <w:r>
              <w:rPr>
                <w:webHidden/>
              </w:rPr>
            </w:r>
            <w:r>
              <w:rPr>
                <w:webHidden/>
              </w:rPr>
              <w:fldChar w:fldCharType="separate"/>
            </w:r>
            <w:r w:rsidR="003E371A">
              <w:rPr>
                <w:webHidden/>
              </w:rPr>
              <w:t>21</w:t>
            </w:r>
            <w:r>
              <w:rPr>
                <w:webHidden/>
              </w:rPr>
              <w:fldChar w:fldCharType="end"/>
            </w:r>
          </w:hyperlink>
        </w:p>
        <w:p w14:paraId="3D77E73C" w14:textId="77777777" w:rsidR="004C2DE8" w:rsidRDefault="004C2DE8">
          <w:r>
            <w:fldChar w:fldCharType="end"/>
          </w:r>
        </w:p>
      </w:sdtContent>
    </w:sdt>
    <w:p w14:paraId="3BEECA34" w14:textId="77777777" w:rsidR="006161CC" w:rsidRDefault="006161CC" w:rsidP="00E74244">
      <w:pPr>
        <w:pStyle w:val="TOCHeading"/>
      </w:pPr>
    </w:p>
    <w:p w14:paraId="52D00BD3" w14:textId="77777777" w:rsidR="00E74244" w:rsidRDefault="00E74244" w:rsidP="00E74244"/>
    <w:p w14:paraId="12627CD0" w14:textId="77777777" w:rsidR="00E74244" w:rsidRDefault="00E74244" w:rsidP="00E74244"/>
    <w:p w14:paraId="675B0543" w14:textId="77777777" w:rsidR="00E74244" w:rsidRDefault="00E74244" w:rsidP="00E74244"/>
    <w:p w14:paraId="29E5C30B" w14:textId="77777777" w:rsidR="00E74244" w:rsidRDefault="00E74244" w:rsidP="00E74244"/>
    <w:p w14:paraId="6E783F74" w14:textId="77777777" w:rsidR="00E74244" w:rsidRDefault="00E74244" w:rsidP="00E74244"/>
    <w:p w14:paraId="162749C4" w14:textId="77777777" w:rsidR="00E74244" w:rsidRDefault="00E74244" w:rsidP="00E74244"/>
    <w:p w14:paraId="7C45AB02" w14:textId="77777777" w:rsidR="00E74244" w:rsidRDefault="00E74244" w:rsidP="00E74244"/>
    <w:p w14:paraId="17BE5E85" w14:textId="77777777" w:rsidR="00B903E6" w:rsidRDefault="00B903E6" w:rsidP="00211375">
      <w:pPr>
        <w:spacing w:before="100" w:beforeAutospacing="1" w:after="100" w:afterAutospacing="1" w:line="240" w:lineRule="auto"/>
        <w:outlineLvl w:val="1"/>
        <w:rPr>
          <w:rFonts w:ascii="Times New Roman" w:eastAsia="Times New Roman" w:hAnsi="Times New Roman" w:cs="Times New Roman"/>
          <w:b/>
          <w:bCs/>
          <w:sz w:val="36"/>
          <w:szCs w:val="36"/>
        </w:rPr>
      </w:pPr>
    </w:p>
    <w:p w14:paraId="7D3CD247" w14:textId="77777777" w:rsidR="005150AF" w:rsidRDefault="005150AF" w:rsidP="00211375">
      <w:pPr>
        <w:spacing w:before="100" w:beforeAutospacing="1" w:after="100" w:afterAutospacing="1" w:line="240" w:lineRule="auto"/>
        <w:outlineLvl w:val="1"/>
        <w:rPr>
          <w:rFonts w:ascii="Times New Roman" w:eastAsia="Times New Roman" w:hAnsi="Times New Roman" w:cs="Times New Roman"/>
          <w:b/>
          <w:bCs/>
          <w:sz w:val="36"/>
          <w:szCs w:val="36"/>
        </w:rPr>
      </w:pPr>
    </w:p>
    <w:p w14:paraId="215BF651" w14:textId="77777777" w:rsidR="005150AF" w:rsidRDefault="005150AF" w:rsidP="00211375">
      <w:pPr>
        <w:spacing w:before="100" w:beforeAutospacing="1" w:after="100" w:afterAutospacing="1" w:line="240" w:lineRule="auto"/>
        <w:outlineLvl w:val="1"/>
        <w:rPr>
          <w:rFonts w:ascii="Times New Roman" w:eastAsia="Times New Roman" w:hAnsi="Times New Roman" w:cs="Times New Roman"/>
          <w:b/>
          <w:bCs/>
          <w:sz w:val="36"/>
          <w:szCs w:val="36"/>
        </w:rPr>
      </w:pPr>
    </w:p>
    <w:p w14:paraId="600532F4" w14:textId="77777777" w:rsidR="005150AF" w:rsidRDefault="005150AF" w:rsidP="00211375">
      <w:pPr>
        <w:spacing w:before="100" w:beforeAutospacing="1" w:after="100" w:afterAutospacing="1" w:line="240" w:lineRule="auto"/>
        <w:outlineLvl w:val="1"/>
        <w:rPr>
          <w:rFonts w:ascii="Times New Roman" w:eastAsia="Times New Roman" w:hAnsi="Times New Roman" w:cs="Times New Roman"/>
          <w:b/>
          <w:bCs/>
          <w:sz w:val="36"/>
          <w:szCs w:val="36"/>
        </w:rPr>
      </w:pPr>
    </w:p>
    <w:p w14:paraId="428096F4" w14:textId="77777777" w:rsidR="005150AF" w:rsidRPr="002A55F2" w:rsidRDefault="005150AF" w:rsidP="00211375">
      <w:pPr>
        <w:spacing w:before="100" w:beforeAutospacing="1" w:after="100" w:afterAutospacing="1" w:line="240" w:lineRule="auto"/>
        <w:outlineLvl w:val="1"/>
        <w:rPr>
          <w:rFonts w:ascii="Times New Roman" w:eastAsia="Times New Roman" w:hAnsi="Times New Roman" w:cs="Times New Roman"/>
          <w:b/>
          <w:bCs/>
          <w:sz w:val="36"/>
          <w:szCs w:val="36"/>
        </w:rPr>
      </w:pPr>
    </w:p>
    <w:p w14:paraId="5A2BE016" w14:textId="77777777" w:rsidR="00211375" w:rsidRPr="00027A2E" w:rsidRDefault="00137C71" w:rsidP="00027A2E">
      <w:pPr>
        <w:spacing w:before="100" w:beforeAutospacing="1" w:after="100" w:afterAutospacing="1"/>
        <w:jc w:val="both"/>
        <w:outlineLvl w:val="1"/>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ab/>
      </w:r>
      <w:bookmarkStart w:id="0" w:name="_Toc234247195"/>
      <w:bookmarkStart w:id="1" w:name="_Toc234339935"/>
      <w:r w:rsidR="00211375" w:rsidRPr="00027A2E">
        <w:rPr>
          <w:rFonts w:ascii="Times New Roman" w:eastAsia="Times New Roman" w:hAnsi="Times New Roman" w:cs="Times New Roman"/>
          <w:b/>
          <w:bCs/>
          <w:sz w:val="32"/>
          <w:szCs w:val="32"/>
        </w:rPr>
        <w:t>Executive Summary</w:t>
      </w:r>
      <w:bookmarkEnd w:id="0"/>
      <w:bookmarkEnd w:id="1"/>
    </w:p>
    <w:p w14:paraId="604096D7" w14:textId="77777777" w:rsidR="00C826A1" w:rsidRPr="00027A2E" w:rsidRDefault="00027A2E" w:rsidP="00027A2E">
      <w:pPr>
        <w:pStyle w:val="NormalWeb"/>
        <w:spacing w:line="276" w:lineRule="auto"/>
        <w:jc w:val="both"/>
      </w:pPr>
      <w:r>
        <w:tab/>
      </w:r>
      <w:r w:rsidR="00C826A1" w:rsidRPr="00027A2E">
        <w:t>This report evaluates stakeholder engagement in relation to the proposed launch of ConnectPlus, an AI-powered customer loyalty and engagement platform developed by Tesco. The platform aims to enhance customer experience through personalized recommendations, mobile-based rewards, and data-driven customer insights.</w:t>
      </w:r>
    </w:p>
    <w:p w14:paraId="28E790B2" w14:textId="77777777" w:rsidR="00C826A1" w:rsidRPr="00027A2E" w:rsidRDefault="00027A2E" w:rsidP="00027A2E">
      <w:pPr>
        <w:pStyle w:val="NormalWeb"/>
        <w:spacing w:line="276" w:lineRule="auto"/>
        <w:jc w:val="both"/>
      </w:pPr>
      <w:r>
        <w:tab/>
      </w:r>
      <w:r w:rsidR="00C826A1" w:rsidRPr="00027A2E">
        <w:t xml:space="preserve">The report identifies and categorizes key internal and external stakeholders using </w:t>
      </w:r>
      <w:r w:rsidR="00C826A1" w:rsidRPr="00657E19">
        <w:rPr>
          <w:lang w:val="en-GB"/>
        </w:rPr>
        <w:t>Mendelow’s</w:t>
      </w:r>
      <w:r w:rsidR="00C826A1" w:rsidRPr="00027A2E">
        <w:t xml:space="preserve"> Power-Interest Matrix and Mitchell et al.’s Salience Model. It examines the roles, responsibilities, benefits, and challenges associated with these stakeholders and analyses how effective engagement can contribute to project success.</w:t>
      </w:r>
    </w:p>
    <w:p w14:paraId="56A6C74B" w14:textId="77777777" w:rsidR="00C826A1" w:rsidRPr="00027A2E" w:rsidRDefault="00027A2E" w:rsidP="00027A2E">
      <w:pPr>
        <w:pStyle w:val="NormalWeb"/>
        <w:spacing w:line="276" w:lineRule="auto"/>
        <w:jc w:val="both"/>
      </w:pPr>
      <w:r>
        <w:tab/>
      </w:r>
      <w:r w:rsidR="00C826A1" w:rsidRPr="00027A2E">
        <w:t>A range of stakeholder engagement frameworks, including the RACI Matrix and the 4C Model, are applied to evaluate communication, collaboration, consultation, and commitment throughout the project lifecycle. The report also considers potential stakeholder conflicts, cultural differences across international markets, and ethical issues relating to AI and customer data privacy.</w:t>
      </w:r>
    </w:p>
    <w:p w14:paraId="57385ECA" w14:textId="77777777" w:rsidR="00C826A1" w:rsidRPr="00027A2E" w:rsidRDefault="00027A2E" w:rsidP="00027A2E">
      <w:pPr>
        <w:pStyle w:val="NormalWeb"/>
        <w:spacing w:line="276" w:lineRule="auto"/>
        <w:jc w:val="both"/>
      </w:pPr>
      <w:r>
        <w:tab/>
      </w:r>
      <w:r w:rsidR="00C826A1" w:rsidRPr="00027A2E">
        <w:t>The findings indicate that sustainable stakeholder engagement plays a significant role in improving customer loyalty, organizational performance, innovation, and long-term competitiveness. The report concludes that Tesco can maximize the success of ConnectPlus by maintaining transparent communication, strengthening stakeholder relationships, and embedding ethical and customer-focused practices throughout implementation.</w:t>
      </w:r>
    </w:p>
    <w:p w14:paraId="28993D5B" w14:textId="77777777" w:rsidR="00211375" w:rsidRPr="00027A2E" w:rsidRDefault="00211375" w:rsidP="00027A2E">
      <w:pPr>
        <w:spacing w:before="100" w:beforeAutospacing="1" w:after="100" w:afterAutospacing="1"/>
        <w:jc w:val="both"/>
        <w:rPr>
          <w:rFonts w:ascii="Times New Roman" w:eastAsia="Times New Roman" w:hAnsi="Times New Roman" w:cs="Times New Roman"/>
          <w:sz w:val="24"/>
          <w:szCs w:val="24"/>
        </w:rPr>
      </w:pPr>
    </w:p>
    <w:p w14:paraId="19D39AF6" w14:textId="77777777" w:rsidR="00C826A1" w:rsidRPr="00027A2E" w:rsidRDefault="00C826A1" w:rsidP="00027A2E">
      <w:pPr>
        <w:spacing w:before="100" w:beforeAutospacing="1" w:after="100" w:afterAutospacing="1"/>
        <w:jc w:val="both"/>
        <w:rPr>
          <w:rFonts w:ascii="Times New Roman" w:eastAsia="Times New Roman" w:hAnsi="Times New Roman" w:cs="Times New Roman"/>
          <w:sz w:val="24"/>
          <w:szCs w:val="24"/>
        </w:rPr>
      </w:pPr>
    </w:p>
    <w:p w14:paraId="65EC8D1B" w14:textId="77777777" w:rsidR="00C826A1" w:rsidRPr="00027A2E" w:rsidRDefault="00C826A1" w:rsidP="00027A2E">
      <w:pPr>
        <w:spacing w:before="100" w:beforeAutospacing="1" w:after="100" w:afterAutospacing="1"/>
        <w:jc w:val="both"/>
        <w:rPr>
          <w:rFonts w:ascii="Times New Roman" w:eastAsia="Times New Roman" w:hAnsi="Times New Roman" w:cs="Times New Roman"/>
          <w:sz w:val="24"/>
          <w:szCs w:val="24"/>
        </w:rPr>
      </w:pPr>
    </w:p>
    <w:p w14:paraId="3EEE386C" w14:textId="77777777" w:rsidR="00C826A1" w:rsidRDefault="00C826A1" w:rsidP="00027A2E">
      <w:pPr>
        <w:spacing w:after="0"/>
        <w:jc w:val="both"/>
        <w:rPr>
          <w:rFonts w:ascii="Times New Roman" w:eastAsia="Times New Roman" w:hAnsi="Times New Roman" w:cs="Times New Roman"/>
          <w:sz w:val="24"/>
          <w:szCs w:val="24"/>
        </w:rPr>
      </w:pPr>
    </w:p>
    <w:p w14:paraId="53F76B7D" w14:textId="77777777" w:rsidR="00B71149" w:rsidRDefault="00B71149" w:rsidP="00027A2E">
      <w:pPr>
        <w:spacing w:after="0"/>
        <w:jc w:val="both"/>
        <w:rPr>
          <w:rFonts w:ascii="Times New Roman" w:eastAsia="Times New Roman" w:hAnsi="Times New Roman" w:cs="Times New Roman"/>
          <w:sz w:val="24"/>
          <w:szCs w:val="24"/>
        </w:rPr>
      </w:pPr>
    </w:p>
    <w:p w14:paraId="55E37599" w14:textId="77777777" w:rsidR="00B71149" w:rsidRDefault="00B71149" w:rsidP="00027A2E">
      <w:pPr>
        <w:spacing w:after="0"/>
        <w:jc w:val="both"/>
        <w:rPr>
          <w:rFonts w:ascii="Times New Roman" w:eastAsia="Times New Roman" w:hAnsi="Times New Roman" w:cs="Times New Roman"/>
          <w:sz w:val="24"/>
          <w:szCs w:val="24"/>
        </w:rPr>
      </w:pPr>
    </w:p>
    <w:p w14:paraId="12234A99" w14:textId="77777777" w:rsidR="005928EA" w:rsidRDefault="005928EA" w:rsidP="00027A2E">
      <w:pPr>
        <w:spacing w:after="0"/>
        <w:jc w:val="both"/>
        <w:rPr>
          <w:rFonts w:ascii="Times New Roman" w:eastAsia="Times New Roman" w:hAnsi="Times New Roman" w:cs="Times New Roman"/>
          <w:sz w:val="24"/>
          <w:szCs w:val="24"/>
        </w:rPr>
      </w:pPr>
    </w:p>
    <w:p w14:paraId="6EF18527" w14:textId="77777777" w:rsidR="005928EA" w:rsidRDefault="005928EA" w:rsidP="00027A2E">
      <w:pPr>
        <w:spacing w:after="0"/>
        <w:jc w:val="both"/>
        <w:rPr>
          <w:rFonts w:ascii="Times New Roman" w:eastAsia="Times New Roman" w:hAnsi="Times New Roman" w:cs="Times New Roman"/>
          <w:sz w:val="24"/>
          <w:szCs w:val="24"/>
        </w:rPr>
      </w:pPr>
    </w:p>
    <w:p w14:paraId="428E2480" w14:textId="77777777" w:rsidR="005928EA" w:rsidRDefault="005928EA" w:rsidP="00027A2E">
      <w:pPr>
        <w:spacing w:after="0"/>
        <w:jc w:val="both"/>
        <w:rPr>
          <w:rFonts w:ascii="Times New Roman" w:eastAsia="Times New Roman" w:hAnsi="Times New Roman" w:cs="Times New Roman"/>
          <w:sz w:val="24"/>
          <w:szCs w:val="24"/>
        </w:rPr>
      </w:pPr>
    </w:p>
    <w:p w14:paraId="621B1B97" w14:textId="77777777" w:rsidR="005928EA" w:rsidRDefault="005928EA" w:rsidP="00027A2E">
      <w:pPr>
        <w:spacing w:after="0"/>
        <w:jc w:val="both"/>
        <w:rPr>
          <w:rFonts w:ascii="Times New Roman" w:eastAsia="Times New Roman" w:hAnsi="Times New Roman" w:cs="Times New Roman"/>
          <w:sz w:val="24"/>
          <w:szCs w:val="24"/>
        </w:rPr>
      </w:pPr>
    </w:p>
    <w:p w14:paraId="44FE4892" w14:textId="77777777" w:rsidR="005928EA" w:rsidRDefault="005928EA" w:rsidP="00027A2E">
      <w:pPr>
        <w:spacing w:after="0"/>
        <w:jc w:val="both"/>
        <w:rPr>
          <w:rFonts w:ascii="Times New Roman" w:eastAsia="Times New Roman" w:hAnsi="Times New Roman" w:cs="Times New Roman"/>
          <w:sz w:val="24"/>
          <w:szCs w:val="24"/>
        </w:rPr>
      </w:pPr>
    </w:p>
    <w:p w14:paraId="6A32E546" w14:textId="77777777" w:rsidR="005928EA" w:rsidRDefault="005928EA" w:rsidP="00027A2E">
      <w:pPr>
        <w:spacing w:after="0"/>
        <w:jc w:val="both"/>
        <w:rPr>
          <w:rFonts w:ascii="Times New Roman" w:eastAsia="Times New Roman" w:hAnsi="Times New Roman" w:cs="Times New Roman"/>
          <w:sz w:val="24"/>
          <w:szCs w:val="24"/>
        </w:rPr>
      </w:pPr>
    </w:p>
    <w:p w14:paraId="3D929F46" w14:textId="77777777" w:rsidR="005928EA" w:rsidRPr="00027A2E" w:rsidRDefault="005928EA" w:rsidP="00027A2E">
      <w:pPr>
        <w:spacing w:after="0"/>
        <w:jc w:val="both"/>
        <w:rPr>
          <w:rFonts w:ascii="Times New Roman" w:eastAsia="Times New Roman" w:hAnsi="Times New Roman" w:cs="Times New Roman"/>
          <w:sz w:val="24"/>
          <w:szCs w:val="24"/>
        </w:rPr>
      </w:pPr>
    </w:p>
    <w:p w14:paraId="3CF50909" w14:textId="77777777" w:rsidR="00211375" w:rsidRPr="00027A2E" w:rsidRDefault="00211375" w:rsidP="00027A2E">
      <w:pPr>
        <w:pStyle w:val="ListParagraph"/>
        <w:numPr>
          <w:ilvl w:val="0"/>
          <w:numId w:val="39"/>
        </w:numPr>
        <w:spacing w:before="100" w:beforeAutospacing="1" w:after="100" w:afterAutospacing="1"/>
        <w:jc w:val="both"/>
        <w:outlineLvl w:val="1"/>
        <w:rPr>
          <w:rFonts w:ascii="Times New Roman" w:eastAsia="Times New Roman" w:hAnsi="Times New Roman" w:cs="Times New Roman"/>
          <w:b/>
          <w:bCs/>
          <w:sz w:val="36"/>
          <w:szCs w:val="36"/>
        </w:rPr>
      </w:pPr>
      <w:bookmarkStart w:id="2" w:name="_Toc234247196"/>
      <w:bookmarkStart w:id="3" w:name="_Toc234339936"/>
      <w:r w:rsidRPr="00027A2E">
        <w:rPr>
          <w:rFonts w:ascii="Times New Roman" w:eastAsia="Times New Roman" w:hAnsi="Times New Roman" w:cs="Times New Roman"/>
          <w:b/>
          <w:bCs/>
          <w:sz w:val="36"/>
          <w:szCs w:val="36"/>
        </w:rPr>
        <w:t>Introduction</w:t>
      </w:r>
      <w:bookmarkEnd w:id="2"/>
      <w:bookmarkEnd w:id="3"/>
    </w:p>
    <w:p w14:paraId="1F68787C" w14:textId="77777777" w:rsidR="002B2203" w:rsidRDefault="00027A2E" w:rsidP="00027A2E">
      <w:pPr>
        <w:pStyle w:val="isselectedend"/>
        <w:spacing w:line="276" w:lineRule="auto"/>
        <w:jc w:val="both"/>
      </w:pPr>
      <w:r>
        <w:tab/>
      </w:r>
      <w:r w:rsidR="002B2203" w:rsidRPr="00027A2E">
        <w:t xml:space="preserve">Tesco is one of the largest retail and e-commerce </w:t>
      </w:r>
      <w:r w:rsidRPr="00027A2E">
        <w:t>organizations</w:t>
      </w:r>
      <w:r w:rsidR="002B2203" w:rsidRPr="00027A2E">
        <w:t xml:space="preserve"> in the United Kingdom, serving millions of customers through its physical store network and digital platforms. Founded in 1919, the company has grown into a multinational retailer with a presence in groceries, clothing, financial services, and online shopping. Tesco has invested heavily in digital transformation initiatives in recent years to improve customer experience, enhance operational efficiency and maintain its competitive position in the rapidly changing retail </w:t>
      </w:r>
      <w:r w:rsidRPr="00027A2E">
        <w:t>sector. The</w:t>
      </w:r>
      <w:r w:rsidR="002B2203" w:rsidRPr="00027A2E">
        <w:t xml:space="preserve"> growth of e-commerce and the increased use of artificial intelligence (AI) have dramatically changed customer expectations. Today’s consumer demands </w:t>
      </w:r>
      <w:r w:rsidRPr="00027A2E">
        <w:t>personalized</w:t>
      </w:r>
      <w:r w:rsidR="002B2203" w:rsidRPr="00027A2E">
        <w:t xml:space="preserve"> experiences, mobile convenience and tailored promotions to match their preferences. </w:t>
      </w:r>
      <w:r>
        <w:tab/>
      </w:r>
      <w:r w:rsidR="002B2203" w:rsidRPr="00027A2E">
        <w:t>Consequently, there is a growing use of data-driven technologies by retailers to enhance customer relationships and long-term loyalty (Chaffey and Ellis-Chadwick, 2019</w:t>
      </w:r>
      <w:proofErr w:type="gramStart"/>
      <w:r w:rsidR="002B2203" w:rsidRPr="00027A2E">
        <w:t>).In</w:t>
      </w:r>
      <w:proofErr w:type="gramEnd"/>
      <w:r w:rsidR="002B2203" w:rsidRPr="00027A2E">
        <w:t xml:space="preserve"> response to these market changes, Tesco is set to launch ConnectPlus, a new AI-powered platform for customer loyalty and engagement. </w:t>
      </w:r>
      <w:r>
        <w:tab/>
      </w:r>
      <w:r w:rsidR="002B2203" w:rsidRPr="00027A2E">
        <w:t xml:space="preserve">The platform will combine personalized product recommendations, mobile-based rewards, and advanced customer analytics into one digital ecosystem. The purpose is to improve customer retention, empower decision making based on data and build a stronger competitive edge of Tesco in the domestic and international </w:t>
      </w:r>
      <w:r w:rsidRPr="00027A2E">
        <w:t>market. But</w:t>
      </w:r>
      <w:r w:rsidR="002B2203" w:rsidRPr="00027A2E">
        <w:t xml:space="preserve"> the success of ConnectPlus will depend on more than just technological capability. </w:t>
      </w:r>
      <w:r>
        <w:tab/>
      </w:r>
      <w:r w:rsidR="002B2203" w:rsidRPr="00027A2E">
        <w:t xml:space="preserve">Freeman (1984) claims that </w:t>
      </w:r>
      <w:r w:rsidRPr="00027A2E">
        <w:t>organizations</w:t>
      </w:r>
      <w:r w:rsidR="002B2203" w:rsidRPr="00027A2E">
        <w:t xml:space="preserve"> should manage the relationships with stakeholders who can affect or be affected by </w:t>
      </w:r>
      <w:r w:rsidRPr="00027A2E">
        <w:t>organizational</w:t>
      </w:r>
      <w:r w:rsidR="002B2203" w:rsidRPr="00027A2E">
        <w:t xml:space="preserve"> objectives. This underscores the need for stakeholder engagement across the project lifecycle. Employees, customers, suppliers, investors, regulators and technology partners all would have different expectations and level of influence that need to be managed </w:t>
      </w:r>
      <w:r w:rsidRPr="00027A2E">
        <w:t xml:space="preserve">carefully. </w:t>
      </w:r>
      <w:r w:rsidR="00D44796">
        <w:tab/>
      </w:r>
      <w:r w:rsidRPr="00027A2E">
        <w:t>The</w:t>
      </w:r>
      <w:r w:rsidR="002B2203" w:rsidRPr="00027A2E">
        <w:t xml:space="preserve"> report will identify and classify the key stakeholders of the ConnectPlus project and evaluate their roles and responsibilities. It will also critically assess the strategies for stakeholder engagement and how sustainable stakeholder engagement can contribute to improved business performance and </w:t>
      </w:r>
      <w:proofErr w:type="gramStart"/>
      <w:r w:rsidR="002B2203" w:rsidRPr="00027A2E">
        <w:t>long term</w:t>
      </w:r>
      <w:proofErr w:type="gramEnd"/>
      <w:r w:rsidR="002B2203" w:rsidRPr="00027A2E">
        <w:t xml:space="preserve"> </w:t>
      </w:r>
      <w:r w:rsidRPr="00027A2E">
        <w:t>organizational</w:t>
      </w:r>
      <w:r w:rsidR="002B2203" w:rsidRPr="00027A2E">
        <w:t xml:space="preserve"> success.</w:t>
      </w:r>
    </w:p>
    <w:p w14:paraId="05E2FB33" w14:textId="77777777" w:rsidR="00027A2E" w:rsidRDefault="00027A2E" w:rsidP="00027A2E">
      <w:pPr>
        <w:pStyle w:val="isselectedend"/>
        <w:spacing w:line="276" w:lineRule="auto"/>
        <w:jc w:val="both"/>
      </w:pPr>
    </w:p>
    <w:p w14:paraId="6FCB984F" w14:textId="77777777" w:rsidR="00027A2E" w:rsidRDefault="00027A2E" w:rsidP="00027A2E">
      <w:pPr>
        <w:pStyle w:val="isselectedend"/>
        <w:spacing w:line="276" w:lineRule="auto"/>
        <w:jc w:val="both"/>
      </w:pPr>
    </w:p>
    <w:p w14:paraId="709F0529" w14:textId="77777777" w:rsidR="00027A2E" w:rsidRDefault="00027A2E" w:rsidP="00027A2E">
      <w:pPr>
        <w:pStyle w:val="isselectedend"/>
        <w:spacing w:line="276" w:lineRule="auto"/>
        <w:jc w:val="both"/>
      </w:pPr>
    </w:p>
    <w:p w14:paraId="1F95D67B" w14:textId="77777777" w:rsidR="00027A2E" w:rsidRDefault="00027A2E" w:rsidP="00027A2E">
      <w:pPr>
        <w:pStyle w:val="isselectedend"/>
        <w:spacing w:line="276" w:lineRule="auto"/>
        <w:jc w:val="both"/>
      </w:pPr>
    </w:p>
    <w:p w14:paraId="5251E567" w14:textId="77777777" w:rsidR="00027A2E" w:rsidRDefault="00027A2E" w:rsidP="00027A2E">
      <w:pPr>
        <w:pStyle w:val="isselectedend"/>
        <w:spacing w:line="276" w:lineRule="auto"/>
        <w:jc w:val="both"/>
      </w:pPr>
    </w:p>
    <w:p w14:paraId="2ADA8D84" w14:textId="77777777" w:rsidR="00027A2E" w:rsidRPr="00027A2E" w:rsidRDefault="00027A2E" w:rsidP="00027A2E">
      <w:pPr>
        <w:pStyle w:val="isselectedend"/>
        <w:spacing w:line="276" w:lineRule="auto"/>
        <w:jc w:val="both"/>
      </w:pPr>
    </w:p>
    <w:p w14:paraId="1D73C66A" w14:textId="77777777" w:rsidR="00125DE1" w:rsidRPr="00125DE1" w:rsidRDefault="00211375" w:rsidP="00125DE1">
      <w:pPr>
        <w:pStyle w:val="ListParagraph"/>
        <w:numPr>
          <w:ilvl w:val="0"/>
          <w:numId w:val="39"/>
        </w:numPr>
        <w:spacing w:before="100" w:beforeAutospacing="1" w:after="100" w:afterAutospacing="1"/>
        <w:jc w:val="both"/>
        <w:outlineLvl w:val="1"/>
        <w:rPr>
          <w:rFonts w:ascii="Times New Roman" w:eastAsia="Times New Roman" w:hAnsi="Times New Roman" w:cs="Times New Roman"/>
          <w:b/>
          <w:bCs/>
          <w:sz w:val="36"/>
          <w:szCs w:val="36"/>
        </w:rPr>
      </w:pPr>
      <w:bookmarkStart w:id="4" w:name="_Toc234247197"/>
      <w:bookmarkStart w:id="5" w:name="_Toc234339937"/>
      <w:r w:rsidRPr="00125DE1">
        <w:rPr>
          <w:rFonts w:ascii="Times New Roman" w:eastAsia="Times New Roman" w:hAnsi="Times New Roman" w:cs="Times New Roman"/>
          <w:b/>
          <w:bCs/>
          <w:sz w:val="36"/>
          <w:szCs w:val="36"/>
        </w:rPr>
        <w:t>SMART Objectives</w:t>
      </w:r>
      <w:bookmarkEnd w:id="4"/>
      <w:bookmarkEnd w:id="5"/>
    </w:p>
    <w:p w14:paraId="7D8F9297" w14:textId="77777777" w:rsidR="00BC2D0F" w:rsidRPr="00027A2E" w:rsidRDefault="00125DE1"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The ConnectPlus project has been developed around the SMART framework to ensure that objectives are clear, measurable, and aligned with Tesco’s strategic priorities.</w:t>
      </w:r>
    </w:p>
    <w:p w14:paraId="07F7B301" w14:textId="77777777" w:rsidR="00BC2D0F" w:rsidRPr="00027A2E" w:rsidRDefault="00BC2D0F" w:rsidP="00027A2E">
      <w:pPr>
        <w:numPr>
          <w:ilvl w:val="0"/>
          <w:numId w:val="21"/>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b/>
          <w:bCs/>
          <w:sz w:val="24"/>
          <w:szCs w:val="24"/>
        </w:rPr>
        <w:t>Specific:</w:t>
      </w:r>
      <w:r w:rsidRPr="00027A2E">
        <w:rPr>
          <w:rFonts w:ascii="Times New Roman" w:eastAsia="Times New Roman" w:hAnsi="Times New Roman" w:cs="Times New Roman"/>
          <w:sz w:val="24"/>
          <w:szCs w:val="24"/>
        </w:rPr>
        <w:t xml:space="preserve"> To successfully launch the ConnectPlus AI-powered customer loyalty and engagement platform across selected Tesco markets, integrating </w:t>
      </w:r>
      <w:r w:rsidR="00125DE1" w:rsidRPr="00027A2E">
        <w:rPr>
          <w:rFonts w:ascii="Times New Roman" w:eastAsia="Times New Roman" w:hAnsi="Times New Roman" w:cs="Times New Roman"/>
          <w:sz w:val="24"/>
          <w:szCs w:val="24"/>
        </w:rPr>
        <w:t>personalized</w:t>
      </w:r>
      <w:r w:rsidRPr="00027A2E">
        <w:rPr>
          <w:rFonts w:ascii="Times New Roman" w:eastAsia="Times New Roman" w:hAnsi="Times New Roman" w:cs="Times New Roman"/>
          <w:sz w:val="24"/>
          <w:szCs w:val="24"/>
        </w:rPr>
        <w:t xml:space="preserve"> recommendations, mobile rewards, and customer insight features. </w:t>
      </w:r>
    </w:p>
    <w:p w14:paraId="449AE27D" w14:textId="77777777" w:rsidR="00BC2D0F" w:rsidRPr="00027A2E" w:rsidRDefault="00BC2D0F" w:rsidP="00027A2E">
      <w:pPr>
        <w:numPr>
          <w:ilvl w:val="0"/>
          <w:numId w:val="21"/>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b/>
          <w:bCs/>
          <w:sz w:val="24"/>
          <w:szCs w:val="24"/>
        </w:rPr>
        <w:t>Measurable:</w:t>
      </w:r>
      <w:r w:rsidRPr="00027A2E">
        <w:rPr>
          <w:rFonts w:ascii="Times New Roman" w:eastAsia="Times New Roman" w:hAnsi="Times New Roman" w:cs="Times New Roman"/>
          <w:sz w:val="24"/>
          <w:szCs w:val="24"/>
        </w:rPr>
        <w:t xml:space="preserve"> To increase customer engagement by 25%, improve customer retention by 15%, and achieve a 20% increase in loyalty programme participation within 12 months of launch. </w:t>
      </w:r>
    </w:p>
    <w:p w14:paraId="04EFA6F0" w14:textId="77777777" w:rsidR="00BC2D0F" w:rsidRPr="00027A2E" w:rsidRDefault="00BC2D0F" w:rsidP="00027A2E">
      <w:pPr>
        <w:numPr>
          <w:ilvl w:val="0"/>
          <w:numId w:val="21"/>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b/>
          <w:bCs/>
          <w:sz w:val="24"/>
          <w:szCs w:val="24"/>
        </w:rPr>
        <w:t>Achievable:</w:t>
      </w:r>
      <w:r w:rsidRPr="00027A2E">
        <w:rPr>
          <w:rFonts w:ascii="Times New Roman" w:eastAsia="Times New Roman" w:hAnsi="Times New Roman" w:cs="Times New Roman"/>
          <w:sz w:val="24"/>
          <w:szCs w:val="24"/>
        </w:rPr>
        <w:t xml:space="preserve"> The objective is realistic due to Tesco’s established digital infrastructure, extensive customer database, and experience managing loyalty </w:t>
      </w:r>
      <w:r w:rsidR="00125DE1" w:rsidRPr="00027A2E">
        <w:rPr>
          <w:rFonts w:ascii="Times New Roman" w:eastAsia="Times New Roman" w:hAnsi="Times New Roman" w:cs="Times New Roman"/>
          <w:sz w:val="24"/>
          <w:szCs w:val="24"/>
        </w:rPr>
        <w:t>programmers</w:t>
      </w:r>
      <w:r w:rsidRPr="00027A2E">
        <w:rPr>
          <w:rFonts w:ascii="Times New Roman" w:eastAsia="Times New Roman" w:hAnsi="Times New Roman" w:cs="Times New Roman"/>
          <w:sz w:val="24"/>
          <w:szCs w:val="24"/>
        </w:rPr>
        <w:t xml:space="preserve"> such as </w:t>
      </w:r>
      <w:r w:rsidR="00657E19" w:rsidRPr="00027A2E">
        <w:rPr>
          <w:rFonts w:ascii="Times New Roman" w:eastAsia="Times New Roman" w:hAnsi="Times New Roman" w:cs="Times New Roman"/>
          <w:sz w:val="24"/>
          <w:szCs w:val="24"/>
        </w:rPr>
        <w:t>Club card</w:t>
      </w:r>
      <w:r w:rsidRPr="00027A2E">
        <w:rPr>
          <w:rFonts w:ascii="Times New Roman" w:eastAsia="Times New Roman" w:hAnsi="Times New Roman" w:cs="Times New Roman"/>
          <w:sz w:val="24"/>
          <w:szCs w:val="24"/>
        </w:rPr>
        <w:t xml:space="preserve">. </w:t>
      </w:r>
    </w:p>
    <w:p w14:paraId="78E3EA46" w14:textId="77777777" w:rsidR="00BC2D0F" w:rsidRPr="00027A2E" w:rsidRDefault="00BC2D0F" w:rsidP="00027A2E">
      <w:pPr>
        <w:numPr>
          <w:ilvl w:val="0"/>
          <w:numId w:val="21"/>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b/>
          <w:bCs/>
          <w:sz w:val="24"/>
          <w:szCs w:val="24"/>
        </w:rPr>
        <w:t>Relevant:</w:t>
      </w:r>
      <w:r w:rsidRPr="00027A2E">
        <w:rPr>
          <w:rFonts w:ascii="Times New Roman" w:eastAsia="Times New Roman" w:hAnsi="Times New Roman" w:cs="Times New Roman"/>
          <w:sz w:val="24"/>
          <w:szCs w:val="24"/>
        </w:rPr>
        <w:t xml:space="preserve"> The project directly supports Tesco’s digital transformation strategy and long-term customer relationship management objectives (Chaffey and Ellis-Chadwick, 2019). </w:t>
      </w:r>
    </w:p>
    <w:p w14:paraId="5A9F7C42" w14:textId="77777777" w:rsidR="00BC2D0F" w:rsidRDefault="00BC2D0F" w:rsidP="00027A2E">
      <w:pPr>
        <w:numPr>
          <w:ilvl w:val="0"/>
          <w:numId w:val="21"/>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b/>
          <w:bCs/>
          <w:sz w:val="24"/>
          <w:szCs w:val="24"/>
        </w:rPr>
        <w:t>Time-Bound:</w:t>
      </w:r>
      <w:r w:rsidRPr="00027A2E">
        <w:rPr>
          <w:rFonts w:ascii="Times New Roman" w:eastAsia="Times New Roman" w:hAnsi="Times New Roman" w:cs="Times New Roman"/>
          <w:sz w:val="24"/>
          <w:szCs w:val="24"/>
        </w:rPr>
        <w:t xml:space="preserve"> The platform will be developed, tested, and implemented within six months, followed by continuous monitoring and performance evaluation.</w:t>
      </w:r>
    </w:p>
    <w:p w14:paraId="336EE158" w14:textId="77777777" w:rsidR="00125DE1" w:rsidRPr="00027A2E" w:rsidRDefault="00125DE1" w:rsidP="00125DE1">
      <w:pPr>
        <w:spacing w:before="100" w:beforeAutospacing="1" w:after="100" w:afterAutospacing="1"/>
        <w:ind w:left="720"/>
        <w:jc w:val="both"/>
        <w:rPr>
          <w:rFonts w:ascii="Times New Roman" w:eastAsia="Times New Roman" w:hAnsi="Times New Roman" w:cs="Times New Roman"/>
          <w:sz w:val="24"/>
          <w:szCs w:val="24"/>
        </w:rPr>
      </w:pPr>
    </w:p>
    <w:p w14:paraId="3FC7BFFD" w14:textId="77777777" w:rsidR="00125DE1" w:rsidRPr="00125DE1" w:rsidRDefault="00211375" w:rsidP="00125DE1">
      <w:pPr>
        <w:pStyle w:val="ListParagraph"/>
        <w:numPr>
          <w:ilvl w:val="0"/>
          <w:numId w:val="39"/>
        </w:numPr>
        <w:spacing w:before="100" w:beforeAutospacing="1" w:after="100" w:afterAutospacing="1"/>
        <w:jc w:val="both"/>
        <w:outlineLvl w:val="1"/>
        <w:rPr>
          <w:rFonts w:ascii="Times New Roman" w:eastAsia="Times New Roman" w:hAnsi="Times New Roman" w:cs="Times New Roman"/>
          <w:b/>
          <w:bCs/>
          <w:sz w:val="36"/>
          <w:szCs w:val="36"/>
        </w:rPr>
      </w:pPr>
      <w:bookmarkStart w:id="6" w:name="_Toc234247198"/>
      <w:bookmarkStart w:id="7" w:name="_Toc234339938"/>
      <w:r w:rsidRPr="00125DE1">
        <w:rPr>
          <w:rFonts w:ascii="Times New Roman" w:eastAsia="Times New Roman" w:hAnsi="Times New Roman" w:cs="Times New Roman"/>
          <w:b/>
          <w:bCs/>
          <w:sz w:val="36"/>
          <w:szCs w:val="36"/>
        </w:rPr>
        <w:t xml:space="preserve">Stakeholder Identification and </w:t>
      </w:r>
      <w:r w:rsidR="00125DE1" w:rsidRPr="00125DE1">
        <w:rPr>
          <w:rFonts w:ascii="Times New Roman" w:eastAsia="Times New Roman" w:hAnsi="Times New Roman" w:cs="Times New Roman"/>
          <w:b/>
          <w:bCs/>
          <w:sz w:val="36"/>
          <w:szCs w:val="36"/>
        </w:rPr>
        <w:t>Categorization</w:t>
      </w:r>
      <w:bookmarkEnd w:id="6"/>
      <w:bookmarkEnd w:id="7"/>
    </w:p>
    <w:p w14:paraId="6D1D30A3" w14:textId="77777777" w:rsidR="000C63BC" w:rsidRDefault="00125DE1" w:rsidP="000C63BC">
      <w:pPr>
        <w:pStyle w:val="isselectedend"/>
        <w:spacing w:line="276" w:lineRule="auto"/>
      </w:pPr>
      <w:r>
        <w:tab/>
      </w:r>
      <w:r w:rsidR="000C63BC">
        <w:t>Effective stakeholder identification is essential for the success of large digital transformation projects such as ConnectPlus. Stakeholders influence project outcomes through their decisions, actions, and expectations. Freeman (1984) argues that organizations should create value for all stakeholders, not just shareholders. Therefore, Tesco must identify and understand the interests of both internal and external stakeholders before implementing ConnectPlus. To manage this complexity, Tesco can use Mendelow’s Power-Interest Matrix and Mitchell et al.’s (1997) Salience Model to assess stakeholder importance and develop appropriate engagement strategies.</w:t>
      </w:r>
    </w:p>
    <w:p w14:paraId="13DFD45B" w14:textId="77777777" w:rsidR="00BC2D0F" w:rsidRPr="00027A2E" w:rsidRDefault="001C1FB3" w:rsidP="00027A2E">
      <w:pPr>
        <w:spacing w:before="100" w:beforeAutospacing="1" w:after="100" w:afterAutospacing="1"/>
        <w:jc w:val="both"/>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ab/>
      </w:r>
      <w:bookmarkStart w:id="8" w:name="_Toc231677153"/>
      <w:bookmarkStart w:id="9" w:name="_Toc234246900"/>
      <w:bookmarkStart w:id="10" w:name="_Toc234247200"/>
      <w:bookmarkStart w:id="11" w:name="_Toc234339369"/>
      <w:bookmarkStart w:id="12" w:name="_Toc234339939"/>
      <w:r w:rsidR="00BC2D0F" w:rsidRPr="00027A2E">
        <w:rPr>
          <w:rFonts w:ascii="Times New Roman" w:eastAsia="Times New Roman" w:hAnsi="Times New Roman" w:cs="Times New Roman"/>
          <w:b/>
          <w:bCs/>
          <w:sz w:val="36"/>
          <w:szCs w:val="36"/>
        </w:rPr>
        <w:t>Application of Mendelow’s Power-Interest Matrix</w:t>
      </w:r>
      <w:bookmarkEnd w:id="8"/>
      <w:bookmarkEnd w:id="9"/>
      <w:bookmarkEnd w:id="10"/>
      <w:bookmarkEnd w:id="11"/>
      <w:bookmarkEnd w:id="12"/>
    </w:p>
    <w:p w14:paraId="0CE25332" w14:textId="77777777" w:rsidR="00BC2D0F" w:rsidRDefault="00FC2157" w:rsidP="00D504E7">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sidR="00BC2D0F" w:rsidRPr="00027A2E">
        <w:rPr>
          <w:rFonts w:ascii="Times New Roman" w:eastAsia="Times New Roman" w:hAnsi="Times New Roman" w:cs="Times New Roman"/>
          <w:sz w:val="24"/>
          <w:szCs w:val="24"/>
        </w:rPr>
        <w:t xml:space="preserve">Mendelow’s Matrix </w:t>
      </w:r>
      <w:r w:rsidR="00125DE1" w:rsidRPr="00027A2E">
        <w:rPr>
          <w:rFonts w:ascii="Times New Roman" w:eastAsia="Times New Roman" w:hAnsi="Times New Roman" w:cs="Times New Roman"/>
          <w:sz w:val="24"/>
          <w:szCs w:val="24"/>
        </w:rPr>
        <w:t>categorizes</w:t>
      </w:r>
      <w:r w:rsidR="00BC2D0F" w:rsidRPr="00027A2E">
        <w:rPr>
          <w:rFonts w:ascii="Times New Roman" w:eastAsia="Times New Roman" w:hAnsi="Times New Roman" w:cs="Times New Roman"/>
          <w:sz w:val="24"/>
          <w:szCs w:val="24"/>
        </w:rPr>
        <w:t xml:space="preserve"> stakeholders according to their level of power and interest in a project (Mendelow, 1991). This enables project managers to </w:t>
      </w:r>
      <w:r w:rsidR="00125DE1" w:rsidRPr="00027A2E">
        <w:rPr>
          <w:rFonts w:ascii="Times New Roman" w:eastAsia="Times New Roman" w:hAnsi="Times New Roman" w:cs="Times New Roman"/>
          <w:sz w:val="24"/>
          <w:szCs w:val="24"/>
        </w:rPr>
        <w:t>prioritize</w:t>
      </w:r>
      <w:r w:rsidR="00BC2D0F" w:rsidRPr="00027A2E">
        <w:rPr>
          <w:rFonts w:ascii="Times New Roman" w:eastAsia="Times New Roman" w:hAnsi="Times New Roman" w:cs="Times New Roman"/>
          <w:sz w:val="24"/>
          <w:szCs w:val="24"/>
        </w:rPr>
        <w:t xml:space="preserve"> engagement efforts and allocate resources more effectively.</w:t>
      </w:r>
    </w:p>
    <w:p w14:paraId="619E581D" w14:textId="77777777" w:rsidR="006B74DE" w:rsidRPr="00027A2E" w:rsidRDefault="006B74DE" w:rsidP="00D504E7">
      <w:pPr>
        <w:spacing w:before="100" w:beforeAutospacing="1" w:after="100" w:afterAutospacing="1"/>
        <w:jc w:val="both"/>
        <w:rPr>
          <w:rFonts w:ascii="Times New Roman" w:eastAsia="Times New Roman" w:hAnsi="Times New Roman" w:cs="Times New Roman"/>
          <w:sz w:val="24"/>
          <w:szCs w:val="24"/>
        </w:rPr>
      </w:pPr>
    </w:p>
    <w:p w14:paraId="12A73E29" w14:textId="77777777" w:rsidR="00BC2D0F" w:rsidRPr="00027A2E" w:rsidRDefault="001C1FB3"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13" w:name="_Toc231677154"/>
      <w:bookmarkStart w:id="14" w:name="_Toc234246901"/>
      <w:bookmarkStart w:id="15" w:name="_Toc234247201"/>
      <w:bookmarkStart w:id="16" w:name="_Toc234339370"/>
      <w:bookmarkStart w:id="17" w:name="_Toc234339940"/>
      <w:r w:rsidR="00BC2D0F" w:rsidRPr="00027A2E">
        <w:rPr>
          <w:rFonts w:ascii="Times New Roman" w:eastAsia="Times New Roman" w:hAnsi="Times New Roman" w:cs="Times New Roman"/>
          <w:b/>
          <w:bCs/>
          <w:sz w:val="27"/>
          <w:szCs w:val="27"/>
        </w:rPr>
        <w:t>High Power, High Interest – Manage Closely</w:t>
      </w:r>
      <w:bookmarkEnd w:id="13"/>
      <w:bookmarkEnd w:id="14"/>
      <w:bookmarkEnd w:id="15"/>
      <w:bookmarkEnd w:id="16"/>
      <w:bookmarkEnd w:id="17"/>
    </w:p>
    <w:p w14:paraId="35085468" w14:textId="77777777" w:rsidR="00BC2D0F" w:rsidRPr="00027A2E" w:rsidRDefault="001C1FB3"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Stakeholders within this category require the highest level of engagement because they possess significant influence over project decisions and are directly interested in project outcomes.</w:t>
      </w:r>
    </w:p>
    <w:p w14:paraId="1B9AE563" w14:textId="77777777" w:rsidR="00BC2D0F" w:rsidRPr="00027A2E" w:rsidRDefault="00BC2D0F" w:rsidP="00027A2E">
      <w:p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For the ConnectPlus project, this group includes:</w:t>
      </w:r>
    </w:p>
    <w:p w14:paraId="205EC502" w14:textId="77777777" w:rsidR="00BC2D0F" w:rsidRPr="00027A2E" w:rsidRDefault="00BC2D0F" w:rsidP="00027A2E">
      <w:pPr>
        <w:numPr>
          <w:ilvl w:val="0"/>
          <w:numId w:val="22"/>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Senior Management </w:t>
      </w:r>
    </w:p>
    <w:p w14:paraId="6EB8A07C" w14:textId="77777777" w:rsidR="00BC2D0F" w:rsidRPr="00027A2E" w:rsidRDefault="00BC2D0F" w:rsidP="00027A2E">
      <w:pPr>
        <w:numPr>
          <w:ilvl w:val="0"/>
          <w:numId w:val="22"/>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Board of Directors </w:t>
      </w:r>
    </w:p>
    <w:p w14:paraId="3BF1AF2E" w14:textId="77777777" w:rsidR="00BC2D0F" w:rsidRPr="00027A2E" w:rsidRDefault="00BC2D0F" w:rsidP="00027A2E">
      <w:pPr>
        <w:numPr>
          <w:ilvl w:val="0"/>
          <w:numId w:val="22"/>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Project Manager </w:t>
      </w:r>
    </w:p>
    <w:p w14:paraId="41DA5466" w14:textId="77777777" w:rsidR="00BC2D0F" w:rsidRPr="00027A2E" w:rsidRDefault="00BC2D0F" w:rsidP="00027A2E">
      <w:pPr>
        <w:numPr>
          <w:ilvl w:val="0"/>
          <w:numId w:val="22"/>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IT and Digital Development Teams </w:t>
      </w:r>
    </w:p>
    <w:p w14:paraId="6FE49AFA" w14:textId="77777777" w:rsidR="00BC2D0F" w:rsidRPr="00027A2E" w:rsidRDefault="00BC2D0F" w:rsidP="00027A2E">
      <w:pPr>
        <w:numPr>
          <w:ilvl w:val="0"/>
          <w:numId w:val="22"/>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Key Technology Partners </w:t>
      </w:r>
    </w:p>
    <w:p w14:paraId="301A656D" w14:textId="77777777" w:rsidR="00BC2D0F" w:rsidRPr="00027A2E" w:rsidRDefault="00352F27"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 xml:space="preserve">Senior management and the board have authority over strategic decisions, budgets, and </w:t>
      </w:r>
      <w:r w:rsidRPr="00027A2E">
        <w:rPr>
          <w:rFonts w:ascii="Times New Roman" w:eastAsia="Times New Roman" w:hAnsi="Times New Roman" w:cs="Times New Roman"/>
          <w:sz w:val="24"/>
          <w:szCs w:val="24"/>
        </w:rPr>
        <w:t>organizational</w:t>
      </w:r>
      <w:r w:rsidR="00BC2D0F" w:rsidRPr="00027A2E">
        <w:rPr>
          <w:rFonts w:ascii="Times New Roman" w:eastAsia="Times New Roman" w:hAnsi="Times New Roman" w:cs="Times New Roman"/>
          <w:sz w:val="24"/>
          <w:szCs w:val="24"/>
        </w:rPr>
        <w:t xml:space="preserve"> priorities. Their support is essential for securing resources and maintaining project momentum. Similarly, IT teams and technology partners are directly responsible for developing, testing, and deploying the platform. Without their active participation, the project would not be successfully implemented.</w:t>
      </w:r>
      <w:r w:rsidR="002B494C">
        <w:rPr>
          <w:rFonts w:ascii="Times New Roman" w:eastAsia="Times New Roman" w:hAnsi="Times New Roman" w:cs="Times New Roman"/>
          <w:sz w:val="24"/>
          <w:szCs w:val="24"/>
        </w:rPr>
        <w:t xml:space="preserve"> </w:t>
      </w:r>
      <w:r w:rsidR="00BC2D0F" w:rsidRPr="00027A2E">
        <w:rPr>
          <w:rFonts w:ascii="Times New Roman" w:eastAsia="Times New Roman" w:hAnsi="Times New Roman" w:cs="Times New Roman"/>
          <w:sz w:val="24"/>
          <w:szCs w:val="24"/>
        </w:rPr>
        <w:t>Because of their influence and involvement, these stakeholders should be engaged through regular meetings, progress reports, and participation in key decision-making activities (PMI, 2021).</w:t>
      </w:r>
    </w:p>
    <w:p w14:paraId="7FB1E321" w14:textId="77777777" w:rsidR="00BC2D0F" w:rsidRPr="00027A2E" w:rsidRDefault="00352F27"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18" w:name="_Toc231677155"/>
      <w:bookmarkStart w:id="19" w:name="_Toc234246902"/>
      <w:bookmarkStart w:id="20" w:name="_Toc234247202"/>
      <w:bookmarkStart w:id="21" w:name="_Toc234339941"/>
      <w:r w:rsidR="00BC2D0F" w:rsidRPr="00027A2E">
        <w:rPr>
          <w:rFonts w:ascii="Times New Roman" w:eastAsia="Times New Roman" w:hAnsi="Times New Roman" w:cs="Times New Roman"/>
          <w:b/>
          <w:bCs/>
          <w:sz w:val="27"/>
          <w:szCs w:val="27"/>
        </w:rPr>
        <w:t>High Power, Low Interest – Keep Satisfied</w:t>
      </w:r>
      <w:bookmarkEnd w:id="18"/>
      <w:bookmarkEnd w:id="19"/>
      <w:bookmarkEnd w:id="20"/>
      <w:bookmarkEnd w:id="21"/>
    </w:p>
    <w:p w14:paraId="666375B4" w14:textId="77777777" w:rsidR="00BC2D0F" w:rsidRPr="00027A2E" w:rsidRDefault="00352F27"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Stakeholders in this category possess substantial influence but may not be involved in day-to-day project activities.</w:t>
      </w:r>
    </w:p>
    <w:p w14:paraId="10A758E1" w14:textId="77777777" w:rsidR="00BC2D0F" w:rsidRPr="00027A2E" w:rsidRDefault="00BC2D0F" w:rsidP="00027A2E">
      <w:p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Examples include:</w:t>
      </w:r>
    </w:p>
    <w:p w14:paraId="7F096515" w14:textId="77777777" w:rsidR="00BC2D0F" w:rsidRPr="00027A2E" w:rsidRDefault="00BC2D0F" w:rsidP="00027A2E">
      <w:pPr>
        <w:numPr>
          <w:ilvl w:val="0"/>
          <w:numId w:val="23"/>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Shareholders </w:t>
      </w:r>
    </w:p>
    <w:p w14:paraId="2677E36C" w14:textId="77777777" w:rsidR="00BC2D0F" w:rsidRPr="00027A2E" w:rsidRDefault="00BC2D0F" w:rsidP="00027A2E">
      <w:pPr>
        <w:numPr>
          <w:ilvl w:val="0"/>
          <w:numId w:val="23"/>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Investors </w:t>
      </w:r>
    </w:p>
    <w:p w14:paraId="605C6566" w14:textId="77777777" w:rsidR="00BC2D0F" w:rsidRPr="00027A2E" w:rsidRDefault="00BC2D0F" w:rsidP="00027A2E">
      <w:pPr>
        <w:numPr>
          <w:ilvl w:val="0"/>
          <w:numId w:val="23"/>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Regulatory Authorities </w:t>
      </w:r>
    </w:p>
    <w:p w14:paraId="53AAD89D" w14:textId="77777777" w:rsidR="00BC2D0F" w:rsidRPr="00027A2E" w:rsidRDefault="00BC2D0F" w:rsidP="00027A2E">
      <w:pPr>
        <w:numPr>
          <w:ilvl w:val="0"/>
          <w:numId w:val="23"/>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Legal and Compliance Departments </w:t>
      </w:r>
    </w:p>
    <w:p w14:paraId="5C44E1B7" w14:textId="77777777" w:rsidR="00BC2D0F" w:rsidRPr="00027A2E" w:rsidRDefault="008A770B"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 xml:space="preserve">Although these stakeholders may not actively contribute to platform development, they can significantly affect project outcomes. For example, regulatory authorities can impose restrictions regarding customer data collection and AI usage. Given the importance of compliance within retail </w:t>
      </w:r>
      <w:r w:rsidR="00BC2D0F" w:rsidRPr="00027A2E">
        <w:rPr>
          <w:rFonts w:ascii="Times New Roman" w:eastAsia="Times New Roman" w:hAnsi="Times New Roman" w:cs="Times New Roman"/>
          <w:sz w:val="24"/>
          <w:szCs w:val="24"/>
        </w:rPr>
        <w:lastRenderedPageBreak/>
        <w:t>operations, Tesco must ensure that these stakeholders remain satisfied through regular updates and transparency regarding data governance practices (Dwivedi et al., 2021).</w:t>
      </w:r>
    </w:p>
    <w:p w14:paraId="59940BC9" w14:textId="77777777" w:rsidR="00BC2D0F" w:rsidRPr="00027A2E" w:rsidRDefault="001B1AB2"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22" w:name="_Toc231677156"/>
      <w:bookmarkStart w:id="23" w:name="_Toc234246903"/>
      <w:bookmarkStart w:id="24" w:name="_Toc234247203"/>
      <w:bookmarkStart w:id="25" w:name="_Toc234339942"/>
      <w:r w:rsidR="00BC2D0F" w:rsidRPr="00027A2E">
        <w:rPr>
          <w:rFonts w:ascii="Times New Roman" w:eastAsia="Times New Roman" w:hAnsi="Times New Roman" w:cs="Times New Roman"/>
          <w:b/>
          <w:bCs/>
          <w:sz w:val="27"/>
          <w:szCs w:val="27"/>
        </w:rPr>
        <w:t>Low Power, High Interest – Keep Informed</w:t>
      </w:r>
      <w:bookmarkEnd w:id="22"/>
      <w:bookmarkEnd w:id="23"/>
      <w:bookmarkEnd w:id="24"/>
      <w:bookmarkEnd w:id="25"/>
    </w:p>
    <w:p w14:paraId="1F9503D9"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These stakeholders have limited decision-making authority but are highly interested in project outcomes.</w:t>
      </w:r>
    </w:p>
    <w:p w14:paraId="32C16FE7" w14:textId="77777777" w:rsidR="00BC2D0F" w:rsidRPr="00027A2E" w:rsidRDefault="00BC2D0F" w:rsidP="00027A2E">
      <w:p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This group includes:</w:t>
      </w:r>
    </w:p>
    <w:p w14:paraId="41EEC31D" w14:textId="77777777" w:rsidR="00BC2D0F" w:rsidRPr="00027A2E" w:rsidRDefault="00BC2D0F" w:rsidP="00027A2E">
      <w:pPr>
        <w:numPr>
          <w:ilvl w:val="0"/>
          <w:numId w:val="24"/>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Customers </w:t>
      </w:r>
    </w:p>
    <w:p w14:paraId="7FC01356" w14:textId="77777777" w:rsidR="00BC2D0F" w:rsidRPr="00027A2E" w:rsidRDefault="00BC2D0F" w:rsidP="00027A2E">
      <w:pPr>
        <w:numPr>
          <w:ilvl w:val="0"/>
          <w:numId w:val="24"/>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Marketing Teams </w:t>
      </w:r>
    </w:p>
    <w:p w14:paraId="06B2C85A" w14:textId="77777777" w:rsidR="00BC2D0F" w:rsidRPr="00027A2E" w:rsidRDefault="00BC2D0F" w:rsidP="00027A2E">
      <w:pPr>
        <w:numPr>
          <w:ilvl w:val="0"/>
          <w:numId w:val="24"/>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Sales Teams </w:t>
      </w:r>
    </w:p>
    <w:p w14:paraId="13BCCCC9" w14:textId="77777777" w:rsidR="00BC2D0F" w:rsidRPr="00027A2E" w:rsidRDefault="00BC2D0F" w:rsidP="00027A2E">
      <w:pPr>
        <w:numPr>
          <w:ilvl w:val="0"/>
          <w:numId w:val="24"/>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Customer Service Employees </w:t>
      </w:r>
    </w:p>
    <w:p w14:paraId="4D08F550" w14:textId="77777777" w:rsidR="00BC2D0F" w:rsidRPr="00027A2E" w:rsidRDefault="00BC2D0F" w:rsidP="00027A2E">
      <w:pPr>
        <w:numPr>
          <w:ilvl w:val="0"/>
          <w:numId w:val="24"/>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Store Managers </w:t>
      </w:r>
    </w:p>
    <w:p w14:paraId="6BB7E40A"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 xml:space="preserve">Customers are particularly important because they represent the primary users of ConnectPlus. Their acceptance of the platform will determine whether project objectives are achieved. Although customers have limited formal power, their purchasing decisions, feedback, and online reviews can significantly influence </w:t>
      </w:r>
      <w:r w:rsidRPr="00027A2E">
        <w:rPr>
          <w:rFonts w:ascii="Times New Roman" w:eastAsia="Times New Roman" w:hAnsi="Times New Roman" w:cs="Times New Roman"/>
          <w:sz w:val="24"/>
          <w:szCs w:val="24"/>
        </w:rPr>
        <w:t>organizational</w:t>
      </w:r>
      <w:r w:rsidR="00BC2D0F" w:rsidRPr="00027A2E">
        <w:rPr>
          <w:rFonts w:ascii="Times New Roman" w:eastAsia="Times New Roman" w:hAnsi="Times New Roman" w:cs="Times New Roman"/>
          <w:sz w:val="24"/>
          <w:szCs w:val="24"/>
        </w:rPr>
        <w:t xml:space="preserve"> performance.</w:t>
      </w:r>
    </w:p>
    <w:p w14:paraId="08B435A5"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Marketing and customer service teams are also highly interested because ConnectPlus will directly affect customer interactions and service delivery. Consequently, these stakeholders should be engaged through regular communication and opportunities to provide feedback (Christopher, Payne and Ballantyne, 2013).</w:t>
      </w:r>
    </w:p>
    <w:p w14:paraId="047A9E89" w14:textId="77777777" w:rsidR="00BC2D0F" w:rsidRPr="00027A2E" w:rsidRDefault="001B1AB2"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26" w:name="_Toc231677157"/>
      <w:bookmarkStart w:id="27" w:name="_Toc234246904"/>
      <w:bookmarkStart w:id="28" w:name="_Toc234247204"/>
      <w:bookmarkStart w:id="29" w:name="_Toc234339943"/>
      <w:r w:rsidR="00BC2D0F" w:rsidRPr="00027A2E">
        <w:rPr>
          <w:rFonts w:ascii="Times New Roman" w:eastAsia="Times New Roman" w:hAnsi="Times New Roman" w:cs="Times New Roman"/>
          <w:b/>
          <w:bCs/>
          <w:sz w:val="27"/>
          <w:szCs w:val="27"/>
        </w:rPr>
        <w:t>Low Power, Low Interest – Monitor</w:t>
      </w:r>
      <w:bookmarkEnd w:id="26"/>
      <w:bookmarkEnd w:id="27"/>
      <w:bookmarkEnd w:id="28"/>
      <w:bookmarkEnd w:id="29"/>
    </w:p>
    <w:p w14:paraId="6F20ABF5"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The final category includes stakeholders who have limited influence and minimal direct interest in the project.</w:t>
      </w:r>
    </w:p>
    <w:p w14:paraId="5371CD10" w14:textId="77777777" w:rsidR="00BC2D0F" w:rsidRPr="00027A2E" w:rsidRDefault="00BC2D0F" w:rsidP="00027A2E">
      <w:p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Examples include:</w:t>
      </w:r>
    </w:p>
    <w:p w14:paraId="4FD4D0C7" w14:textId="77777777" w:rsidR="00BC2D0F" w:rsidRPr="00027A2E" w:rsidRDefault="00BC2D0F" w:rsidP="00027A2E">
      <w:pPr>
        <w:numPr>
          <w:ilvl w:val="0"/>
          <w:numId w:val="25"/>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General Public </w:t>
      </w:r>
    </w:p>
    <w:p w14:paraId="325A46B3" w14:textId="77777777" w:rsidR="00BC2D0F" w:rsidRPr="00027A2E" w:rsidRDefault="00BC2D0F" w:rsidP="00027A2E">
      <w:pPr>
        <w:numPr>
          <w:ilvl w:val="0"/>
          <w:numId w:val="25"/>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Media </w:t>
      </w:r>
      <w:r w:rsidR="00524733" w:rsidRPr="00027A2E">
        <w:rPr>
          <w:rFonts w:ascii="Times New Roman" w:eastAsia="Times New Roman" w:hAnsi="Times New Roman" w:cs="Times New Roman"/>
          <w:sz w:val="24"/>
          <w:szCs w:val="24"/>
        </w:rPr>
        <w:t>Organizations</w:t>
      </w:r>
    </w:p>
    <w:p w14:paraId="4C5703CA" w14:textId="77777777" w:rsidR="00BC2D0F" w:rsidRPr="00027A2E" w:rsidRDefault="00BC2D0F" w:rsidP="00027A2E">
      <w:pPr>
        <w:numPr>
          <w:ilvl w:val="0"/>
          <w:numId w:val="25"/>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Secondary Suppliers </w:t>
      </w:r>
    </w:p>
    <w:p w14:paraId="41393027" w14:textId="77777777" w:rsidR="00BC2D0F"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 xml:space="preserve">Although these stakeholders require less active engagement, Tesco should continue monitoring their perceptions because public opinion can quickly influence </w:t>
      </w:r>
      <w:r w:rsidRPr="00027A2E">
        <w:rPr>
          <w:rFonts w:ascii="Times New Roman" w:eastAsia="Times New Roman" w:hAnsi="Times New Roman" w:cs="Times New Roman"/>
          <w:sz w:val="24"/>
          <w:szCs w:val="24"/>
        </w:rPr>
        <w:t>organizational</w:t>
      </w:r>
      <w:r w:rsidR="00BC2D0F" w:rsidRPr="00027A2E">
        <w:rPr>
          <w:rFonts w:ascii="Times New Roman" w:eastAsia="Times New Roman" w:hAnsi="Times New Roman" w:cs="Times New Roman"/>
          <w:sz w:val="24"/>
          <w:szCs w:val="24"/>
        </w:rPr>
        <w:t xml:space="preserve"> reputation in the digital age.</w:t>
      </w:r>
    </w:p>
    <w:p w14:paraId="49F924DB" w14:textId="77777777" w:rsidR="001B1AB2" w:rsidRDefault="001B1AB2" w:rsidP="00027A2E">
      <w:pPr>
        <w:spacing w:before="100" w:beforeAutospacing="1" w:after="100" w:afterAutospacing="1"/>
        <w:jc w:val="both"/>
        <w:rPr>
          <w:rFonts w:ascii="Times New Roman" w:eastAsia="Times New Roman" w:hAnsi="Times New Roman" w:cs="Times New Roman"/>
          <w:sz w:val="24"/>
          <w:szCs w:val="24"/>
        </w:rPr>
      </w:pPr>
    </w:p>
    <w:p w14:paraId="7607B37B" w14:textId="77777777" w:rsidR="001B1AB2" w:rsidRPr="00027A2E" w:rsidRDefault="001B1AB2" w:rsidP="00027A2E">
      <w:pPr>
        <w:spacing w:before="100" w:beforeAutospacing="1" w:after="100" w:afterAutospacing="1"/>
        <w:jc w:val="both"/>
        <w:rPr>
          <w:rFonts w:ascii="Times New Roman" w:eastAsia="Times New Roman" w:hAnsi="Times New Roman" w:cs="Times New Roman"/>
          <w:sz w:val="24"/>
          <w:szCs w:val="24"/>
        </w:rPr>
      </w:pPr>
    </w:p>
    <w:p w14:paraId="207D724B" w14:textId="77777777" w:rsidR="00BC2D0F" w:rsidRPr="00027A2E" w:rsidRDefault="001B1AB2" w:rsidP="00027A2E">
      <w:pPr>
        <w:spacing w:before="100" w:beforeAutospacing="1" w:after="100" w:afterAutospacing="1"/>
        <w:jc w:val="both"/>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ab/>
      </w:r>
      <w:bookmarkStart w:id="30" w:name="_Toc231677158"/>
      <w:bookmarkStart w:id="31" w:name="_Toc234246905"/>
      <w:bookmarkStart w:id="32" w:name="_Toc234247205"/>
      <w:bookmarkStart w:id="33" w:name="_Toc234339944"/>
      <w:r w:rsidR="00BC2D0F" w:rsidRPr="00027A2E">
        <w:rPr>
          <w:rFonts w:ascii="Times New Roman" w:eastAsia="Times New Roman" w:hAnsi="Times New Roman" w:cs="Times New Roman"/>
          <w:b/>
          <w:bCs/>
          <w:sz w:val="36"/>
          <w:szCs w:val="36"/>
        </w:rPr>
        <w:t>Application of Mitchell et al.’s Salience Model</w:t>
      </w:r>
      <w:bookmarkEnd w:id="30"/>
      <w:bookmarkEnd w:id="31"/>
      <w:bookmarkEnd w:id="32"/>
      <w:bookmarkEnd w:id="33"/>
    </w:p>
    <w:p w14:paraId="07965D6C"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 xml:space="preserve">While Mendelow’s Matrix focuses on power and interest, Mitchell et al. (1997) argue that stakeholder importance should also be </w:t>
      </w:r>
      <w:r w:rsidRPr="00027A2E">
        <w:rPr>
          <w:rFonts w:ascii="Times New Roman" w:eastAsia="Times New Roman" w:hAnsi="Times New Roman" w:cs="Times New Roman"/>
          <w:sz w:val="24"/>
          <w:szCs w:val="24"/>
        </w:rPr>
        <w:t>accessed</w:t>
      </w:r>
      <w:r w:rsidR="00BC2D0F" w:rsidRPr="00027A2E">
        <w:rPr>
          <w:rFonts w:ascii="Times New Roman" w:eastAsia="Times New Roman" w:hAnsi="Times New Roman" w:cs="Times New Roman"/>
          <w:sz w:val="24"/>
          <w:szCs w:val="24"/>
        </w:rPr>
        <w:t xml:space="preserve"> through power, legitimacy, and urgency.</w:t>
      </w:r>
    </w:p>
    <w:p w14:paraId="2E8AB839" w14:textId="77777777" w:rsidR="00BC2D0F" w:rsidRPr="00027A2E" w:rsidRDefault="001B1AB2"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34" w:name="_Toc231677159"/>
      <w:bookmarkStart w:id="35" w:name="_Toc234246906"/>
      <w:bookmarkStart w:id="36" w:name="_Toc234247206"/>
      <w:bookmarkStart w:id="37" w:name="_Toc234339945"/>
      <w:r w:rsidR="00BC2D0F" w:rsidRPr="00027A2E">
        <w:rPr>
          <w:rFonts w:ascii="Times New Roman" w:eastAsia="Times New Roman" w:hAnsi="Times New Roman" w:cs="Times New Roman"/>
          <w:b/>
          <w:bCs/>
          <w:sz w:val="27"/>
          <w:szCs w:val="27"/>
        </w:rPr>
        <w:t>Definitive Stakeholders</w:t>
      </w:r>
      <w:bookmarkEnd w:id="34"/>
      <w:bookmarkEnd w:id="35"/>
      <w:bookmarkEnd w:id="36"/>
      <w:bookmarkEnd w:id="37"/>
    </w:p>
    <w:p w14:paraId="1ACA4132"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Definitive stakeholders possess all three attributes and therefore require immediate attention.</w:t>
      </w:r>
    </w:p>
    <w:p w14:paraId="5C33D083" w14:textId="77777777" w:rsidR="00BC2D0F" w:rsidRPr="00027A2E" w:rsidRDefault="00BC2D0F" w:rsidP="00027A2E">
      <w:p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For ConnectPlus, these include:</w:t>
      </w:r>
    </w:p>
    <w:p w14:paraId="4AD31804" w14:textId="77777777" w:rsidR="00BC2D0F" w:rsidRPr="00027A2E" w:rsidRDefault="00BC2D0F" w:rsidP="00027A2E">
      <w:pPr>
        <w:numPr>
          <w:ilvl w:val="0"/>
          <w:numId w:val="26"/>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Senior Management </w:t>
      </w:r>
    </w:p>
    <w:p w14:paraId="1F4D36E9" w14:textId="77777777" w:rsidR="00BC2D0F" w:rsidRPr="00027A2E" w:rsidRDefault="00BC2D0F" w:rsidP="00027A2E">
      <w:pPr>
        <w:numPr>
          <w:ilvl w:val="0"/>
          <w:numId w:val="26"/>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Project Manager </w:t>
      </w:r>
    </w:p>
    <w:p w14:paraId="704039DF" w14:textId="77777777" w:rsidR="00BC2D0F" w:rsidRPr="00027A2E" w:rsidRDefault="00BC2D0F" w:rsidP="00027A2E">
      <w:pPr>
        <w:numPr>
          <w:ilvl w:val="0"/>
          <w:numId w:val="26"/>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Key Customers </w:t>
      </w:r>
    </w:p>
    <w:p w14:paraId="6AF906D0"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These groups have legitimate interests, significant influence, and urgent concerns regarding project outcomes. Their expectations must be addressed consistently throughout the project lifecycle.</w:t>
      </w:r>
    </w:p>
    <w:p w14:paraId="6E873B7E" w14:textId="77777777" w:rsidR="00BC2D0F" w:rsidRPr="00027A2E" w:rsidRDefault="001B1AB2"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38" w:name="_Toc231677160"/>
      <w:bookmarkStart w:id="39" w:name="_Toc234246907"/>
      <w:bookmarkStart w:id="40" w:name="_Toc234247207"/>
      <w:bookmarkStart w:id="41" w:name="_Toc234339946"/>
      <w:r w:rsidR="00BC2D0F" w:rsidRPr="00027A2E">
        <w:rPr>
          <w:rFonts w:ascii="Times New Roman" w:eastAsia="Times New Roman" w:hAnsi="Times New Roman" w:cs="Times New Roman"/>
          <w:b/>
          <w:bCs/>
          <w:sz w:val="27"/>
          <w:szCs w:val="27"/>
        </w:rPr>
        <w:t>Dominant Stakeholders</w:t>
      </w:r>
      <w:bookmarkEnd w:id="38"/>
      <w:bookmarkEnd w:id="39"/>
      <w:bookmarkEnd w:id="40"/>
      <w:bookmarkEnd w:id="41"/>
    </w:p>
    <w:p w14:paraId="55023A32"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Dominant stakeholders possess power and legitimacy but may not have urgent demands.</w:t>
      </w:r>
    </w:p>
    <w:p w14:paraId="517F7FE2"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Examples include:</w:t>
      </w:r>
    </w:p>
    <w:p w14:paraId="2359D446" w14:textId="77777777" w:rsidR="00BC2D0F" w:rsidRPr="00027A2E" w:rsidRDefault="00BC2D0F" w:rsidP="00027A2E">
      <w:pPr>
        <w:numPr>
          <w:ilvl w:val="0"/>
          <w:numId w:val="27"/>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Shareholders </w:t>
      </w:r>
    </w:p>
    <w:p w14:paraId="48314CBC" w14:textId="77777777" w:rsidR="00BC2D0F" w:rsidRPr="00027A2E" w:rsidRDefault="00BC2D0F" w:rsidP="00027A2E">
      <w:pPr>
        <w:numPr>
          <w:ilvl w:val="0"/>
          <w:numId w:val="27"/>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Board Members </w:t>
      </w:r>
    </w:p>
    <w:p w14:paraId="265990D4" w14:textId="77777777" w:rsidR="00BC2D0F" w:rsidRPr="00027A2E" w:rsidRDefault="00BC2D0F" w:rsidP="00027A2E">
      <w:pPr>
        <w:numPr>
          <w:ilvl w:val="0"/>
          <w:numId w:val="27"/>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Technology Partners </w:t>
      </w:r>
    </w:p>
    <w:p w14:paraId="5515E843"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These stakeholders influence strategic direction and resource allocation but may not require daily involvement.</w:t>
      </w:r>
    </w:p>
    <w:p w14:paraId="447C249C" w14:textId="77777777" w:rsidR="00BC2D0F" w:rsidRPr="00027A2E" w:rsidRDefault="001B1AB2"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42" w:name="_Toc231677161"/>
      <w:bookmarkStart w:id="43" w:name="_Toc234246908"/>
      <w:bookmarkStart w:id="44" w:name="_Toc234247208"/>
      <w:bookmarkStart w:id="45" w:name="_Toc234339947"/>
      <w:r w:rsidR="00BC2D0F" w:rsidRPr="00027A2E">
        <w:rPr>
          <w:rFonts w:ascii="Times New Roman" w:eastAsia="Times New Roman" w:hAnsi="Times New Roman" w:cs="Times New Roman"/>
          <w:b/>
          <w:bCs/>
          <w:sz w:val="27"/>
          <w:szCs w:val="27"/>
        </w:rPr>
        <w:t>Dependent Stakeholders</w:t>
      </w:r>
      <w:bookmarkEnd w:id="42"/>
      <w:bookmarkEnd w:id="43"/>
      <w:bookmarkEnd w:id="44"/>
      <w:bookmarkEnd w:id="45"/>
    </w:p>
    <w:p w14:paraId="69955F71"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Dependent stakeholders possess legitimacy and urgency but have limited power.</w:t>
      </w:r>
    </w:p>
    <w:p w14:paraId="227B6C09"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Examples include:</w:t>
      </w:r>
    </w:p>
    <w:p w14:paraId="73EC6404" w14:textId="77777777" w:rsidR="00BC2D0F" w:rsidRPr="00027A2E" w:rsidRDefault="00BC2D0F" w:rsidP="00027A2E">
      <w:pPr>
        <w:numPr>
          <w:ilvl w:val="0"/>
          <w:numId w:val="28"/>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lastRenderedPageBreak/>
        <w:t xml:space="preserve">Customers </w:t>
      </w:r>
    </w:p>
    <w:p w14:paraId="4EC5E9FC" w14:textId="77777777" w:rsidR="00BC2D0F" w:rsidRPr="00027A2E" w:rsidRDefault="00BC2D0F" w:rsidP="00027A2E">
      <w:pPr>
        <w:numPr>
          <w:ilvl w:val="0"/>
          <w:numId w:val="28"/>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Frontline Employees </w:t>
      </w:r>
    </w:p>
    <w:p w14:paraId="19AE3E0B" w14:textId="77777777" w:rsidR="00BC2D0F" w:rsidRPr="00027A2E" w:rsidRDefault="00BC2D0F" w:rsidP="00027A2E">
      <w:pPr>
        <w:numPr>
          <w:ilvl w:val="0"/>
          <w:numId w:val="28"/>
        </w:numPr>
        <w:spacing w:before="100" w:beforeAutospacing="1" w:after="100" w:afterAutospacing="1"/>
        <w:jc w:val="both"/>
        <w:rPr>
          <w:rFonts w:ascii="Times New Roman" w:eastAsia="Times New Roman" w:hAnsi="Times New Roman" w:cs="Times New Roman"/>
          <w:sz w:val="24"/>
          <w:szCs w:val="24"/>
        </w:rPr>
      </w:pPr>
      <w:r w:rsidRPr="00027A2E">
        <w:rPr>
          <w:rFonts w:ascii="Times New Roman" w:eastAsia="Times New Roman" w:hAnsi="Times New Roman" w:cs="Times New Roman"/>
          <w:sz w:val="24"/>
          <w:szCs w:val="24"/>
        </w:rPr>
        <w:t xml:space="preserve">Customer Service Teams </w:t>
      </w:r>
    </w:p>
    <w:p w14:paraId="4C8EE923"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 xml:space="preserve">These groups often depend on </w:t>
      </w:r>
      <w:r w:rsidR="008B17FF" w:rsidRPr="00027A2E">
        <w:rPr>
          <w:rFonts w:ascii="Times New Roman" w:eastAsia="Times New Roman" w:hAnsi="Times New Roman" w:cs="Times New Roman"/>
          <w:sz w:val="24"/>
          <w:szCs w:val="24"/>
        </w:rPr>
        <w:t>organizational</w:t>
      </w:r>
      <w:r w:rsidR="00BC2D0F" w:rsidRPr="00027A2E">
        <w:rPr>
          <w:rFonts w:ascii="Times New Roman" w:eastAsia="Times New Roman" w:hAnsi="Times New Roman" w:cs="Times New Roman"/>
          <w:sz w:val="24"/>
          <w:szCs w:val="24"/>
        </w:rPr>
        <w:t xml:space="preserve"> decision-makers to address their concerns. For example, customers may demand greater transparency regarding how AI algorithms use personal data.</w:t>
      </w:r>
    </w:p>
    <w:p w14:paraId="2192C5F3" w14:textId="77777777" w:rsidR="00BC2D0F" w:rsidRPr="00027A2E" w:rsidRDefault="001B1AB2"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46" w:name="_Toc231677162"/>
      <w:bookmarkStart w:id="47" w:name="_Toc234246909"/>
      <w:bookmarkStart w:id="48" w:name="_Toc234247209"/>
      <w:bookmarkStart w:id="49" w:name="_Toc234339948"/>
      <w:r w:rsidR="00BC2D0F" w:rsidRPr="00027A2E">
        <w:rPr>
          <w:rFonts w:ascii="Times New Roman" w:eastAsia="Times New Roman" w:hAnsi="Times New Roman" w:cs="Times New Roman"/>
          <w:b/>
          <w:bCs/>
          <w:sz w:val="27"/>
          <w:szCs w:val="27"/>
        </w:rPr>
        <w:t>Dormant Stakeholders</w:t>
      </w:r>
      <w:bookmarkEnd w:id="46"/>
      <w:bookmarkEnd w:id="47"/>
      <w:bookmarkEnd w:id="48"/>
      <w:bookmarkEnd w:id="49"/>
    </w:p>
    <w:p w14:paraId="16C0B3C7"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Dormant stakeholders possess power but limited urgency and legitimacy.</w:t>
      </w:r>
    </w:p>
    <w:p w14:paraId="79BD8B1E" w14:textId="77777777" w:rsidR="00BC2D0F" w:rsidRPr="00027A2E"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Examples may include certain institutional investors who only become actively involved if project performance declines significantly.</w:t>
      </w:r>
    </w:p>
    <w:p w14:paraId="778EF615" w14:textId="77777777" w:rsidR="00BC2D0F" w:rsidRPr="00027A2E" w:rsidRDefault="001B1AB2" w:rsidP="00027A2E">
      <w:pPr>
        <w:spacing w:before="100" w:beforeAutospacing="1" w:after="100" w:afterAutospacing="1"/>
        <w:jc w:val="both"/>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ab/>
      </w:r>
      <w:bookmarkStart w:id="50" w:name="_Toc231677163"/>
      <w:bookmarkStart w:id="51" w:name="_Toc234246910"/>
      <w:bookmarkStart w:id="52" w:name="_Toc234247210"/>
      <w:bookmarkStart w:id="53" w:name="_Toc234339949"/>
      <w:r w:rsidR="00BC2D0F" w:rsidRPr="00027A2E">
        <w:rPr>
          <w:rFonts w:ascii="Times New Roman" w:eastAsia="Times New Roman" w:hAnsi="Times New Roman" w:cs="Times New Roman"/>
          <w:b/>
          <w:bCs/>
          <w:sz w:val="36"/>
          <w:szCs w:val="36"/>
        </w:rPr>
        <w:t xml:space="preserve">Critical Evaluation of Stakeholder </w:t>
      </w:r>
      <w:r w:rsidRPr="00027A2E">
        <w:rPr>
          <w:rFonts w:ascii="Times New Roman" w:eastAsia="Times New Roman" w:hAnsi="Times New Roman" w:cs="Times New Roman"/>
          <w:b/>
          <w:bCs/>
          <w:sz w:val="36"/>
          <w:szCs w:val="36"/>
        </w:rPr>
        <w:t>Categorization</w:t>
      </w:r>
      <w:bookmarkEnd w:id="50"/>
      <w:bookmarkEnd w:id="51"/>
      <w:bookmarkEnd w:id="52"/>
      <w:bookmarkEnd w:id="53"/>
    </w:p>
    <w:p w14:paraId="42836AF5" w14:textId="77777777" w:rsidR="00BC2D0F"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C2D0F" w:rsidRPr="00027A2E">
        <w:rPr>
          <w:rFonts w:ascii="Times New Roman" w:eastAsia="Times New Roman" w:hAnsi="Times New Roman" w:cs="Times New Roman"/>
          <w:sz w:val="24"/>
          <w:szCs w:val="24"/>
        </w:rPr>
        <w:t xml:space="preserve">Although stakeholder mapping frameworks provide valuable structure, they are not without limitations. One criticism is that stakeholder influence can change throughout the project lifecycle. For example, customers may initially appear as low-power stakeholders, but social media platforms can significantly amplify their influence during implementation. A single negative data privacy incident could quickly attract public attention and damage </w:t>
      </w:r>
      <w:r w:rsidRPr="00027A2E">
        <w:rPr>
          <w:rFonts w:ascii="Times New Roman" w:eastAsia="Times New Roman" w:hAnsi="Times New Roman" w:cs="Times New Roman"/>
          <w:sz w:val="24"/>
          <w:szCs w:val="24"/>
        </w:rPr>
        <w:t>organizational</w:t>
      </w:r>
      <w:r w:rsidR="000C63BC">
        <w:rPr>
          <w:rFonts w:ascii="Times New Roman" w:eastAsia="Times New Roman" w:hAnsi="Times New Roman" w:cs="Times New Roman"/>
          <w:sz w:val="24"/>
          <w:szCs w:val="24"/>
        </w:rPr>
        <w:t xml:space="preserve"> </w:t>
      </w:r>
      <w:r w:rsidRPr="00027A2E">
        <w:rPr>
          <w:rFonts w:ascii="Times New Roman" w:eastAsia="Times New Roman" w:hAnsi="Times New Roman" w:cs="Times New Roman"/>
          <w:sz w:val="24"/>
          <w:szCs w:val="24"/>
        </w:rPr>
        <w:t>reputation. Similarly</w:t>
      </w:r>
      <w:r w:rsidR="00BC2D0F" w:rsidRPr="00027A2E">
        <w:rPr>
          <w:rFonts w:ascii="Times New Roman" w:eastAsia="Times New Roman" w:hAnsi="Times New Roman" w:cs="Times New Roman"/>
          <w:sz w:val="24"/>
          <w:szCs w:val="24"/>
        </w:rPr>
        <w:t>, international expansion introduces additional complexity because stakeholder expectations vary across different cultural and regulatory environments (Hofstede, Hofstede and Minkov, 2010). Consequently, stakeholder analysis should not be viewed as a one-time activity but as an ongoing process requiring continuous review and adaptation.</w:t>
      </w:r>
    </w:p>
    <w:p w14:paraId="46AAFF10" w14:textId="77777777" w:rsidR="006F375A" w:rsidRDefault="006F375A" w:rsidP="00027A2E">
      <w:pPr>
        <w:spacing w:before="100" w:beforeAutospacing="1" w:after="100" w:afterAutospacing="1"/>
        <w:jc w:val="both"/>
        <w:rPr>
          <w:rFonts w:ascii="Times New Roman" w:eastAsia="Times New Roman" w:hAnsi="Times New Roman" w:cs="Times New Roman"/>
          <w:sz w:val="24"/>
          <w:szCs w:val="24"/>
        </w:rPr>
      </w:pPr>
    </w:p>
    <w:p w14:paraId="2907DC49" w14:textId="77777777" w:rsidR="00B71149" w:rsidRDefault="00B71149" w:rsidP="00027A2E">
      <w:pPr>
        <w:spacing w:before="100" w:beforeAutospacing="1" w:after="100" w:afterAutospacing="1"/>
        <w:jc w:val="both"/>
        <w:rPr>
          <w:rFonts w:ascii="Times New Roman" w:eastAsia="Times New Roman" w:hAnsi="Times New Roman" w:cs="Times New Roman"/>
          <w:sz w:val="24"/>
          <w:szCs w:val="24"/>
        </w:rPr>
      </w:pPr>
    </w:p>
    <w:p w14:paraId="2D9A9D55" w14:textId="77777777" w:rsidR="00B71149" w:rsidRDefault="00B71149" w:rsidP="00027A2E">
      <w:pPr>
        <w:spacing w:before="100" w:beforeAutospacing="1" w:after="100" w:afterAutospacing="1"/>
        <w:jc w:val="both"/>
        <w:rPr>
          <w:rFonts w:ascii="Times New Roman" w:eastAsia="Times New Roman" w:hAnsi="Times New Roman" w:cs="Times New Roman"/>
          <w:sz w:val="24"/>
          <w:szCs w:val="24"/>
        </w:rPr>
      </w:pPr>
    </w:p>
    <w:p w14:paraId="1F92A44A" w14:textId="77777777" w:rsidR="00B71149" w:rsidRDefault="00B71149" w:rsidP="00027A2E">
      <w:pPr>
        <w:spacing w:before="100" w:beforeAutospacing="1" w:after="100" w:afterAutospacing="1"/>
        <w:jc w:val="both"/>
        <w:rPr>
          <w:rFonts w:ascii="Times New Roman" w:eastAsia="Times New Roman" w:hAnsi="Times New Roman" w:cs="Times New Roman"/>
          <w:sz w:val="24"/>
          <w:szCs w:val="24"/>
        </w:rPr>
      </w:pPr>
    </w:p>
    <w:p w14:paraId="57B57FA0" w14:textId="77777777" w:rsidR="00B71149" w:rsidRDefault="00B71149" w:rsidP="00027A2E">
      <w:pPr>
        <w:spacing w:before="100" w:beforeAutospacing="1" w:after="100" w:afterAutospacing="1"/>
        <w:jc w:val="both"/>
        <w:rPr>
          <w:rFonts w:ascii="Times New Roman" w:eastAsia="Times New Roman" w:hAnsi="Times New Roman" w:cs="Times New Roman"/>
          <w:sz w:val="24"/>
          <w:szCs w:val="24"/>
        </w:rPr>
      </w:pPr>
    </w:p>
    <w:p w14:paraId="68EE07AC" w14:textId="77777777" w:rsidR="00B71149" w:rsidRDefault="00B71149" w:rsidP="00027A2E">
      <w:pPr>
        <w:spacing w:before="100" w:beforeAutospacing="1" w:after="100" w:afterAutospacing="1"/>
        <w:jc w:val="both"/>
        <w:rPr>
          <w:rFonts w:ascii="Times New Roman" w:eastAsia="Times New Roman" w:hAnsi="Times New Roman" w:cs="Times New Roman"/>
          <w:sz w:val="24"/>
          <w:szCs w:val="24"/>
        </w:rPr>
      </w:pPr>
    </w:p>
    <w:p w14:paraId="0EA93691" w14:textId="77777777" w:rsidR="00B71149" w:rsidRDefault="00B71149" w:rsidP="00027A2E">
      <w:pPr>
        <w:spacing w:before="100" w:beforeAutospacing="1" w:after="100" w:afterAutospacing="1"/>
        <w:jc w:val="both"/>
        <w:rPr>
          <w:rFonts w:ascii="Times New Roman" w:eastAsia="Times New Roman" w:hAnsi="Times New Roman" w:cs="Times New Roman"/>
          <w:sz w:val="24"/>
          <w:szCs w:val="24"/>
        </w:rPr>
      </w:pPr>
    </w:p>
    <w:p w14:paraId="0C9F0D6E" w14:textId="77777777" w:rsidR="00B71149" w:rsidRDefault="00B71149" w:rsidP="00027A2E">
      <w:pPr>
        <w:spacing w:before="100" w:beforeAutospacing="1" w:after="100" w:afterAutospacing="1"/>
        <w:jc w:val="both"/>
        <w:rPr>
          <w:rFonts w:ascii="Times New Roman" w:eastAsia="Times New Roman" w:hAnsi="Times New Roman" w:cs="Times New Roman"/>
          <w:sz w:val="24"/>
          <w:szCs w:val="24"/>
        </w:rPr>
      </w:pPr>
    </w:p>
    <w:p w14:paraId="4CD2E3A4" w14:textId="77777777" w:rsidR="007E281E" w:rsidRPr="005150AF" w:rsidRDefault="007E281E" w:rsidP="005150AF">
      <w:pPr>
        <w:pStyle w:val="Heading1"/>
        <w:numPr>
          <w:ilvl w:val="0"/>
          <w:numId w:val="39"/>
        </w:numPr>
        <w:rPr>
          <w:sz w:val="36"/>
          <w:szCs w:val="36"/>
        </w:rPr>
      </w:pPr>
      <w:bookmarkStart w:id="54" w:name="_Toc234339950"/>
      <w:r w:rsidRPr="005150AF">
        <w:rPr>
          <w:sz w:val="36"/>
          <w:szCs w:val="36"/>
        </w:rPr>
        <w:t>SWOT Analysis</w:t>
      </w:r>
      <w:bookmarkEnd w:id="54"/>
    </w:p>
    <w:p w14:paraId="5173EAA3" w14:textId="77777777" w:rsidR="00B71149" w:rsidRPr="006F375A" w:rsidRDefault="00B71149" w:rsidP="00B71149">
      <w:pPr>
        <w:pStyle w:val="ListParagraph"/>
        <w:spacing w:before="100" w:beforeAutospacing="1" w:after="100" w:afterAutospacing="1"/>
        <w:ind w:left="792"/>
        <w:jc w:val="both"/>
        <w:rPr>
          <w:rFonts w:ascii="Times New Roman" w:eastAsia="Times New Roman" w:hAnsi="Times New Roman" w:cs="Times New Roman"/>
          <w:b/>
          <w:sz w:val="36"/>
          <w:szCs w:val="36"/>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181"/>
        <w:gridCol w:w="4163"/>
      </w:tblGrid>
      <w:tr w:rsidR="007E281E" w:rsidRPr="00AC2F50" w14:paraId="51D34A85" w14:textId="77777777" w:rsidTr="0085185D">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FD43CF" w14:textId="77777777" w:rsidR="007E281E" w:rsidRPr="00AC2F50" w:rsidRDefault="007E281E" w:rsidP="0085185D">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AC2F50">
              <w:rPr>
                <w:rFonts w:ascii="Times New Roman" w:eastAsia="Times New Roman" w:hAnsi="Times New Roman" w:cs="Times New Roman"/>
                <w:b/>
                <w:bCs/>
                <w:sz w:val="24"/>
                <w:szCs w:val="24"/>
                <w:lang w:val="en-GB" w:eastAsia="en-GB"/>
              </w:rPr>
              <w:t>Strengths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1F38D0" w14:textId="77777777" w:rsidR="007E281E" w:rsidRPr="00AC2F50" w:rsidRDefault="007E281E" w:rsidP="0085185D">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AC2F50">
              <w:rPr>
                <w:rFonts w:ascii="Times New Roman" w:eastAsia="Times New Roman" w:hAnsi="Times New Roman" w:cs="Times New Roman"/>
                <w:b/>
                <w:bCs/>
                <w:sz w:val="24"/>
                <w:szCs w:val="24"/>
                <w:lang w:val="en-GB" w:eastAsia="en-GB"/>
              </w:rPr>
              <w:t>Weaknesses</w:t>
            </w:r>
          </w:p>
        </w:tc>
      </w:tr>
      <w:tr w:rsidR="007E281E" w:rsidRPr="00AC2F50" w14:paraId="210C9384" w14:textId="77777777" w:rsidTr="0085185D">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DEAAAE" w14:textId="77777777" w:rsidR="007E281E" w:rsidRPr="00AC2F50" w:rsidRDefault="007E281E" w:rsidP="0085185D">
            <w:pPr>
              <w:spacing w:before="100" w:beforeAutospacing="1" w:after="100" w:afterAutospacing="1" w:line="240" w:lineRule="auto"/>
              <w:rPr>
                <w:rFonts w:ascii="Times New Roman" w:eastAsia="Times New Roman" w:hAnsi="Times New Roman" w:cs="Times New Roman"/>
                <w:sz w:val="24"/>
                <w:szCs w:val="24"/>
                <w:lang w:val="en-GB" w:eastAsia="en-GB"/>
              </w:rPr>
            </w:pPr>
            <w:r w:rsidRPr="00AC2F50">
              <w:rPr>
                <w:rFonts w:ascii="Times New Roman" w:eastAsia="Times New Roman" w:hAnsi="Times New Roman" w:cs="Times New Roman"/>
                <w:sz w:val="24"/>
                <w:szCs w:val="24"/>
                <w:lang w:val="en-GB" w:eastAsia="en-GB"/>
              </w:rPr>
              <w:t>• Leading supermarket chain in the UK with a significant share of the retail market.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46B14C" w14:textId="77777777" w:rsidR="007E281E" w:rsidRPr="00AC2F50" w:rsidRDefault="007E281E" w:rsidP="0085185D">
            <w:pPr>
              <w:spacing w:before="100" w:beforeAutospacing="1" w:after="100" w:afterAutospacing="1" w:line="240" w:lineRule="auto"/>
              <w:rPr>
                <w:rFonts w:ascii="Times New Roman" w:eastAsia="Times New Roman" w:hAnsi="Times New Roman" w:cs="Times New Roman"/>
                <w:sz w:val="24"/>
                <w:szCs w:val="24"/>
                <w:lang w:val="en-GB" w:eastAsia="en-GB"/>
              </w:rPr>
            </w:pPr>
            <w:r w:rsidRPr="00AC2F50">
              <w:rPr>
                <w:rFonts w:ascii="Times New Roman" w:eastAsia="Times New Roman" w:hAnsi="Times New Roman" w:cs="Times New Roman"/>
                <w:sz w:val="24"/>
                <w:szCs w:val="24"/>
                <w:lang w:val="en-GB" w:eastAsia="en-GB"/>
              </w:rPr>
              <w:t>• A large proportion of revenue is generated from the UK market.</w:t>
            </w:r>
          </w:p>
        </w:tc>
      </w:tr>
      <w:tr w:rsidR="007E281E" w:rsidRPr="00AC2F50" w14:paraId="5770B061" w14:textId="77777777" w:rsidTr="0085185D">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83FFCC" w14:textId="77777777" w:rsidR="007E281E" w:rsidRPr="00AC2F50" w:rsidRDefault="007E281E" w:rsidP="0085185D">
            <w:pPr>
              <w:spacing w:before="100" w:beforeAutospacing="1" w:after="100" w:afterAutospacing="1" w:line="240" w:lineRule="auto"/>
              <w:rPr>
                <w:rFonts w:ascii="Times New Roman" w:eastAsia="Times New Roman" w:hAnsi="Times New Roman" w:cs="Times New Roman"/>
                <w:sz w:val="24"/>
                <w:szCs w:val="24"/>
                <w:lang w:val="en-GB" w:eastAsia="en-GB"/>
              </w:rPr>
            </w:pPr>
            <w:r w:rsidRPr="00AC2F50">
              <w:rPr>
                <w:rFonts w:ascii="Times New Roman" w:eastAsia="Times New Roman" w:hAnsi="Times New Roman" w:cs="Times New Roman"/>
                <w:sz w:val="24"/>
                <w:szCs w:val="24"/>
                <w:lang w:val="en-GB" w:eastAsia="en-GB"/>
              </w:rPr>
              <w:t>• Strong brand image supported by a loyal customer base.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F934F0" w14:textId="77777777" w:rsidR="007E281E" w:rsidRPr="00AC2F50" w:rsidRDefault="007E281E" w:rsidP="0085185D">
            <w:pPr>
              <w:spacing w:before="100" w:beforeAutospacing="1" w:after="100" w:afterAutospacing="1" w:line="240" w:lineRule="auto"/>
              <w:rPr>
                <w:rFonts w:ascii="Times New Roman" w:eastAsia="Times New Roman" w:hAnsi="Times New Roman" w:cs="Times New Roman"/>
                <w:sz w:val="24"/>
                <w:szCs w:val="24"/>
                <w:lang w:val="en-GB" w:eastAsia="en-GB"/>
              </w:rPr>
            </w:pPr>
            <w:r w:rsidRPr="00AC2F50">
              <w:rPr>
                <w:rFonts w:ascii="Times New Roman" w:eastAsia="Times New Roman" w:hAnsi="Times New Roman" w:cs="Times New Roman"/>
                <w:sz w:val="24"/>
                <w:szCs w:val="24"/>
                <w:lang w:val="en-GB" w:eastAsia="en-GB"/>
              </w:rPr>
              <w:t>• Profit margins are constrained by intense competition and price reductions.</w:t>
            </w:r>
          </w:p>
        </w:tc>
      </w:tr>
      <w:tr w:rsidR="007E281E" w:rsidRPr="00AC2F50" w14:paraId="5517D02A" w14:textId="77777777" w:rsidTr="0085185D">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2B673C" w14:textId="77777777" w:rsidR="007E281E" w:rsidRPr="00AC2F50" w:rsidRDefault="007E281E" w:rsidP="0085185D">
            <w:pPr>
              <w:spacing w:before="100" w:beforeAutospacing="1" w:after="100" w:afterAutospacing="1" w:line="240" w:lineRule="auto"/>
              <w:rPr>
                <w:rFonts w:ascii="Times New Roman" w:eastAsia="Times New Roman" w:hAnsi="Times New Roman" w:cs="Times New Roman"/>
                <w:sz w:val="24"/>
                <w:szCs w:val="24"/>
                <w:lang w:val="en-GB" w:eastAsia="en-GB"/>
              </w:rPr>
            </w:pPr>
            <w:r w:rsidRPr="00AC2F50">
              <w:rPr>
                <w:rFonts w:ascii="Times New Roman" w:eastAsia="Times New Roman" w:hAnsi="Times New Roman" w:cs="Times New Roman"/>
                <w:sz w:val="24"/>
                <w:szCs w:val="24"/>
                <w:lang w:val="en-GB" w:eastAsia="en-GB"/>
              </w:rPr>
              <w:t>• Wide network of physical stores complemented by efficient online shopping and delivery services.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243526" w14:textId="77777777" w:rsidR="007E281E" w:rsidRPr="00AC2F50" w:rsidRDefault="007E281E" w:rsidP="0085185D">
            <w:pPr>
              <w:spacing w:before="100" w:beforeAutospacing="1" w:after="100" w:afterAutospacing="1" w:line="240" w:lineRule="auto"/>
              <w:rPr>
                <w:rFonts w:ascii="Times New Roman" w:eastAsia="Times New Roman" w:hAnsi="Times New Roman" w:cs="Times New Roman"/>
                <w:sz w:val="24"/>
                <w:szCs w:val="24"/>
                <w:lang w:val="en-GB" w:eastAsia="en-GB"/>
              </w:rPr>
            </w:pPr>
            <w:r w:rsidRPr="00AC2F50">
              <w:rPr>
                <w:rFonts w:ascii="Times New Roman" w:eastAsia="Times New Roman" w:hAnsi="Times New Roman" w:cs="Times New Roman"/>
                <w:sz w:val="24"/>
                <w:szCs w:val="24"/>
                <w:lang w:val="en-GB" w:eastAsia="en-GB"/>
              </w:rPr>
              <w:t>• High expenses related to operations and workforce management.</w:t>
            </w:r>
          </w:p>
        </w:tc>
      </w:tr>
      <w:tr w:rsidR="007E281E" w:rsidRPr="00AC2F50" w14:paraId="1A86DC5B" w14:textId="77777777" w:rsidTr="0085185D">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99C18A" w14:textId="77777777" w:rsidR="007E281E" w:rsidRPr="00AC2F50" w:rsidRDefault="007E281E" w:rsidP="0085185D">
            <w:pPr>
              <w:spacing w:before="100" w:beforeAutospacing="1" w:after="100" w:afterAutospacing="1" w:line="240" w:lineRule="auto"/>
              <w:rPr>
                <w:rFonts w:ascii="Times New Roman" w:eastAsia="Times New Roman" w:hAnsi="Times New Roman" w:cs="Times New Roman"/>
                <w:sz w:val="24"/>
                <w:szCs w:val="24"/>
                <w:lang w:val="en-GB" w:eastAsia="en-GB"/>
              </w:rPr>
            </w:pPr>
            <w:r w:rsidRPr="00AC2F50">
              <w:rPr>
                <w:rFonts w:ascii="Times New Roman" w:eastAsia="Times New Roman" w:hAnsi="Times New Roman" w:cs="Times New Roman"/>
                <w:sz w:val="24"/>
                <w:szCs w:val="24"/>
                <w:lang w:val="en-GB" w:eastAsia="en-GB"/>
              </w:rPr>
              <w:t>• Effective Clubcard loyalty scheme supported by advanced customer data analysis.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A27C49" w14:textId="77777777" w:rsidR="007E281E" w:rsidRPr="00AC2F50" w:rsidRDefault="007E281E" w:rsidP="0085185D">
            <w:pPr>
              <w:spacing w:before="100" w:beforeAutospacing="1" w:after="100" w:afterAutospacing="1" w:line="240" w:lineRule="auto"/>
              <w:rPr>
                <w:rFonts w:ascii="Times New Roman" w:eastAsia="Times New Roman" w:hAnsi="Times New Roman" w:cs="Times New Roman"/>
                <w:sz w:val="24"/>
                <w:szCs w:val="24"/>
                <w:lang w:val="en-GB" w:eastAsia="en-GB"/>
              </w:rPr>
            </w:pPr>
            <w:r w:rsidRPr="00AC2F50">
              <w:rPr>
                <w:rFonts w:ascii="Times New Roman" w:eastAsia="Times New Roman" w:hAnsi="Times New Roman" w:cs="Times New Roman"/>
                <w:sz w:val="24"/>
                <w:szCs w:val="24"/>
                <w:lang w:val="en-GB" w:eastAsia="en-GB"/>
              </w:rPr>
              <w:t>• Reliance on suppliers and international supply chains for product availability.</w:t>
            </w:r>
          </w:p>
        </w:tc>
      </w:tr>
      <w:tr w:rsidR="007E281E" w:rsidRPr="00AC2F50" w14:paraId="37F45B9F" w14:textId="77777777" w:rsidTr="0085185D">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C04EBF" w14:textId="77777777" w:rsidR="007E281E" w:rsidRPr="00AC2F50" w:rsidRDefault="007E281E" w:rsidP="0085185D">
            <w:pPr>
              <w:spacing w:before="100" w:beforeAutospacing="1" w:after="100" w:afterAutospacing="1" w:line="240" w:lineRule="auto"/>
              <w:rPr>
                <w:rFonts w:ascii="Times New Roman" w:eastAsia="Times New Roman" w:hAnsi="Times New Roman" w:cs="Times New Roman"/>
                <w:sz w:val="24"/>
                <w:szCs w:val="24"/>
                <w:lang w:val="en-GB" w:eastAsia="en-GB"/>
              </w:rPr>
            </w:pPr>
            <w:r w:rsidRPr="00AC2F50">
              <w:rPr>
                <w:rFonts w:ascii="Times New Roman" w:eastAsia="Times New Roman" w:hAnsi="Times New Roman" w:cs="Times New Roman"/>
                <w:sz w:val="24"/>
                <w:szCs w:val="24"/>
                <w:lang w:val="en-GB" w:eastAsia="en-GB"/>
              </w:rPr>
              <w:t>• Stable financial position with a broad portfolio of products and services.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99DE5C" w14:textId="77777777" w:rsidR="007E281E" w:rsidRPr="00AC2F50" w:rsidRDefault="007E281E" w:rsidP="0085185D">
            <w:pPr>
              <w:spacing w:before="100" w:beforeAutospacing="1" w:after="100" w:afterAutospacing="1" w:line="240" w:lineRule="auto"/>
              <w:rPr>
                <w:rFonts w:ascii="Times New Roman" w:eastAsia="Times New Roman" w:hAnsi="Times New Roman" w:cs="Times New Roman"/>
                <w:sz w:val="24"/>
                <w:szCs w:val="24"/>
                <w:lang w:val="en-GB" w:eastAsia="en-GB"/>
              </w:rPr>
            </w:pPr>
            <w:r w:rsidRPr="00AC2F50">
              <w:rPr>
                <w:rFonts w:ascii="Times New Roman" w:eastAsia="Times New Roman" w:hAnsi="Times New Roman" w:cs="Times New Roman"/>
                <w:sz w:val="24"/>
                <w:szCs w:val="24"/>
                <w:lang w:val="en-GB" w:eastAsia="en-GB"/>
              </w:rPr>
              <w:t>• Comparatively limited expansion in overseas markets.</w:t>
            </w:r>
          </w:p>
        </w:tc>
      </w:tr>
    </w:tbl>
    <w:p w14:paraId="346BA154" w14:textId="77777777" w:rsidR="007E281E" w:rsidRDefault="007E281E" w:rsidP="007E281E">
      <w:pPr>
        <w:spacing w:before="100" w:beforeAutospacing="1" w:after="100" w:afterAutospacing="1"/>
        <w:jc w:val="both"/>
        <w:rPr>
          <w:rFonts w:ascii="Times New Roman" w:eastAsia="Times New Roman" w:hAnsi="Times New Roman" w:cs="Times New Roman"/>
          <w:sz w:val="24"/>
          <w:szCs w:val="24"/>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104"/>
        <w:gridCol w:w="4240"/>
      </w:tblGrid>
      <w:tr w:rsidR="007E281E" w:rsidRPr="00F32853" w14:paraId="020C30CE" w14:textId="77777777" w:rsidTr="0085185D">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18E0B2" w14:textId="77777777" w:rsidR="007E281E" w:rsidRPr="00F32853" w:rsidRDefault="007E281E" w:rsidP="0085185D">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F32853">
              <w:rPr>
                <w:rFonts w:ascii="Times New Roman" w:eastAsia="Times New Roman" w:hAnsi="Times New Roman" w:cs="Times New Roman"/>
                <w:b/>
                <w:bCs/>
                <w:sz w:val="24"/>
                <w:szCs w:val="24"/>
                <w:lang w:val="en-GB" w:eastAsia="en-GB"/>
              </w:rPr>
              <w:t>Opportunities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70C395" w14:textId="77777777" w:rsidR="007E281E" w:rsidRPr="00F32853" w:rsidRDefault="007E281E" w:rsidP="0085185D">
            <w:pPr>
              <w:spacing w:before="100" w:beforeAutospacing="1" w:after="100" w:afterAutospacing="1" w:line="240" w:lineRule="auto"/>
              <w:jc w:val="center"/>
              <w:rPr>
                <w:rFonts w:ascii="Times New Roman" w:eastAsia="Times New Roman" w:hAnsi="Times New Roman" w:cs="Times New Roman"/>
                <w:b/>
                <w:bCs/>
                <w:sz w:val="24"/>
                <w:szCs w:val="24"/>
                <w:lang w:val="en-GB" w:eastAsia="en-GB"/>
              </w:rPr>
            </w:pPr>
            <w:r w:rsidRPr="00F32853">
              <w:rPr>
                <w:rFonts w:ascii="Times New Roman" w:eastAsia="Times New Roman" w:hAnsi="Times New Roman" w:cs="Times New Roman"/>
                <w:b/>
                <w:bCs/>
                <w:sz w:val="24"/>
                <w:szCs w:val="24"/>
                <w:lang w:val="en-GB" w:eastAsia="en-GB"/>
              </w:rPr>
              <w:t>Threats</w:t>
            </w:r>
          </w:p>
        </w:tc>
      </w:tr>
      <w:tr w:rsidR="007E281E" w:rsidRPr="00F32853" w14:paraId="06167212" w14:textId="77777777" w:rsidTr="0085185D">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B9041D" w14:textId="77777777" w:rsidR="007E281E" w:rsidRPr="00F32853" w:rsidRDefault="007E281E" w:rsidP="0085185D">
            <w:pPr>
              <w:spacing w:before="100" w:beforeAutospacing="1" w:after="100" w:afterAutospacing="1" w:line="240" w:lineRule="auto"/>
              <w:rPr>
                <w:rFonts w:ascii="Times New Roman" w:eastAsia="Times New Roman" w:hAnsi="Times New Roman" w:cs="Times New Roman"/>
                <w:sz w:val="24"/>
                <w:szCs w:val="24"/>
                <w:lang w:val="en-GB" w:eastAsia="en-GB"/>
              </w:rPr>
            </w:pPr>
            <w:r w:rsidRPr="00F32853">
              <w:rPr>
                <w:rFonts w:ascii="Times New Roman" w:eastAsia="Times New Roman" w:hAnsi="Times New Roman" w:cs="Times New Roman"/>
                <w:sz w:val="24"/>
                <w:szCs w:val="24"/>
                <w:lang w:val="en-GB" w:eastAsia="en-GB"/>
              </w:rPr>
              <w:t>• Increasing demand for online retailing and home delivery creates opportunities for growth.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DF85A2" w14:textId="77777777" w:rsidR="007E281E" w:rsidRPr="00F32853" w:rsidRDefault="007E281E" w:rsidP="0085185D">
            <w:pPr>
              <w:spacing w:before="100" w:beforeAutospacing="1" w:after="100" w:afterAutospacing="1" w:line="240" w:lineRule="auto"/>
              <w:rPr>
                <w:rFonts w:ascii="Times New Roman" w:eastAsia="Times New Roman" w:hAnsi="Times New Roman" w:cs="Times New Roman"/>
                <w:sz w:val="24"/>
                <w:szCs w:val="24"/>
                <w:lang w:val="en-GB" w:eastAsia="en-GB"/>
              </w:rPr>
            </w:pPr>
            <w:r w:rsidRPr="00F32853">
              <w:rPr>
                <w:rFonts w:ascii="Times New Roman" w:eastAsia="Times New Roman" w:hAnsi="Times New Roman" w:cs="Times New Roman"/>
                <w:sz w:val="24"/>
                <w:szCs w:val="24"/>
                <w:lang w:val="en-GB" w:eastAsia="en-GB"/>
              </w:rPr>
              <w:t>• Intense rivalry from competitors such as Aldi, Lidl, Sainsbury’s, and Asda.</w:t>
            </w:r>
          </w:p>
        </w:tc>
      </w:tr>
      <w:tr w:rsidR="007E281E" w:rsidRPr="00F32853" w14:paraId="0ED04D13" w14:textId="77777777" w:rsidTr="0085185D">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22C454" w14:textId="77777777" w:rsidR="007E281E" w:rsidRPr="00F32853" w:rsidRDefault="007E281E" w:rsidP="0085185D">
            <w:pPr>
              <w:spacing w:before="100" w:beforeAutospacing="1" w:after="100" w:afterAutospacing="1" w:line="240" w:lineRule="auto"/>
              <w:rPr>
                <w:rFonts w:ascii="Times New Roman" w:eastAsia="Times New Roman" w:hAnsi="Times New Roman" w:cs="Times New Roman"/>
                <w:sz w:val="24"/>
                <w:szCs w:val="24"/>
                <w:lang w:val="en-GB" w:eastAsia="en-GB"/>
              </w:rPr>
            </w:pPr>
            <w:r w:rsidRPr="00F32853">
              <w:rPr>
                <w:rFonts w:ascii="Times New Roman" w:eastAsia="Times New Roman" w:hAnsi="Times New Roman" w:cs="Times New Roman"/>
                <w:sz w:val="24"/>
                <w:szCs w:val="24"/>
                <w:lang w:val="en-GB" w:eastAsia="en-GB"/>
              </w:rPr>
              <w:t>• Rising consumer interest in healthier, organic, and environmentally sustainable products offers new market opportunities.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D28F4D" w14:textId="77777777" w:rsidR="007E281E" w:rsidRPr="00F32853" w:rsidRDefault="007E281E" w:rsidP="0085185D">
            <w:pPr>
              <w:spacing w:before="100" w:beforeAutospacing="1" w:after="100" w:afterAutospacing="1" w:line="240" w:lineRule="auto"/>
              <w:rPr>
                <w:rFonts w:ascii="Times New Roman" w:eastAsia="Times New Roman" w:hAnsi="Times New Roman" w:cs="Times New Roman"/>
                <w:sz w:val="24"/>
                <w:szCs w:val="24"/>
                <w:lang w:val="en-GB" w:eastAsia="en-GB"/>
              </w:rPr>
            </w:pPr>
            <w:r w:rsidRPr="00F32853">
              <w:rPr>
                <w:rFonts w:ascii="Times New Roman" w:eastAsia="Times New Roman" w:hAnsi="Times New Roman" w:cs="Times New Roman"/>
                <w:sz w:val="24"/>
                <w:szCs w:val="24"/>
                <w:lang w:val="en-GB" w:eastAsia="en-GB"/>
              </w:rPr>
              <w:t>• Inflation and shifts in consumer purchasing behaviour may negatively affect sales and profitability.</w:t>
            </w:r>
          </w:p>
        </w:tc>
      </w:tr>
    </w:tbl>
    <w:p w14:paraId="68298C0B" w14:textId="77777777" w:rsidR="007E281E" w:rsidRPr="00862EEB" w:rsidRDefault="007E281E" w:rsidP="007E281E">
      <w:pPr>
        <w:spacing w:before="100" w:beforeAutospacing="1" w:after="100" w:afterAutospacing="1"/>
        <w:jc w:val="both"/>
        <w:rPr>
          <w:rFonts w:ascii="Times New Roman" w:eastAsia="Times New Roman" w:hAnsi="Times New Roman" w:cs="Times New Roman"/>
          <w:sz w:val="24"/>
          <w:szCs w:val="24"/>
        </w:rPr>
      </w:pPr>
    </w:p>
    <w:p w14:paraId="1CEE8067" w14:textId="77777777" w:rsidR="007E281E" w:rsidRDefault="007E281E" w:rsidP="00027A2E">
      <w:pPr>
        <w:spacing w:before="100" w:beforeAutospacing="1" w:after="100" w:afterAutospacing="1"/>
        <w:jc w:val="both"/>
        <w:rPr>
          <w:rFonts w:ascii="Times New Roman" w:eastAsia="Times New Roman" w:hAnsi="Times New Roman" w:cs="Times New Roman"/>
          <w:sz w:val="24"/>
          <w:szCs w:val="24"/>
        </w:rPr>
      </w:pPr>
    </w:p>
    <w:p w14:paraId="216F19BB" w14:textId="77777777" w:rsidR="006F375A" w:rsidRDefault="006F375A" w:rsidP="00027A2E">
      <w:pPr>
        <w:spacing w:before="100" w:beforeAutospacing="1" w:after="100" w:afterAutospacing="1"/>
        <w:jc w:val="both"/>
        <w:rPr>
          <w:rFonts w:ascii="Times New Roman" w:eastAsia="Times New Roman" w:hAnsi="Times New Roman" w:cs="Times New Roman"/>
          <w:sz w:val="24"/>
          <w:szCs w:val="24"/>
        </w:rPr>
      </w:pPr>
    </w:p>
    <w:p w14:paraId="3E3AEE7B" w14:textId="77777777" w:rsidR="00B71149" w:rsidRPr="00027A2E" w:rsidRDefault="00B71149" w:rsidP="00027A2E">
      <w:pPr>
        <w:spacing w:before="100" w:beforeAutospacing="1" w:after="100" w:afterAutospacing="1"/>
        <w:jc w:val="both"/>
        <w:rPr>
          <w:rFonts w:ascii="Times New Roman" w:eastAsia="Times New Roman" w:hAnsi="Times New Roman" w:cs="Times New Roman"/>
          <w:sz w:val="24"/>
          <w:szCs w:val="24"/>
        </w:rPr>
      </w:pPr>
    </w:p>
    <w:p w14:paraId="75DBAC76" w14:textId="77777777" w:rsidR="00211375" w:rsidRPr="001B1AB2" w:rsidRDefault="00211375" w:rsidP="001B1AB2">
      <w:pPr>
        <w:pStyle w:val="ListParagraph"/>
        <w:numPr>
          <w:ilvl w:val="0"/>
          <w:numId w:val="39"/>
        </w:numPr>
        <w:spacing w:before="100" w:beforeAutospacing="1" w:after="100" w:afterAutospacing="1"/>
        <w:jc w:val="both"/>
        <w:outlineLvl w:val="1"/>
        <w:rPr>
          <w:rFonts w:ascii="Times New Roman" w:eastAsia="Times New Roman" w:hAnsi="Times New Roman" w:cs="Times New Roman"/>
          <w:b/>
          <w:bCs/>
          <w:sz w:val="36"/>
          <w:szCs w:val="36"/>
        </w:rPr>
      </w:pPr>
      <w:bookmarkStart w:id="55" w:name="_Toc234247211"/>
      <w:bookmarkStart w:id="56" w:name="_Toc234339951"/>
      <w:r w:rsidRPr="001B1AB2">
        <w:rPr>
          <w:rFonts w:ascii="Times New Roman" w:eastAsia="Times New Roman" w:hAnsi="Times New Roman" w:cs="Times New Roman"/>
          <w:b/>
          <w:bCs/>
          <w:sz w:val="36"/>
          <w:szCs w:val="36"/>
        </w:rPr>
        <w:t>Roles, Responsibilities, Benefits and Challenges</w:t>
      </w:r>
      <w:bookmarkEnd w:id="55"/>
      <w:bookmarkEnd w:id="56"/>
    </w:p>
    <w:p w14:paraId="07742B86" w14:textId="77777777" w:rsidR="00862EEB" w:rsidRPr="00862EEB"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62EEB" w:rsidRPr="00862EEB">
        <w:rPr>
          <w:rFonts w:ascii="Times New Roman" w:eastAsia="Times New Roman" w:hAnsi="Times New Roman" w:cs="Times New Roman"/>
          <w:sz w:val="24"/>
          <w:szCs w:val="24"/>
        </w:rPr>
        <w:t>The successful implementation of ConnectPlus depends on the involvement of several internal and external stakeholders, each contributing specific expertise, resources, and perspectives. While their input is essential for delivering the project successfully, each group also faces challenges that must be managed to ensure the platform achieves its objectives.</w:t>
      </w:r>
    </w:p>
    <w:p w14:paraId="0EB66283" w14:textId="77777777" w:rsidR="00862EEB" w:rsidRPr="00862EEB" w:rsidRDefault="001B1AB2"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57" w:name="_Toc231677165"/>
      <w:bookmarkStart w:id="58" w:name="_Toc234246912"/>
      <w:bookmarkStart w:id="59" w:name="_Toc234247212"/>
      <w:bookmarkStart w:id="60" w:name="_Toc234339952"/>
      <w:r w:rsidR="00862EEB" w:rsidRPr="00862EEB">
        <w:rPr>
          <w:rFonts w:ascii="Times New Roman" w:eastAsia="Times New Roman" w:hAnsi="Times New Roman" w:cs="Times New Roman"/>
          <w:b/>
          <w:bCs/>
          <w:sz w:val="27"/>
          <w:szCs w:val="27"/>
        </w:rPr>
        <w:t>Senior Management and Board of Directors</w:t>
      </w:r>
      <w:bookmarkEnd w:id="57"/>
      <w:bookmarkEnd w:id="58"/>
      <w:bookmarkEnd w:id="59"/>
      <w:bookmarkEnd w:id="60"/>
    </w:p>
    <w:p w14:paraId="05EE033A" w14:textId="77777777" w:rsidR="00862EEB" w:rsidRPr="00862EEB"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62EEB" w:rsidRPr="00862EEB">
        <w:rPr>
          <w:rFonts w:ascii="Times New Roman" w:eastAsia="Times New Roman" w:hAnsi="Times New Roman" w:cs="Times New Roman"/>
          <w:sz w:val="24"/>
          <w:szCs w:val="24"/>
        </w:rPr>
        <w:t>Senior management and the Board of Directors play a strategic role in guiding the ConnectPlus project. They are responsible for setting the direction, approving budgets, allocating resources, and ensuring alignment with Tesco’s long-term strategy. They also oversee performance monitoring and strategic risk management.</w:t>
      </w:r>
      <w:r w:rsidR="00D5753B">
        <w:rPr>
          <w:rFonts w:ascii="Times New Roman" w:eastAsia="Times New Roman" w:hAnsi="Times New Roman" w:cs="Times New Roman"/>
          <w:sz w:val="24"/>
          <w:szCs w:val="24"/>
        </w:rPr>
        <w:t xml:space="preserve"> </w:t>
      </w:r>
      <w:r w:rsidR="00862EEB" w:rsidRPr="00862EEB">
        <w:rPr>
          <w:rFonts w:ascii="Times New Roman" w:eastAsia="Times New Roman" w:hAnsi="Times New Roman" w:cs="Times New Roman"/>
          <w:sz w:val="24"/>
          <w:szCs w:val="24"/>
        </w:rPr>
        <w:t xml:space="preserve">Their key advantage is decision-making authority and </w:t>
      </w:r>
      <w:r w:rsidRPr="00862EEB">
        <w:rPr>
          <w:rFonts w:ascii="Times New Roman" w:eastAsia="Times New Roman" w:hAnsi="Times New Roman" w:cs="Times New Roman"/>
          <w:sz w:val="24"/>
          <w:szCs w:val="24"/>
        </w:rPr>
        <w:t>organizational</w:t>
      </w:r>
      <w:r w:rsidR="00862EEB" w:rsidRPr="00862EEB">
        <w:rPr>
          <w:rFonts w:ascii="Times New Roman" w:eastAsia="Times New Roman" w:hAnsi="Times New Roman" w:cs="Times New Roman"/>
          <w:sz w:val="24"/>
          <w:szCs w:val="24"/>
        </w:rPr>
        <w:t xml:space="preserve"> influence, which is essential for securing support for large digital transformation projects. Without senior backing, such initiatives often struggle to obtain sufficient resources (Bryson, 2018). However, a key challenge is assessing the return on investment, particularly when outcomes are uncertain due to the innovative nature of the technology.</w:t>
      </w:r>
    </w:p>
    <w:p w14:paraId="16FE6E10" w14:textId="77777777" w:rsidR="00862EEB" w:rsidRPr="00862EEB" w:rsidRDefault="001B1AB2"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61" w:name="_Toc231677166"/>
      <w:bookmarkStart w:id="62" w:name="_Toc234246913"/>
      <w:bookmarkStart w:id="63" w:name="_Toc234247213"/>
      <w:bookmarkStart w:id="64" w:name="_Toc234339953"/>
      <w:r w:rsidR="00862EEB" w:rsidRPr="00862EEB">
        <w:rPr>
          <w:rFonts w:ascii="Times New Roman" w:eastAsia="Times New Roman" w:hAnsi="Times New Roman" w:cs="Times New Roman"/>
          <w:b/>
          <w:bCs/>
          <w:sz w:val="27"/>
          <w:szCs w:val="27"/>
        </w:rPr>
        <w:t>Project Manager</w:t>
      </w:r>
      <w:bookmarkEnd w:id="61"/>
      <w:bookmarkEnd w:id="62"/>
      <w:bookmarkEnd w:id="63"/>
      <w:bookmarkEnd w:id="64"/>
    </w:p>
    <w:p w14:paraId="39D112D0" w14:textId="77777777" w:rsidR="00862EEB" w:rsidRPr="00862EEB" w:rsidRDefault="001B1AB2"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62EEB" w:rsidRPr="00862EEB">
        <w:rPr>
          <w:rFonts w:ascii="Times New Roman" w:eastAsia="Times New Roman" w:hAnsi="Times New Roman" w:cs="Times New Roman"/>
          <w:sz w:val="24"/>
          <w:szCs w:val="24"/>
        </w:rPr>
        <w:t xml:space="preserve">The Project Manager is responsible for coordinating all project activities and ensuring alignment between stakeholders throughout the project lifecycle. This includes planning, scheduling, communication, risk management, and performance </w:t>
      </w:r>
      <w:proofErr w:type="spellStart"/>
      <w:proofErr w:type="gramStart"/>
      <w:r w:rsidR="00862EEB" w:rsidRPr="00862EEB">
        <w:rPr>
          <w:rFonts w:ascii="Times New Roman" w:eastAsia="Times New Roman" w:hAnsi="Times New Roman" w:cs="Times New Roman"/>
          <w:sz w:val="24"/>
          <w:szCs w:val="24"/>
        </w:rPr>
        <w:t>monitoring.Effective</w:t>
      </w:r>
      <w:proofErr w:type="spellEnd"/>
      <w:proofErr w:type="gramEnd"/>
      <w:r w:rsidR="00862EEB" w:rsidRPr="00862EEB">
        <w:rPr>
          <w:rFonts w:ascii="Times New Roman" w:eastAsia="Times New Roman" w:hAnsi="Times New Roman" w:cs="Times New Roman"/>
          <w:sz w:val="24"/>
          <w:szCs w:val="24"/>
        </w:rPr>
        <w:t xml:space="preserve"> project management improves coordination across departments and enables quicker problem resolution (PMI, 2021). However, the Project Manager may face challenges such as conflicting stakeholder expectations, limited resources, and changing project requirements, all of which can impact delivery.</w:t>
      </w:r>
    </w:p>
    <w:p w14:paraId="24CB757A" w14:textId="77777777" w:rsidR="00862EEB" w:rsidRPr="00862EEB" w:rsidRDefault="00C54044"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65" w:name="_Toc231677167"/>
      <w:bookmarkStart w:id="66" w:name="_Toc234246914"/>
      <w:bookmarkStart w:id="67" w:name="_Toc234247214"/>
      <w:bookmarkStart w:id="68" w:name="_Toc234339954"/>
      <w:r w:rsidR="00862EEB" w:rsidRPr="00862EEB">
        <w:rPr>
          <w:rFonts w:ascii="Times New Roman" w:eastAsia="Times New Roman" w:hAnsi="Times New Roman" w:cs="Times New Roman"/>
          <w:b/>
          <w:bCs/>
          <w:sz w:val="27"/>
          <w:szCs w:val="27"/>
        </w:rPr>
        <w:t>IT and Digital Development Teams</w:t>
      </w:r>
      <w:bookmarkEnd w:id="65"/>
      <w:bookmarkEnd w:id="66"/>
      <w:bookmarkEnd w:id="67"/>
      <w:bookmarkEnd w:id="68"/>
    </w:p>
    <w:p w14:paraId="2C66A0D7" w14:textId="77777777" w:rsidR="00862EEB" w:rsidRDefault="00C54044"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62EEB" w:rsidRPr="00862EEB">
        <w:rPr>
          <w:rFonts w:ascii="Times New Roman" w:eastAsia="Times New Roman" w:hAnsi="Times New Roman" w:cs="Times New Roman"/>
          <w:sz w:val="24"/>
          <w:szCs w:val="24"/>
        </w:rPr>
        <w:t xml:space="preserve">The IT and Digital Development teams are responsible for designing, building, testing, and maintaining the </w:t>
      </w:r>
      <w:proofErr w:type="spellStart"/>
      <w:r w:rsidR="00862EEB" w:rsidRPr="00862EEB">
        <w:rPr>
          <w:rFonts w:ascii="Times New Roman" w:eastAsia="Times New Roman" w:hAnsi="Times New Roman" w:cs="Times New Roman"/>
          <w:sz w:val="24"/>
          <w:szCs w:val="24"/>
          <w:lang w:val="en-GB"/>
        </w:rPr>
        <w:t>ConnectPlus</w:t>
      </w:r>
      <w:proofErr w:type="spellEnd"/>
      <w:r w:rsidR="00862EEB" w:rsidRPr="00862EEB">
        <w:rPr>
          <w:rFonts w:ascii="Times New Roman" w:eastAsia="Times New Roman" w:hAnsi="Times New Roman" w:cs="Times New Roman"/>
          <w:sz w:val="24"/>
          <w:szCs w:val="24"/>
        </w:rPr>
        <w:t xml:space="preserve"> platform. Their work includes AI integration, </w:t>
      </w:r>
      <w:r w:rsidR="00862EEB" w:rsidRPr="00027A2E">
        <w:rPr>
          <w:rFonts w:ascii="Times New Roman" w:eastAsia="Times New Roman" w:hAnsi="Times New Roman" w:cs="Times New Roman"/>
          <w:sz w:val="24"/>
          <w:szCs w:val="24"/>
        </w:rPr>
        <w:t>cyber security</w:t>
      </w:r>
      <w:r w:rsidR="00862EEB" w:rsidRPr="00862EEB">
        <w:rPr>
          <w:rFonts w:ascii="Times New Roman" w:eastAsia="Times New Roman" w:hAnsi="Times New Roman" w:cs="Times New Roman"/>
          <w:sz w:val="24"/>
          <w:szCs w:val="24"/>
        </w:rPr>
        <w:t>, system performance, and data management.</w:t>
      </w:r>
      <w:r w:rsidR="00D5753B">
        <w:rPr>
          <w:rFonts w:ascii="Times New Roman" w:eastAsia="Times New Roman" w:hAnsi="Times New Roman" w:cs="Times New Roman"/>
          <w:sz w:val="24"/>
          <w:szCs w:val="24"/>
        </w:rPr>
        <w:t xml:space="preserve"> </w:t>
      </w:r>
      <w:r w:rsidR="00862EEB" w:rsidRPr="00862EEB">
        <w:rPr>
          <w:rFonts w:ascii="Times New Roman" w:eastAsia="Times New Roman" w:hAnsi="Times New Roman" w:cs="Times New Roman"/>
          <w:sz w:val="24"/>
          <w:szCs w:val="24"/>
        </w:rPr>
        <w:t>Their technical expertise is essential for ensuring the platform is secure, scalable, and reliable. However, they often face challenges such as tight deadlines, evolving requirements, and difficulties integrating new technologies with existing systems (Kerzner, 2017).</w:t>
      </w:r>
    </w:p>
    <w:p w14:paraId="78351193" w14:textId="77777777" w:rsidR="006F375A" w:rsidRDefault="006F375A" w:rsidP="00027A2E">
      <w:pPr>
        <w:spacing w:before="100" w:beforeAutospacing="1" w:after="100" w:afterAutospacing="1"/>
        <w:jc w:val="both"/>
        <w:rPr>
          <w:rFonts w:ascii="Times New Roman" w:eastAsia="Times New Roman" w:hAnsi="Times New Roman" w:cs="Times New Roman"/>
          <w:sz w:val="24"/>
          <w:szCs w:val="24"/>
        </w:rPr>
      </w:pPr>
    </w:p>
    <w:p w14:paraId="26F01A75" w14:textId="77777777" w:rsidR="006F375A" w:rsidRPr="00862EEB" w:rsidRDefault="006F375A" w:rsidP="00027A2E">
      <w:pPr>
        <w:spacing w:before="100" w:beforeAutospacing="1" w:after="100" w:afterAutospacing="1"/>
        <w:jc w:val="both"/>
        <w:rPr>
          <w:rFonts w:ascii="Times New Roman" w:eastAsia="Times New Roman" w:hAnsi="Times New Roman" w:cs="Times New Roman"/>
          <w:sz w:val="24"/>
          <w:szCs w:val="24"/>
        </w:rPr>
      </w:pPr>
    </w:p>
    <w:p w14:paraId="6433BD1D" w14:textId="77777777" w:rsidR="00862EEB" w:rsidRPr="00862EEB" w:rsidRDefault="001624EB"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69" w:name="_Toc231677168"/>
      <w:bookmarkStart w:id="70" w:name="_Toc234246915"/>
      <w:bookmarkStart w:id="71" w:name="_Toc234247215"/>
      <w:bookmarkStart w:id="72" w:name="_Toc234339955"/>
      <w:r w:rsidR="00862EEB" w:rsidRPr="00862EEB">
        <w:rPr>
          <w:rFonts w:ascii="Times New Roman" w:eastAsia="Times New Roman" w:hAnsi="Times New Roman" w:cs="Times New Roman"/>
          <w:b/>
          <w:bCs/>
          <w:sz w:val="27"/>
          <w:szCs w:val="27"/>
        </w:rPr>
        <w:t>Marketing and Customer Service Teams</w:t>
      </w:r>
      <w:bookmarkEnd w:id="69"/>
      <w:bookmarkEnd w:id="70"/>
      <w:bookmarkEnd w:id="71"/>
      <w:bookmarkEnd w:id="72"/>
    </w:p>
    <w:p w14:paraId="2FEAEDBC" w14:textId="77777777" w:rsidR="00862EEB" w:rsidRPr="00862EEB" w:rsidRDefault="001624EB"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62EEB" w:rsidRPr="00862EEB">
        <w:rPr>
          <w:rFonts w:ascii="Times New Roman" w:eastAsia="Times New Roman" w:hAnsi="Times New Roman" w:cs="Times New Roman"/>
          <w:sz w:val="24"/>
          <w:szCs w:val="24"/>
        </w:rPr>
        <w:t>Marketing teams support ConnectPlus by developing promotional campaigns and encouraging customer adoption. They also help position the platform within Tesco’s wider customer experience strategy. Customer service teams provide support to users, resolve issues, and collect feedback to improve the system.</w:t>
      </w:r>
      <w:r w:rsidR="00897A80">
        <w:rPr>
          <w:rFonts w:ascii="Times New Roman" w:eastAsia="Times New Roman" w:hAnsi="Times New Roman" w:cs="Times New Roman"/>
          <w:sz w:val="24"/>
          <w:szCs w:val="24"/>
        </w:rPr>
        <w:t xml:space="preserve"> </w:t>
      </w:r>
      <w:r w:rsidR="00862EEB" w:rsidRPr="00862EEB">
        <w:rPr>
          <w:rFonts w:ascii="Times New Roman" w:eastAsia="Times New Roman" w:hAnsi="Times New Roman" w:cs="Times New Roman"/>
          <w:sz w:val="24"/>
          <w:szCs w:val="24"/>
        </w:rPr>
        <w:t>Together, these teams strengthen customer engagement and provide valuable insights into user experience (Christopher, Payne and Ballantyne, 2013). However, they may struggle with managing customer expectations, especially if technical issues occur or if concerns arise regarding data privacy.</w:t>
      </w:r>
    </w:p>
    <w:p w14:paraId="62AF03DC" w14:textId="77777777" w:rsidR="00862EEB" w:rsidRPr="00862EEB" w:rsidRDefault="00C83248"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73" w:name="_Toc231677169"/>
      <w:bookmarkStart w:id="74" w:name="_Toc234246916"/>
      <w:bookmarkStart w:id="75" w:name="_Toc234247216"/>
      <w:bookmarkStart w:id="76" w:name="_Toc234339956"/>
      <w:r w:rsidR="00862EEB" w:rsidRPr="00862EEB">
        <w:rPr>
          <w:rFonts w:ascii="Times New Roman" w:eastAsia="Times New Roman" w:hAnsi="Times New Roman" w:cs="Times New Roman"/>
          <w:b/>
          <w:bCs/>
          <w:sz w:val="27"/>
          <w:szCs w:val="27"/>
        </w:rPr>
        <w:t>Customers</w:t>
      </w:r>
      <w:bookmarkEnd w:id="73"/>
      <w:bookmarkEnd w:id="74"/>
      <w:bookmarkEnd w:id="75"/>
      <w:bookmarkEnd w:id="76"/>
    </w:p>
    <w:p w14:paraId="6F340275" w14:textId="77777777" w:rsidR="00862EEB" w:rsidRPr="00862EEB" w:rsidRDefault="00C83248"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62EEB" w:rsidRPr="00862EEB">
        <w:rPr>
          <w:rFonts w:ascii="Times New Roman" w:eastAsia="Times New Roman" w:hAnsi="Times New Roman" w:cs="Times New Roman"/>
          <w:sz w:val="24"/>
          <w:szCs w:val="24"/>
        </w:rPr>
        <w:t xml:space="preserve">Customers are the most important external stakeholders, as they are the end users of ConnectPlus. Their engagement directly determines the success of the platform. Customers benefit from </w:t>
      </w:r>
      <w:r w:rsidRPr="00862EEB">
        <w:rPr>
          <w:rFonts w:ascii="Times New Roman" w:eastAsia="Times New Roman" w:hAnsi="Times New Roman" w:cs="Times New Roman"/>
          <w:sz w:val="24"/>
          <w:szCs w:val="24"/>
        </w:rPr>
        <w:t>personalized</w:t>
      </w:r>
      <w:r w:rsidR="00862EEB" w:rsidRPr="00862EEB">
        <w:rPr>
          <w:rFonts w:ascii="Times New Roman" w:eastAsia="Times New Roman" w:hAnsi="Times New Roman" w:cs="Times New Roman"/>
          <w:sz w:val="24"/>
          <w:szCs w:val="24"/>
        </w:rPr>
        <w:t xml:space="preserve"> recommendations, tailored offers, improved shopping experiences, and enhanced loyalty rewards. </w:t>
      </w:r>
      <w:r w:rsidRPr="00862EEB">
        <w:rPr>
          <w:rFonts w:ascii="Times New Roman" w:eastAsia="Times New Roman" w:hAnsi="Times New Roman" w:cs="Times New Roman"/>
          <w:sz w:val="24"/>
          <w:szCs w:val="24"/>
        </w:rPr>
        <w:t>Personalization</w:t>
      </w:r>
      <w:r w:rsidR="00862EEB" w:rsidRPr="00862EEB">
        <w:rPr>
          <w:rFonts w:ascii="Times New Roman" w:eastAsia="Times New Roman" w:hAnsi="Times New Roman" w:cs="Times New Roman"/>
          <w:sz w:val="24"/>
          <w:szCs w:val="24"/>
        </w:rPr>
        <w:t xml:space="preserve"> has been shown to improve satisfaction and retention (Chaffey and Ellis-Chadwick, 2019</w:t>
      </w:r>
      <w:proofErr w:type="gramStart"/>
      <w:r w:rsidR="00862EEB" w:rsidRPr="00862EEB">
        <w:rPr>
          <w:rFonts w:ascii="Times New Roman" w:eastAsia="Times New Roman" w:hAnsi="Times New Roman" w:cs="Times New Roman"/>
          <w:sz w:val="24"/>
          <w:szCs w:val="24"/>
        </w:rPr>
        <w:t>).However</w:t>
      </w:r>
      <w:proofErr w:type="gramEnd"/>
      <w:r w:rsidR="00862EEB" w:rsidRPr="00862EEB">
        <w:rPr>
          <w:rFonts w:ascii="Times New Roman" w:eastAsia="Times New Roman" w:hAnsi="Times New Roman" w:cs="Times New Roman"/>
          <w:sz w:val="24"/>
          <w:szCs w:val="24"/>
        </w:rPr>
        <w:t>, customers may have concerns about how their data is collected and used. Issues related to AI transparency and privacy can affect trust if not addressed properly (Dwivedi et al., 2021).</w:t>
      </w:r>
    </w:p>
    <w:p w14:paraId="394F4627" w14:textId="77777777" w:rsidR="00862EEB" w:rsidRPr="00862EEB" w:rsidRDefault="00C83248"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77" w:name="_Toc231677170"/>
      <w:bookmarkStart w:id="78" w:name="_Toc234246917"/>
      <w:bookmarkStart w:id="79" w:name="_Toc234247217"/>
      <w:bookmarkStart w:id="80" w:name="_Toc234339957"/>
      <w:r w:rsidR="00862EEB" w:rsidRPr="00862EEB">
        <w:rPr>
          <w:rFonts w:ascii="Times New Roman" w:eastAsia="Times New Roman" w:hAnsi="Times New Roman" w:cs="Times New Roman"/>
          <w:b/>
          <w:bCs/>
          <w:sz w:val="27"/>
          <w:szCs w:val="27"/>
        </w:rPr>
        <w:t>Regulators and Technology Partners</w:t>
      </w:r>
      <w:bookmarkEnd w:id="77"/>
      <w:bookmarkEnd w:id="78"/>
      <w:bookmarkEnd w:id="79"/>
      <w:bookmarkEnd w:id="80"/>
    </w:p>
    <w:p w14:paraId="3143258E" w14:textId="77777777" w:rsidR="00862EEB" w:rsidRDefault="00C83248"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62EEB" w:rsidRPr="00862EEB">
        <w:rPr>
          <w:rFonts w:ascii="Times New Roman" w:eastAsia="Times New Roman" w:hAnsi="Times New Roman" w:cs="Times New Roman"/>
          <w:sz w:val="24"/>
          <w:szCs w:val="24"/>
        </w:rPr>
        <w:t>Regulators ensure Tesco complies with data protection and privacy laws, reducing legal and reputational risks. Technology partners support the project by providing expertise in AI, cloud services, and system development, helping Tesco access advanced capabilities without building everything internally.</w:t>
      </w:r>
      <w:r w:rsidR="004E3706">
        <w:rPr>
          <w:rFonts w:ascii="Times New Roman" w:eastAsia="Times New Roman" w:hAnsi="Times New Roman" w:cs="Times New Roman"/>
          <w:sz w:val="24"/>
          <w:szCs w:val="24"/>
        </w:rPr>
        <w:t xml:space="preserve"> </w:t>
      </w:r>
      <w:r w:rsidR="00862EEB" w:rsidRPr="00862EEB">
        <w:rPr>
          <w:rFonts w:ascii="Times New Roman" w:eastAsia="Times New Roman" w:hAnsi="Times New Roman" w:cs="Times New Roman"/>
          <w:sz w:val="24"/>
          <w:szCs w:val="24"/>
        </w:rPr>
        <w:t>However, reliance on external partners can create dependency risks, while regulatory requirements may sometimes limit flexibility in system design and implementation.</w:t>
      </w:r>
    </w:p>
    <w:p w14:paraId="780474D3" w14:textId="77777777" w:rsidR="00157AFC" w:rsidRDefault="00157AFC" w:rsidP="00027A2E">
      <w:pPr>
        <w:spacing w:before="100" w:beforeAutospacing="1" w:after="100" w:afterAutospacing="1"/>
        <w:jc w:val="both"/>
        <w:rPr>
          <w:rFonts w:ascii="Times New Roman" w:eastAsia="Times New Roman" w:hAnsi="Times New Roman" w:cs="Times New Roman"/>
          <w:sz w:val="24"/>
          <w:szCs w:val="24"/>
        </w:rPr>
      </w:pPr>
    </w:p>
    <w:p w14:paraId="5E02C45A" w14:textId="77777777" w:rsidR="00B71149" w:rsidRDefault="00B71149" w:rsidP="00027A2E">
      <w:pPr>
        <w:spacing w:before="100" w:beforeAutospacing="1" w:after="100" w:afterAutospacing="1"/>
        <w:jc w:val="both"/>
        <w:rPr>
          <w:rFonts w:ascii="Times New Roman" w:eastAsia="Times New Roman" w:hAnsi="Times New Roman" w:cs="Times New Roman"/>
          <w:sz w:val="24"/>
          <w:szCs w:val="24"/>
        </w:rPr>
      </w:pPr>
    </w:p>
    <w:p w14:paraId="2B339AB8" w14:textId="77777777" w:rsidR="00B71149" w:rsidRDefault="00B71149" w:rsidP="00027A2E">
      <w:pPr>
        <w:spacing w:before="100" w:beforeAutospacing="1" w:after="100" w:afterAutospacing="1"/>
        <w:jc w:val="both"/>
        <w:rPr>
          <w:rFonts w:ascii="Times New Roman" w:eastAsia="Times New Roman" w:hAnsi="Times New Roman" w:cs="Times New Roman"/>
          <w:sz w:val="24"/>
          <w:szCs w:val="24"/>
        </w:rPr>
      </w:pPr>
    </w:p>
    <w:p w14:paraId="75C35F81" w14:textId="77777777" w:rsidR="00B71149" w:rsidRDefault="00B71149" w:rsidP="00027A2E">
      <w:pPr>
        <w:spacing w:before="100" w:beforeAutospacing="1" w:after="100" w:afterAutospacing="1"/>
        <w:jc w:val="both"/>
        <w:rPr>
          <w:rFonts w:ascii="Times New Roman" w:eastAsia="Times New Roman" w:hAnsi="Times New Roman" w:cs="Times New Roman"/>
          <w:sz w:val="24"/>
          <w:szCs w:val="24"/>
        </w:rPr>
      </w:pPr>
    </w:p>
    <w:p w14:paraId="6333CFD2" w14:textId="77777777" w:rsidR="00B71149" w:rsidRDefault="00B71149" w:rsidP="00027A2E">
      <w:pPr>
        <w:spacing w:before="100" w:beforeAutospacing="1" w:after="100" w:afterAutospacing="1"/>
        <w:jc w:val="both"/>
        <w:rPr>
          <w:rFonts w:ascii="Times New Roman" w:eastAsia="Times New Roman" w:hAnsi="Times New Roman" w:cs="Times New Roman"/>
          <w:sz w:val="24"/>
          <w:szCs w:val="24"/>
        </w:rPr>
      </w:pPr>
    </w:p>
    <w:p w14:paraId="55B8A426" w14:textId="77777777" w:rsidR="00B71149" w:rsidRPr="00862EEB" w:rsidRDefault="00B71149" w:rsidP="00027A2E">
      <w:pPr>
        <w:spacing w:before="100" w:beforeAutospacing="1" w:after="100" w:afterAutospacing="1"/>
        <w:jc w:val="both"/>
        <w:rPr>
          <w:rFonts w:ascii="Times New Roman" w:eastAsia="Times New Roman" w:hAnsi="Times New Roman" w:cs="Times New Roman"/>
          <w:sz w:val="24"/>
          <w:szCs w:val="24"/>
        </w:rPr>
      </w:pPr>
    </w:p>
    <w:p w14:paraId="277E1F1F" w14:textId="77777777" w:rsidR="00783589" w:rsidRPr="00783589" w:rsidRDefault="00211375" w:rsidP="00783589">
      <w:pPr>
        <w:pStyle w:val="ListParagraph"/>
        <w:numPr>
          <w:ilvl w:val="0"/>
          <w:numId w:val="39"/>
        </w:numPr>
        <w:spacing w:before="100" w:beforeAutospacing="1" w:after="100" w:afterAutospacing="1"/>
        <w:jc w:val="both"/>
        <w:outlineLvl w:val="1"/>
        <w:rPr>
          <w:rFonts w:ascii="Times New Roman" w:eastAsia="Times New Roman" w:hAnsi="Times New Roman" w:cs="Times New Roman"/>
          <w:b/>
          <w:bCs/>
          <w:sz w:val="36"/>
          <w:szCs w:val="36"/>
        </w:rPr>
      </w:pPr>
      <w:bookmarkStart w:id="81" w:name="_Toc234247218"/>
      <w:bookmarkStart w:id="82" w:name="_Toc234339958"/>
      <w:r w:rsidRPr="00783589">
        <w:rPr>
          <w:rFonts w:ascii="Times New Roman" w:eastAsia="Times New Roman" w:hAnsi="Times New Roman" w:cs="Times New Roman"/>
          <w:b/>
          <w:bCs/>
          <w:sz w:val="36"/>
          <w:szCs w:val="36"/>
        </w:rPr>
        <w:lastRenderedPageBreak/>
        <w:t>Stakeholder Engagement Strategy</w:t>
      </w:r>
      <w:bookmarkEnd w:id="81"/>
      <w:bookmarkEnd w:id="82"/>
    </w:p>
    <w:p w14:paraId="2C7CAF85" w14:textId="77777777" w:rsidR="00D92BDD" w:rsidRPr="00D92BDD" w:rsidRDefault="00B67FCC" w:rsidP="00027A2E">
      <w:pPr>
        <w:spacing w:before="100" w:beforeAutospacing="1" w:after="100" w:afterAutospacing="1"/>
        <w:jc w:val="both"/>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ab/>
      </w:r>
      <w:bookmarkStart w:id="83" w:name="_Toc231677172"/>
      <w:bookmarkStart w:id="84" w:name="_Toc234247219"/>
      <w:bookmarkStart w:id="85" w:name="_Toc234339959"/>
      <w:r w:rsidR="00D92BDD" w:rsidRPr="00D92BDD">
        <w:rPr>
          <w:rFonts w:ascii="Times New Roman" w:eastAsia="Times New Roman" w:hAnsi="Times New Roman" w:cs="Times New Roman"/>
          <w:b/>
          <w:bCs/>
          <w:sz w:val="36"/>
          <w:szCs w:val="36"/>
        </w:rPr>
        <w:t>Stakeholder Engagement Approach</w:t>
      </w:r>
      <w:bookmarkEnd w:id="83"/>
      <w:bookmarkEnd w:id="84"/>
      <w:bookmarkEnd w:id="85"/>
    </w:p>
    <w:p w14:paraId="46665131" w14:textId="77777777" w:rsidR="005928EA" w:rsidRDefault="005928EA" w:rsidP="005928EA">
      <w:pPr>
        <w:pStyle w:val="isselectedend"/>
        <w:spacing w:line="276" w:lineRule="auto"/>
      </w:pPr>
      <w:r>
        <w:tab/>
        <w:t>For ConnectPlus to be successfully implemented, Tesco must engage stakeholders throughout the project. Building strong relationships through communication, collaboration, and trust improves project outcomes (Ashcroft, 2017). Since ConnectPlus will impact employees, customers, suppliers, technology partners, shareholders, and regulators, effective stakeholder involvement is essential.</w:t>
      </w:r>
    </w:p>
    <w:p w14:paraId="5E459067" w14:textId="77777777" w:rsidR="005928EA" w:rsidRDefault="005928EA" w:rsidP="005928EA">
      <w:pPr>
        <w:pStyle w:val="NormalWeb"/>
        <w:spacing w:line="276" w:lineRule="auto"/>
      </w:pPr>
      <w:r>
        <w:tab/>
        <w:t xml:space="preserve">The project manager should develop a stakeholder engagement plan that identifies key stakeholders, assesses their influence and expectations, and defines suitable engagement strategies. This plan should be reviewed regularly to address changing needs. Stakeholders should be involved from planning through development, testing, deployment, and evaluation, as early engagement increases support for </w:t>
      </w:r>
      <w:r w:rsidR="004F7A41">
        <w:t>organizational</w:t>
      </w:r>
      <w:r>
        <w:t xml:space="preserve"> change (PMI, 2021).</w:t>
      </w:r>
    </w:p>
    <w:p w14:paraId="2DC1A3D3" w14:textId="77777777" w:rsidR="00D92BDD" w:rsidRPr="00D92BDD" w:rsidRDefault="0069080F" w:rsidP="00027A2E">
      <w:pPr>
        <w:spacing w:before="100" w:beforeAutospacing="1" w:after="100" w:afterAutospacing="1"/>
        <w:jc w:val="both"/>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ab/>
      </w:r>
      <w:bookmarkStart w:id="86" w:name="_Toc231677174"/>
      <w:bookmarkStart w:id="87" w:name="_Toc234247221"/>
      <w:bookmarkStart w:id="88" w:name="_Toc234339960"/>
      <w:r w:rsidR="00D92BDD" w:rsidRPr="00D92BDD">
        <w:rPr>
          <w:rFonts w:ascii="Times New Roman" w:eastAsia="Times New Roman" w:hAnsi="Times New Roman" w:cs="Times New Roman"/>
          <w:b/>
          <w:bCs/>
          <w:sz w:val="36"/>
          <w:szCs w:val="36"/>
        </w:rPr>
        <w:t>Stakeholder Engagement Plan</w:t>
      </w:r>
      <w:bookmarkEnd w:id="86"/>
      <w:bookmarkEnd w:id="87"/>
      <w:bookmarkEnd w:id="88"/>
    </w:p>
    <w:p w14:paraId="78B69869" w14:textId="77777777" w:rsidR="00D92BDD" w:rsidRPr="00D92BDD" w:rsidRDefault="0069080F"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92BDD" w:rsidRPr="00D92BDD">
        <w:rPr>
          <w:rFonts w:ascii="Times New Roman" w:eastAsia="Times New Roman" w:hAnsi="Times New Roman" w:cs="Times New Roman"/>
          <w:sz w:val="24"/>
          <w:szCs w:val="24"/>
        </w:rPr>
        <w:t>The Stakeholder Engagement Plan would focus on four key objectives:</w:t>
      </w:r>
    </w:p>
    <w:p w14:paraId="1001EE48" w14:textId="77777777" w:rsidR="00D92BDD" w:rsidRPr="00D92BDD" w:rsidRDefault="00D92BDD" w:rsidP="00027A2E">
      <w:pPr>
        <w:numPr>
          <w:ilvl w:val="0"/>
          <w:numId w:val="37"/>
        </w:numPr>
        <w:spacing w:before="100" w:beforeAutospacing="1" w:after="100" w:afterAutospacing="1"/>
        <w:jc w:val="both"/>
        <w:rPr>
          <w:rFonts w:ascii="Times New Roman" w:eastAsia="Times New Roman" w:hAnsi="Times New Roman" w:cs="Times New Roman"/>
          <w:sz w:val="24"/>
          <w:szCs w:val="24"/>
        </w:rPr>
      </w:pPr>
      <w:r w:rsidRPr="00D92BDD">
        <w:rPr>
          <w:rFonts w:ascii="Times New Roman" w:eastAsia="Times New Roman" w:hAnsi="Times New Roman" w:cs="Times New Roman"/>
          <w:sz w:val="24"/>
          <w:szCs w:val="24"/>
        </w:rPr>
        <w:t>ensuring stakeholders understand the purpose and benefits of ConnectPlus;</w:t>
      </w:r>
    </w:p>
    <w:p w14:paraId="351EF67B" w14:textId="77777777" w:rsidR="00D92BDD" w:rsidRPr="00D92BDD" w:rsidRDefault="00D92BDD" w:rsidP="00027A2E">
      <w:pPr>
        <w:numPr>
          <w:ilvl w:val="0"/>
          <w:numId w:val="37"/>
        </w:numPr>
        <w:spacing w:before="100" w:beforeAutospacing="1" w:after="100" w:afterAutospacing="1"/>
        <w:jc w:val="both"/>
        <w:rPr>
          <w:rFonts w:ascii="Times New Roman" w:eastAsia="Times New Roman" w:hAnsi="Times New Roman" w:cs="Times New Roman"/>
          <w:sz w:val="24"/>
          <w:szCs w:val="24"/>
        </w:rPr>
      </w:pPr>
      <w:r w:rsidRPr="00D92BDD">
        <w:rPr>
          <w:rFonts w:ascii="Times New Roman" w:eastAsia="Times New Roman" w:hAnsi="Times New Roman" w:cs="Times New Roman"/>
          <w:sz w:val="24"/>
          <w:szCs w:val="24"/>
        </w:rPr>
        <w:t>encouraging participation and feedback throughout the project;</w:t>
      </w:r>
    </w:p>
    <w:p w14:paraId="7FE29A9B" w14:textId="77777777" w:rsidR="00D92BDD" w:rsidRPr="00D92BDD" w:rsidRDefault="00D92BDD" w:rsidP="00027A2E">
      <w:pPr>
        <w:numPr>
          <w:ilvl w:val="0"/>
          <w:numId w:val="37"/>
        </w:numPr>
        <w:spacing w:before="100" w:beforeAutospacing="1" w:after="100" w:afterAutospacing="1"/>
        <w:jc w:val="both"/>
        <w:rPr>
          <w:rFonts w:ascii="Times New Roman" w:eastAsia="Times New Roman" w:hAnsi="Times New Roman" w:cs="Times New Roman"/>
          <w:sz w:val="24"/>
          <w:szCs w:val="24"/>
        </w:rPr>
      </w:pPr>
      <w:r w:rsidRPr="00D92BDD">
        <w:rPr>
          <w:rFonts w:ascii="Times New Roman" w:eastAsia="Times New Roman" w:hAnsi="Times New Roman" w:cs="Times New Roman"/>
          <w:sz w:val="24"/>
          <w:szCs w:val="24"/>
        </w:rPr>
        <w:t>reducing resistance to change;</w:t>
      </w:r>
    </w:p>
    <w:p w14:paraId="335228EA" w14:textId="77777777" w:rsidR="00D92BDD" w:rsidRPr="00D92BDD" w:rsidRDefault="00D92BDD" w:rsidP="00027A2E">
      <w:pPr>
        <w:numPr>
          <w:ilvl w:val="0"/>
          <w:numId w:val="37"/>
        </w:numPr>
        <w:spacing w:before="100" w:beforeAutospacing="1" w:after="100" w:afterAutospacing="1"/>
        <w:jc w:val="both"/>
        <w:rPr>
          <w:rFonts w:ascii="Times New Roman" w:eastAsia="Times New Roman" w:hAnsi="Times New Roman" w:cs="Times New Roman"/>
          <w:sz w:val="24"/>
          <w:szCs w:val="24"/>
        </w:rPr>
      </w:pPr>
      <w:r w:rsidRPr="00D92BDD">
        <w:rPr>
          <w:rFonts w:ascii="Times New Roman" w:eastAsia="Times New Roman" w:hAnsi="Times New Roman" w:cs="Times New Roman"/>
          <w:sz w:val="24"/>
          <w:szCs w:val="24"/>
        </w:rPr>
        <w:t>building long-term commitment to project success.</w:t>
      </w:r>
    </w:p>
    <w:p w14:paraId="71F8758B" w14:textId="77777777" w:rsidR="00D92BDD" w:rsidRPr="00D92BDD" w:rsidRDefault="0069080F"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92BDD" w:rsidRPr="00D92BDD">
        <w:rPr>
          <w:rFonts w:ascii="Times New Roman" w:eastAsia="Times New Roman" w:hAnsi="Times New Roman" w:cs="Times New Roman"/>
          <w:sz w:val="24"/>
          <w:szCs w:val="24"/>
        </w:rPr>
        <w:t>Different stakeholder groups require different engagement approaches.</w:t>
      </w:r>
    </w:p>
    <w:p w14:paraId="63C23BD9" w14:textId="77777777" w:rsidR="004F7A41" w:rsidRDefault="0069080F" w:rsidP="004F7A41">
      <w:pPr>
        <w:pStyle w:val="isselectedend"/>
        <w:spacing w:line="276" w:lineRule="auto"/>
      </w:pPr>
      <w:r>
        <w:tab/>
      </w:r>
      <w:r w:rsidR="00391FCC">
        <w:t>Senior management and the Board of Directors would be engaged through monthly project reviews, performance reports, and strategic planning meetings, as they approve key decisions, monitor progress, and provide funding.</w:t>
      </w:r>
      <w:r w:rsidR="005D05B7">
        <w:t xml:space="preserve"> </w:t>
      </w:r>
      <w:r w:rsidR="00391FCC">
        <w:t xml:space="preserve">Employees would participate in workshops, training sessions, and internal communications to support successful platform adoption. </w:t>
      </w:r>
      <w:r w:rsidR="005D05B7">
        <w:tab/>
      </w:r>
      <w:r w:rsidR="00391FCC">
        <w:t>Customers would be engaged through surveys, focus groups, beta testing, and digital feedback channels to gather valuable insights before launch. Technology partners and suppliers would join project meetings and technical reviews to ensure development aligns with project goals, while regulatory bodies would be consulted to ensure compliance with privacy and data protection laws.</w:t>
      </w:r>
      <w:r w:rsidR="005D05B7">
        <w:t xml:space="preserve"> </w:t>
      </w:r>
      <w:r w:rsidR="00391FCC">
        <w:t>A structured Stakeholder Engagement Plan would help Tesco reduce project risks and improve stakeholder satisfaction.</w:t>
      </w:r>
    </w:p>
    <w:p w14:paraId="2D7ED251" w14:textId="77777777" w:rsidR="004F7A41" w:rsidRDefault="004F7A41" w:rsidP="004F7A41">
      <w:pPr>
        <w:pStyle w:val="isselectedend"/>
        <w:spacing w:line="276" w:lineRule="auto"/>
      </w:pPr>
    </w:p>
    <w:p w14:paraId="75574923" w14:textId="77777777" w:rsidR="00D92BDD" w:rsidRPr="00D92BDD" w:rsidRDefault="009C0932" w:rsidP="004F7A41">
      <w:pPr>
        <w:pStyle w:val="isselectedend"/>
        <w:spacing w:line="276" w:lineRule="auto"/>
        <w:rPr>
          <w:b/>
          <w:bCs/>
          <w:sz w:val="36"/>
          <w:szCs w:val="36"/>
        </w:rPr>
      </w:pPr>
      <w:r>
        <w:rPr>
          <w:b/>
          <w:bCs/>
          <w:sz w:val="36"/>
          <w:szCs w:val="36"/>
        </w:rPr>
        <w:lastRenderedPageBreak/>
        <w:tab/>
      </w:r>
      <w:bookmarkStart w:id="89" w:name="_Toc231677175"/>
      <w:bookmarkStart w:id="90" w:name="_Toc234247222"/>
      <w:r w:rsidR="00D92BDD" w:rsidRPr="00D92BDD">
        <w:rPr>
          <w:b/>
          <w:bCs/>
          <w:sz w:val="36"/>
          <w:szCs w:val="36"/>
        </w:rPr>
        <w:t>Communication Plan</w:t>
      </w:r>
      <w:bookmarkEnd w:id="89"/>
      <w:bookmarkEnd w:id="90"/>
    </w:p>
    <w:p w14:paraId="309DAA25" w14:textId="77777777" w:rsidR="004B7FE5" w:rsidRDefault="009C0932" w:rsidP="004B7FE5">
      <w:pPr>
        <w:pStyle w:val="isselectedend"/>
        <w:spacing w:line="276" w:lineRule="auto"/>
      </w:pPr>
      <w:r>
        <w:tab/>
      </w:r>
      <w:r w:rsidR="004B7FE5">
        <w:t>Communication is essential for stakeholder engagement, as poor communication is a major cause of project failure (PMI, 2021). Tesco should create a communication plan outlining what information will be shared, how often, and through which channels.</w:t>
      </w:r>
    </w:p>
    <w:p w14:paraId="2B950C9C" w14:textId="77777777" w:rsidR="004B7FE5" w:rsidRDefault="004B7FE5" w:rsidP="004B7FE5">
      <w:pPr>
        <w:pStyle w:val="isselectedend"/>
        <w:spacing w:line="276" w:lineRule="auto"/>
      </w:pPr>
      <w:r>
        <w:tab/>
        <w:t>Senior management should receive updates on project progress, budget, risks, and outcomes through monthly reports and presentations. Employees should be informed through team meetings, newsletters, training sessions, and internal communication channels. Customers can be updated via email, mobile notifications, social media, and Tesco’s website, while technology partners should participate in technical review and coordination meetings.</w:t>
      </w:r>
    </w:p>
    <w:p w14:paraId="101174DF" w14:textId="77777777" w:rsidR="004B7FE5" w:rsidRDefault="004B7FE5" w:rsidP="004B7FE5">
      <w:pPr>
        <w:pStyle w:val="NormalWeb"/>
        <w:spacing w:line="276" w:lineRule="auto"/>
      </w:pPr>
      <w:r>
        <w:tab/>
        <w:t>Effective communication improves transparency, builds stakeholder confidence, and encourages commitment to project goals (Christopher, Payne, &amp; Ballantyne, 2013). However, stakeholders should also have opportunities to provide feedback and influence decisions.</w:t>
      </w:r>
    </w:p>
    <w:p w14:paraId="08BD4B55" w14:textId="77777777" w:rsidR="00D92BDD" w:rsidRPr="00D92BDD" w:rsidRDefault="0065407C" w:rsidP="004B7FE5">
      <w:pPr>
        <w:spacing w:before="100" w:beforeAutospacing="1" w:after="100" w:afterAutospacing="1"/>
        <w:jc w:val="both"/>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ab/>
      </w:r>
      <w:bookmarkStart w:id="91" w:name="_Toc231677176"/>
      <w:bookmarkStart w:id="92" w:name="_Toc234247223"/>
      <w:r w:rsidR="00D92BDD" w:rsidRPr="00D92BDD">
        <w:rPr>
          <w:rFonts w:ascii="Times New Roman" w:eastAsia="Times New Roman" w:hAnsi="Times New Roman" w:cs="Times New Roman"/>
          <w:b/>
          <w:bCs/>
          <w:sz w:val="36"/>
          <w:szCs w:val="36"/>
        </w:rPr>
        <w:t>Application of the RACI Matrix</w:t>
      </w:r>
      <w:bookmarkEnd w:id="91"/>
      <w:bookmarkEnd w:id="92"/>
    </w:p>
    <w:p w14:paraId="60FFB7D2" w14:textId="77777777" w:rsidR="00D92BDD" w:rsidRPr="00D92BDD" w:rsidRDefault="0065407C"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92BDD" w:rsidRPr="00D92BDD">
        <w:rPr>
          <w:rFonts w:ascii="Times New Roman" w:eastAsia="Times New Roman" w:hAnsi="Times New Roman" w:cs="Times New Roman"/>
          <w:sz w:val="24"/>
          <w:szCs w:val="24"/>
        </w:rPr>
        <w:t>The RACI Matrix is a useful project management tool that clarifies stakeholder responsibilities and reduces confusion regarding decision-making authority.</w:t>
      </w:r>
    </w:p>
    <w:p w14:paraId="4D3BD91E" w14:textId="77777777" w:rsidR="00D92BDD" w:rsidRPr="00D92BDD" w:rsidRDefault="00D92BDD" w:rsidP="00027A2E">
      <w:pPr>
        <w:spacing w:before="100" w:beforeAutospacing="1" w:after="100" w:afterAutospacing="1"/>
        <w:jc w:val="both"/>
        <w:rPr>
          <w:rFonts w:ascii="Times New Roman" w:eastAsia="Times New Roman" w:hAnsi="Times New Roman" w:cs="Times New Roman"/>
          <w:sz w:val="24"/>
          <w:szCs w:val="24"/>
        </w:rPr>
      </w:pPr>
      <w:r w:rsidRPr="00D92BDD">
        <w:rPr>
          <w:rFonts w:ascii="Times New Roman" w:eastAsia="Times New Roman" w:hAnsi="Times New Roman" w:cs="Times New Roman"/>
          <w:sz w:val="24"/>
          <w:szCs w:val="24"/>
        </w:rPr>
        <w:t>The model identifies who is:</w:t>
      </w:r>
    </w:p>
    <w:p w14:paraId="0C0527F9" w14:textId="77777777" w:rsidR="00D92BDD" w:rsidRPr="00D92BDD" w:rsidRDefault="00D92BDD" w:rsidP="00027A2E">
      <w:pPr>
        <w:numPr>
          <w:ilvl w:val="0"/>
          <w:numId w:val="38"/>
        </w:numPr>
        <w:spacing w:before="100" w:beforeAutospacing="1" w:after="100" w:afterAutospacing="1"/>
        <w:jc w:val="both"/>
        <w:rPr>
          <w:rFonts w:ascii="Times New Roman" w:eastAsia="Times New Roman" w:hAnsi="Times New Roman" w:cs="Times New Roman"/>
          <w:sz w:val="24"/>
          <w:szCs w:val="24"/>
        </w:rPr>
      </w:pPr>
      <w:r w:rsidRPr="00D92BDD">
        <w:rPr>
          <w:rFonts w:ascii="Times New Roman" w:eastAsia="Times New Roman" w:hAnsi="Times New Roman" w:cs="Times New Roman"/>
          <w:sz w:val="24"/>
          <w:szCs w:val="24"/>
        </w:rPr>
        <w:t>Responsible for completing tasks;</w:t>
      </w:r>
    </w:p>
    <w:p w14:paraId="3CDB274A" w14:textId="77777777" w:rsidR="00D92BDD" w:rsidRPr="00D92BDD" w:rsidRDefault="00D92BDD" w:rsidP="00027A2E">
      <w:pPr>
        <w:numPr>
          <w:ilvl w:val="0"/>
          <w:numId w:val="38"/>
        </w:numPr>
        <w:spacing w:before="100" w:beforeAutospacing="1" w:after="100" w:afterAutospacing="1"/>
        <w:jc w:val="both"/>
        <w:rPr>
          <w:rFonts w:ascii="Times New Roman" w:eastAsia="Times New Roman" w:hAnsi="Times New Roman" w:cs="Times New Roman"/>
          <w:sz w:val="24"/>
          <w:szCs w:val="24"/>
        </w:rPr>
      </w:pPr>
      <w:r w:rsidRPr="00D92BDD">
        <w:rPr>
          <w:rFonts w:ascii="Times New Roman" w:eastAsia="Times New Roman" w:hAnsi="Times New Roman" w:cs="Times New Roman"/>
          <w:sz w:val="24"/>
          <w:szCs w:val="24"/>
        </w:rPr>
        <w:t>Accountable for final decisions;</w:t>
      </w:r>
    </w:p>
    <w:p w14:paraId="3E7F25B0" w14:textId="77777777" w:rsidR="00D92BDD" w:rsidRPr="00D92BDD" w:rsidRDefault="00D92BDD" w:rsidP="00027A2E">
      <w:pPr>
        <w:numPr>
          <w:ilvl w:val="0"/>
          <w:numId w:val="38"/>
        </w:numPr>
        <w:spacing w:before="100" w:beforeAutospacing="1" w:after="100" w:afterAutospacing="1"/>
        <w:jc w:val="both"/>
        <w:rPr>
          <w:rFonts w:ascii="Times New Roman" w:eastAsia="Times New Roman" w:hAnsi="Times New Roman" w:cs="Times New Roman"/>
          <w:sz w:val="24"/>
          <w:szCs w:val="24"/>
        </w:rPr>
      </w:pPr>
      <w:r w:rsidRPr="00D92BDD">
        <w:rPr>
          <w:rFonts w:ascii="Times New Roman" w:eastAsia="Times New Roman" w:hAnsi="Times New Roman" w:cs="Times New Roman"/>
          <w:sz w:val="24"/>
          <w:szCs w:val="24"/>
        </w:rPr>
        <w:t>Consulted before decisions are made;</w:t>
      </w:r>
    </w:p>
    <w:p w14:paraId="2ED5A8AE" w14:textId="77777777" w:rsidR="00D92BDD" w:rsidRPr="00D92BDD" w:rsidRDefault="00D92BDD" w:rsidP="00027A2E">
      <w:pPr>
        <w:numPr>
          <w:ilvl w:val="0"/>
          <w:numId w:val="38"/>
        </w:numPr>
        <w:spacing w:before="100" w:beforeAutospacing="1" w:after="100" w:afterAutospacing="1"/>
        <w:jc w:val="both"/>
        <w:rPr>
          <w:rFonts w:ascii="Times New Roman" w:eastAsia="Times New Roman" w:hAnsi="Times New Roman" w:cs="Times New Roman"/>
          <w:sz w:val="24"/>
          <w:szCs w:val="24"/>
        </w:rPr>
      </w:pPr>
      <w:r w:rsidRPr="00D92BDD">
        <w:rPr>
          <w:rFonts w:ascii="Times New Roman" w:eastAsia="Times New Roman" w:hAnsi="Times New Roman" w:cs="Times New Roman"/>
          <w:sz w:val="24"/>
          <w:szCs w:val="24"/>
        </w:rPr>
        <w:t>Informed about project progress.</w:t>
      </w:r>
    </w:p>
    <w:p w14:paraId="55B4E996" w14:textId="77777777" w:rsidR="00CF13F0" w:rsidRDefault="0065407C" w:rsidP="00CF13F0">
      <w:pPr>
        <w:pStyle w:val="isselectedend"/>
        <w:spacing w:line="276" w:lineRule="auto"/>
      </w:pPr>
      <w:r>
        <w:tab/>
      </w:r>
      <w:r w:rsidR="00CF13F0">
        <w:t>For the ConnectPlus project, the project manager would coordinate activities and oversee delivery. The IT department would manage platform development and testing, while the marketing team would handle customer communication and promotion. Customers and regulatory bodies would be consulted on user experience and compliance, and the Board of Directors would provide strategic oversight and receive project updates.</w:t>
      </w:r>
    </w:p>
    <w:p w14:paraId="1871F92F" w14:textId="77777777" w:rsidR="00CF13F0" w:rsidRDefault="00CF13F0" w:rsidP="00CF13F0">
      <w:pPr>
        <w:pStyle w:val="isselectedend"/>
        <w:spacing w:line="276" w:lineRule="auto"/>
      </w:pPr>
      <w:r>
        <w:tab/>
        <w:t>The main advantage of the RACI Matrix is that it clarifies roles and improves accountability, helping projects run more efficiently with fewer misunderstandings (Kerzner, 2017). However, it should be supported by continuous communication and stakeholder engagement.</w:t>
      </w:r>
    </w:p>
    <w:p w14:paraId="677143CF" w14:textId="77777777" w:rsidR="004F7A41" w:rsidRDefault="004F7A41" w:rsidP="00CF13F0">
      <w:pPr>
        <w:pStyle w:val="isselectedend"/>
        <w:spacing w:line="276" w:lineRule="auto"/>
      </w:pPr>
    </w:p>
    <w:p w14:paraId="7F433DD4" w14:textId="77777777" w:rsidR="00D92BDD" w:rsidRPr="00D92BDD" w:rsidRDefault="006A7211" w:rsidP="00027A2E">
      <w:pPr>
        <w:spacing w:before="100" w:beforeAutospacing="1" w:after="100" w:afterAutospacing="1"/>
        <w:jc w:val="both"/>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lastRenderedPageBreak/>
        <w:tab/>
      </w:r>
      <w:bookmarkStart w:id="93" w:name="_Toc231677178"/>
      <w:bookmarkStart w:id="94" w:name="_Toc234247225"/>
      <w:bookmarkStart w:id="95" w:name="_Toc234339961"/>
      <w:r w:rsidR="00D92BDD" w:rsidRPr="00D92BDD">
        <w:rPr>
          <w:rFonts w:ascii="Times New Roman" w:eastAsia="Times New Roman" w:hAnsi="Times New Roman" w:cs="Times New Roman"/>
          <w:b/>
          <w:bCs/>
          <w:sz w:val="36"/>
          <w:szCs w:val="36"/>
        </w:rPr>
        <w:t>Applying the 4C Model</w:t>
      </w:r>
      <w:bookmarkEnd w:id="93"/>
      <w:bookmarkEnd w:id="94"/>
      <w:bookmarkEnd w:id="95"/>
    </w:p>
    <w:p w14:paraId="51A7E1DB" w14:textId="77777777" w:rsidR="00D92BDD" w:rsidRPr="00D92BDD" w:rsidRDefault="006A7211"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92BDD" w:rsidRPr="00D92BDD">
        <w:rPr>
          <w:rFonts w:ascii="Times New Roman" w:eastAsia="Times New Roman" w:hAnsi="Times New Roman" w:cs="Times New Roman"/>
          <w:sz w:val="24"/>
          <w:szCs w:val="24"/>
        </w:rPr>
        <w:t>The 4C Model provides a practical framework for stakeholder engagement throughout the project lifecycle.</w:t>
      </w:r>
    </w:p>
    <w:p w14:paraId="3090615B" w14:textId="77777777" w:rsidR="00D92BDD" w:rsidRPr="00D92BDD" w:rsidRDefault="006A7211"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96" w:name="_Toc231677179"/>
      <w:bookmarkStart w:id="97" w:name="_Toc234247226"/>
      <w:bookmarkStart w:id="98" w:name="_Toc234339962"/>
      <w:r w:rsidR="00D92BDD" w:rsidRPr="00D92BDD">
        <w:rPr>
          <w:rFonts w:ascii="Times New Roman" w:eastAsia="Times New Roman" w:hAnsi="Times New Roman" w:cs="Times New Roman"/>
          <w:b/>
          <w:bCs/>
          <w:sz w:val="27"/>
          <w:szCs w:val="27"/>
        </w:rPr>
        <w:t>Communication</w:t>
      </w:r>
      <w:bookmarkEnd w:id="96"/>
      <w:bookmarkEnd w:id="97"/>
      <w:bookmarkEnd w:id="98"/>
    </w:p>
    <w:p w14:paraId="2DF3AEE2" w14:textId="77777777" w:rsidR="00D92BDD" w:rsidRPr="00D92BDD" w:rsidRDefault="006A7211"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92BDD" w:rsidRPr="00D92BDD">
        <w:rPr>
          <w:rFonts w:ascii="Times New Roman" w:eastAsia="Times New Roman" w:hAnsi="Times New Roman" w:cs="Times New Roman"/>
          <w:sz w:val="24"/>
          <w:szCs w:val="24"/>
        </w:rPr>
        <w:t>Communication ensures that stakeholders receive relevant information regarding project objectives, timelines, risks, and expected outcomes. Regular communication reduces uncertainty and promotes transparency.</w:t>
      </w:r>
    </w:p>
    <w:p w14:paraId="7888F13C" w14:textId="77777777" w:rsidR="00D92BDD" w:rsidRPr="00D92BDD" w:rsidRDefault="006A7211"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99" w:name="_Toc231677180"/>
      <w:bookmarkStart w:id="100" w:name="_Toc234247227"/>
      <w:bookmarkStart w:id="101" w:name="_Toc234339963"/>
      <w:r w:rsidR="00D92BDD" w:rsidRPr="00D92BDD">
        <w:rPr>
          <w:rFonts w:ascii="Times New Roman" w:eastAsia="Times New Roman" w:hAnsi="Times New Roman" w:cs="Times New Roman"/>
          <w:b/>
          <w:bCs/>
          <w:sz w:val="27"/>
          <w:szCs w:val="27"/>
        </w:rPr>
        <w:t>Consultation</w:t>
      </w:r>
      <w:bookmarkEnd w:id="99"/>
      <w:bookmarkEnd w:id="100"/>
      <w:bookmarkEnd w:id="101"/>
    </w:p>
    <w:p w14:paraId="389B8288" w14:textId="77777777" w:rsidR="00D92BDD" w:rsidRPr="00D92BDD" w:rsidRDefault="006A7211"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92BDD" w:rsidRPr="00D92BDD">
        <w:rPr>
          <w:rFonts w:ascii="Times New Roman" w:eastAsia="Times New Roman" w:hAnsi="Times New Roman" w:cs="Times New Roman"/>
          <w:sz w:val="24"/>
          <w:szCs w:val="24"/>
        </w:rPr>
        <w:t>Consultation involves actively seeking stakeholder opinions and feedback. Tesco can achieve this through surveys, workshops, focus groups, and pilot testing activities. Consultation enables stakeholders to influence project decisions and helps identify potential problems before implementation.</w:t>
      </w:r>
    </w:p>
    <w:p w14:paraId="40EB7F49" w14:textId="77777777" w:rsidR="00D92BDD" w:rsidRPr="00D92BDD" w:rsidRDefault="006A7211"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102" w:name="_Toc231677181"/>
      <w:bookmarkStart w:id="103" w:name="_Toc234247228"/>
      <w:bookmarkStart w:id="104" w:name="_Toc234339964"/>
      <w:r w:rsidR="00D92BDD" w:rsidRPr="00D92BDD">
        <w:rPr>
          <w:rFonts w:ascii="Times New Roman" w:eastAsia="Times New Roman" w:hAnsi="Times New Roman" w:cs="Times New Roman"/>
          <w:b/>
          <w:bCs/>
          <w:sz w:val="27"/>
          <w:szCs w:val="27"/>
        </w:rPr>
        <w:t>Collaboration</w:t>
      </w:r>
      <w:bookmarkEnd w:id="102"/>
      <w:bookmarkEnd w:id="103"/>
      <w:bookmarkEnd w:id="104"/>
    </w:p>
    <w:p w14:paraId="257EF23B" w14:textId="77777777" w:rsidR="00D92BDD" w:rsidRPr="00D92BDD" w:rsidRDefault="006A7211"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92BDD" w:rsidRPr="00D92BDD">
        <w:rPr>
          <w:rFonts w:ascii="Times New Roman" w:eastAsia="Times New Roman" w:hAnsi="Times New Roman" w:cs="Times New Roman"/>
          <w:sz w:val="24"/>
          <w:szCs w:val="24"/>
        </w:rPr>
        <w:t>Collaboration occurs when stakeholders work together to achieve shared objectives. In the ConnectPlus project, collaboration between IT teams, marketing departments, technology partners, and customer service teams is essential for successful delivery. Collaboration encourages knowledge sharing and improves problem-solving.</w:t>
      </w:r>
    </w:p>
    <w:p w14:paraId="121F8BB1" w14:textId="77777777" w:rsidR="00D92BDD" w:rsidRPr="00D92BDD" w:rsidRDefault="008F0F2E"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105" w:name="_Toc231677182"/>
      <w:bookmarkStart w:id="106" w:name="_Toc234247229"/>
      <w:bookmarkStart w:id="107" w:name="_Toc234339965"/>
      <w:r w:rsidR="00D92BDD" w:rsidRPr="00D92BDD">
        <w:rPr>
          <w:rFonts w:ascii="Times New Roman" w:eastAsia="Times New Roman" w:hAnsi="Times New Roman" w:cs="Times New Roman"/>
          <w:b/>
          <w:bCs/>
          <w:sz w:val="27"/>
          <w:szCs w:val="27"/>
        </w:rPr>
        <w:t>Commitment</w:t>
      </w:r>
      <w:bookmarkEnd w:id="105"/>
      <w:bookmarkEnd w:id="106"/>
      <w:bookmarkEnd w:id="107"/>
    </w:p>
    <w:p w14:paraId="5F3EB900" w14:textId="77777777" w:rsidR="00D92BDD" w:rsidRDefault="008F0F2E"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92BDD" w:rsidRPr="00D92BDD">
        <w:rPr>
          <w:rFonts w:ascii="Times New Roman" w:eastAsia="Times New Roman" w:hAnsi="Times New Roman" w:cs="Times New Roman"/>
          <w:sz w:val="24"/>
          <w:szCs w:val="24"/>
        </w:rPr>
        <w:t>Commitment represents the highest level of stakeholder engagement. At this stage, stakeholders actively support project objectives and contribute to project success. Commitment can be strengthened through regular involvement, transparent communication, and recognition of stakeholder contributions.</w:t>
      </w:r>
      <w:r w:rsidR="00D5753B">
        <w:rPr>
          <w:rFonts w:ascii="Times New Roman" w:eastAsia="Times New Roman" w:hAnsi="Times New Roman" w:cs="Times New Roman"/>
          <w:sz w:val="24"/>
          <w:szCs w:val="24"/>
        </w:rPr>
        <w:t xml:space="preserve"> </w:t>
      </w:r>
      <w:r w:rsidR="00D92BDD" w:rsidRPr="00D92BDD">
        <w:rPr>
          <w:rFonts w:ascii="Times New Roman" w:eastAsia="Times New Roman" w:hAnsi="Times New Roman" w:cs="Times New Roman"/>
          <w:sz w:val="24"/>
          <w:szCs w:val="24"/>
        </w:rPr>
        <w:t xml:space="preserve">According to Ashcroft (2017), stakeholder commitment is more likely when </w:t>
      </w:r>
      <w:r w:rsidRPr="00D92BDD">
        <w:rPr>
          <w:rFonts w:ascii="Times New Roman" w:eastAsia="Times New Roman" w:hAnsi="Times New Roman" w:cs="Times New Roman"/>
          <w:sz w:val="24"/>
          <w:szCs w:val="24"/>
        </w:rPr>
        <w:t>organizations</w:t>
      </w:r>
      <w:r w:rsidR="00D92BDD" w:rsidRPr="00D92BDD">
        <w:rPr>
          <w:rFonts w:ascii="Times New Roman" w:eastAsia="Times New Roman" w:hAnsi="Times New Roman" w:cs="Times New Roman"/>
          <w:sz w:val="24"/>
          <w:szCs w:val="24"/>
        </w:rPr>
        <w:t xml:space="preserve"> create mutual value and demonstrate respect for stakeholder interests.</w:t>
      </w:r>
    </w:p>
    <w:p w14:paraId="044C1B95" w14:textId="77777777" w:rsidR="006F375A" w:rsidRDefault="006F375A" w:rsidP="00027A2E">
      <w:pPr>
        <w:spacing w:before="100" w:beforeAutospacing="1" w:after="100" w:afterAutospacing="1"/>
        <w:jc w:val="both"/>
        <w:rPr>
          <w:rFonts w:ascii="Times New Roman" w:eastAsia="Times New Roman" w:hAnsi="Times New Roman" w:cs="Times New Roman"/>
          <w:sz w:val="24"/>
          <w:szCs w:val="24"/>
        </w:rPr>
      </w:pPr>
    </w:p>
    <w:p w14:paraId="76CAC9CA" w14:textId="77777777" w:rsidR="00AB1DF2" w:rsidRDefault="00AB1DF2" w:rsidP="00027A2E">
      <w:pPr>
        <w:spacing w:before="100" w:beforeAutospacing="1" w:after="100" w:afterAutospacing="1"/>
        <w:jc w:val="both"/>
        <w:rPr>
          <w:rFonts w:ascii="Times New Roman" w:eastAsia="Times New Roman" w:hAnsi="Times New Roman" w:cs="Times New Roman"/>
          <w:sz w:val="24"/>
          <w:szCs w:val="24"/>
        </w:rPr>
      </w:pPr>
    </w:p>
    <w:p w14:paraId="5CAC4018" w14:textId="77777777" w:rsidR="00AB1DF2" w:rsidRDefault="00AB1DF2" w:rsidP="00027A2E">
      <w:pPr>
        <w:spacing w:before="100" w:beforeAutospacing="1" w:after="100" w:afterAutospacing="1"/>
        <w:jc w:val="both"/>
        <w:rPr>
          <w:rFonts w:ascii="Times New Roman" w:eastAsia="Times New Roman" w:hAnsi="Times New Roman" w:cs="Times New Roman"/>
          <w:sz w:val="24"/>
          <w:szCs w:val="24"/>
        </w:rPr>
      </w:pPr>
    </w:p>
    <w:p w14:paraId="5723C058" w14:textId="77777777" w:rsidR="00AB1DF2" w:rsidRPr="00D92BDD" w:rsidRDefault="00AB1DF2" w:rsidP="00027A2E">
      <w:pPr>
        <w:spacing w:before="100" w:beforeAutospacing="1" w:after="100" w:afterAutospacing="1"/>
        <w:jc w:val="both"/>
        <w:rPr>
          <w:rFonts w:ascii="Times New Roman" w:eastAsia="Times New Roman" w:hAnsi="Times New Roman" w:cs="Times New Roman"/>
          <w:sz w:val="24"/>
          <w:szCs w:val="24"/>
        </w:rPr>
      </w:pPr>
    </w:p>
    <w:p w14:paraId="1196D1D4" w14:textId="77777777" w:rsidR="00D92BDD" w:rsidRPr="00D92BDD" w:rsidRDefault="00EC651D" w:rsidP="00027A2E">
      <w:pPr>
        <w:spacing w:before="100" w:beforeAutospacing="1" w:after="100" w:afterAutospacing="1"/>
        <w:jc w:val="both"/>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lastRenderedPageBreak/>
        <w:tab/>
      </w:r>
      <w:bookmarkStart w:id="108" w:name="_Toc231677183"/>
      <w:bookmarkStart w:id="109" w:name="_Toc234247230"/>
      <w:bookmarkStart w:id="110" w:name="_Toc234339966"/>
      <w:r w:rsidR="00D92BDD" w:rsidRPr="00D92BDD">
        <w:rPr>
          <w:rFonts w:ascii="Times New Roman" w:eastAsia="Times New Roman" w:hAnsi="Times New Roman" w:cs="Times New Roman"/>
          <w:b/>
          <w:bCs/>
          <w:sz w:val="36"/>
          <w:szCs w:val="36"/>
        </w:rPr>
        <w:t>Managing Stakeholder Conflict</w:t>
      </w:r>
      <w:bookmarkEnd w:id="108"/>
      <w:bookmarkEnd w:id="109"/>
      <w:bookmarkEnd w:id="110"/>
    </w:p>
    <w:p w14:paraId="61FC6E08" w14:textId="77777777" w:rsidR="000E669C" w:rsidRPr="00027A2E" w:rsidRDefault="00EC651D" w:rsidP="00EC651D">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0E669C" w:rsidRPr="00027A2E">
        <w:rPr>
          <w:rFonts w:ascii="Times New Roman" w:eastAsia="Times New Roman" w:hAnsi="Times New Roman" w:cs="Times New Roman"/>
          <w:sz w:val="24"/>
          <w:szCs w:val="24"/>
        </w:rPr>
        <w:t>Because various stakeholders frequently have conflicting priorities and expectations, conflict is an inevitable aspect of project management.</w:t>
      </w:r>
      <w:r w:rsidR="001B0A9E">
        <w:rPr>
          <w:rFonts w:ascii="Times New Roman" w:eastAsia="Times New Roman" w:hAnsi="Times New Roman" w:cs="Times New Roman"/>
          <w:sz w:val="24"/>
          <w:szCs w:val="24"/>
        </w:rPr>
        <w:t xml:space="preserve"> </w:t>
      </w:r>
      <w:r w:rsidR="000E669C" w:rsidRPr="00027A2E">
        <w:rPr>
          <w:rFonts w:ascii="Times New Roman" w:eastAsia="Times New Roman" w:hAnsi="Times New Roman" w:cs="Times New Roman"/>
          <w:sz w:val="24"/>
          <w:szCs w:val="24"/>
        </w:rPr>
        <w:t>IT teams and marketing departments could have a disagreement over the ConnectPlus initiative. IT teams may be worried about installation schedules and technical complexity, while marketing teams can ask for more features to increase customer engagement.</w:t>
      </w:r>
      <w:r w:rsidR="001B0A9E">
        <w:rPr>
          <w:rFonts w:ascii="Times New Roman" w:eastAsia="Times New Roman" w:hAnsi="Times New Roman" w:cs="Times New Roman"/>
          <w:sz w:val="24"/>
          <w:szCs w:val="24"/>
        </w:rPr>
        <w:t xml:space="preserve"> </w:t>
      </w:r>
      <w:r w:rsidR="000E669C" w:rsidRPr="00027A2E">
        <w:rPr>
          <w:rFonts w:ascii="Times New Roman" w:eastAsia="Times New Roman" w:hAnsi="Times New Roman" w:cs="Times New Roman"/>
          <w:sz w:val="24"/>
          <w:szCs w:val="24"/>
        </w:rPr>
        <w:t>Project teams and regulatory organizations may also clash over data collecting and AI-driven personalization. Regulators might give privacy and compliance needs top priority, while Tesco might aim to maximize customer insights.</w:t>
      </w:r>
      <w:r w:rsidR="001B0A9E">
        <w:rPr>
          <w:rFonts w:ascii="Times New Roman" w:eastAsia="Times New Roman" w:hAnsi="Times New Roman" w:cs="Times New Roman"/>
          <w:sz w:val="24"/>
          <w:szCs w:val="24"/>
        </w:rPr>
        <w:t xml:space="preserve"> </w:t>
      </w:r>
      <w:r w:rsidR="000E669C" w:rsidRPr="00027A2E">
        <w:rPr>
          <w:rFonts w:ascii="Times New Roman" w:eastAsia="Times New Roman" w:hAnsi="Times New Roman" w:cs="Times New Roman"/>
          <w:sz w:val="24"/>
          <w:szCs w:val="24"/>
        </w:rPr>
        <w:t xml:space="preserve">Tesco should take a cooperative strategy centered on dialogue, consultation, and problem-solving </w:t>
      </w:r>
      <w:proofErr w:type="gramStart"/>
      <w:r w:rsidR="000E669C" w:rsidRPr="00027A2E">
        <w:rPr>
          <w:rFonts w:ascii="Times New Roman" w:eastAsia="Times New Roman" w:hAnsi="Times New Roman" w:cs="Times New Roman"/>
          <w:sz w:val="24"/>
          <w:szCs w:val="24"/>
        </w:rPr>
        <w:t>in order to</w:t>
      </w:r>
      <w:proofErr w:type="gramEnd"/>
      <w:r w:rsidR="000E669C" w:rsidRPr="00027A2E">
        <w:rPr>
          <w:rFonts w:ascii="Times New Roman" w:eastAsia="Times New Roman" w:hAnsi="Times New Roman" w:cs="Times New Roman"/>
          <w:sz w:val="24"/>
          <w:szCs w:val="24"/>
        </w:rPr>
        <w:t xml:space="preserve"> handle these disputes. Meetings with stakeholders should offer chances for open discussion and compromise. Decisions should be supported by facts, project goals, and organizational priorities when conflicts continue.</w:t>
      </w:r>
      <w:r w:rsidR="001B0A9E">
        <w:rPr>
          <w:rFonts w:ascii="Times New Roman" w:eastAsia="Times New Roman" w:hAnsi="Times New Roman" w:cs="Times New Roman"/>
          <w:sz w:val="24"/>
          <w:szCs w:val="24"/>
        </w:rPr>
        <w:t xml:space="preserve"> </w:t>
      </w:r>
      <w:r w:rsidR="000E669C" w:rsidRPr="00027A2E">
        <w:rPr>
          <w:rFonts w:ascii="Times New Roman" w:eastAsia="Times New Roman" w:hAnsi="Times New Roman" w:cs="Times New Roman"/>
          <w:sz w:val="24"/>
          <w:szCs w:val="24"/>
        </w:rPr>
        <w:t>Stakeholders who feel informed and involved are often less inclined to oppose project decisions, which makes the Communication Plan and Stakeholder Engagement Plan crucial in preventing conflicts.</w:t>
      </w:r>
    </w:p>
    <w:p w14:paraId="2C1615B4" w14:textId="77777777" w:rsidR="00D92BDD" w:rsidRPr="00D92BDD" w:rsidRDefault="00EC651D" w:rsidP="00027A2E">
      <w:pPr>
        <w:spacing w:before="100" w:beforeAutospacing="1" w:after="100" w:afterAutospacing="1"/>
        <w:jc w:val="both"/>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ab/>
      </w:r>
      <w:bookmarkStart w:id="111" w:name="_Toc231677184"/>
      <w:bookmarkStart w:id="112" w:name="_Toc234247231"/>
      <w:bookmarkStart w:id="113" w:name="_Toc234339967"/>
      <w:r w:rsidR="00D92BDD" w:rsidRPr="00D92BDD">
        <w:rPr>
          <w:rFonts w:ascii="Times New Roman" w:eastAsia="Times New Roman" w:hAnsi="Times New Roman" w:cs="Times New Roman"/>
          <w:b/>
          <w:bCs/>
          <w:sz w:val="36"/>
          <w:szCs w:val="36"/>
        </w:rPr>
        <w:t>Evaluation</w:t>
      </w:r>
      <w:bookmarkEnd w:id="111"/>
      <w:bookmarkEnd w:id="112"/>
      <w:bookmarkEnd w:id="113"/>
    </w:p>
    <w:p w14:paraId="664B6A56" w14:textId="77777777" w:rsidR="0047444A" w:rsidRPr="00EC651D" w:rsidRDefault="00EC651D" w:rsidP="00027A2E">
      <w:pPr>
        <w:spacing w:before="100" w:beforeAutospacing="1" w:after="100" w:afterAutospacing="1"/>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ab/>
      </w:r>
      <w:bookmarkStart w:id="114" w:name="_Toc231677185"/>
      <w:bookmarkStart w:id="115" w:name="_Toc234247232"/>
      <w:bookmarkStart w:id="116" w:name="_Toc234339968"/>
      <w:r w:rsidR="000E669C" w:rsidRPr="00027A2E">
        <w:rPr>
          <w:rFonts w:ascii="Times New Roman" w:eastAsia="Times New Roman" w:hAnsi="Times New Roman" w:cs="Times New Roman"/>
          <w:sz w:val="24"/>
          <w:szCs w:val="24"/>
        </w:rPr>
        <w:t>A thorough framework for managing stakeholder relationships within the ConnectPlus project is provided by the combination of a Stakeholder Engagement Plan, Communication Plan, RACI Matrix, and 4C Model. These strategies boost stakeholder commitment, enhance communication, define roles, and promote involvement.</w:t>
      </w:r>
      <w:r w:rsidR="001B0A9E">
        <w:rPr>
          <w:rFonts w:ascii="Times New Roman" w:eastAsia="Times New Roman" w:hAnsi="Times New Roman" w:cs="Times New Roman"/>
          <w:sz w:val="24"/>
          <w:szCs w:val="24"/>
        </w:rPr>
        <w:t xml:space="preserve"> </w:t>
      </w:r>
      <w:r w:rsidR="000E669C" w:rsidRPr="00027A2E">
        <w:rPr>
          <w:rFonts w:ascii="Times New Roman" w:eastAsia="Times New Roman" w:hAnsi="Times New Roman" w:cs="Times New Roman"/>
          <w:sz w:val="24"/>
          <w:szCs w:val="24"/>
        </w:rPr>
        <w:t>Even though it takes time and money to implement these engagement activities, the advantages exceed the drawbacks. Long-term stakeholder relationships are strengthened, decision-making is improved, resistance to change is decreased, and project success is increased when stakeholders are effectively engaged.</w:t>
      </w:r>
      <w:r>
        <w:rPr>
          <w:rFonts w:ascii="Times New Roman" w:eastAsia="Times New Roman" w:hAnsi="Times New Roman" w:cs="Times New Roman"/>
          <w:sz w:val="24"/>
          <w:szCs w:val="24"/>
        </w:rPr>
        <w:tab/>
      </w:r>
      <w:r w:rsidR="000E669C" w:rsidRPr="00027A2E">
        <w:rPr>
          <w:rFonts w:ascii="Times New Roman" w:eastAsia="Times New Roman" w:hAnsi="Times New Roman" w:cs="Times New Roman"/>
          <w:sz w:val="24"/>
          <w:szCs w:val="24"/>
        </w:rPr>
        <w:t>Stakeholder involvement should therefore be seen as an ongoing strategic process that promotes long-term organizational performance as well as the successful execution of projects.</w:t>
      </w:r>
      <w:bookmarkEnd w:id="114"/>
      <w:bookmarkEnd w:id="115"/>
      <w:bookmarkEnd w:id="116"/>
    </w:p>
    <w:p w14:paraId="763B5E2C" w14:textId="77777777" w:rsidR="00211375" w:rsidRDefault="00211375" w:rsidP="00027A2E">
      <w:pPr>
        <w:spacing w:before="100" w:beforeAutospacing="1" w:after="100" w:afterAutospacing="1"/>
        <w:jc w:val="both"/>
        <w:rPr>
          <w:rFonts w:ascii="Times New Roman" w:eastAsia="Times New Roman" w:hAnsi="Times New Roman" w:cs="Times New Roman"/>
          <w:sz w:val="24"/>
          <w:szCs w:val="24"/>
        </w:rPr>
      </w:pPr>
    </w:p>
    <w:p w14:paraId="5E98C4A1" w14:textId="77777777" w:rsidR="00B71149" w:rsidRDefault="00B71149" w:rsidP="00027A2E">
      <w:pPr>
        <w:spacing w:before="100" w:beforeAutospacing="1" w:after="100" w:afterAutospacing="1"/>
        <w:jc w:val="both"/>
        <w:rPr>
          <w:rFonts w:ascii="Times New Roman" w:eastAsia="Times New Roman" w:hAnsi="Times New Roman" w:cs="Times New Roman"/>
          <w:sz w:val="24"/>
          <w:szCs w:val="24"/>
        </w:rPr>
      </w:pPr>
    </w:p>
    <w:p w14:paraId="25BC3E10" w14:textId="77777777" w:rsidR="00FE3260" w:rsidRDefault="00FE3260" w:rsidP="00027A2E">
      <w:pPr>
        <w:spacing w:before="100" w:beforeAutospacing="1" w:after="100" w:afterAutospacing="1"/>
        <w:jc w:val="both"/>
        <w:rPr>
          <w:rFonts w:ascii="Times New Roman" w:eastAsia="Times New Roman" w:hAnsi="Times New Roman" w:cs="Times New Roman"/>
          <w:sz w:val="24"/>
          <w:szCs w:val="24"/>
        </w:rPr>
      </w:pPr>
    </w:p>
    <w:p w14:paraId="41A5C307" w14:textId="77777777" w:rsidR="00FE3260" w:rsidRDefault="00FE3260" w:rsidP="00027A2E">
      <w:pPr>
        <w:spacing w:before="100" w:beforeAutospacing="1" w:after="100" w:afterAutospacing="1"/>
        <w:jc w:val="both"/>
        <w:rPr>
          <w:rFonts w:ascii="Times New Roman" w:eastAsia="Times New Roman" w:hAnsi="Times New Roman" w:cs="Times New Roman"/>
          <w:sz w:val="24"/>
          <w:szCs w:val="24"/>
        </w:rPr>
      </w:pPr>
    </w:p>
    <w:p w14:paraId="0F37CDDF" w14:textId="77777777" w:rsidR="00FE3260" w:rsidRDefault="00FE3260" w:rsidP="00027A2E">
      <w:pPr>
        <w:spacing w:before="100" w:beforeAutospacing="1" w:after="100" w:afterAutospacing="1"/>
        <w:jc w:val="both"/>
        <w:rPr>
          <w:rFonts w:ascii="Times New Roman" w:eastAsia="Times New Roman" w:hAnsi="Times New Roman" w:cs="Times New Roman"/>
          <w:sz w:val="24"/>
          <w:szCs w:val="24"/>
        </w:rPr>
      </w:pPr>
    </w:p>
    <w:p w14:paraId="6AE18DD2" w14:textId="77777777" w:rsidR="00FE3260" w:rsidRDefault="00FE3260" w:rsidP="00027A2E">
      <w:pPr>
        <w:spacing w:before="100" w:beforeAutospacing="1" w:after="100" w:afterAutospacing="1"/>
        <w:jc w:val="both"/>
        <w:rPr>
          <w:rFonts w:ascii="Times New Roman" w:eastAsia="Times New Roman" w:hAnsi="Times New Roman" w:cs="Times New Roman"/>
          <w:sz w:val="24"/>
          <w:szCs w:val="24"/>
        </w:rPr>
      </w:pPr>
    </w:p>
    <w:p w14:paraId="6A0A98C3" w14:textId="77777777" w:rsidR="00FE3260" w:rsidRPr="00027A2E" w:rsidRDefault="00FE3260" w:rsidP="00027A2E">
      <w:pPr>
        <w:spacing w:before="100" w:beforeAutospacing="1" w:after="100" w:afterAutospacing="1"/>
        <w:jc w:val="both"/>
        <w:rPr>
          <w:rFonts w:ascii="Times New Roman" w:eastAsia="Times New Roman" w:hAnsi="Times New Roman" w:cs="Times New Roman"/>
          <w:sz w:val="24"/>
          <w:szCs w:val="24"/>
        </w:rPr>
      </w:pPr>
    </w:p>
    <w:p w14:paraId="33936B33" w14:textId="77777777" w:rsidR="00EC651D" w:rsidRPr="00EC651D" w:rsidRDefault="00211375" w:rsidP="00EC651D">
      <w:pPr>
        <w:pStyle w:val="ListParagraph"/>
        <w:numPr>
          <w:ilvl w:val="0"/>
          <w:numId w:val="39"/>
        </w:numPr>
        <w:spacing w:before="100" w:beforeAutospacing="1" w:after="100" w:afterAutospacing="1"/>
        <w:jc w:val="both"/>
        <w:outlineLvl w:val="1"/>
        <w:rPr>
          <w:rFonts w:ascii="Times New Roman" w:eastAsia="Times New Roman" w:hAnsi="Times New Roman" w:cs="Times New Roman"/>
          <w:b/>
          <w:bCs/>
          <w:sz w:val="36"/>
          <w:szCs w:val="36"/>
        </w:rPr>
      </w:pPr>
      <w:bookmarkStart w:id="117" w:name="_Toc234247233"/>
      <w:bookmarkStart w:id="118" w:name="_Toc234339969"/>
      <w:r w:rsidRPr="00EC651D">
        <w:rPr>
          <w:rFonts w:ascii="Times New Roman" w:eastAsia="Times New Roman" w:hAnsi="Times New Roman" w:cs="Times New Roman"/>
          <w:b/>
          <w:bCs/>
          <w:sz w:val="36"/>
          <w:szCs w:val="36"/>
        </w:rPr>
        <w:lastRenderedPageBreak/>
        <w:t>Sustainable Stakeholder Engagement Impact</w:t>
      </w:r>
      <w:bookmarkEnd w:id="117"/>
      <w:bookmarkEnd w:id="118"/>
    </w:p>
    <w:p w14:paraId="39844EC2" w14:textId="77777777" w:rsidR="000C63BC" w:rsidRDefault="00EC651D" w:rsidP="000C63BC">
      <w:pPr>
        <w:pStyle w:val="isselectedend"/>
        <w:spacing w:line="276" w:lineRule="auto"/>
      </w:pPr>
      <w:r>
        <w:tab/>
      </w:r>
      <w:r w:rsidR="000C63BC">
        <w:t>Sustainable stakeholder engagement supports long-term organizational success by building relationships based on trust, transparency, collaboration, and shared value. In Tesco’s ConnectPlus project, effective engagement can improve customer loyalty, innovation, risk management, reputation, and competitive advantage. Freeman (1984) argues that organizations create long-term value by balancing the interests of all stakeholders, not just shareholders. This is particularly important in retail, where customers, employees, suppliers, regulators, and technology partners all influence business performance. By maintaining strong relationships with these groups, Tesco can ensure ConnectPlus continues to deliver benefits beyond its initial implementation.</w:t>
      </w:r>
    </w:p>
    <w:p w14:paraId="23CE2A0A" w14:textId="77777777" w:rsidR="00862EEB" w:rsidRPr="00862EEB" w:rsidRDefault="00B04CAD" w:rsidP="000C63BC">
      <w:pPr>
        <w:spacing w:before="100" w:beforeAutospacing="1" w:after="100" w:afterAutospacing="1"/>
        <w:jc w:val="both"/>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119" w:name="_Toc231677187"/>
      <w:bookmarkStart w:id="120" w:name="_Toc234247234"/>
      <w:r w:rsidR="00862EEB" w:rsidRPr="00862EEB">
        <w:rPr>
          <w:rFonts w:ascii="Times New Roman" w:eastAsia="Times New Roman" w:hAnsi="Times New Roman" w:cs="Times New Roman"/>
          <w:b/>
          <w:bCs/>
          <w:sz w:val="27"/>
          <w:szCs w:val="27"/>
        </w:rPr>
        <w:t>Customer Loyalty and Retention</w:t>
      </w:r>
      <w:bookmarkEnd w:id="119"/>
      <w:bookmarkEnd w:id="120"/>
    </w:p>
    <w:p w14:paraId="372F9900" w14:textId="77777777" w:rsidR="001A6348" w:rsidRDefault="00B04CAD" w:rsidP="001A6348">
      <w:pPr>
        <w:pStyle w:val="isselectedend"/>
        <w:spacing w:line="276" w:lineRule="auto"/>
      </w:pPr>
      <w:r>
        <w:tab/>
      </w:r>
      <w:r w:rsidR="001A6348">
        <w:t xml:space="preserve">A key benefit of sustainable stakeholder engagement is stronger customer loyalty. As the main users of ConnectPlus, customers play a vital role in the platform’s success. Organizations that engage customers and </w:t>
      </w:r>
      <w:r w:rsidR="00FD30BC">
        <w:t>personalize</w:t>
      </w:r>
      <w:r w:rsidR="001A6348">
        <w:t xml:space="preserve"> experiences achieve higher satisfaction and retention (Christopher, Payne, &amp; Ballantyne, 2013). Through AI-driven recommendations, personalized rewards, and tailored promotions, Tesco aims to improve the customer experience. Building trust through surveys, feedback, pilot testing, and continuous communication helps Tesco understand customer needs and improve the platform over time. This approach increases loyalty, repeat purchases, and long-term profitability while encouraging customers to recommend the brand and join loyalty programmers (Chaffey &amp; Ellis-Chadwick, 2019).</w:t>
      </w:r>
    </w:p>
    <w:p w14:paraId="380D66E6" w14:textId="77777777" w:rsidR="00862EEB" w:rsidRPr="00862EEB" w:rsidRDefault="006712B7" w:rsidP="001A6348">
      <w:pPr>
        <w:spacing w:before="100" w:beforeAutospacing="1" w:after="100" w:afterAutospacing="1"/>
        <w:jc w:val="both"/>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121" w:name="_Toc231677188"/>
      <w:bookmarkStart w:id="122" w:name="_Toc234247235"/>
      <w:r w:rsidR="00862EEB" w:rsidRPr="00862EEB">
        <w:rPr>
          <w:rFonts w:ascii="Times New Roman" w:eastAsia="Times New Roman" w:hAnsi="Times New Roman" w:cs="Times New Roman"/>
          <w:b/>
          <w:bCs/>
          <w:sz w:val="27"/>
          <w:szCs w:val="27"/>
        </w:rPr>
        <w:t xml:space="preserve">Employee Engagement and </w:t>
      </w:r>
      <w:r w:rsidR="00887668" w:rsidRPr="00862EEB">
        <w:rPr>
          <w:rFonts w:ascii="Times New Roman" w:eastAsia="Times New Roman" w:hAnsi="Times New Roman" w:cs="Times New Roman"/>
          <w:b/>
          <w:bCs/>
          <w:sz w:val="27"/>
          <w:szCs w:val="27"/>
        </w:rPr>
        <w:t>Organizational</w:t>
      </w:r>
      <w:r w:rsidR="00862EEB" w:rsidRPr="00862EEB">
        <w:rPr>
          <w:rFonts w:ascii="Times New Roman" w:eastAsia="Times New Roman" w:hAnsi="Times New Roman" w:cs="Times New Roman"/>
          <w:b/>
          <w:bCs/>
          <w:sz w:val="27"/>
          <w:szCs w:val="27"/>
        </w:rPr>
        <w:t xml:space="preserve"> Performance</w:t>
      </w:r>
      <w:bookmarkEnd w:id="121"/>
      <w:bookmarkEnd w:id="122"/>
    </w:p>
    <w:p w14:paraId="75314D7C" w14:textId="77777777" w:rsidR="00862EEB" w:rsidRDefault="006712B7"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62EEB" w:rsidRPr="00862EEB">
        <w:rPr>
          <w:rFonts w:ascii="Times New Roman" w:eastAsia="Times New Roman" w:hAnsi="Times New Roman" w:cs="Times New Roman"/>
          <w:sz w:val="24"/>
          <w:szCs w:val="24"/>
        </w:rPr>
        <w:t xml:space="preserve">Employees are essential stakeholders in the success of digital transformation initiatives. </w:t>
      </w:r>
      <w:r>
        <w:rPr>
          <w:rFonts w:ascii="Times New Roman" w:eastAsia="Times New Roman" w:hAnsi="Times New Roman" w:cs="Times New Roman"/>
          <w:sz w:val="24"/>
          <w:szCs w:val="24"/>
        </w:rPr>
        <w:tab/>
      </w:r>
      <w:r w:rsidR="00862EEB" w:rsidRPr="00862EEB">
        <w:rPr>
          <w:rFonts w:ascii="Times New Roman" w:eastAsia="Times New Roman" w:hAnsi="Times New Roman" w:cs="Times New Roman"/>
          <w:sz w:val="24"/>
          <w:szCs w:val="24"/>
        </w:rPr>
        <w:t xml:space="preserve">Sustainable engagement ensures that employees feel informed, valued, and involved in </w:t>
      </w:r>
      <w:r w:rsidRPr="00862EEB">
        <w:rPr>
          <w:rFonts w:ascii="Times New Roman" w:eastAsia="Times New Roman" w:hAnsi="Times New Roman" w:cs="Times New Roman"/>
          <w:sz w:val="24"/>
          <w:szCs w:val="24"/>
        </w:rPr>
        <w:t>organizational</w:t>
      </w:r>
      <w:r w:rsidR="00862EEB" w:rsidRPr="00862EEB">
        <w:rPr>
          <w:rFonts w:ascii="Times New Roman" w:eastAsia="Times New Roman" w:hAnsi="Times New Roman" w:cs="Times New Roman"/>
          <w:sz w:val="24"/>
          <w:szCs w:val="24"/>
        </w:rPr>
        <w:t xml:space="preserve"> change processes.</w:t>
      </w:r>
      <w:r w:rsidR="001B0A9E">
        <w:rPr>
          <w:rFonts w:ascii="Times New Roman" w:eastAsia="Times New Roman" w:hAnsi="Times New Roman" w:cs="Times New Roman"/>
          <w:sz w:val="24"/>
          <w:szCs w:val="24"/>
        </w:rPr>
        <w:t xml:space="preserve"> </w:t>
      </w:r>
      <w:r w:rsidR="00862EEB" w:rsidRPr="00862EEB">
        <w:rPr>
          <w:rFonts w:ascii="Times New Roman" w:eastAsia="Times New Roman" w:hAnsi="Times New Roman" w:cs="Times New Roman"/>
          <w:sz w:val="24"/>
          <w:szCs w:val="24"/>
        </w:rPr>
        <w:t>Schein (2010) argues that employees are more likely to support change when they understand its purpose and believe their input is valued by leadership. In the context of ConnectPlus, involving employees through training sessions, workshops, and consultation improves understanding and reduces resistance to change.</w:t>
      </w:r>
      <w:r w:rsidR="001B0A9E">
        <w:rPr>
          <w:rFonts w:ascii="Times New Roman" w:eastAsia="Times New Roman" w:hAnsi="Times New Roman" w:cs="Times New Roman"/>
          <w:sz w:val="24"/>
          <w:szCs w:val="24"/>
        </w:rPr>
        <w:t xml:space="preserve"> </w:t>
      </w:r>
      <w:r w:rsidR="00862EEB" w:rsidRPr="00862EEB">
        <w:rPr>
          <w:rFonts w:ascii="Times New Roman" w:eastAsia="Times New Roman" w:hAnsi="Times New Roman" w:cs="Times New Roman"/>
          <w:sz w:val="24"/>
          <w:szCs w:val="24"/>
        </w:rPr>
        <w:t>Employee engagement also enhances productivity, service quality, and innovation. Frontline staff and customer service teams often have direct insight into customer needs and operational issues. By incorporating their feedback, Tesco can improve platform functionality and customer experience. However, poor communication or insufficient engagement can lead to low morale, reduced motivation, and higher staff turnover.</w:t>
      </w:r>
    </w:p>
    <w:p w14:paraId="7F767645" w14:textId="77777777" w:rsidR="003C4400" w:rsidRPr="00862EEB" w:rsidRDefault="003C4400" w:rsidP="00027A2E">
      <w:pPr>
        <w:spacing w:before="100" w:beforeAutospacing="1" w:after="100" w:afterAutospacing="1"/>
        <w:jc w:val="both"/>
        <w:rPr>
          <w:rFonts w:ascii="Times New Roman" w:eastAsia="Times New Roman" w:hAnsi="Times New Roman" w:cs="Times New Roman"/>
          <w:sz w:val="24"/>
          <w:szCs w:val="24"/>
        </w:rPr>
      </w:pPr>
    </w:p>
    <w:p w14:paraId="7EA42861" w14:textId="77777777" w:rsidR="00862EEB" w:rsidRPr="00862EEB" w:rsidRDefault="006712B7"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lastRenderedPageBreak/>
        <w:tab/>
      </w:r>
      <w:bookmarkStart w:id="123" w:name="_Toc231677189"/>
      <w:bookmarkStart w:id="124" w:name="_Toc234247236"/>
      <w:bookmarkStart w:id="125" w:name="_Toc234339970"/>
      <w:r w:rsidR="00862EEB" w:rsidRPr="00862EEB">
        <w:rPr>
          <w:rFonts w:ascii="Times New Roman" w:eastAsia="Times New Roman" w:hAnsi="Times New Roman" w:cs="Times New Roman"/>
          <w:b/>
          <w:bCs/>
          <w:sz w:val="27"/>
          <w:szCs w:val="27"/>
        </w:rPr>
        <w:t>Innovation and Competitive Advantage</w:t>
      </w:r>
      <w:bookmarkEnd w:id="123"/>
      <w:bookmarkEnd w:id="124"/>
      <w:bookmarkEnd w:id="125"/>
    </w:p>
    <w:p w14:paraId="7AAE000E" w14:textId="77777777" w:rsidR="00862EEB" w:rsidRDefault="006712B7"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62EEB" w:rsidRPr="00862EEB">
        <w:rPr>
          <w:rFonts w:ascii="Times New Roman" w:eastAsia="Times New Roman" w:hAnsi="Times New Roman" w:cs="Times New Roman"/>
          <w:sz w:val="24"/>
          <w:szCs w:val="24"/>
        </w:rPr>
        <w:t>Sustainable stakeholder engagement also plays a key role in driving innovation. Different stakeholder groups contribute unique perspectives, knowledge, and expertise that can improve decision-making and product development.</w:t>
      </w:r>
      <w:r w:rsidR="001B0A9E">
        <w:rPr>
          <w:rFonts w:ascii="Times New Roman" w:eastAsia="Times New Roman" w:hAnsi="Times New Roman" w:cs="Times New Roman"/>
          <w:sz w:val="24"/>
          <w:szCs w:val="24"/>
        </w:rPr>
        <w:t xml:space="preserve"> </w:t>
      </w:r>
      <w:r w:rsidR="00862EEB" w:rsidRPr="00862EEB">
        <w:rPr>
          <w:rFonts w:ascii="Times New Roman" w:eastAsia="Times New Roman" w:hAnsi="Times New Roman" w:cs="Times New Roman"/>
          <w:sz w:val="24"/>
          <w:szCs w:val="24"/>
        </w:rPr>
        <w:t>Technology partners may introduce advanced AI solutions, while customers provide feedback on usability and satisfaction. Employees can identify practical improvements based on daily operational experience. Ashcroft (2017) highlights that collaborative stakeholder relationships encourage co-creation of value and innovation.</w:t>
      </w:r>
      <w:r w:rsidR="001B0A9E">
        <w:rPr>
          <w:rFonts w:ascii="Times New Roman" w:eastAsia="Times New Roman" w:hAnsi="Times New Roman" w:cs="Times New Roman"/>
          <w:sz w:val="24"/>
          <w:szCs w:val="24"/>
        </w:rPr>
        <w:t xml:space="preserve"> </w:t>
      </w:r>
      <w:r w:rsidR="00862EEB" w:rsidRPr="00862EEB">
        <w:rPr>
          <w:rFonts w:ascii="Times New Roman" w:eastAsia="Times New Roman" w:hAnsi="Times New Roman" w:cs="Times New Roman"/>
          <w:sz w:val="24"/>
          <w:szCs w:val="24"/>
        </w:rPr>
        <w:t xml:space="preserve">For Tesco, this approach ensures that ConnectPlus remains adaptable and competitive in a rapidly evolving retail environment. As digital technologies continue to develop, </w:t>
      </w:r>
      <w:r w:rsidRPr="00862EEB">
        <w:rPr>
          <w:rFonts w:ascii="Times New Roman" w:eastAsia="Times New Roman" w:hAnsi="Times New Roman" w:cs="Times New Roman"/>
          <w:sz w:val="24"/>
          <w:szCs w:val="24"/>
        </w:rPr>
        <w:t>organizations</w:t>
      </w:r>
      <w:r w:rsidR="00862EEB" w:rsidRPr="00862EEB">
        <w:rPr>
          <w:rFonts w:ascii="Times New Roman" w:eastAsia="Times New Roman" w:hAnsi="Times New Roman" w:cs="Times New Roman"/>
          <w:sz w:val="24"/>
          <w:szCs w:val="24"/>
        </w:rPr>
        <w:t xml:space="preserve"> that maintain strong stakeholder relationships are better positioned to respond to market trends and changing consumer expectations.</w:t>
      </w:r>
    </w:p>
    <w:p w14:paraId="00450BCE" w14:textId="77777777" w:rsidR="00C13BC8" w:rsidRPr="00862EEB" w:rsidRDefault="00C13BC8" w:rsidP="00027A2E">
      <w:pPr>
        <w:spacing w:before="100" w:beforeAutospacing="1" w:after="100" w:afterAutospacing="1"/>
        <w:jc w:val="both"/>
        <w:rPr>
          <w:rFonts w:ascii="Times New Roman" w:eastAsia="Times New Roman" w:hAnsi="Times New Roman" w:cs="Times New Roman"/>
          <w:sz w:val="24"/>
          <w:szCs w:val="24"/>
        </w:rPr>
      </w:pPr>
    </w:p>
    <w:p w14:paraId="73E294E8" w14:textId="77777777" w:rsidR="00862EEB" w:rsidRPr="00862EEB" w:rsidRDefault="006712B7"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126" w:name="_Toc231677190"/>
      <w:bookmarkStart w:id="127" w:name="_Toc234247237"/>
      <w:bookmarkStart w:id="128" w:name="_Toc234339971"/>
      <w:r w:rsidR="00862EEB" w:rsidRPr="00862EEB">
        <w:rPr>
          <w:rFonts w:ascii="Times New Roman" w:eastAsia="Times New Roman" w:hAnsi="Times New Roman" w:cs="Times New Roman"/>
          <w:b/>
          <w:bCs/>
          <w:sz w:val="27"/>
          <w:szCs w:val="27"/>
        </w:rPr>
        <w:t>Risk Management and Regulatory Compliance</w:t>
      </w:r>
      <w:bookmarkEnd w:id="126"/>
      <w:bookmarkEnd w:id="127"/>
      <w:bookmarkEnd w:id="128"/>
    </w:p>
    <w:p w14:paraId="56777587" w14:textId="77777777" w:rsidR="004F46DC" w:rsidRDefault="004F46DC" w:rsidP="004F46DC">
      <w:pPr>
        <w:pStyle w:val="isselectedend"/>
        <w:spacing w:line="276" w:lineRule="auto"/>
      </w:pPr>
      <w:r>
        <w:tab/>
        <w:t>Another major benefit of stakeholder engagement is improved risk management. Large digital systems like ConnectPlus involve technological, operational, legal, and reputational risks, particularly around AI, data privacy, cyber security, and ethical data use. Engaging regulators, legal advisors, and compliance teams early helps Tesco comply with frameworks such as the UK GDPR and address risks before they escalate (PMI, 2021). Transparent communication with customers about data usage also builds trust and reduces privacy concerns.</w:t>
      </w:r>
    </w:p>
    <w:p w14:paraId="3FE49DD3" w14:textId="77777777" w:rsidR="006712B7" w:rsidRPr="00862EEB" w:rsidRDefault="006712B7" w:rsidP="00027A2E">
      <w:pPr>
        <w:spacing w:before="100" w:beforeAutospacing="1" w:after="100" w:afterAutospacing="1"/>
        <w:jc w:val="both"/>
        <w:rPr>
          <w:rFonts w:ascii="Times New Roman" w:eastAsia="Times New Roman" w:hAnsi="Times New Roman" w:cs="Times New Roman"/>
          <w:sz w:val="24"/>
          <w:szCs w:val="24"/>
        </w:rPr>
      </w:pPr>
    </w:p>
    <w:p w14:paraId="40878311" w14:textId="77777777" w:rsidR="00862EEB" w:rsidRPr="00862EEB" w:rsidRDefault="006712B7" w:rsidP="00027A2E">
      <w:pPr>
        <w:spacing w:before="100" w:beforeAutospacing="1" w:after="100" w:afterAutospacing="1"/>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bookmarkStart w:id="129" w:name="_Toc231677191"/>
      <w:bookmarkStart w:id="130" w:name="_Toc234247238"/>
      <w:bookmarkStart w:id="131" w:name="_Toc234339972"/>
      <w:r w:rsidR="00862EEB" w:rsidRPr="00862EEB">
        <w:rPr>
          <w:rFonts w:ascii="Times New Roman" w:eastAsia="Times New Roman" w:hAnsi="Times New Roman" w:cs="Times New Roman"/>
          <w:b/>
          <w:bCs/>
          <w:sz w:val="27"/>
          <w:szCs w:val="27"/>
        </w:rPr>
        <w:t>Corporate Reputation and Stakeholder Trust</w:t>
      </w:r>
      <w:bookmarkEnd w:id="129"/>
      <w:bookmarkEnd w:id="130"/>
      <w:bookmarkEnd w:id="131"/>
    </w:p>
    <w:p w14:paraId="29BBEDBB" w14:textId="77777777" w:rsidR="00AE3332" w:rsidRDefault="006712B7" w:rsidP="00AE3332">
      <w:pPr>
        <w:pStyle w:val="isselectedend"/>
        <w:spacing w:line="276" w:lineRule="auto"/>
      </w:pPr>
      <w:r>
        <w:tab/>
      </w:r>
      <w:r w:rsidR="00AE3332">
        <w:t xml:space="preserve">Corporate reputation depends on how well an organization manages its stakeholders. </w:t>
      </w:r>
      <w:r w:rsidR="00AE3332">
        <w:tab/>
        <w:t>Companies that demonstrate transparency, ethical behavior, and accountability build greater trust with customers, employees, investors, and regulators. Donaldson and Preston (1995) argue that organizations have ethical responsibilities beyond profit generation. For ConnectPlus, responsible stakeholder engagement can strengthen Tesco’s reputation as a customer-focused and ethical retailer. A strong reputation improves brand loyalty, attracts new customers, and increases investor confidence, while poor engagement can damage trust and reduce competitiveness.</w:t>
      </w:r>
    </w:p>
    <w:p w14:paraId="299BEE82" w14:textId="77777777" w:rsidR="00AB1DF2" w:rsidRDefault="00AB1DF2" w:rsidP="00AE3332">
      <w:pPr>
        <w:pStyle w:val="isselectedend"/>
        <w:spacing w:line="276" w:lineRule="auto"/>
      </w:pPr>
    </w:p>
    <w:p w14:paraId="5E19C751" w14:textId="77777777" w:rsidR="00AB1DF2" w:rsidRDefault="00AB1DF2" w:rsidP="00AE3332">
      <w:pPr>
        <w:pStyle w:val="isselectedend"/>
        <w:spacing w:line="276" w:lineRule="auto"/>
      </w:pPr>
    </w:p>
    <w:p w14:paraId="1E006351" w14:textId="77777777" w:rsidR="00862EEB" w:rsidRPr="00862EEB" w:rsidRDefault="006712B7" w:rsidP="00AE3332">
      <w:pPr>
        <w:spacing w:before="100" w:beforeAutospacing="1" w:after="100" w:afterAutospacing="1"/>
        <w:jc w:val="both"/>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lastRenderedPageBreak/>
        <w:tab/>
      </w:r>
      <w:bookmarkStart w:id="132" w:name="_Toc231677192"/>
      <w:bookmarkStart w:id="133" w:name="_Toc234247239"/>
      <w:r w:rsidR="00862EEB" w:rsidRPr="00862EEB">
        <w:rPr>
          <w:rFonts w:ascii="Times New Roman" w:eastAsia="Times New Roman" w:hAnsi="Times New Roman" w:cs="Times New Roman"/>
          <w:b/>
          <w:bCs/>
          <w:sz w:val="27"/>
          <w:szCs w:val="27"/>
        </w:rPr>
        <w:t>Critical Evaluation</w:t>
      </w:r>
      <w:bookmarkEnd w:id="132"/>
      <w:bookmarkEnd w:id="133"/>
    </w:p>
    <w:p w14:paraId="0FEEDBB1" w14:textId="77777777" w:rsidR="00862EEB" w:rsidRPr="00862EEB" w:rsidRDefault="006712B7"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62EEB" w:rsidRPr="00862EEB">
        <w:rPr>
          <w:rFonts w:ascii="Times New Roman" w:eastAsia="Times New Roman" w:hAnsi="Times New Roman" w:cs="Times New Roman"/>
          <w:sz w:val="24"/>
          <w:szCs w:val="24"/>
        </w:rPr>
        <w:t>Although sustainable stakeholder engagement offers clear benefits, it also presents challenges. Maintaining strong relationships requires significant time, resources, and consistent communication. Stakeholders may also have conflicting interests, making it difficult to satisfy all expectations simultaneously.</w:t>
      </w:r>
      <w:r w:rsidR="001B0A9E">
        <w:rPr>
          <w:rFonts w:ascii="Times New Roman" w:eastAsia="Times New Roman" w:hAnsi="Times New Roman" w:cs="Times New Roman"/>
          <w:sz w:val="24"/>
          <w:szCs w:val="24"/>
        </w:rPr>
        <w:t xml:space="preserve"> </w:t>
      </w:r>
      <w:r w:rsidR="00862EEB" w:rsidRPr="00862EEB">
        <w:rPr>
          <w:rFonts w:ascii="Times New Roman" w:eastAsia="Times New Roman" w:hAnsi="Times New Roman" w:cs="Times New Roman"/>
          <w:sz w:val="24"/>
          <w:szCs w:val="24"/>
        </w:rPr>
        <w:t>Additionally, the outcomes of stakeholder engagement can be difficult to measure directly. Improvements in trust, loyalty, and collaboration may not always be immediately visible in financial performance indicators, even though they contribute to long-term success.</w:t>
      </w:r>
      <w:r w:rsidR="001B0A9E">
        <w:rPr>
          <w:rFonts w:ascii="Times New Roman" w:eastAsia="Times New Roman" w:hAnsi="Times New Roman" w:cs="Times New Roman"/>
          <w:sz w:val="24"/>
          <w:szCs w:val="24"/>
        </w:rPr>
        <w:t xml:space="preserve"> </w:t>
      </w:r>
      <w:r w:rsidR="00862EEB" w:rsidRPr="00862EEB">
        <w:rPr>
          <w:rFonts w:ascii="Times New Roman" w:eastAsia="Times New Roman" w:hAnsi="Times New Roman" w:cs="Times New Roman"/>
          <w:sz w:val="24"/>
          <w:szCs w:val="24"/>
        </w:rPr>
        <w:t xml:space="preserve">Despite these challenges, the long-term advantages generally outweigh the costs. </w:t>
      </w:r>
      <w:r w:rsidRPr="00862EEB">
        <w:rPr>
          <w:rFonts w:ascii="Times New Roman" w:eastAsia="Times New Roman" w:hAnsi="Times New Roman" w:cs="Times New Roman"/>
          <w:sz w:val="24"/>
          <w:szCs w:val="24"/>
        </w:rPr>
        <w:t>Organizations</w:t>
      </w:r>
      <w:r w:rsidR="00862EEB" w:rsidRPr="00862EEB">
        <w:rPr>
          <w:rFonts w:ascii="Times New Roman" w:eastAsia="Times New Roman" w:hAnsi="Times New Roman" w:cs="Times New Roman"/>
          <w:sz w:val="24"/>
          <w:szCs w:val="24"/>
        </w:rPr>
        <w:t xml:space="preserve"> that invest in sustainable stakeholder engagement tend to be more resilient, innovative, and adaptable to change (Freeman et al., 2010).</w:t>
      </w:r>
    </w:p>
    <w:p w14:paraId="596ED0CB" w14:textId="77777777" w:rsidR="003C4400" w:rsidRDefault="003C4400" w:rsidP="00027A2E">
      <w:pPr>
        <w:spacing w:before="100" w:beforeAutospacing="1" w:after="100" w:afterAutospacing="1"/>
        <w:jc w:val="both"/>
        <w:rPr>
          <w:rFonts w:ascii="Times New Roman" w:eastAsia="Times New Roman" w:hAnsi="Times New Roman" w:cs="Times New Roman"/>
          <w:sz w:val="24"/>
          <w:szCs w:val="24"/>
        </w:rPr>
      </w:pPr>
    </w:p>
    <w:p w14:paraId="0B4CDE21" w14:textId="77777777" w:rsidR="003C4400" w:rsidRDefault="003C4400" w:rsidP="00027A2E">
      <w:pPr>
        <w:spacing w:before="100" w:beforeAutospacing="1" w:after="100" w:afterAutospacing="1"/>
        <w:jc w:val="both"/>
        <w:rPr>
          <w:rFonts w:ascii="Times New Roman" w:eastAsia="Times New Roman" w:hAnsi="Times New Roman" w:cs="Times New Roman"/>
          <w:sz w:val="24"/>
          <w:szCs w:val="24"/>
        </w:rPr>
      </w:pPr>
    </w:p>
    <w:p w14:paraId="1EF25E6C" w14:textId="77777777" w:rsidR="003C4400" w:rsidRDefault="003C4400" w:rsidP="00027A2E">
      <w:pPr>
        <w:spacing w:before="100" w:beforeAutospacing="1" w:after="100" w:afterAutospacing="1"/>
        <w:jc w:val="both"/>
        <w:rPr>
          <w:rFonts w:ascii="Times New Roman" w:eastAsia="Times New Roman" w:hAnsi="Times New Roman" w:cs="Times New Roman"/>
          <w:sz w:val="24"/>
          <w:szCs w:val="24"/>
        </w:rPr>
      </w:pPr>
    </w:p>
    <w:p w14:paraId="531D252F" w14:textId="77777777" w:rsidR="003C4400" w:rsidRDefault="003C4400" w:rsidP="00027A2E">
      <w:pPr>
        <w:spacing w:before="100" w:beforeAutospacing="1" w:after="100" w:afterAutospacing="1"/>
        <w:jc w:val="both"/>
        <w:rPr>
          <w:rFonts w:ascii="Times New Roman" w:eastAsia="Times New Roman" w:hAnsi="Times New Roman" w:cs="Times New Roman"/>
          <w:sz w:val="24"/>
          <w:szCs w:val="24"/>
        </w:rPr>
      </w:pPr>
    </w:p>
    <w:p w14:paraId="20284EA6" w14:textId="77777777" w:rsidR="003C4400" w:rsidRDefault="003C4400" w:rsidP="00027A2E">
      <w:pPr>
        <w:spacing w:before="100" w:beforeAutospacing="1" w:after="100" w:afterAutospacing="1"/>
        <w:jc w:val="both"/>
        <w:rPr>
          <w:rFonts w:ascii="Times New Roman" w:eastAsia="Times New Roman" w:hAnsi="Times New Roman" w:cs="Times New Roman"/>
          <w:sz w:val="24"/>
          <w:szCs w:val="24"/>
        </w:rPr>
      </w:pPr>
    </w:p>
    <w:p w14:paraId="455DF039" w14:textId="77777777" w:rsidR="003C4400" w:rsidRDefault="003C4400" w:rsidP="00027A2E">
      <w:pPr>
        <w:spacing w:before="100" w:beforeAutospacing="1" w:after="100" w:afterAutospacing="1"/>
        <w:jc w:val="both"/>
        <w:rPr>
          <w:rFonts w:ascii="Times New Roman" w:eastAsia="Times New Roman" w:hAnsi="Times New Roman" w:cs="Times New Roman"/>
          <w:sz w:val="24"/>
          <w:szCs w:val="24"/>
        </w:rPr>
      </w:pPr>
    </w:p>
    <w:p w14:paraId="3FD5A435" w14:textId="77777777" w:rsidR="003C4400" w:rsidRDefault="003C4400" w:rsidP="00027A2E">
      <w:pPr>
        <w:spacing w:before="100" w:beforeAutospacing="1" w:after="100" w:afterAutospacing="1"/>
        <w:jc w:val="both"/>
        <w:rPr>
          <w:rFonts w:ascii="Times New Roman" w:eastAsia="Times New Roman" w:hAnsi="Times New Roman" w:cs="Times New Roman"/>
          <w:sz w:val="24"/>
          <w:szCs w:val="24"/>
        </w:rPr>
      </w:pPr>
    </w:p>
    <w:p w14:paraId="02095582" w14:textId="77777777" w:rsidR="003C4400" w:rsidRDefault="003C4400" w:rsidP="00027A2E">
      <w:pPr>
        <w:spacing w:before="100" w:beforeAutospacing="1" w:after="100" w:afterAutospacing="1"/>
        <w:jc w:val="both"/>
        <w:rPr>
          <w:rFonts w:ascii="Times New Roman" w:eastAsia="Times New Roman" w:hAnsi="Times New Roman" w:cs="Times New Roman"/>
          <w:sz w:val="24"/>
          <w:szCs w:val="24"/>
        </w:rPr>
      </w:pPr>
    </w:p>
    <w:p w14:paraId="3B21FDF2" w14:textId="77777777" w:rsidR="003C4400" w:rsidRDefault="003C4400" w:rsidP="00027A2E">
      <w:pPr>
        <w:spacing w:before="100" w:beforeAutospacing="1" w:after="100" w:afterAutospacing="1"/>
        <w:jc w:val="both"/>
        <w:rPr>
          <w:rFonts w:ascii="Times New Roman" w:eastAsia="Times New Roman" w:hAnsi="Times New Roman" w:cs="Times New Roman"/>
          <w:sz w:val="24"/>
          <w:szCs w:val="24"/>
        </w:rPr>
      </w:pPr>
    </w:p>
    <w:p w14:paraId="2217FCB8" w14:textId="77777777" w:rsidR="003C4400" w:rsidRDefault="003C4400" w:rsidP="00027A2E">
      <w:pPr>
        <w:spacing w:before="100" w:beforeAutospacing="1" w:after="100" w:afterAutospacing="1"/>
        <w:jc w:val="both"/>
        <w:rPr>
          <w:rFonts w:ascii="Times New Roman" w:eastAsia="Times New Roman" w:hAnsi="Times New Roman" w:cs="Times New Roman"/>
          <w:sz w:val="24"/>
          <w:szCs w:val="24"/>
        </w:rPr>
      </w:pPr>
    </w:p>
    <w:p w14:paraId="0D46D41F" w14:textId="77777777" w:rsidR="003C4400" w:rsidRDefault="003C4400" w:rsidP="00027A2E">
      <w:pPr>
        <w:spacing w:before="100" w:beforeAutospacing="1" w:after="100" w:afterAutospacing="1"/>
        <w:jc w:val="both"/>
        <w:rPr>
          <w:rFonts w:ascii="Times New Roman" w:eastAsia="Times New Roman" w:hAnsi="Times New Roman" w:cs="Times New Roman"/>
          <w:sz w:val="24"/>
          <w:szCs w:val="24"/>
        </w:rPr>
      </w:pPr>
    </w:p>
    <w:p w14:paraId="7144625B" w14:textId="77777777" w:rsidR="003C4400" w:rsidRDefault="003C4400" w:rsidP="00027A2E">
      <w:pPr>
        <w:spacing w:before="100" w:beforeAutospacing="1" w:after="100" w:afterAutospacing="1"/>
        <w:jc w:val="both"/>
        <w:rPr>
          <w:rFonts w:ascii="Times New Roman" w:eastAsia="Times New Roman" w:hAnsi="Times New Roman" w:cs="Times New Roman"/>
          <w:sz w:val="24"/>
          <w:szCs w:val="24"/>
        </w:rPr>
      </w:pPr>
    </w:p>
    <w:p w14:paraId="677E26A1" w14:textId="77777777" w:rsidR="003C4400" w:rsidRDefault="003C4400" w:rsidP="00027A2E">
      <w:pPr>
        <w:spacing w:before="100" w:beforeAutospacing="1" w:after="100" w:afterAutospacing="1"/>
        <w:jc w:val="both"/>
        <w:rPr>
          <w:rFonts w:ascii="Times New Roman" w:eastAsia="Times New Roman" w:hAnsi="Times New Roman" w:cs="Times New Roman"/>
          <w:sz w:val="24"/>
          <w:szCs w:val="24"/>
        </w:rPr>
      </w:pPr>
    </w:p>
    <w:p w14:paraId="6D9CEC24" w14:textId="77777777" w:rsidR="003C4400" w:rsidRDefault="003C4400" w:rsidP="00027A2E">
      <w:pPr>
        <w:spacing w:before="100" w:beforeAutospacing="1" w:after="100" w:afterAutospacing="1"/>
        <w:jc w:val="both"/>
        <w:rPr>
          <w:rFonts w:ascii="Times New Roman" w:eastAsia="Times New Roman" w:hAnsi="Times New Roman" w:cs="Times New Roman"/>
          <w:sz w:val="24"/>
          <w:szCs w:val="24"/>
        </w:rPr>
      </w:pPr>
    </w:p>
    <w:p w14:paraId="381C125F" w14:textId="77777777" w:rsidR="00F663FF" w:rsidRPr="00027A2E" w:rsidRDefault="00F663FF" w:rsidP="00027A2E">
      <w:pPr>
        <w:spacing w:before="100" w:beforeAutospacing="1" w:after="100" w:afterAutospacing="1"/>
        <w:jc w:val="both"/>
        <w:rPr>
          <w:rFonts w:ascii="Times New Roman" w:eastAsia="Times New Roman" w:hAnsi="Times New Roman" w:cs="Times New Roman"/>
          <w:sz w:val="24"/>
          <w:szCs w:val="24"/>
        </w:rPr>
      </w:pPr>
    </w:p>
    <w:p w14:paraId="27F99291" w14:textId="77777777" w:rsidR="006712B7" w:rsidRDefault="00211375" w:rsidP="006712B7">
      <w:pPr>
        <w:pStyle w:val="ListParagraph"/>
        <w:numPr>
          <w:ilvl w:val="0"/>
          <w:numId w:val="39"/>
        </w:numPr>
        <w:spacing w:before="100" w:beforeAutospacing="1" w:after="100" w:afterAutospacing="1"/>
        <w:jc w:val="both"/>
        <w:outlineLvl w:val="1"/>
        <w:rPr>
          <w:rFonts w:ascii="Times New Roman" w:eastAsia="Times New Roman" w:hAnsi="Times New Roman" w:cs="Times New Roman"/>
          <w:b/>
          <w:bCs/>
          <w:sz w:val="36"/>
          <w:szCs w:val="36"/>
        </w:rPr>
      </w:pPr>
      <w:bookmarkStart w:id="134" w:name="_Toc234247240"/>
      <w:bookmarkStart w:id="135" w:name="_Toc234339973"/>
      <w:r w:rsidRPr="006712B7">
        <w:rPr>
          <w:rFonts w:ascii="Times New Roman" w:eastAsia="Times New Roman" w:hAnsi="Times New Roman" w:cs="Times New Roman"/>
          <w:b/>
          <w:bCs/>
          <w:sz w:val="36"/>
          <w:szCs w:val="36"/>
        </w:rPr>
        <w:lastRenderedPageBreak/>
        <w:t>Recommendations and Conclusion</w:t>
      </w:r>
      <w:bookmarkEnd w:id="134"/>
      <w:bookmarkEnd w:id="135"/>
    </w:p>
    <w:p w14:paraId="2C78862A" w14:textId="77777777" w:rsidR="006712B7" w:rsidRDefault="006712B7" w:rsidP="006712B7">
      <w:pPr>
        <w:pStyle w:val="ListParagraph"/>
        <w:spacing w:before="100" w:beforeAutospacing="1" w:after="100" w:afterAutospacing="1"/>
        <w:ind w:left="792"/>
        <w:jc w:val="both"/>
        <w:outlineLvl w:val="1"/>
        <w:rPr>
          <w:rFonts w:ascii="Times New Roman" w:eastAsia="Times New Roman" w:hAnsi="Times New Roman" w:cs="Times New Roman"/>
          <w:b/>
          <w:bCs/>
          <w:sz w:val="36"/>
          <w:szCs w:val="36"/>
        </w:rPr>
      </w:pPr>
    </w:p>
    <w:p w14:paraId="26BFC9A8" w14:textId="77777777" w:rsidR="0047444A" w:rsidRPr="0047444A" w:rsidRDefault="0047444A" w:rsidP="006712B7">
      <w:pPr>
        <w:pStyle w:val="ListParagraph"/>
        <w:spacing w:before="100" w:beforeAutospacing="1" w:after="100" w:afterAutospacing="1"/>
        <w:ind w:left="792"/>
        <w:jc w:val="both"/>
        <w:outlineLvl w:val="1"/>
        <w:rPr>
          <w:rFonts w:ascii="Times New Roman" w:eastAsia="Times New Roman" w:hAnsi="Times New Roman" w:cs="Times New Roman"/>
          <w:b/>
          <w:bCs/>
          <w:sz w:val="36"/>
          <w:szCs w:val="36"/>
        </w:rPr>
      </w:pPr>
      <w:bookmarkStart w:id="136" w:name="_Toc231677194"/>
      <w:bookmarkStart w:id="137" w:name="_Toc234247241"/>
      <w:bookmarkStart w:id="138" w:name="_Toc234339974"/>
      <w:r w:rsidRPr="0047444A">
        <w:rPr>
          <w:rFonts w:ascii="Times New Roman" w:eastAsia="Times New Roman" w:hAnsi="Times New Roman" w:cs="Times New Roman"/>
          <w:b/>
          <w:bCs/>
          <w:sz w:val="36"/>
          <w:szCs w:val="36"/>
        </w:rPr>
        <w:t>Recommendations</w:t>
      </w:r>
      <w:bookmarkEnd w:id="136"/>
      <w:bookmarkEnd w:id="137"/>
      <w:bookmarkEnd w:id="138"/>
    </w:p>
    <w:p w14:paraId="26A8080D" w14:textId="77777777" w:rsidR="0047444A" w:rsidRPr="0047444A" w:rsidRDefault="006712B7"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47444A" w:rsidRPr="0047444A">
        <w:rPr>
          <w:rFonts w:ascii="Times New Roman" w:eastAsia="Times New Roman" w:hAnsi="Times New Roman" w:cs="Times New Roman"/>
          <w:sz w:val="24"/>
          <w:szCs w:val="24"/>
        </w:rPr>
        <w:t>Based on the findings of this report, several recommendations can be made to support the successful implementation of ConnectPlus.</w:t>
      </w:r>
      <w:r w:rsidR="00AB1DF2">
        <w:rPr>
          <w:rFonts w:ascii="Times New Roman" w:eastAsia="Times New Roman" w:hAnsi="Times New Roman" w:cs="Times New Roman"/>
          <w:sz w:val="24"/>
          <w:szCs w:val="24"/>
        </w:rPr>
        <w:t xml:space="preserve"> </w:t>
      </w:r>
      <w:r w:rsidR="0047444A" w:rsidRPr="0047444A">
        <w:rPr>
          <w:rFonts w:ascii="Times New Roman" w:eastAsia="Times New Roman" w:hAnsi="Times New Roman" w:cs="Times New Roman"/>
          <w:sz w:val="24"/>
          <w:szCs w:val="24"/>
        </w:rPr>
        <w:t>First, Tesco should establish a formal stakeholder engagement strategy from the outset of the project. This strategy should clearly define stakeholder responsibilities, communication channels, and engagement activities to ensure consistent involvement throughout the project lifecycle.</w:t>
      </w:r>
      <w:r w:rsidR="00B71149">
        <w:rPr>
          <w:rFonts w:ascii="Times New Roman" w:eastAsia="Times New Roman" w:hAnsi="Times New Roman" w:cs="Times New Roman"/>
          <w:sz w:val="24"/>
          <w:szCs w:val="24"/>
        </w:rPr>
        <w:t xml:space="preserve"> </w:t>
      </w:r>
      <w:r w:rsidR="0047444A" w:rsidRPr="0047444A">
        <w:rPr>
          <w:rFonts w:ascii="Times New Roman" w:eastAsia="Times New Roman" w:hAnsi="Times New Roman" w:cs="Times New Roman"/>
          <w:sz w:val="24"/>
          <w:szCs w:val="24"/>
        </w:rPr>
        <w:t xml:space="preserve">Second, Tesco should strengthen customer engagement by creating regular opportunities for feedback through surveys, focus groups, and pilot testing </w:t>
      </w:r>
      <w:r w:rsidRPr="0047444A">
        <w:rPr>
          <w:rFonts w:ascii="Times New Roman" w:eastAsia="Times New Roman" w:hAnsi="Times New Roman" w:cs="Times New Roman"/>
          <w:sz w:val="24"/>
          <w:szCs w:val="24"/>
        </w:rPr>
        <w:t>programmers</w:t>
      </w:r>
      <w:r w:rsidR="0047444A" w:rsidRPr="0047444A">
        <w:rPr>
          <w:rFonts w:ascii="Times New Roman" w:eastAsia="Times New Roman" w:hAnsi="Times New Roman" w:cs="Times New Roman"/>
          <w:sz w:val="24"/>
          <w:szCs w:val="24"/>
        </w:rPr>
        <w:t>. This will help ensure that the platform continues to meet customer expectations and improve user satisfaction.</w:t>
      </w:r>
      <w:r w:rsidR="00B71149">
        <w:rPr>
          <w:rFonts w:ascii="Times New Roman" w:eastAsia="Times New Roman" w:hAnsi="Times New Roman" w:cs="Times New Roman"/>
          <w:sz w:val="24"/>
          <w:szCs w:val="24"/>
        </w:rPr>
        <w:t xml:space="preserve"> </w:t>
      </w:r>
      <w:r w:rsidR="0047444A" w:rsidRPr="0047444A">
        <w:rPr>
          <w:rFonts w:ascii="Times New Roman" w:eastAsia="Times New Roman" w:hAnsi="Times New Roman" w:cs="Times New Roman"/>
          <w:sz w:val="24"/>
          <w:szCs w:val="24"/>
        </w:rPr>
        <w:t xml:space="preserve">Third, the </w:t>
      </w:r>
      <w:r w:rsidRPr="0047444A">
        <w:rPr>
          <w:rFonts w:ascii="Times New Roman" w:eastAsia="Times New Roman" w:hAnsi="Times New Roman" w:cs="Times New Roman"/>
          <w:sz w:val="24"/>
          <w:szCs w:val="24"/>
        </w:rPr>
        <w:t>organization</w:t>
      </w:r>
      <w:r w:rsidR="0047444A" w:rsidRPr="0047444A">
        <w:rPr>
          <w:rFonts w:ascii="Times New Roman" w:eastAsia="Times New Roman" w:hAnsi="Times New Roman" w:cs="Times New Roman"/>
          <w:sz w:val="24"/>
          <w:szCs w:val="24"/>
        </w:rPr>
        <w:t xml:space="preserve"> should invest in employee training and change management initiatives. Employees play a critical role in supporting customer adoption and operational success. Therefore, ensuring that staff understand the platform and its benefits will help reduce resistance to change.</w:t>
      </w:r>
      <w:r w:rsidR="00B71149">
        <w:rPr>
          <w:rFonts w:ascii="Times New Roman" w:eastAsia="Times New Roman" w:hAnsi="Times New Roman" w:cs="Times New Roman"/>
          <w:sz w:val="24"/>
          <w:szCs w:val="24"/>
        </w:rPr>
        <w:t xml:space="preserve"> </w:t>
      </w:r>
      <w:r w:rsidR="0047444A" w:rsidRPr="0047444A">
        <w:rPr>
          <w:rFonts w:ascii="Times New Roman" w:eastAsia="Times New Roman" w:hAnsi="Times New Roman" w:cs="Times New Roman"/>
          <w:sz w:val="24"/>
          <w:szCs w:val="24"/>
        </w:rPr>
        <w:t xml:space="preserve">Fourth, Tesco should </w:t>
      </w:r>
      <w:r w:rsidRPr="0047444A">
        <w:rPr>
          <w:rFonts w:ascii="Times New Roman" w:eastAsia="Times New Roman" w:hAnsi="Times New Roman" w:cs="Times New Roman"/>
          <w:sz w:val="24"/>
          <w:szCs w:val="24"/>
        </w:rPr>
        <w:t>prioritize</w:t>
      </w:r>
      <w:r w:rsidR="0047444A" w:rsidRPr="0047444A">
        <w:rPr>
          <w:rFonts w:ascii="Times New Roman" w:eastAsia="Times New Roman" w:hAnsi="Times New Roman" w:cs="Times New Roman"/>
          <w:sz w:val="24"/>
          <w:szCs w:val="24"/>
        </w:rPr>
        <w:t xml:space="preserve"> transparency regarding customer data usage and AI decision-making processes. Given increasing concerns surrounding privacy and ethical AI, clear communication and compliance with UK GDPR requirements are essential for maintaining stakeholder trust.</w:t>
      </w:r>
      <w:r w:rsidR="00B71149">
        <w:rPr>
          <w:rFonts w:ascii="Times New Roman" w:eastAsia="Times New Roman" w:hAnsi="Times New Roman" w:cs="Times New Roman"/>
          <w:sz w:val="24"/>
          <w:szCs w:val="24"/>
        </w:rPr>
        <w:t xml:space="preserve"> </w:t>
      </w:r>
      <w:r w:rsidR="0047444A" w:rsidRPr="0047444A">
        <w:rPr>
          <w:rFonts w:ascii="Times New Roman" w:eastAsia="Times New Roman" w:hAnsi="Times New Roman" w:cs="Times New Roman"/>
          <w:sz w:val="24"/>
          <w:szCs w:val="24"/>
        </w:rPr>
        <w:t>Finally, Tesco should continuously review stakeholder relationships after implementation to identify emerging risks, changing expectations, and opportunities for improvement.</w:t>
      </w:r>
    </w:p>
    <w:p w14:paraId="1749A248" w14:textId="77777777" w:rsidR="0047444A" w:rsidRPr="0047444A" w:rsidRDefault="006712B7" w:rsidP="00027A2E">
      <w:pPr>
        <w:spacing w:before="100" w:beforeAutospacing="1" w:after="100" w:afterAutospacing="1"/>
        <w:jc w:val="both"/>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ab/>
      </w:r>
      <w:bookmarkStart w:id="139" w:name="_Toc231677195"/>
      <w:bookmarkStart w:id="140" w:name="_Toc234247242"/>
      <w:bookmarkStart w:id="141" w:name="_Toc234339975"/>
      <w:r w:rsidR="0047444A" w:rsidRPr="0047444A">
        <w:rPr>
          <w:rFonts w:ascii="Times New Roman" w:eastAsia="Times New Roman" w:hAnsi="Times New Roman" w:cs="Times New Roman"/>
          <w:b/>
          <w:bCs/>
          <w:sz w:val="36"/>
          <w:szCs w:val="36"/>
        </w:rPr>
        <w:t>Conclusion</w:t>
      </w:r>
      <w:bookmarkEnd w:id="139"/>
      <w:bookmarkEnd w:id="140"/>
      <w:bookmarkEnd w:id="141"/>
    </w:p>
    <w:p w14:paraId="7EE36989" w14:textId="77777777" w:rsidR="0047444A" w:rsidRPr="0047444A" w:rsidRDefault="006712B7" w:rsidP="00027A2E">
      <w:p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47444A" w:rsidRPr="0047444A">
        <w:rPr>
          <w:rFonts w:ascii="Times New Roman" w:eastAsia="Times New Roman" w:hAnsi="Times New Roman" w:cs="Times New Roman"/>
          <w:sz w:val="24"/>
          <w:szCs w:val="24"/>
        </w:rPr>
        <w:t>This report has examined stakeholder engagement in relation to Tesco’s proposed ConnectPlus customer loyalty and engagement platform. Through the application of stakeholder theory and engagement frameworks, including Mendelow’s Power-Interest Matrix, Mitchell et al.’s Salience Model, the RACI Matrix, and the 4C Model, the report identified the key stakeholders involved in the project and evaluated strategies for their effective engagement.</w:t>
      </w:r>
      <w:r w:rsidR="0085185D">
        <w:rPr>
          <w:rFonts w:ascii="Times New Roman" w:eastAsia="Times New Roman" w:hAnsi="Times New Roman" w:cs="Times New Roman"/>
          <w:sz w:val="24"/>
          <w:szCs w:val="24"/>
        </w:rPr>
        <w:t xml:space="preserve"> </w:t>
      </w:r>
      <w:r w:rsidR="0047444A" w:rsidRPr="0047444A">
        <w:rPr>
          <w:rFonts w:ascii="Times New Roman" w:eastAsia="Times New Roman" w:hAnsi="Times New Roman" w:cs="Times New Roman"/>
          <w:sz w:val="24"/>
          <w:szCs w:val="24"/>
        </w:rPr>
        <w:t xml:space="preserve">The findings demonstrate that successful implementation depends not only on technological capability but also on Tesco’s ability to build trust, encourage collaboration, and manage stakeholder expectations effectively. Sustainable stakeholder engagement contributes to improved customer loyalty, </w:t>
      </w:r>
      <w:r w:rsidRPr="0047444A">
        <w:rPr>
          <w:rFonts w:ascii="Times New Roman" w:eastAsia="Times New Roman" w:hAnsi="Times New Roman" w:cs="Times New Roman"/>
          <w:sz w:val="24"/>
          <w:szCs w:val="24"/>
        </w:rPr>
        <w:t>organizational</w:t>
      </w:r>
      <w:r w:rsidR="0047444A" w:rsidRPr="0047444A">
        <w:rPr>
          <w:rFonts w:ascii="Times New Roman" w:eastAsia="Times New Roman" w:hAnsi="Times New Roman" w:cs="Times New Roman"/>
          <w:sz w:val="24"/>
          <w:szCs w:val="24"/>
        </w:rPr>
        <w:t xml:space="preserve"> performance, innovation, and long-term competitiveness.</w:t>
      </w:r>
      <w:r w:rsidR="006555DE">
        <w:rPr>
          <w:rFonts w:ascii="Times New Roman" w:eastAsia="Times New Roman" w:hAnsi="Times New Roman" w:cs="Times New Roman"/>
          <w:sz w:val="24"/>
          <w:szCs w:val="24"/>
        </w:rPr>
        <w:t xml:space="preserve"> </w:t>
      </w:r>
      <w:r w:rsidR="0047444A" w:rsidRPr="0047444A">
        <w:rPr>
          <w:rFonts w:ascii="Times New Roman" w:eastAsia="Times New Roman" w:hAnsi="Times New Roman" w:cs="Times New Roman"/>
          <w:sz w:val="24"/>
          <w:szCs w:val="24"/>
        </w:rPr>
        <w:t xml:space="preserve">Ultimately, by adopting a proactive and relationship-focused approach to stakeholder management, Tesco can </w:t>
      </w:r>
      <w:r w:rsidRPr="0047444A">
        <w:rPr>
          <w:rFonts w:ascii="Times New Roman" w:eastAsia="Times New Roman" w:hAnsi="Times New Roman" w:cs="Times New Roman"/>
          <w:sz w:val="24"/>
          <w:szCs w:val="24"/>
        </w:rPr>
        <w:t>maximize</w:t>
      </w:r>
      <w:r w:rsidR="0047444A" w:rsidRPr="0047444A">
        <w:rPr>
          <w:rFonts w:ascii="Times New Roman" w:eastAsia="Times New Roman" w:hAnsi="Times New Roman" w:cs="Times New Roman"/>
          <w:sz w:val="24"/>
          <w:szCs w:val="24"/>
        </w:rPr>
        <w:t xml:space="preserve"> the value of ConnectPlus and strengthen its position within the increasingly competitive global retail and e-commerce sector.</w:t>
      </w:r>
    </w:p>
    <w:p w14:paraId="7554B49D" w14:textId="77777777" w:rsidR="006712B7" w:rsidRPr="00027A2E" w:rsidRDefault="006712B7" w:rsidP="00027A2E">
      <w:pPr>
        <w:spacing w:before="100" w:beforeAutospacing="1" w:after="100" w:afterAutospacing="1"/>
        <w:jc w:val="both"/>
        <w:outlineLvl w:val="0"/>
        <w:rPr>
          <w:rFonts w:ascii="Times New Roman" w:eastAsia="Times New Roman" w:hAnsi="Times New Roman" w:cs="Times New Roman"/>
          <w:b/>
          <w:bCs/>
          <w:kern w:val="36"/>
          <w:sz w:val="48"/>
          <w:szCs w:val="48"/>
        </w:rPr>
      </w:pPr>
    </w:p>
    <w:p w14:paraId="4DA1D103" w14:textId="77777777" w:rsidR="00DF370E" w:rsidRPr="00211375" w:rsidRDefault="0047444A" w:rsidP="00211375">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142" w:name="_Toc234247243"/>
      <w:bookmarkStart w:id="143" w:name="_Toc234339976"/>
      <w:r>
        <w:rPr>
          <w:rFonts w:ascii="Times New Roman" w:eastAsia="Times New Roman" w:hAnsi="Times New Roman" w:cs="Times New Roman"/>
          <w:b/>
          <w:bCs/>
          <w:kern w:val="36"/>
          <w:sz w:val="48"/>
          <w:szCs w:val="48"/>
        </w:rPr>
        <w:lastRenderedPageBreak/>
        <w:t>References:</w:t>
      </w:r>
      <w:bookmarkEnd w:id="142"/>
      <w:bookmarkEnd w:id="143"/>
    </w:p>
    <w:p w14:paraId="53DC422C" w14:textId="77777777" w:rsidR="0047444A" w:rsidRPr="009455ED" w:rsidRDefault="0047444A" w:rsidP="0047444A">
      <w:pPr>
        <w:pStyle w:val="NormalWeb"/>
        <w:rPr>
          <w:sz w:val="22"/>
          <w:szCs w:val="22"/>
        </w:rPr>
      </w:pPr>
      <w:r w:rsidRPr="009455ED">
        <w:rPr>
          <w:sz w:val="22"/>
          <w:szCs w:val="22"/>
        </w:rPr>
        <w:t xml:space="preserve">Ashcroft, J. (2017) </w:t>
      </w:r>
      <w:r w:rsidRPr="009455ED">
        <w:rPr>
          <w:rStyle w:val="Emphasis"/>
          <w:sz w:val="22"/>
          <w:szCs w:val="22"/>
        </w:rPr>
        <w:t>The Relational Lens: Understanding, Measuring, and Managing Stakeholder Relationships</w:t>
      </w:r>
      <w:r w:rsidRPr="009455ED">
        <w:rPr>
          <w:sz w:val="22"/>
          <w:szCs w:val="22"/>
        </w:rPr>
        <w:t>. Cambridge: Cambridge University Press.</w:t>
      </w:r>
    </w:p>
    <w:p w14:paraId="43E362E8" w14:textId="77777777" w:rsidR="0047444A" w:rsidRPr="009455ED" w:rsidRDefault="0047444A" w:rsidP="0047444A">
      <w:pPr>
        <w:pStyle w:val="NormalWeb"/>
        <w:rPr>
          <w:sz w:val="22"/>
          <w:szCs w:val="22"/>
        </w:rPr>
      </w:pPr>
      <w:r w:rsidRPr="009455ED">
        <w:rPr>
          <w:sz w:val="22"/>
          <w:szCs w:val="22"/>
        </w:rPr>
        <w:t xml:space="preserve">Bryson, J.M. (2018) </w:t>
      </w:r>
      <w:r w:rsidRPr="009455ED">
        <w:rPr>
          <w:rStyle w:val="Emphasis"/>
          <w:sz w:val="22"/>
          <w:szCs w:val="22"/>
        </w:rPr>
        <w:t>Strategic Planning for Public and Nonprofit Organizations</w:t>
      </w:r>
      <w:r w:rsidRPr="009455ED">
        <w:rPr>
          <w:sz w:val="22"/>
          <w:szCs w:val="22"/>
        </w:rPr>
        <w:t>. 5th edn. Hoboken: Wiley.</w:t>
      </w:r>
    </w:p>
    <w:p w14:paraId="05563EB8" w14:textId="77777777" w:rsidR="009E076E" w:rsidRPr="009455ED" w:rsidRDefault="0047444A" w:rsidP="0047444A">
      <w:pPr>
        <w:pStyle w:val="NormalWeb"/>
        <w:rPr>
          <w:sz w:val="22"/>
          <w:szCs w:val="22"/>
        </w:rPr>
      </w:pPr>
      <w:r w:rsidRPr="009455ED">
        <w:rPr>
          <w:sz w:val="22"/>
          <w:szCs w:val="22"/>
        </w:rPr>
        <w:t xml:space="preserve">Carroll, A.B. (1991) ‘The pyramid of corporate social responsibility: Toward the moral management of organizational stakeholders’, </w:t>
      </w:r>
      <w:r w:rsidRPr="009455ED">
        <w:rPr>
          <w:rStyle w:val="Emphasis"/>
          <w:sz w:val="22"/>
          <w:szCs w:val="22"/>
        </w:rPr>
        <w:t>Business Horizons</w:t>
      </w:r>
    </w:p>
    <w:p w14:paraId="58B0C38D" w14:textId="77777777" w:rsidR="0047444A" w:rsidRPr="009455ED" w:rsidRDefault="0047444A" w:rsidP="0047444A">
      <w:pPr>
        <w:pStyle w:val="NormalWeb"/>
        <w:rPr>
          <w:sz w:val="22"/>
          <w:szCs w:val="22"/>
        </w:rPr>
      </w:pPr>
      <w:r w:rsidRPr="009455ED">
        <w:rPr>
          <w:sz w:val="22"/>
          <w:szCs w:val="22"/>
        </w:rPr>
        <w:t xml:space="preserve">Chaffey, D. and Ellis-Chadwick, F. (2019) </w:t>
      </w:r>
      <w:r w:rsidRPr="009455ED">
        <w:rPr>
          <w:rStyle w:val="Emphasis"/>
          <w:sz w:val="22"/>
          <w:szCs w:val="22"/>
        </w:rPr>
        <w:t>Digital Marketing</w:t>
      </w:r>
      <w:r w:rsidRPr="009455ED">
        <w:rPr>
          <w:sz w:val="22"/>
          <w:szCs w:val="22"/>
        </w:rPr>
        <w:t>. 7th edn. Harlow: Pearson Education.</w:t>
      </w:r>
    </w:p>
    <w:p w14:paraId="104AE698" w14:textId="77777777" w:rsidR="0047444A" w:rsidRPr="009455ED" w:rsidRDefault="0047444A" w:rsidP="0047444A">
      <w:pPr>
        <w:pStyle w:val="NormalWeb"/>
        <w:rPr>
          <w:sz w:val="22"/>
          <w:szCs w:val="22"/>
        </w:rPr>
      </w:pPr>
      <w:r w:rsidRPr="009455ED">
        <w:rPr>
          <w:sz w:val="22"/>
          <w:szCs w:val="22"/>
        </w:rPr>
        <w:t xml:space="preserve">Christopher, M., Payne, A. and Ballantyne, D. (2013) </w:t>
      </w:r>
      <w:r w:rsidRPr="009455ED">
        <w:rPr>
          <w:rStyle w:val="Emphasis"/>
          <w:sz w:val="22"/>
          <w:szCs w:val="22"/>
        </w:rPr>
        <w:t>Relationship Marketing: Creating Stakeholder Value</w:t>
      </w:r>
      <w:r w:rsidRPr="009455ED">
        <w:rPr>
          <w:sz w:val="22"/>
          <w:szCs w:val="22"/>
        </w:rPr>
        <w:t>. London: Routledge.</w:t>
      </w:r>
    </w:p>
    <w:p w14:paraId="247D1E0D" w14:textId="77777777" w:rsidR="0047444A" w:rsidRPr="009455ED" w:rsidRDefault="0047444A" w:rsidP="0047444A">
      <w:pPr>
        <w:pStyle w:val="NormalWeb"/>
        <w:rPr>
          <w:sz w:val="22"/>
          <w:szCs w:val="22"/>
        </w:rPr>
      </w:pPr>
      <w:r w:rsidRPr="009455ED">
        <w:rPr>
          <w:sz w:val="22"/>
          <w:szCs w:val="22"/>
        </w:rPr>
        <w:t xml:space="preserve">Donaldson, T. and Preston, L.E. (1995) ‘The stakeholder theory of the corporation: Concepts, evidence, and implications’, </w:t>
      </w:r>
      <w:r w:rsidRPr="009455ED">
        <w:rPr>
          <w:rStyle w:val="Emphasis"/>
          <w:sz w:val="22"/>
          <w:szCs w:val="22"/>
        </w:rPr>
        <w:t>Academy of Management Review</w:t>
      </w:r>
      <w:r w:rsidRPr="009455ED">
        <w:rPr>
          <w:sz w:val="22"/>
          <w:szCs w:val="22"/>
        </w:rPr>
        <w:t>.</w:t>
      </w:r>
    </w:p>
    <w:p w14:paraId="6EF6A17A" w14:textId="77777777" w:rsidR="0047444A" w:rsidRPr="009455ED" w:rsidRDefault="0047444A" w:rsidP="0047444A">
      <w:pPr>
        <w:pStyle w:val="NormalWeb"/>
        <w:rPr>
          <w:sz w:val="22"/>
          <w:szCs w:val="22"/>
        </w:rPr>
      </w:pPr>
      <w:r w:rsidRPr="009455ED">
        <w:rPr>
          <w:sz w:val="22"/>
          <w:szCs w:val="22"/>
        </w:rPr>
        <w:t xml:space="preserve">Freeman, R.E. (1984) </w:t>
      </w:r>
      <w:r w:rsidRPr="009455ED">
        <w:rPr>
          <w:rStyle w:val="Emphasis"/>
          <w:sz w:val="22"/>
          <w:szCs w:val="22"/>
        </w:rPr>
        <w:t>Strategic Management: A Stakeholder Approach</w:t>
      </w:r>
      <w:r w:rsidRPr="009455ED">
        <w:rPr>
          <w:sz w:val="22"/>
          <w:szCs w:val="22"/>
        </w:rPr>
        <w:t>. Boston: Pitman Publishing.</w:t>
      </w:r>
    </w:p>
    <w:p w14:paraId="069DAD79" w14:textId="77777777" w:rsidR="0047444A" w:rsidRPr="009455ED" w:rsidRDefault="0047444A" w:rsidP="0047444A">
      <w:pPr>
        <w:pStyle w:val="NormalWeb"/>
        <w:rPr>
          <w:sz w:val="22"/>
          <w:szCs w:val="22"/>
        </w:rPr>
      </w:pPr>
      <w:r w:rsidRPr="009455ED">
        <w:rPr>
          <w:sz w:val="22"/>
          <w:szCs w:val="22"/>
        </w:rPr>
        <w:t xml:space="preserve">Freeman, R.E., Harrison, J.S., Wicks, A.C., Parmar, B.L. and De Colle, S. (2010) </w:t>
      </w:r>
      <w:r w:rsidRPr="009455ED">
        <w:rPr>
          <w:rStyle w:val="Emphasis"/>
          <w:sz w:val="22"/>
          <w:szCs w:val="22"/>
        </w:rPr>
        <w:t>Stakeholder Theory: The State of the Art</w:t>
      </w:r>
      <w:r w:rsidRPr="009455ED">
        <w:rPr>
          <w:sz w:val="22"/>
          <w:szCs w:val="22"/>
        </w:rPr>
        <w:t>. Cambridge: Cambridge University Press.</w:t>
      </w:r>
    </w:p>
    <w:p w14:paraId="6A14C0DD" w14:textId="77777777" w:rsidR="0047444A" w:rsidRPr="009455ED" w:rsidRDefault="0047444A" w:rsidP="0047444A">
      <w:pPr>
        <w:pStyle w:val="NormalWeb"/>
        <w:rPr>
          <w:sz w:val="22"/>
          <w:szCs w:val="22"/>
        </w:rPr>
      </w:pPr>
      <w:r w:rsidRPr="009455ED">
        <w:rPr>
          <w:sz w:val="22"/>
          <w:szCs w:val="22"/>
        </w:rPr>
        <w:t xml:space="preserve">Hofstede, G., Hofstede, G.J. and Minkov, M. (2010) </w:t>
      </w:r>
      <w:r w:rsidRPr="009455ED">
        <w:rPr>
          <w:rStyle w:val="Emphasis"/>
          <w:sz w:val="22"/>
          <w:szCs w:val="22"/>
        </w:rPr>
        <w:t>Cultures and Organizations: Software of the Mind</w:t>
      </w:r>
      <w:r w:rsidRPr="009455ED">
        <w:rPr>
          <w:sz w:val="22"/>
          <w:szCs w:val="22"/>
        </w:rPr>
        <w:t>. 3rd edn. New York: McGraw-Hill.</w:t>
      </w:r>
    </w:p>
    <w:p w14:paraId="3937CA2F" w14:textId="77777777" w:rsidR="0047444A" w:rsidRPr="009455ED" w:rsidRDefault="0047444A" w:rsidP="0047444A">
      <w:pPr>
        <w:pStyle w:val="NormalWeb"/>
        <w:rPr>
          <w:sz w:val="22"/>
          <w:szCs w:val="22"/>
        </w:rPr>
      </w:pPr>
      <w:r w:rsidRPr="009455ED">
        <w:rPr>
          <w:sz w:val="22"/>
          <w:szCs w:val="22"/>
        </w:rPr>
        <w:t xml:space="preserve">Kerzner, H. (2017) </w:t>
      </w:r>
      <w:r w:rsidRPr="009455ED">
        <w:rPr>
          <w:rStyle w:val="Emphasis"/>
          <w:sz w:val="22"/>
          <w:szCs w:val="22"/>
        </w:rPr>
        <w:t>Project Management: A Systems Approach to Planning, Scheduling, and Controlling</w:t>
      </w:r>
      <w:r w:rsidRPr="009455ED">
        <w:rPr>
          <w:sz w:val="22"/>
          <w:szCs w:val="22"/>
        </w:rPr>
        <w:t>. 12th edn. Hoboken: Wiley.</w:t>
      </w:r>
    </w:p>
    <w:p w14:paraId="2C543621" w14:textId="77777777" w:rsidR="0047444A" w:rsidRPr="009455ED" w:rsidRDefault="0047444A" w:rsidP="0047444A">
      <w:pPr>
        <w:pStyle w:val="NormalWeb"/>
        <w:rPr>
          <w:sz w:val="22"/>
          <w:szCs w:val="22"/>
        </w:rPr>
      </w:pPr>
      <w:r w:rsidRPr="009455ED">
        <w:rPr>
          <w:sz w:val="22"/>
          <w:szCs w:val="22"/>
        </w:rPr>
        <w:t xml:space="preserve">Mendelow, A.L. (1991) ‘Stakeholder Mapping’, in </w:t>
      </w:r>
      <w:r w:rsidRPr="009455ED">
        <w:rPr>
          <w:rStyle w:val="Emphasis"/>
          <w:sz w:val="22"/>
          <w:szCs w:val="22"/>
        </w:rPr>
        <w:t>Proceedings of the 2nd International Conference on Information Systems</w:t>
      </w:r>
      <w:r w:rsidRPr="009455ED">
        <w:rPr>
          <w:sz w:val="22"/>
          <w:szCs w:val="22"/>
        </w:rPr>
        <w:t>. Cambridge, MA.</w:t>
      </w:r>
    </w:p>
    <w:p w14:paraId="35AD6DA6" w14:textId="77777777" w:rsidR="0047444A" w:rsidRPr="009455ED" w:rsidRDefault="0047444A" w:rsidP="0047444A">
      <w:pPr>
        <w:pStyle w:val="NormalWeb"/>
        <w:rPr>
          <w:sz w:val="22"/>
          <w:szCs w:val="22"/>
        </w:rPr>
      </w:pPr>
      <w:r w:rsidRPr="009455ED">
        <w:rPr>
          <w:sz w:val="22"/>
          <w:szCs w:val="22"/>
        </w:rPr>
        <w:t xml:space="preserve">Mitchell, R.K., Agle, B.R. and Wood, D.J. (1997) ‘Toward a theory of stakeholder identification and salience: Defining the principle of who and what really counts’, </w:t>
      </w:r>
      <w:r w:rsidRPr="009455ED">
        <w:rPr>
          <w:rStyle w:val="Emphasis"/>
          <w:sz w:val="22"/>
          <w:szCs w:val="22"/>
        </w:rPr>
        <w:t>Academy of Management Review</w:t>
      </w:r>
      <w:r w:rsidRPr="009455ED">
        <w:rPr>
          <w:sz w:val="22"/>
          <w:szCs w:val="22"/>
        </w:rPr>
        <w:t xml:space="preserve">, </w:t>
      </w:r>
    </w:p>
    <w:p w14:paraId="59545517" w14:textId="77777777" w:rsidR="0047444A" w:rsidRPr="009455ED" w:rsidRDefault="0047444A" w:rsidP="0047444A">
      <w:pPr>
        <w:pStyle w:val="NormalWeb"/>
        <w:rPr>
          <w:sz w:val="22"/>
          <w:szCs w:val="22"/>
        </w:rPr>
      </w:pPr>
      <w:r w:rsidRPr="009455ED">
        <w:rPr>
          <w:sz w:val="22"/>
          <w:szCs w:val="22"/>
        </w:rPr>
        <w:t xml:space="preserve">Project Management Institute (PMI) (2021) </w:t>
      </w:r>
      <w:r w:rsidRPr="009455ED">
        <w:rPr>
          <w:rStyle w:val="Emphasis"/>
          <w:sz w:val="22"/>
          <w:szCs w:val="22"/>
        </w:rPr>
        <w:t>A Guide to the Project Management Body of Knowledge (PMBOK® Guide)</w:t>
      </w:r>
      <w:r w:rsidRPr="009455ED">
        <w:rPr>
          <w:sz w:val="22"/>
          <w:szCs w:val="22"/>
        </w:rPr>
        <w:t xml:space="preserve">. 7th edn. Newtown Square, </w:t>
      </w:r>
    </w:p>
    <w:p w14:paraId="135140C1" w14:textId="77777777" w:rsidR="0047444A" w:rsidRPr="009455ED" w:rsidRDefault="0047444A" w:rsidP="0047444A">
      <w:pPr>
        <w:pStyle w:val="NormalWeb"/>
        <w:rPr>
          <w:sz w:val="22"/>
          <w:szCs w:val="22"/>
        </w:rPr>
      </w:pPr>
      <w:r w:rsidRPr="009455ED">
        <w:rPr>
          <w:sz w:val="22"/>
          <w:szCs w:val="22"/>
        </w:rPr>
        <w:t xml:space="preserve">Rowley, T.J. (1997) ‘Moving beyond dyadic ties: A network theory of stakeholder influences’, </w:t>
      </w:r>
      <w:r w:rsidRPr="009455ED">
        <w:rPr>
          <w:rStyle w:val="Emphasis"/>
          <w:sz w:val="22"/>
          <w:szCs w:val="22"/>
        </w:rPr>
        <w:t>Academy of Management Review</w:t>
      </w:r>
      <w:r w:rsidR="009E076E" w:rsidRPr="009455ED">
        <w:rPr>
          <w:sz w:val="22"/>
          <w:szCs w:val="22"/>
        </w:rPr>
        <w:t xml:space="preserve">, </w:t>
      </w:r>
    </w:p>
    <w:p w14:paraId="2F2DE715" w14:textId="77777777" w:rsidR="0047444A" w:rsidRPr="009455ED" w:rsidRDefault="0047444A" w:rsidP="0047444A">
      <w:pPr>
        <w:pStyle w:val="NormalWeb"/>
        <w:rPr>
          <w:sz w:val="22"/>
          <w:szCs w:val="22"/>
        </w:rPr>
      </w:pPr>
      <w:r w:rsidRPr="009455ED">
        <w:rPr>
          <w:sz w:val="22"/>
          <w:szCs w:val="22"/>
        </w:rPr>
        <w:t xml:space="preserve">Schein, E.H. (2010) </w:t>
      </w:r>
      <w:r w:rsidRPr="009455ED">
        <w:rPr>
          <w:rStyle w:val="Emphasis"/>
          <w:sz w:val="22"/>
          <w:szCs w:val="22"/>
        </w:rPr>
        <w:t>Organizational Culture and Leadership</w:t>
      </w:r>
      <w:r w:rsidRPr="009455ED">
        <w:rPr>
          <w:sz w:val="22"/>
          <w:szCs w:val="22"/>
        </w:rPr>
        <w:t>. 4th edn. San Francisco: Jossey-Bass.</w:t>
      </w:r>
    </w:p>
    <w:p w14:paraId="0F06E899" w14:textId="77777777" w:rsidR="0047444A" w:rsidRPr="009455ED" w:rsidRDefault="0047444A" w:rsidP="0047444A">
      <w:pPr>
        <w:pStyle w:val="NormalWeb"/>
        <w:rPr>
          <w:sz w:val="22"/>
          <w:szCs w:val="22"/>
        </w:rPr>
      </w:pPr>
      <w:r w:rsidRPr="009455ED">
        <w:rPr>
          <w:sz w:val="22"/>
          <w:szCs w:val="22"/>
        </w:rPr>
        <w:t xml:space="preserve">Tesco PLC (2024) </w:t>
      </w:r>
      <w:r w:rsidRPr="009455ED">
        <w:rPr>
          <w:rStyle w:val="Emphasis"/>
          <w:sz w:val="22"/>
          <w:szCs w:val="22"/>
        </w:rPr>
        <w:t>Annual Report and Financial Statements 2024</w:t>
      </w:r>
      <w:r w:rsidRPr="009455ED">
        <w:rPr>
          <w:sz w:val="22"/>
          <w:szCs w:val="22"/>
        </w:rPr>
        <w:t>. Welwyn Garden City: Tesco PLC.</w:t>
      </w:r>
    </w:p>
    <w:p w14:paraId="1715F280" w14:textId="77777777" w:rsidR="00962AE2" w:rsidRPr="00B50B7A" w:rsidRDefault="0047444A" w:rsidP="00B50B7A">
      <w:pPr>
        <w:pStyle w:val="NormalWeb"/>
        <w:rPr>
          <w:sz w:val="22"/>
          <w:szCs w:val="22"/>
        </w:rPr>
      </w:pPr>
      <w:r w:rsidRPr="009455ED">
        <w:rPr>
          <w:sz w:val="22"/>
          <w:szCs w:val="22"/>
        </w:rPr>
        <w:t xml:space="preserve">Tesco PLC (2025) </w:t>
      </w:r>
      <w:r w:rsidRPr="009455ED">
        <w:rPr>
          <w:rStyle w:val="Emphasis"/>
          <w:sz w:val="22"/>
          <w:szCs w:val="22"/>
        </w:rPr>
        <w:t>Our Approach to Data and Customer Trust</w:t>
      </w:r>
      <w:r w:rsidRPr="009455ED">
        <w:rPr>
          <w:sz w:val="22"/>
          <w:szCs w:val="22"/>
        </w:rPr>
        <w:t>. Available through Tesco corporate publications.</w:t>
      </w:r>
    </w:p>
    <w:sectPr w:rsidR="00962AE2" w:rsidRPr="00B50B7A" w:rsidSect="00CF78E0">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6CDC3" w14:textId="77777777" w:rsidR="005A50EA" w:rsidRDefault="005A50EA" w:rsidP="00CF78E0">
      <w:pPr>
        <w:spacing w:after="0" w:line="240" w:lineRule="auto"/>
      </w:pPr>
      <w:r>
        <w:separator/>
      </w:r>
    </w:p>
  </w:endnote>
  <w:endnote w:type="continuationSeparator" w:id="0">
    <w:p w14:paraId="1450C675" w14:textId="77777777" w:rsidR="005A50EA" w:rsidRDefault="005A50EA" w:rsidP="00CF7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41870"/>
      <w:docPartObj>
        <w:docPartGallery w:val="Page Numbers (Bottom of Page)"/>
        <w:docPartUnique/>
      </w:docPartObj>
    </w:sdtPr>
    <w:sdtContent>
      <w:p w14:paraId="0606EDC4" w14:textId="77777777" w:rsidR="0085185D" w:rsidRDefault="003E371A">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52DC357E" w14:textId="77777777" w:rsidR="0085185D" w:rsidRDefault="008518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2B7C9" w14:textId="77777777" w:rsidR="005A50EA" w:rsidRDefault="005A50EA" w:rsidP="00CF78E0">
      <w:pPr>
        <w:spacing w:after="0" w:line="240" w:lineRule="auto"/>
      </w:pPr>
      <w:r>
        <w:separator/>
      </w:r>
    </w:p>
  </w:footnote>
  <w:footnote w:type="continuationSeparator" w:id="0">
    <w:p w14:paraId="18CE1044" w14:textId="77777777" w:rsidR="005A50EA" w:rsidRDefault="005A50EA" w:rsidP="00CF78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77FD9"/>
    <w:multiLevelType w:val="multilevel"/>
    <w:tmpl w:val="05AA9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B59E5"/>
    <w:multiLevelType w:val="multilevel"/>
    <w:tmpl w:val="E4DA4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B41C3"/>
    <w:multiLevelType w:val="multilevel"/>
    <w:tmpl w:val="0ACEF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0A12C5"/>
    <w:multiLevelType w:val="multilevel"/>
    <w:tmpl w:val="75F25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B3719A"/>
    <w:multiLevelType w:val="multilevel"/>
    <w:tmpl w:val="F2B0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6C5BAC"/>
    <w:multiLevelType w:val="multilevel"/>
    <w:tmpl w:val="433C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D244B2"/>
    <w:multiLevelType w:val="multilevel"/>
    <w:tmpl w:val="4FF28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3351E8"/>
    <w:multiLevelType w:val="multilevel"/>
    <w:tmpl w:val="D6783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E55434"/>
    <w:multiLevelType w:val="multilevel"/>
    <w:tmpl w:val="173E0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1629FC"/>
    <w:multiLevelType w:val="multilevel"/>
    <w:tmpl w:val="D8AE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2F0115"/>
    <w:multiLevelType w:val="multilevel"/>
    <w:tmpl w:val="6F1E3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535412"/>
    <w:multiLevelType w:val="multilevel"/>
    <w:tmpl w:val="1714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516594"/>
    <w:multiLevelType w:val="multilevel"/>
    <w:tmpl w:val="6BD8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8D5EEC"/>
    <w:multiLevelType w:val="multilevel"/>
    <w:tmpl w:val="B1FE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0E2055"/>
    <w:multiLevelType w:val="multilevel"/>
    <w:tmpl w:val="3152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E96CFE"/>
    <w:multiLevelType w:val="multilevel"/>
    <w:tmpl w:val="1072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EE35B4"/>
    <w:multiLevelType w:val="hybridMultilevel"/>
    <w:tmpl w:val="CB8C6C84"/>
    <w:lvl w:ilvl="0" w:tplc="0409000F">
      <w:start w:val="1"/>
      <w:numFmt w:val="decimal"/>
      <w:lvlText w:val="%1."/>
      <w:lvlJc w:val="left"/>
      <w:pPr>
        <w:ind w:left="936" w:hanging="360"/>
      </w:p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start w:val="1"/>
      <w:numFmt w:val="lowerRoman"/>
      <w:lvlText w:val="%9."/>
      <w:lvlJc w:val="right"/>
      <w:pPr>
        <w:ind w:left="6696" w:hanging="180"/>
      </w:pPr>
    </w:lvl>
  </w:abstractNum>
  <w:abstractNum w:abstractNumId="17" w15:restartNumberingAfterBreak="0">
    <w:nsid w:val="2A0A7A4F"/>
    <w:multiLevelType w:val="multilevel"/>
    <w:tmpl w:val="0E123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C86910"/>
    <w:multiLevelType w:val="multilevel"/>
    <w:tmpl w:val="C8CE3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CB7347"/>
    <w:multiLevelType w:val="multilevel"/>
    <w:tmpl w:val="6F707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741632"/>
    <w:multiLevelType w:val="multilevel"/>
    <w:tmpl w:val="649C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651F96"/>
    <w:multiLevelType w:val="multilevel"/>
    <w:tmpl w:val="E9FC1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DE4E31"/>
    <w:multiLevelType w:val="multilevel"/>
    <w:tmpl w:val="CFF22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C43761"/>
    <w:multiLevelType w:val="multilevel"/>
    <w:tmpl w:val="AC24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9D291B"/>
    <w:multiLevelType w:val="multilevel"/>
    <w:tmpl w:val="4356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0B6E28"/>
    <w:multiLevelType w:val="multilevel"/>
    <w:tmpl w:val="9198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031E5D"/>
    <w:multiLevelType w:val="multilevel"/>
    <w:tmpl w:val="1298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2906A5"/>
    <w:multiLevelType w:val="multilevel"/>
    <w:tmpl w:val="3418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85084A"/>
    <w:multiLevelType w:val="multilevel"/>
    <w:tmpl w:val="41E8D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031220"/>
    <w:multiLevelType w:val="multilevel"/>
    <w:tmpl w:val="26CE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097C81"/>
    <w:multiLevelType w:val="hybridMultilevel"/>
    <w:tmpl w:val="7A2C88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997B08"/>
    <w:multiLevelType w:val="multilevel"/>
    <w:tmpl w:val="8A6E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B609C8"/>
    <w:multiLevelType w:val="hybridMultilevel"/>
    <w:tmpl w:val="E7BCC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3C6293"/>
    <w:multiLevelType w:val="multilevel"/>
    <w:tmpl w:val="F5A4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A33F58"/>
    <w:multiLevelType w:val="multilevel"/>
    <w:tmpl w:val="9A08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254041"/>
    <w:multiLevelType w:val="multilevel"/>
    <w:tmpl w:val="5FC68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E80CC0"/>
    <w:multiLevelType w:val="multilevel"/>
    <w:tmpl w:val="8A20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7D6923"/>
    <w:multiLevelType w:val="multilevel"/>
    <w:tmpl w:val="56BA7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E86269"/>
    <w:multiLevelType w:val="multilevel"/>
    <w:tmpl w:val="579C9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EE40F7"/>
    <w:multiLevelType w:val="hybridMultilevel"/>
    <w:tmpl w:val="9856839C"/>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0" w15:restartNumberingAfterBreak="0">
    <w:nsid w:val="7CDF48C5"/>
    <w:multiLevelType w:val="multilevel"/>
    <w:tmpl w:val="EFDA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9C7E72"/>
    <w:multiLevelType w:val="multilevel"/>
    <w:tmpl w:val="6F2EA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6808665">
    <w:abstractNumId w:val="31"/>
  </w:num>
  <w:num w:numId="2" w16cid:durableId="917322712">
    <w:abstractNumId w:val="23"/>
  </w:num>
  <w:num w:numId="3" w16cid:durableId="301236013">
    <w:abstractNumId w:val="28"/>
  </w:num>
  <w:num w:numId="4" w16cid:durableId="8801571">
    <w:abstractNumId w:val="9"/>
  </w:num>
  <w:num w:numId="5" w16cid:durableId="953950528">
    <w:abstractNumId w:val="21"/>
  </w:num>
  <w:num w:numId="6" w16cid:durableId="696542188">
    <w:abstractNumId w:val="40"/>
  </w:num>
  <w:num w:numId="7" w16cid:durableId="144786967">
    <w:abstractNumId w:val="27"/>
  </w:num>
  <w:num w:numId="8" w16cid:durableId="765422705">
    <w:abstractNumId w:val="17"/>
  </w:num>
  <w:num w:numId="9" w16cid:durableId="1649704520">
    <w:abstractNumId w:val="41"/>
  </w:num>
  <w:num w:numId="10" w16cid:durableId="1668704288">
    <w:abstractNumId w:val="10"/>
  </w:num>
  <w:num w:numId="11" w16cid:durableId="708803124">
    <w:abstractNumId w:val="14"/>
  </w:num>
  <w:num w:numId="12" w16cid:durableId="231816385">
    <w:abstractNumId w:val="4"/>
  </w:num>
  <w:num w:numId="13" w16cid:durableId="39986643">
    <w:abstractNumId w:val="15"/>
  </w:num>
  <w:num w:numId="14" w16cid:durableId="1476950890">
    <w:abstractNumId w:val="5"/>
  </w:num>
  <w:num w:numId="15" w16cid:durableId="1930505180">
    <w:abstractNumId w:val="3"/>
  </w:num>
  <w:num w:numId="16" w16cid:durableId="1124350059">
    <w:abstractNumId w:val="36"/>
  </w:num>
  <w:num w:numId="17" w16cid:durableId="588857669">
    <w:abstractNumId w:val="37"/>
  </w:num>
  <w:num w:numId="18" w16cid:durableId="1818840612">
    <w:abstractNumId w:val="2"/>
  </w:num>
  <w:num w:numId="19" w16cid:durableId="83847736">
    <w:abstractNumId w:val="20"/>
  </w:num>
  <w:num w:numId="20" w16cid:durableId="2125071152">
    <w:abstractNumId w:val="7"/>
  </w:num>
  <w:num w:numId="21" w16cid:durableId="1167743014">
    <w:abstractNumId w:val="26"/>
  </w:num>
  <w:num w:numId="22" w16cid:durableId="1378234626">
    <w:abstractNumId w:val="11"/>
  </w:num>
  <w:num w:numId="23" w16cid:durableId="315693177">
    <w:abstractNumId w:val="25"/>
  </w:num>
  <w:num w:numId="24" w16cid:durableId="1629429378">
    <w:abstractNumId w:val="22"/>
  </w:num>
  <w:num w:numId="25" w16cid:durableId="1278370917">
    <w:abstractNumId w:val="18"/>
  </w:num>
  <w:num w:numId="26" w16cid:durableId="1164587329">
    <w:abstractNumId w:val="38"/>
  </w:num>
  <w:num w:numId="27" w16cid:durableId="1058624919">
    <w:abstractNumId w:val="8"/>
  </w:num>
  <w:num w:numId="28" w16cid:durableId="1327976154">
    <w:abstractNumId w:val="33"/>
  </w:num>
  <w:num w:numId="29" w16cid:durableId="1789008048">
    <w:abstractNumId w:val="1"/>
  </w:num>
  <w:num w:numId="30" w16cid:durableId="786044612">
    <w:abstractNumId w:val="0"/>
  </w:num>
  <w:num w:numId="31" w16cid:durableId="508299557">
    <w:abstractNumId w:val="34"/>
  </w:num>
  <w:num w:numId="32" w16cid:durableId="1338843432">
    <w:abstractNumId w:val="29"/>
  </w:num>
  <w:num w:numId="33" w16cid:durableId="1670408261">
    <w:abstractNumId w:val="35"/>
  </w:num>
  <w:num w:numId="34" w16cid:durableId="2000377855">
    <w:abstractNumId w:val="12"/>
  </w:num>
  <w:num w:numId="35" w16cid:durableId="118034016">
    <w:abstractNumId w:val="6"/>
  </w:num>
  <w:num w:numId="36" w16cid:durableId="989753427">
    <w:abstractNumId w:val="24"/>
  </w:num>
  <w:num w:numId="37" w16cid:durableId="1698197895">
    <w:abstractNumId w:val="19"/>
  </w:num>
  <w:num w:numId="38" w16cid:durableId="1751342337">
    <w:abstractNumId w:val="13"/>
  </w:num>
  <w:num w:numId="39" w16cid:durableId="1429081184">
    <w:abstractNumId w:val="39"/>
  </w:num>
  <w:num w:numId="40" w16cid:durableId="1175533617">
    <w:abstractNumId w:val="32"/>
  </w:num>
  <w:num w:numId="41" w16cid:durableId="527375943">
    <w:abstractNumId w:val="16"/>
  </w:num>
  <w:num w:numId="42" w16cid:durableId="188482855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375"/>
    <w:rsid w:val="00016041"/>
    <w:rsid w:val="00027A2E"/>
    <w:rsid w:val="0003780B"/>
    <w:rsid w:val="0009531E"/>
    <w:rsid w:val="000C63BC"/>
    <w:rsid w:val="000E669C"/>
    <w:rsid w:val="00104745"/>
    <w:rsid w:val="00125DE1"/>
    <w:rsid w:val="00137C71"/>
    <w:rsid w:val="00157AFC"/>
    <w:rsid w:val="001624EB"/>
    <w:rsid w:val="001A6348"/>
    <w:rsid w:val="001B0A9E"/>
    <w:rsid w:val="001B1AB2"/>
    <w:rsid w:val="001C1FB3"/>
    <w:rsid w:val="00211375"/>
    <w:rsid w:val="00241054"/>
    <w:rsid w:val="002A55F2"/>
    <w:rsid w:val="002B2203"/>
    <w:rsid w:val="002B494C"/>
    <w:rsid w:val="00350053"/>
    <w:rsid w:val="00352F27"/>
    <w:rsid w:val="003916C4"/>
    <w:rsid w:val="00391FCC"/>
    <w:rsid w:val="003A4718"/>
    <w:rsid w:val="003B0CB3"/>
    <w:rsid w:val="003C4400"/>
    <w:rsid w:val="003E371A"/>
    <w:rsid w:val="004155DC"/>
    <w:rsid w:val="004675BC"/>
    <w:rsid w:val="0047444A"/>
    <w:rsid w:val="004A7287"/>
    <w:rsid w:val="004B7FE5"/>
    <w:rsid w:val="004C2DE8"/>
    <w:rsid w:val="004E3706"/>
    <w:rsid w:val="004F46DC"/>
    <w:rsid w:val="004F7A41"/>
    <w:rsid w:val="005150AF"/>
    <w:rsid w:val="00524733"/>
    <w:rsid w:val="00553CF3"/>
    <w:rsid w:val="0058245B"/>
    <w:rsid w:val="005832D3"/>
    <w:rsid w:val="005928EA"/>
    <w:rsid w:val="005A50EA"/>
    <w:rsid w:val="005D05B7"/>
    <w:rsid w:val="006161CC"/>
    <w:rsid w:val="00634716"/>
    <w:rsid w:val="0065407C"/>
    <w:rsid w:val="006555DE"/>
    <w:rsid w:val="00657E19"/>
    <w:rsid w:val="0066669A"/>
    <w:rsid w:val="006712B7"/>
    <w:rsid w:val="0069080F"/>
    <w:rsid w:val="006A7211"/>
    <w:rsid w:val="006B74DE"/>
    <w:rsid w:val="006E05CA"/>
    <w:rsid w:val="006F375A"/>
    <w:rsid w:val="00783589"/>
    <w:rsid w:val="007E281E"/>
    <w:rsid w:val="007F143D"/>
    <w:rsid w:val="00805C82"/>
    <w:rsid w:val="0085185D"/>
    <w:rsid w:val="00854A42"/>
    <w:rsid w:val="00855D72"/>
    <w:rsid w:val="00862EEB"/>
    <w:rsid w:val="008813F5"/>
    <w:rsid w:val="00887668"/>
    <w:rsid w:val="00897A80"/>
    <w:rsid w:val="008A770B"/>
    <w:rsid w:val="008B060B"/>
    <w:rsid w:val="008B17FF"/>
    <w:rsid w:val="008D0048"/>
    <w:rsid w:val="008F0F2E"/>
    <w:rsid w:val="009450E9"/>
    <w:rsid w:val="009455ED"/>
    <w:rsid w:val="00956C2A"/>
    <w:rsid w:val="00957482"/>
    <w:rsid w:val="00962AE2"/>
    <w:rsid w:val="009C0932"/>
    <w:rsid w:val="009E076E"/>
    <w:rsid w:val="00A5445A"/>
    <w:rsid w:val="00AB1DF2"/>
    <w:rsid w:val="00AE3332"/>
    <w:rsid w:val="00B04CAD"/>
    <w:rsid w:val="00B304CD"/>
    <w:rsid w:val="00B40D87"/>
    <w:rsid w:val="00B50B7A"/>
    <w:rsid w:val="00B67FCC"/>
    <w:rsid w:val="00B71149"/>
    <w:rsid w:val="00B903E6"/>
    <w:rsid w:val="00B94E79"/>
    <w:rsid w:val="00BC2D0F"/>
    <w:rsid w:val="00C13BC8"/>
    <w:rsid w:val="00C23338"/>
    <w:rsid w:val="00C54044"/>
    <w:rsid w:val="00C826A1"/>
    <w:rsid w:val="00C83248"/>
    <w:rsid w:val="00CA0C9B"/>
    <w:rsid w:val="00CF13F0"/>
    <w:rsid w:val="00CF78E0"/>
    <w:rsid w:val="00D44796"/>
    <w:rsid w:val="00D504E7"/>
    <w:rsid w:val="00D5073D"/>
    <w:rsid w:val="00D5753B"/>
    <w:rsid w:val="00D6289D"/>
    <w:rsid w:val="00D92BDD"/>
    <w:rsid w:val="00DD41C3"/>
    <w:rsid w:val="00DF370E"/>
    <w:rsid w:val="00E42AF9"/>
    <w:rsid w:val="00E74244"/>
    <w:rsid w:val="00EB7E3C"/>
    <w:rsid w:val="00EC651D"/>
    <w:rsid w:val="00EC7B50"/>
    <w:rsid w:val="00EC7C9E"/>
    <w:rsid w:val="00F0472F"/>
    <w:rsid w:val="00F31A81"/>
    <w:rsid w:val="00F43AF6"/>
    <w:rsid w:val="00F663FF"/>
    <w:rsid w:val="00FA2B48"/>
    <w:rsid w:val="00FC2157"/>
    <w:rsid w:val="00FD30BC"/>
    <w:rsid w:val="00FE32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52F17"/>
  <w15:docId w15:val="{326CBA26-5BBE-634F-9442-7612993F9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AF9"/>
  </w:style>
  <w:style w:type="paragraph" w:styleId="Heading1">
    <w:name w:val="heading 1"/>
    <w:basedOn w:val="Normal"/>
    <w:link w:val="Heading1Char"/>
    <w:uiPriority w:val="9"/>
    <w:qFormat/>
    <w:rsid w:val="0021137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1137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1137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37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1137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11375"/>
    <w:rPr>
      <w:rFonts w:ascii="Times New Roman" w:eastAsia="Times New Roman" w:hAnsi="Times New Roman" w:cs="Times New Roman"/>
      <w:b/>
      <w:bCs/>
      <w:sz w:val="27"/>
      <w:szCs w:val="27"/>
    </w:rPr>
  </w:style>
  <w:style w:type="character" w:styleId="Strong">
    <w:name w:val="Strong"/>
    <w:basedOn w:val="DefaultParagraphFont"/>
    <w:uiPriority w:val="22"/>
    <w:qFormat/>
    <w:rsid w:val="00211375"/>
    <w:rPr>
      <w:b/>
      <w:bCs/>
    </w:rPr>
  </w:style>
  <w:style w:type="paragraph" w:styleId="NormalWeb">
    <w:name w:val="Normal (Web)"/>
    <w:basedOn w:val="Normal"/>
    <w:uiPriority w:val="99"/>
    <w:unhideWhenUsed/>
    <w:rsid w:val="0021137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11375"/>
    <w:rPr>
      <w:i/>
      <w:iCs/>
    </w:rPr>
  </w:style>
  <w:style w:type="paragraph" w:customStyle="1" w:styleId="isselectedend">
    <w:name w:val="isselectedend"/>
    <w:basedOn w:val="Normal"/>
    <w:rsid w:val="00BC2D0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27A2E"/>
    <w:pPr>
      <w:ind w:left="720"/>
      <w:contextualSpacing/>
    </w:pPr>
  </w:style>
  <w:style w:type="paragraph" w:styleId="TOCHeading">
    <w:name w:val="TOC Heading"/>
    <w:basedOn w:val="Heading1"/>
    <w:next w:val="Normal"/>
    <w:uiPriority w:val="39"/>
    <w:unhideWhenUsed/>
    <w:qFormat/>
    <w:rsid w:val="004A728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Normal"/>
    <w:next w:val="Normal"/>
    <w:autoRedefine/>
    <w:uiPriority w:val="39"/>
    <w:unhideWhenUsed/>
    <w:qFormat/>
    <w:rsid w:val="004C2DE8"/>
    <w:pPr>
      <w:spacing w:after="100"/>
      <w:ind w:left="216"/>
    </w:pPr>
  </w:style>
  <w:style w:type="paragraph" w:styleId="TOC3">
    <w:name w:val="toc 3"/>
    <w:basedOn w:val="Normal"/>
    <w:next w:val="Normal"/>
    <w:autoRedefine/>
    <w:uiPriority w:val="39"/>
    <w:unhideWhenUsed/>
    <w:qFormat/>
    <w:rsid w:val="004A7287"/>
    <w:pPr>
      <w:spacing w:after="100"/>
      <w:ind w:left="440"/>
    </w:pPr>
  </w:style>
  <w:style w:type="paragraph" w:styleId="TOC1">
    <w:name w:val="toc 1"/>
    <w:basedOn w:val="Normal"/>
    <w:next w:val="Normal"/>
    <w:autoRedefine/>
    <w:uiPriority w:val="39"/>
    <w:unhideWhenUsed/>
    <w:qFormat/>
    <w:rsid w:val="005150AF"/>
    <w:pPr>
      <w:tabs>
        <w:tab w:val="left" w:pos="440"/>
        <w:tab w:val="right" w:leader="dot" w:pos="9350"/>
      </w:tabs>
      <w:spacing w:after="100"/>
    </w:pPr>
    <w:rPr>
      <w:b/>
      <w:noProof/>
    </w:rPr>
  </w:style>
  <w:style w:type="character" w:styleId="Hyperlink">
    <w:name w:val="Hyperlink"/>
    <w:basedOn w:val="DefaultParagraphFont"/>
    <w:uiPriority w:val="99"/>
    <w:unhideWhenUsed/>
    <w:rsid w:val="004A7287"/>
    <w:rPr>
      <w:color w:val="0000FF" w:themeColor="hyperlink"/>
      <w:u w:val="single"/>
    </w:rPr>
  </w:style>
  <w:style w:type="paragraph" w:styleId="BalloonText">
    <w:name w:val="Balloon Text"/>
    <w:basedOn w:val="Normal"/>
    <w:link w:val="BalloonTextChar"/>
    <w:uiPriority w:val="99"/>
    <w:semiHidden/>
    <w:unhideWhenUsed/>
    <w:rsid w:val="004A72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287"/>
    <w:rPr>
      <w:rFonts w:ascii="Tahoma" w:hAnsi="Tahoma" w:cs="Tahoma"/>
      <w:sz w:val="16"/>
      <w:szCs w:val="16"/>
    </w:rPr>
  </w:style>
  <w:style w:type="paragraph" w:styleId="Header">
    <w:name w:val="header"/>
    <w:basedOn w:val="Normal"/>
    <w:link w:val="HeaderChar"/>
    <w:uiPriority w:val="99"/>
    <w:semiHidden/>
    <w:unhideWhenUsed/>
    <w:rsid w:val="00CF78E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78E0"/>
  </w:style>
  <w:style w:type="paragraph" w:styleId="Footer">
    <w:name w:val="footer"/>
    <w:basedOn w:val="Normal"/>
    <w:link w:val="FooterChar"/>
    <w:uiPriority w:val="99"/>
    <w:unhideWhenUsed/>
    <w:rsid w:val="00CF78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78E0"/>
  </w:style>
  <w:style w:type="paragraph" w:customStyle="1" w:styleId="p1">
    <w:name w:val="p1"/>
    <w:basedOn w:val="Normal"/>
    <w:rsid w:val="00C2333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2">
    <w:name w:val="s2"/>
    <w:basedOn w:val="DefaultParagraphFont"/>
    <w:rsid w:val="00C23338"/>
  </w:style>
  <w:style w:type="character" w:customStyle="1" w:styleId="s3">
    <w:name w:val="s3"/>
    <w:basedOn w:val="DefaultParagraphFont"/>
    <w:rsid w:val="00C23338"/>
  </w:style>
  <w:style w:type="paragraph" w:styleId="EndnoteText">
    <w:name w:val="endnote text"/>
    <w:basedOn w:val="Normal"/>
    <w:link w:val="EndnoteTextChar"/>
    <w:uiPriority w:val="99"/>
    <w:semiHidden/>
    <w:unhideWhenUsed/>
    <w:rsid w:val="004C2DE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C2DE8"/>
    <w:rPr>
      <w:sz w:val="20"/>
      <w:szCs w:val="20"/>
    </w:rPr>
  </w:style>
  <w:style w:type="character" w:styleId="EndnoteReference">
    <w:name w:val="endnote reference"/>
    <w:basedOn w:val="DefaultParagraphFont"/>
    <w:uiPriority w:val="99"/>
    <w:semiHidden/>
    <w:unhideWhenUsed/>
    <w:rsid w:val="004C2D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05442">
      <w:bodyDiv w:val="1"/>
      <w:marLeft w:val="0"/>
      <w:marRight w:val="0"/>
      <w:marTop w:val="0"/>
      <w:marBottom w:val="0"/>
      <w:divBdr>
        <w:top w:val="none" w:sz="0" w:space="0" w:color="auto"/>
        <w:left w:val="none" w:sz="0" w:space="0" w:color="auto"/>
        <w:bottom w:val="none" w:sz="0" w:space="0" w:color="auto"/>
        <w:right w:val="none" w:sz="0" w:space="0" w:color="auto"/>
      </w:divBdr>
    </w:div>
    <w:div w:id="143621361">
      <w:bodyDiv w:val="1"/>
      <w:marLeft w:val="0"/>
      <w:marRight w:val="0"/>
      <w:marTop w:val="0"/>
      <w:marBottom w:val="0"/>
      <w:divBdr>
        <w:top w:val="none" w:sz="0" w:space="0" w:color="auto"/>
        <w:left w:val="none" w:sz="0" w:space="0" w:color="auto"/>
        <w:bottom w:val="none" w:sz="0" w:space="0" w:color="auto"/>
        <w:right w:val="none" w:sz="0" w:space="0" w:color="auto"/>
      </w:divBdr>
    </w:div>
    <w:div w:id="191265424">
      <w:bodyDiv w:val="1"/>
      <w:marLeft w:val="0"/>
      <w:marRight w:val="0"/>
      <w:marTop w:val="0"/>
      <w:marBottom w:val="0"/>
      <w:divBdr>
        <w:top w:val="none" w:sz="0" w:space="0" w:color="auto"/>
        <w:left w:val="none" w:sz="0" w:space="0" w:color="auto"/>
        <w:bottom w:val="none" w:sz="0" w:space="0" w:color="auto"/>
        <w:right w:val="none" w:sz="0" w:space="0" w:color="auto"/>
      </w:divBdr>
    </w:div>
    <w:div w:id="203712858">
      <w:bodyDiv w:val="1"/>
      <w:marLeft w:val="0"/>
      <w:marRight w:val="0"/>
      <w:marTop w:val="0"/>
      <w:marBottom w:val="0"/>
      <w:divBdr>
        <w:top w:val="none" w:sz="0" w:space="0" w:color="auto"/>
        <w:left w:val="none" w:sz="0" w:space="0" w:color="auto"/>
        <w:bottom w:val="none" w:sz="0" w:space="0" w:color="auto"/>
        <w:right w:val="none" w:sz="0" w:space="0" w:color="auto"/>
      </w:divBdr>
    </w:div>
    <w:div w:id="424808012">
      <w:bodyDiv w:val="1"/>
      <w:marLeft w:val="0"/>
      <w:marRight w:val="0"/>
      <w:marTop w:val="0"/>
      <w:marBottom w:val="0"/>
      <w:divBdr>
        <w:top w:val="none" w:sz="0" w:space="0" w:color="auto"/>
        <w:left w:val="none" w:sz="0" w:space="0" w:color="auto"/>
        <w:bottom w:val="none" w:sz="0" w:space="0" w:color="auto"/>
        <w:right w:val="none" w:sz="0" w:space="0" w:color="auto"/>
      </w:divBdr>
    </w:div>
    <w:div w:id="462306930">
      <w:bodyDiv w:val="1"/>
      <w:marLeft w:val="0"/>
      <w:marRight w:val="0"/>
      <w:marTop w:val="0"/>
      <w:marBottom w:val="0"/>
      <w:divBdr>
        <w:top w:val="none" w:sz="0" w:space="0" w:color="auto"/>
        <w:left w:val="none" w:sz="0" w:space="0" w:color="auto"/>
        <w:bottom w:val="none" w:sz="0" w:space="0" w:color="auto"/>
        <w:right w:val="none" w:sz="0" w:space="0" w:color="auto"/>
      </w:divBdr>
    </w:div>
    <w:div w:id="476655860">
      <w:bodyDiv w:val="1"/>
      <w:marLeft w:val="0"/>
      <w:marRight w:val="0"/>
      <w:marTop w:val="0"/>
      <w:marBottom w:val="0"/>
      <w:divBdr>
        <w:top w:val="none" w:sz="0" w:space="0" w:color="auto"/>
        <w:left w:val="none" w:sz="0" w:space="0" w:color="auto"/>
        <w:bottom w:val="none" w:sz="0" w:space="0" w:color="auto"/>
        <w:right w:val="none" w:sz="0" w:space="0" w:color="auto"/>
      </w:divBdr>
    </w:div>
    <w:div w:id="489833007">
      <w:bodyDiv w:val="1"/>
      <w:marLeft w:val="0"/>
      <w:marRight w:val="0"/>
      <w:marTop w:val="0"/>
      <w:marBottom w:val="0"/>
      <w:divBdr>
        <w:top w:val="none" w:sz="0" w:space="0" w:color="auto"/>
        <w:left w:val="none" w:sz="0" w:space="0" w:color="auto"/>
        <w:bottom w:val="none" w:sz="0" w:space="0" w:color="auto"/>
        <w:right w:val="none" w:sz="0" w:space="0" w:color="auto"/>
      </w:divBdr>
    </w:div>
    <w:div w:id="491868249">
      <w:bodyDiv w:val="1"/>
      <w:marLeft w:val="0"/>
      <w:marRight w:val="0"/>
      <w:marTop w:val="0"/>
      <w:marBottom w:val="0"/>
      <w:divBdr>
        <w:top w:val="none" w:sz="0" w:space="0" w:color="auto"/>
        <w:left w:val="none" w:sz="0" w:space="0" w:color="auto"/>
        <w:bottom w:val="none" w:sz="0" w:space="0" w:color="auto"/>
        <w:right w:val="none" w:sz="0" w:space="0" w:color="auto"/>
      </w:divBdr>
    </w:div>
    <w:div w:id="559286526">
      <w:bodyDiv w:val="1"/>
      <w:marLeft w:val="0"/>
      <w:marRight w:val="0"/>
      <w:marTop w:val="0"/>
      <w:marBottom w:val="0"/>
      <w:divBdr>
        <w:top w:val="none" w:sz="0" w:space="0" w:color="auto"/>
        <w:left w:val="none" w:sz="0" w:space="0" w:color="auto"/>
        <w:bottom w:val="none" w:sz="0" w:space="0" w:color="auto"/>
        <w:right w:val="none" w:sz="0" w:space="0" w:color="auto"/>
      </w:divBdr>
    </w:div>
    <w:div w:id="593439378">
      <w:bodyDiv w:val="1"/>
      <w:marLeft w:val="0"/>
      <w:marRight w:val="0"/>
      <w:marTop w:val="0"/>
      <w:marBottom w:val="0"/>
      <w:divBdr>
        <w:top w:val="none" w:sz="0" w:space="0" w:color="auto"/>
        <w:left w:val="none" w:sz="0" w:space="0" w:color="auto"/>
        <w:bottom w:val="none" w:sz="0" w:space="0" w:color="auto"/>
        <w:right w:val="none" w:sz="0" w:space="0" w:color="auto"/>
      </w:divBdr>
    </w:div>
    <w:div w:id="634799227">
      <w:bodyDiv w:val="1"/>
      <w:marLeft w:val="0"/>
      <w:marRight w:val="0"/>
      <w:marTop w:val="0"/>
      <w:marBottom w:val="0"/>
      <w:divBdr>
        <w:top w:val="none" w:sz="0" w:space="0" w:color="auto"/>
        <w:left w:val="none" w:sz="0" w:space="0" w:color="auto"/>
        <w:bottom w:val="none" w:sz="0" w:space="0" w:color="auto"/>
        <w:right w:val="none" w:sz="0" w:space="0" w:color="auto"/>
      </w:divBdr>
    </w:div>
    <w:div w:id="667633252">
      <w:bodyDiv w:val="1"/>
      <w:marLeft w:val="0"/>
      <w:marRight w:val="0"/>
      <w:marTop w:val="0"/>
      <w:marBottom w:val="0"/>
      <w:divBdr>
        <w:top w:val="none" w:sz="0" w:space="0" w:color="auto"/>
        <w:left w:val="none" w:sz="0" w:space="0" w:color="auto"/>
        <w:bottom w:val="none" w:sz="0" w:space="0" w:color="auto"/>
        <w:right w:val="none" w:sz="0" w:space="0" w:color="auto"/>
      </w:divBdr>
      <w:divsChild>
        <w:div w:id="1653681955">
          <w:marLeft w:val="0"/>
          <w:marRight w:val="0"/>
          <w:marTop w:val="0"/>
          <w:marBottom w:val="0"/>
          <w:divBdr>
            <w:top w:val="none" w:sz="0" w:space="0" w:color="auto"/>
            <w:left w:val="none" w:sz="0" w:space="0" w:color="auto"/>
            <w:bottom w:val="none" w:sz="0" w:space="0" w:color="auto"/>
            <w:right w:val="none" w:sz="0" w:space="0" w:color="auto"/>
          </w:divBdr>
          <w:divsChild>
            <w:div w:id="2367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916217">
      <w:bodyDiv w:val="1"/>
      <w:marLeft w:val="0"/>
      <w:marRight w:val="0"/>
      <w:marTop w:val="0"/>
      <w:marBottom w:val="0"/>
      <w:divBdr>
        <w:top w:val="none" w:sz="0" w:space="0" w:color="auto"/>
        <w:left w:val="none" w:sz="0" w:space="0" w:color="auto"/>
        <w:bottom w:val="none" w:sz="0" w:space="0" w:color="auto"/>
        <w:right w:val="none" w:sz="0" w:space="0" w:color="auto"/>
      </w:divBdr>
    </w:div>
    <w:div w:id="677460690">
      <w:bodyDiv w:val="1"/>
      <w:marLeft w:val="0"/>
      <w:marRight w:val="0"/>
      <w:marTop w:val="0"/>
      <w:marBottom w:val="0"/>
      <w:divBdr>
        <w:top w:val="none" w:sz="0" w:space="0" w:color="auto"/>
        <w:left w:val="none" w:sz="0" w:space="0" w:color="auto"/>
        <w:bottom w:val="none" w:sz="0" w:space="0" w:color="auto"/>
        <w:right w:val="none" w:sz="0" w:space="0" w:color="auto"/>
      </w:divBdr>
    </w:div>
    <w:div w:id="957104063">
      <w:bodyDiv w:val="1"/>
      <w:marLeft w:val="0"/>
      <w:marRight w:val="0"/>
      <w:marTop w:val="0"/>
      <w:marBottom w:val="0"/>
      <w:divBdr>
        <w:top w:val="none" w:sz="0" w:space="0" w:color="auto"/>
        <w:left w:val="none" w:sz="0" w:space="0" w:color="auto"/>
        <w:bottom w:val="none" w:sz="0" w:space="0" w:color="auto"/>
        <w:right w:val="none" w:sz="0" w:space="0" w:color="auto"/>
      </w:divBdr>
    </w:div>
    <w:div w:id="977105644">
      <w:bodyDiv w:val="1"/>
      <w:marLeft w:val="0"/>
      <w:marRight w:val="0"/>
      <w:marTop w:val="0"/>
      <w:marBottom w:val="0"/>
      <w:divBdr>
        <w:top w:val="none" w:sz="0" w:space="0" w:color="auto"/>
        <w:left w:val="none" w:sz="0" w:space="0" w:color="auto"/>
        <w:bottom w:val="none" w:sz="0" w:space="0" w:color="auto"/>
        <w:right w:val="none" w:sz="0" w:space="0" w:color="auto"/>
      </w:divBdr>
    </w:div>
    <w:div w:id="1101729579">
      <w:bodyDiv w:val="1"/>
      <w:marLeft w:val="0"/>
      <w:marRight w:val="0"/>
      <w:marTop w:val="0"/>
      <w:marBottom w:val="0"/>
      <w:divBdr>
        <w:top w:val="none" w:sz="0" w:space="0" w:color="auto"/>
        <w:left w:val="none" w:sz="0" w:space="0" w:color="auto"/>
        <w:bottom w:val="none" w:sz="0" w:space="0" w:color="auto"/>
        <w:right w:val="none" w:sz="0" w:space="0" w:color="auto"/>
      </w:divBdr>
    </w:div>
    <w:div w:id="1155996489">
      <w:bodyDiv w:val="1"/>
      <w:marLeft w:val="0"/>
      <w:marRight w:val="0"/>
      <w:marTop w:val="0"/>
      <w:marBottom w:val="0"/>
      <w:divBdr>
        <w:top w:val="none" w:sz="0" w:space="0" w:color="auto"/>
        <w:left w:val="none" w:sz="0" w:space="0" w:color="auto"/>
        <w:bottom w:val="none" w:sz="0" w:space="0" w:color="auto"/>
        <w:right w:val="none" w:sz="0" w:space="0" w:color="auto"/>
      </w:divBdr>
    </w:div>
    <w:div w:id="1224485234">
      <w:bodyDiv w:val="1"/>
      <w:marLeft w:val="0"/>
      <w:marRight w:val="0"/>
      <w:marTop w:val="0"/>
      <w:marBottom w:val="0"/>
      <w:divBdr>
        <w:top w:val="none" w:sz="0" w:space="0" w:color="auto"/>
        <w:left w:val="none" w:sz="0" w:space="0" w:color="auto"/>
        <w:bottom w:val="none" w:sz="0" w:space="0" w:color="auto"/>
        <w:right w:val="none" w:sz="0" w:space="0" w:color="auto"/>
      </w:divBdr>
    </w:div>
    <w:div w:id="1250382678">
      <w:bodyDiv w:val="1"/>
      <w:marLeft w:val="0"/>
      <w:marRight w:val="0"/>
      <w:marTop w:val="0"/>
      <w:marBottom w:val="0"/>
      <w:divBdr>
        <w:top w:val="none" w:sz="0" w:space="0" w:color="auto"/>
        <w:left w:val="none" w:sz="0" w:space="0" w:color="auto"/>
        <w:bottom w:val="none" w:sz="0" w:space="0" w:color="auto"/>
        <w:right w:val="none" w:sz="0" w:space="0" w:color="auto"/>
      </w:divBdr>
    </w:div>
    <w:div w:id="1268850543">
      <w:bodyDiv w:val="1"/>
      <w:marLeft w:val="0"/>
      <w:marRight w:val="0"/>
      <w:marTop w:val="0"/>
      <w:marBottom w:val="0"/>
      <w:divBdr>
        <w:top w:val="none" w:sz="0" w:space="0" w:color="auto"/>
        <w:left w:val="none" w:sz="0" w:space="0" w:color="auto"/>
        <w:bottom w:val="none" w:sz="0" w:space="0" w:color="auto"/>
        <w:right w:val="none" w:sz="0" w:space="0" w:color="auto"/>
      </w:divBdr>
    </w:div>
    <w:div w:id="1340279010">
      <w:bodyDiv w:val="1"/>
      <w:marLeft w:val="0"/>
      <w:marRight w:val="0"/>
      <w:marTop w:val="0"/>
      <w:marBottom w:val="0"/>
      <w:divBdr>
        <w:top w:val="none" w:sz="0" w:space="0" w:color="auto"/>
        <w:left w:val="none" w:sz="0" w:space="0" w:color="auto"/>
        <w:bottom w:val="none" w:sz="0" w:space="0" w:color="auto"/>
        <w:right w:val="none" w:sz="0" w:space="0" w:color="auto"/>
      </w:divBdr>
    </w:div>
    <w:div w:id="1361391906">
      <w:bodyDiv w:val="1"/>
      <w:marLeft w:val="0"/>
      <w:marRight w:val="0"/>
      <w:marTop w:val="0"/>
      <w:marBottom w:val="0"/>
      <w:divBdr>
        <w:top w:val="none" w:sz="0" w:space="0" w:color="auto"/>
        <w:left w:val="none" w:sz="0" w:space="0" w:color="auto"/>
        <w:bottom w:val="none" w:sz="0" w:space="0" w:color="auto"/>
        <w:right w:val="none" w:sz="0" w:space="0" w:color="auto"/>
      </w:divBdr>
    </w:div>
    <w:div w:id="1425149582">
      <w:bodyDiv w:val="1"/>
      <w:marLeft w:val="0"/>
      <w:marRight w:val="0"/>
      <w:marTop w:val="0"/>
      <w:marBottom w:val="0"/>
      <w:divBdr>
        <w:top w:val="none" w:sz="0" w:space="0" w:color="auto"/>
        <w:left w:val="none" w:sz="0" w:space="0" w:color="auto"/>
        <w:bottom w:val="none" w:sz="0" w:space="0" w:color="auto"/>
        <w:right w:val="none" w:sz="0" w:space="0" w:color="auto"/>
      </w:divBdr>
    </w:div>
    <w:div w:id="1446802921">
      <w:bodyDiv w:val="1"/>
      <w:marLeft w:val="0"/>
      <w:marRight w:val="0"/>
      <w:marTop w:val="0"/>
      <w:marBottom w:val="0"/>
      <w:divBdr>
        <w:top w:val="none" w:sz="0" w:space="0" w:color="auto"/>
        <w:left w:val="none" w:sz="0" w:space="0" w:color="auto"/>
        <w:bottom w:val="none" w:sz="0" w:space="0" w:color="auto"/>
        <w:right w:val="none" w:sz="0" w:space="0" w:color="auto"/>
      </w:divBdr>
    </w:div>
    <w:div w:id="1461025016">
      <w:bodyDiv w:val="1"/>
      <w:marLeft w:val="0"/>
      <w:marRight w:val="0"/>
      <w:marTop w:val="0"/>
      <w:marBottom w:val="0"/>
      <w:divBdr>
        <w:top w:val="none" w:sz="0" w:space="0" w:color="auto"/>
        <w:left w:val="none" w:sz="0" w:space="0" w:color="auto"/>
        <w:bottom w:val="none" w:sz="0" w:space="0" w:color="auto"/>
        <w:right w:val="none" w:sz="0" w:space="0" w:color="auto"/>
      </w:divBdr>
    </w:div>
    <w:div w:id="1467352765">
      <w:bodyDiv w:val="1"/>
      <w:marLeft w:val="0"/>
      <w:marRight w:val="0"/>
      <w:marTop w:val="0"/>
      <w:marBottom w:val="0"/>
      <w:divBdr>
        <w:top w:val="none" w:sz="0" w:space="0" w:color="auto"/>
        <w:left w:val="none" w:sz="0" w:space="0" w:color="auto"/>
        <w:bottom w:val="none" w:sz="0" w:space="0" w:color="auto"/>
        <w:right w:val="none" w:sz="0" w:space="0" w:color="auto"/>
      </w:divBdr>
    </w:div>
    <w:div w:id="1500345680">
      <w:bodyDiv w:val="1"/>
      <w:marLeft w:val="0"/>
      <w:marRight w:val="0"/>
      <w:marTop w:val="0"/>
      <w:marBottom w:val="0"/>
      <w:divBdr>
        <w:top w:val="none" w:sz="0" w:space="0" w:color="auto"/>
        <w:left w:val="none" w:sz="0" w:space="0" w:color="auto"/>
        <w:bottom w:val="none" w:sz="0" w:space="0" w:color="auto"/>
        <w:right w:val="none" w:sz="0" w:space="0" w:color="auto"/>
      </w:divBdr>
    </w:div>
    <w:div w:id="1657953012">
      <w:bodyDiv w:val="1"/>
      <w:marLeft w:val="0"/>
      <w:marRight w:val="0"/>
      <w:marTop w:val="0"/>
      <w:marBottom w:val="0"/>
      <w:divBdr>
        <w:top w:val="none" w:sz="0" w:space="0" w:color="auto"/>
        <w:left w:val="none" w:sz="0" w:space="0" w:color="auto"/>
        <w:bottom w:val="none" w:sz="0" w:space="0" w:color="auto"/>
        <w:right w:val="none" w:sz="0" w:space="0" w:color="auto"/>
      </w:divBdr>
    </w:div>
    <w:div w:id="1702777376">
      <w:bodyDiv w:val="1"/>
      <w:marLeft w:val="0"/>
      <w:marRight w:val="0"/>
      <w:marTop w:val="0"/>
      <w:marBottom w:val="0"/>
      <w:divBdr>
        <w:top w:val="none" w:sz="0" w:space="0" w:color="auto"/>
        <w:left w:val="none" w:sz="0" w:space="0" w:color="auto"/>
        <w:bottom w:val="none" w:sz="0" w:space="0" w:color="auto"/>
        <w:right w:val="none" w:sz="0" w:space="0" w:color="auto"/>
      </w:divBdr>
    </w:div>
    <w:div w:id="1741244051">
      <w:bodyDiv w:val="1"/>
      <w:marLeft w:val="0"/>
      <w:marRight w:val="0"/>
      <w:marTop w:val="0"/>
      <w:marBottom w:val="0"/>
      <w:divBdr>
        <w:top w:val="none" w:sz="0" w:space="0" w:color="auto"/>
        <w:left w:val="none" w:sz="0" w:space="0" w:color="auto"/>
        <w:bottom w:val="none" w:sz="0" w:space="0" w:color="auto"/>
        <w:right w:val="none" w:sz="0" w:space="0" w:color="auto"/>
      </w:divBdr>
    </w:div>
    <w:div w:id="1786803432">
      <w:bodyDiv w:val="1"/>
      <w:marLeft w:val="0"/>
      <w:marRight w:val="0"/>
      <w:marTop w:val="0"/>
      <w:marBottom w:val="0"/>
      <w:divBdr>
        <w:top w:val="none" w:sz="0" w:space="0" w:color="auto"/>
        <w:left w:val="none" w:sz="0" w:space="0" w:color="auto"/>
        <w:bottom w:val="none" w:sz="0" w:space="0" w:color="auto"/>
        <w:right w:val="none" w:sz="0" w:space="0" w:color="auto"/>
      </w:divBdr>
    </w:div>
    <w:div w:id="1808165669">
      <w:bodyDiv w:val="1"/>
      <w:marLeft w:val="0"/>
      <w:marRight w:val="0"/>
      <w:marTop w:val="0"/>
      <w:marBottom w:val="0"/>
      <w:divBdr>
        <w:top w:val="none" w:sz="0" w:space="0" w:color="auto"/>
        <w:left w:val="none" w:sz="0" w:space="0" w:color="auto"/>
        <w:bottom w:val="none" w:sz="0" w:space="0" w:color="auto"/>
        <w:right w:val="none" w:sz="0" w:space="0" w:color="auto"/>
      </w:divBdr>
    </w:div>
    <w:div w:id="209095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DA856-5F19-4CF7-8024-C909935E5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21</Pages>
  <Words>5363</Words>
  <Characters>30572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Abdul Satari</cp:lastModifiedBy>
  <cp:revision>7</cp:revision>
  <dcterms:created xsi:type="dcterms:W3CDTF">2026-07-07T23:12:00Z</dcterms:created>
  <dcterms:modified xsi:type="dcterms:W3CDTF">2026-07-07T23:19:00Z</dcterms:modified>
</cp:coreProperties>
</file>