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A9D78" w14:textId="3ACAD5FD" w:rsidR="358398C1" w:rsidRDefault="358398C1" w:rsidP="680361B0">
      <w:pPr>
        <w:spacing w:line="360" w:lineRule="auto"/>
        <w:jc w:val="center"/>
      </w:pPr>
      <w:r>
        <w:rPr>
          <w:noProof/>
        </w:rPr>
        <w:drawing>
          <wp:inline distT="0" distB="0" distL="0" distR="0" wp14:anchorId="4B232484" wp14:editId="4EE40A6E">
            <wp:extent cx="1457325" cy="647700"/>
            <wp:effectExtent l="0" t="0" r="0" b="0"/>
            <wp:docPr id="455355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55742" name="Picture 455355742"/>
                    <pic:cNvPicPr/>
                  </pic:nvPicPr>
                  <pic:blipFill>
                    <a:blip r:embed="rId4">
                      <a:extLst>
                        <a:ext uri="{28A0092B-C50C-407E-A947-70E740481C1C}">
                          <a14:useLocalDpi xmlns:a14="http://schemas.microsoft.com/office/drawing/2010/main"/>
                        </a:ext>
                      </a:extLst>
                    </a:blip>
                    <a:stretch>
                      <a:fillRect/>
                    </a:stretch>
                  </pic:blipFill>
                  <pic:spPr>
                    <a:xfrm>
                      <a:off x="0" y="0"/>
                      <a:ext cx="1457325" cy="647700"/>
                    </a:xfrm>
                    <a:prstGeom prst="rect">
                      <a:avLst/>
                    </a:prstGeom>
                  </pic:spPr>
                </pic:pic>
              </a:graphicData>
            </a:graphic>
          </wp:inline>
        </w:drawing>
      </w:r>
    </w:p>
    <w:p w14:paraId="2FEDC308" w14:textId="08D974BB" w:rsidR="358398C1" w:rsidRDefault="358398C1" w:rsidP="680361B0">
      <w:pPr>
        <w:spacing w:line="360" w:lineRule="auto"/>
        <w:jc w:val="center"/>
        <w:rPr>
          <w:rFonts w:ascii="Times New Roman" w:eastAsia="Times New Roman" w:hAnsi="Times New Roman" w:cs="Times New Roman"/>
        </w:rPr>
      </w:pPr>
      <w:r w:rsidRPr="680361B0">
        <w:rPr>
          <w:rFonts w:ascii="Times New Roman" w:eastAsia="Times New Roman" w:hAnsi="Times New Roman" w:cs="Times New Roman"/>
        </w:rPr>
        <w:t xml:space="preserve"> </w:t>
      </w:r>
    </w:p>
    <w:p w14:paraId="3D06A258" w14:textId="166A3221" w:rsidR="358398C1" w:rsidRDefault="358398C1" w:rsidP="680361B0">
      <w:pPr>
        <w:spacing w:line="360" w:lineRule="auto"/>
        <w:jc w:val="center"/>
        <w:rPr>
          <w:rFonts w:ascii="Times New Roman" w:eastAsia="Times New Roman" w:hAnsi="Times New Roman" w:cs="Times New Roman"/>
          <w:b/>
          <w:bCs/>
        </w:rPr>
      </w:pPr>
      <w:r w:rsidRPr="680361B0">
        <w:rPr>
          <w:rFonts w:ascii="Times New Roman" w:eastAsia="Times New Roman" w:hAnsi="Times New Roman" w:cs="Times New Roman"/>
          <w:b/>
          <w:bCs/>
        </w:rPr>
        <w:t xml:space="preserve"> </w:t>
      </w:r>
    </w:p>
    <w:p w14:paraId="24FBC0D9" w14:textId="52C51185" w:rsidR="358398C1" w:rsidRDefault="358398C1" w:rsidP="680361B0">
      <w:pPr>
        <w:spacing w:line="360" w:lineRule="auto"/>
        <w:jc w:val="center"/>
        <w:rPr>
          <w:rFonts w:ascii="Times New Roman" w:eastAsia="Times New Roman" w:hAnsi="Times New Roman" w:cs="Times New Roman"/>
          <w:sz w:val="32"/>
          <w:szCs w:val="32"/>
        </w:rPr>
      </w:pPr>
      <w:r w:rsidRPr="680361B0">
        <w:rPr>
          <w:rFonts w:ascii="Times New Roman" w:eastAsia="Times New Roman" w:hAnsi="Times New Roman" w:cs="Times New Roman"/>
          <w:sz w:val="32"/>
          <w:szCs w:val="32"/>
        </w:rPr>
        <w:t>Developing and Managing Individuals and Teams: Contemporary HR Challenges at Tesco PLC</w:t>
      </w:r>
    </w:p>
    <w:p w14:paraId="7D95C9C0" w14:textId="582A09F2" w:rsidR="680361B0" w:rsidRDefault="680361B0" w:rsidP="680361B0">
      <w:pPr>
        <w:spacing w:line="360" w:lineRule="auto"/>
        <w:jc w:val="center"/>
        <w:rPr>
          <w:rFonts w:ascii="Times New Roman" w:eastAsia="Times New Roman" w:hAnsi="Times New Roman" w:cs="Times New Roman"/>
          <w:sz w:val="32"/>
          <w:szCs w:val="32"/>
        </w:rPr>
      </w:pPr>
    </w:p>
    <w:p w14:paraId="45055CC1" w14:textId="48E95143" w:rsidR="358398C1" w:rsidRDefault="358398C1" w:rsidP="680361B0">
      <w:pPr>
        <w:spacing w:line="360" w:lineRule="auto"/>
        <w:jc w:val="center"/>
        <w:rPr>
          <w:rFonts w:ascii="Times New Roman" w:eastAsia="Times New Roman" w:hAnsi="Times New Roman" w:cs="Times New Roman"/>
          <w:b/>
          <w:bCs/>
          <w:sz w:val="32"/>
          <w:szCs w:val="32"/>
        </w:rPr>
      </w:pPr>
      <w:r w:rsidRPr="680361B0">
        <w:rPr>
          <w:rFonts w:ascii="Times New Roman" w:eastAsia="Times New Roman" w:hAnsi="Times New Roman" w:cs="Times New Roman"/>
          <w:b/>
          <w:bCs/>
          <w:sz w:val="32"/>
          <w:szCs w:val="32"/>
        </w:rPr>
        <w:t>Module Code: LCLM5002</w:t>
      </w:r>
    </w:p>
    <w:p w14:paraId="57731AB0" w14:textId="34690230" w:rsidR="358398C1" w:rsidRDefault="358398C1" w:rsidP="680361B0">
      <w:pPr>
        <w:spacing w:line="360" w:lineRule="auto"/>
        <w:jc w:val="center"/>
        <w:rPr>
          <w:rFonts w:ascii="Times New Roman" w:eastAsia="Times New Roman" w:hAnsi="Times New Roman" w:cs="Times New Roman"/>
          <w:sz w:val="32"/>
          <w:szCs w:val="32"/>
        </w:rPr>
      </w:pPr>
      <w:r w:rsidRPr="680361B0">
        <w:rPr>
          <w:rFonts w:ascii="Times New Roman" w:eastAsia="Times New Roman" w:hAnsi="Times New Roman" w:cs="Times New Roman"/>
          <w:sz w:val="32"/>
          <w:szCs w:val="32"/>
        </w:rPr>
        <w:t xml:space="preserve">Luna Begum </w:t>
      </w:r>
    </w:p>
    <w:p w14:paraId="39F4DA3C" w14:textId="64D267B1" w:rsidR="358398C1" w:rsidRDefault="358398C1" w:rsidP="680361B0">
      <w:pPr>
        <w:spacing w:line="360" w:lineRule="auto"/>
        <w:jc w:val="center"/>
        <w:rPr>
          <w:rFonts w:ascii="Times New Roman" w:eastAsia="Times New Roman" w:hAnsi="Times New Roman" w:cs="Times New Roman"/>
          <w:sz w:val="32"/>
          <w:szCs w:val="32"/>
        </w:rPr>
      </w:pPr>
      <w:r w:rsidRPr="680361B0">
        <w:rPr>
          <w:rFonts w:ascii="Times New Roman" w:eastAsia="Times New Roman" w:hAnsi="Times New Roman" w:cs="Times New Roman"/>
          <w:sz w:val="32"/>
          <w:szCs w:val="32"/>
        </w:rPr>
        <w:t>Student ID - 2437661</w:t>
      </w:r>
    </w:p>
    <w:p w14:paraId="17000061" w14:textId="72FA926A" w:rsidR="680361B0" w:rsidRDefault="680361B0" w:rsidP="680361B0">
      <w:pPr>
        <w:spacing w:line="360" w:lineRule="auto"/>
        <w:jc w:val="center"/>
      </w:pPr>
    </w:p>
    <w:p w14:paraId="6017F735" w14:textId="6DBF2287" w:rsidR="680361B0" w:rsidRDefault="680361B0" w:rsidP="680361B0">
      <w:pPr>
        <w:spacing w:line="360" w:lineRule="auto"/>
        <w:jc w:val="both"/>
      </w:pPr>
    </w:p>
    <w:p w14:paraId="21AB5BEF" w14:textId="284E08EC" w:rsidR="680361B0" w:rsidRDefault="680361B0" w:rsidP="680361B0">
      <w:pPr>
        <w:spacing w:line="360" w:lineRule="auto"/>
        <w:jc w:val="both"/>
      </w:pPr>
    </w:p>
    <w:p w14:paraId="7F34B9C2" w14:textId="4BAC93BA" w:rsidR="680361B0" w:rsidRDefault="680361B0" w:rsidP="680361B0">
      <w:pPr>
        <w:spacing w:line="360" w:lineRule="auto"/>
        <w:jc w:val="both"/>
      </w:pPr>
    </w:p>
    <w:p w14:paraId="3844AA03" w14:textId="68C859F1" w:rsidR="680361B0" w:rsidRDefault="680361B0" w:rsidP="680361B0">
      <w:pPr>
        <w:spacing w:line="360" w:lineRule="auto"/>
        <w:jc w:val="both"/>
      </w:pPr>
    </w:p>
    <w:p w14:paraId="2D62286C" w14:textId="6E64D6A6" w:rsidR="680361B0" w:rsidRDefault="680361B0" w:rsidP="680361B0">
      <w:pPr>
        <w:spacing w:line="360" w:lineRule="auto"/>
        <w:jc w:val="both"/>
      </w:pPr>
    </w:p>
    <w:p w14:paraId="22FFB8EA" w14:textId="7AB7B49B" w:rsidR="680361B0" w:rsidRDefault="680361B0" w:rsidP="680361B0">
      <w:pPr>
        <w:spacing w:line="360" w:lineRule="auto"/>
        <w:jc w:val="both"/>
      </w:pPr>
    </w:p>
    <w:p w14:paraId="477415A7" w14:textId="0B6C1EF7" w:rsidR="680361B0" w:rsidRDefault="680361B0" w:rsidP="680361B0">
      <w:pPr>
        <w:spacing w:line="360" w:lineRule="auto"/>
        <w:jc w:val="both"/>
      </w:pPr>
    </w:p>
    <w:p w14:paraId="727F6C08" w14:textId="08C7D03C" w:rsidR="680361B0" w:rsidRDefault="680361B0" w:rsidP="680361B0">
      <w:pPr>
        <w:spacing w:line="360" w:lineRule="auto"/>
        <w:jc w:val="both"/>
      </w:pPr>
    </w:p>
    <w:p w14:paraId="6BAA7988" w14:textId="03F1774B" w:rsidR="680361B0" w:rsidRDefault="680361B0" w:rsidP="680361B0">
      <w:pPr>
        <w:spacing w:line="360" w:lineRule="auto"/>
        <w:jc w:val="both"/>
      </w:pPr>
    </w:p>
    <w:p w14:paraId="04060876" w14:textId="2BA0B5B5" w:rsidR="680361B0" w:rsidRDefault="680361B0" w:rsidP="680361B0">
      <w:pPr>
        <w:spacing w:line="360" w:lineRule="auto"/>
        <w:jc w:val="both"/>
      </w:pPr>
    </w:p>
    <w:p w14:paraId="67ECF1ED" w14:textId="11BF61D7" w:rsidR="680361B0" w:rsidRDefault="680361B0" w:rsidP="680361B0">
      <w:pPr>
        <w:spacing w:line="360" w:lineRule="auto"/>
        <w:jc w:val="both"/>
      </w:pPr>
    </w:p>
    <w:p w14:paraId="768D4058" w14:textId="399E7788" w:rsidR="680361B0" w:rsidRDefault="680361B0" w:rsidP="680361B0">
      <w:pPr>
        <w:spacing w:line="360" w:lineRule="auto"/>
        <w:jc w:val="both"/>
      </w:pPr>
    </w:p>
    <w:p w14:paraId="674283C4" w14:textId="5332F870" w:rsidR="680361B0" w:rsidRDefault="680361B0" w:rsidP="680361B0">
      <w:pPr>
        <w:spacing w:line="360" w:lineRule="auto"/>
        <w:jc w:val="both"/>
      </w:pPr>
    </w:p>
    <w:p w14:paraId="1186D1D4" w14:textId="52C51185" w:rsidR="00834193" w:rsidRDefault="44CF3507" w:rsidP="680361B0">
      <w:pPr>
        <w:spacing w:line="360" w:lineRule="auto"/>
        <w:jc w:val="both"/>
      </w:pPr>
      <w:r w:rsidRPr="680361B0">
        <w:t>Developing and Managing Individuals and Teams: Contemporary HR Challenges at Tesco PLC</w:t>
      </w:r>
    </w:p>
    <w:p w14:paraId="78FB291B" w14:textId="2E48BF8E" w:rsidR="00834193" w:rsidRDefault="00834193" w:rsidP="680361B0">
      <w:pPr>
        <w:spacing w:line="360" w:lineRule="auto"/>
        <w:jc w:val="both"/>
      </w:pPr>
    </w:p>
    <w:p w14:paraId="4F3C6E53" w14:textId="16163546" w:rsidR="00834193" w:rsidRDefault="44CF3507" w:rsidP="680361B0">
      <w:pPr>
        <w:spacing w:line="360" w:lineRule="auto"/>
        <w:jc w:val="both"/>
      </w:pPr>
      <w:r w:rsidRPr="680361B0">
        <w:t>Introduction</w:t>
      </w:r>
    </w:p>
    <w:p w14:paraId="72FC769F" w14:textId="1FA029EB" w:rsidR="00834193" w:rsidRDefault="23450F97" w:rsidP="680361B0">
      <w:pPr>
        <w:spacing w:line="360" w:lineRule="auto"/>
        <w:jc w:val="both"/>
      </w:pPr>
      <w:r w:rsidRPr="680361B0">
        <w:t>H</w:t>
      </w:r>
      <w:r w:rsidR="364E4644" w:rsidRPr="680361B0">
        <w:t xml:space="preserve">uman resource management (HRM) has become this kind of strategic management; not just filling </w:t>
      </w:r>
      <w:r w:rsidR="55AB595B" w:rsidRPr="680361B0">
        <w:t>jobs but</w:t>
      </w:r>
      <w:r w:rsidR="364E4644" w:rsidRPr="680361B0">
        <w:t xml:space="preserve"> helping organisations to achieve sustainable competitive advantage through human resource management. Labor shortages, demographic shifts and an increased expectation of diversity, equity and inclusion (DEI), are all causing a genuine issue in today's business landscape, particularly due to the rapid changes in technology. Employees' morale, productivity and long-term sustainability are directly impacted by those issues, as well as organisational performance (Armstrong and Taylor, 2023). </w:t>
      </w:r>
    </w:p>
    <w:p w14:paraId="51A36E86" w14:textId="0B4E5BEF" w:rsidR="00834193" w:rsidRDefault="364E4644" w:rsidP="680361B0">
      <w:pPr>
        <w:spacing w:line="360" w:lineRule="auto"/>
        <w:jc w:val="both"/>
      </w:pPr>
      <w:r w:rsidRPr="680361B0">
        <w:t xml:space="preserve">Tesco PLC, the largest supermarket retailer in UKs, with its stores and DCs has indirect and direct employment of 300,000 or more employees. The business operates at a crowded retail sector, which is becoming increasingly digital and customer-driven, pressure on the labour market and a greater push for workplace equality feel like digital transformations (Tesco, 2025). </w:t>
      </w:r>
    </w:p>
    <w:p w14:paraId="505D1D40" w14:textId="2E60D3ED" w:rsidR="00834193" w:rsidRDefault="364E4644" w:rsidP="680361B0">
      <w:pPr>
        <w:spacing w:line="360" w:lineRule="auto"/>
        <w:jc w:val="both"/>
      </w:pPr>
      <w:r w:rsidRPr="680361B0">
        <w:t>This report examines three of the HR issues currently facing HR in Tesco: Technological progress, Talent acquisition + retention, Diversity, Equity, and Inclusion (DEI). It provides an overview of the impact of each area on the organisation's performance, employee engagement and sustainability</w:t>
      </w:r>
      <w:r w:rsidR="7148D280" w:rsidRPr="680361B0">
        <w:t>.</w:t>
      </w:r>
    </w:p>
    <w:p w14:paraId="6C3664BF" w14:textId="21DC2000" w:rsidR="00834193" w:rsidRDefault="364E4644" w:rsidP="680361B0">
      <w:pPr>
        <w:spacing w:line="360" w:lineRule="auto"/>
        <w:jc w:val="both"/>
      </w:pPr>
      <w:r w:rsidRPr="680361B0">
        <w:t xml:space="preserve"> </w:t>
      </w:r>
    </w:p>
    <w:p w14:paraId="435AFD9A" w14:textId="70D33190" w:rsidR="00834193"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1. Explanation of Key Factors</w:t>
      </w:r>
    </w:p>
    <w:p w14:paraId="7A5D6876" w14:textId="20E5B4BF" w:rsidR="00834193" w:rsidRDefault="364E4644" w:rsidP="680361B0">
      <w:pPr>
        <w:spacing w:line="360" w:lineRule="auto"/>
        <w:jc w:val="both"/>
      </w:pPr>
      <w:r w:rsidRPr="680361B0">
        <w:t xml:space="preserve"> </w:t>
      </w:r>
    </w:p>
    <w:p w14:paraId="65A96723" w14:textId="22A25162" w:rsidR="00834193" w:rsidRDefault="364E4644" w:rsidP="680361B0">
      <w:pPr>
        <w:spacing w:line="360" w:lineRule="auto"/>
        <w:jc w:val="both"/>
      </w:pPr>
      <w:r w:rsidRPr="680361B0">
        <w:t>Evolution and adaptation to the new technologies.</w:t>
      </w:r>
    </w:p>
    <w:p w14:paraId="504F7493" w14:textId="4769FD16" w:rsidR="00834193" w:rsidRDefault="364E4644" w:rsidP="680361B0">
      <w:pPr>
        <w:spacing w:line="360" w:lineRule="auto"/>
        <w:jc w:val="both"/>
      </w:pPr>
      <w:r w:rsidRPr="680361B0">
        <w:t xml:space="preserve"> </w:t>
      </w:r>
    </w:p>
    <w:p w14:paraId="0FA62621" w14:textId="19BD5081" w:rsidR="00834193" w:rsidRDefault="7808F451" w:rsidP="680361B0">
      <w:pPr>
        <w:spacing w:line="360" w:lineRule="auto"/>
        <w:jc w:val="both"/>
      </w:pPr>
      <w:r w:rsidRPr="680361B0">
        <w:t>D</w:t>
      </w:r>
      <w:r w:rsidR="364E4644" w:rsidRPr="680361B0">
        <w:t xml:space="preserve">igital transformation has distinctly recharged and changed the retail landscape. The introduction of new technologies, such as artificial intelligence (AI), automation, electronic point-of-sale systems, predictive employee force analytics, robotics and </w:t>
      </w:r>
      <w:r w:rsidR="4CD121A2" w:rsidRPr="680361B0">
        <w:t>cloud-based</w:t>
      </w:r>
      <w:r w:rsidR="364E4644" w:rsidRPr="680361B0">
        <w:t xml:space="preserve"> HR platforms, have not only helped make workplaces more efficient but have also affected the </w:t>
      </w:r>
      <w:r w:rsidR="364E4644" w:rsidRPr="680361B0">
        <w:lastRenderedPageBreak/>
        <w:t xml:space="preserve">roles and responsibilities of employees (Stone et al., 2020). The technological advancement angle for Tesco is not just in the context of technologies that can be used to serve customers, such as self-service checkouts and online grocery services. </w:t>
      </w:r>
    </w:p>
    <w:p w14:paraId="5E025D9F" w14:textId="75FB40A1" w:rsidR="00834193" w:rsidRDefault="364E4644" w:rsidP="680361B0">
      <w:pPr>
        <w:spacing w:line="360" w:lineRule="auto"/>
        <w:jc w:val="both"/>
      </w:pPr>
      <w:r w:rsidRPr="680361B0">
        <w:t xml:space="preserve">Though technological innovation can increase productivity and operational efficiencies, it also has </w:t>
      </w:r>
      <w:r w:rsidR="276BB959" w:rsidRPr="680361B0">
        <w:t>several</w:t>
      </w:r>
      <w:r w:rsidRPr="680361B0">
        <w:t xml:space="preserve"> HR challenges associated with it. Ongoing training is often needed and not just for a single platform and technology; one of its applications is to develop the digital proficiencies that people need. However, if learning opportunities do not happen at the right time, it can reinforce the barriers to change, challenge employees' confidence and have a detrimental impact on organisational performance, (CIPD, 2024).</w:t>
      </w:r>
    </w:p>
    <w:p w14:paraId="382719AA" w14:textId="14D38644" w:rsidR="00834193" w:rsidRDefault="364E4644" w:rsidP="680361B0">
      <w:pPr>
        <w:spacing w:line="360" w:lineRule="auto"/>
        <w:jc w:val="both"/>
      </w:pPr>
      <w:r w:rsidRPr="680361B0">
        <w:t>Furthermore, tech transformation changes the common occupations. Automation reduces a ton of tedious and administrative tasks and emphasises the importance of analytical thinking, good customer support, and more effective problem solving. This means that HR professionals must be involved in today's workforce planning that really works – and assists them to shift into these transforming roles, rather than face the danger of redundancy or job insecurity (Bratton &amp; Gold, 2022).</w:t>
      </w:r>
    </w:p>
    <w:p w14:paraId="23236242" w14:textId="5DA08EC0" w:rsidR="00834193" w:rsidRDefault="364E4644" w:rsidP="680361B0">
      <w:pPr>
        <w:spacing w:line="360" w:lineRule="auto"/>
        <w:jc w:val="both"/>
      </w:pPr>
      <w:r w:rsidRPr="680361B0">
        <w:t xml:space="preserve">Employee engagement is not </w:t>
      </w:r>
      <w:r w:rsidR="203A52B9" w:rsidRPr="680361B0">
        <w:t>particularly unrelated</w:t>
      </w:r>
      <w:r w:rsidRPr="680361B0">
        <w:t xml:space="preserve"> with implementation of technology, either. When employees are properly trained and communicated well, and have consistent managerial support, they </w:t>
      </w:r>
      <w:r w:rsidR="276BB959" w:rsidRPr="680361B0">
        <w:t>exhibit</w:t>
      </w:r>
      <w:r w:rsidRPr="680361B0">
        <w:t xml:space="preserve"> greater acceptance of tech change. However, when it is poorly implemented it can lead people into a state of limbo, stress and organisational disengagement (Kotter, 2012). </w:t>
      </w:r>
    </w:p>
    <w:p w14:paraId="32CFED88" w14:textId="77DB25B4" w:rsidR="00834193" w:rsidRDefault="364E4644" w:rsidP="680361B0">
      <w:pPr>
        <w:spacing w:line="360" w:lineRule="auto"/>
        <w:jc w:val="both"/>
      </w:pPr>
      <w:r w:rsidRPr="680361B0">
        <w:t>The key to organisational sustainability is in the long term is to balance technological progress with that of the employees. Investing in new systems and labour at the same time would have a greater probability to develop a sustainable competitive advantage as staff members would be able to adapt when organisational changes come later (Boxall and Purcell, 2022).</w:t>
      </w:r>
    </w:p>
    <w:p w14:paraId="5129050B" w14:textId="4D2E2788" w:rsidR="00834193" w:rsidRDefault="364E4644" w:rsidP="680361B0">
      <w:pPr>
        <w:spacing w:line="360" w:lineRule="auto"/>
        <w:jc w:val="both"/>
      </w:pPr>
      <w:r w:rsidRPr="680361B0">
        <w:t xml:space="preserve"> </w:t>
      </w:r>
    </w:p>
    <w:p w14:paraId="2DD1C69C" w14:textId="551D9DA1" w:rsidR="00834193" w:rsidRDefault="364E4644" w:rsidP="680361B0">
      <w:pPr>
        <w:spacing w:line="360" w:lineRule="auto"/>
        <w:jc w:val="both"/>
      </w:pPr>
      <w:r w:rsidRPr="680361B0">
        <w:t>Talent Acquisition &amp; Retention</w:t>
      </w:r>
    </w:p>
    <w:p w14:paraId="2FF7B9B9" w14:textId="7F8738C0" w:rsidR="00834193" w:rsidRDefault="364E4644" w:rsidP="680361B0">
      <w:pPr>
        <w:spacing w:line="360" w:lineRule="auto"/>
        <w:jc w:val="both"/>
      </w:pPr>
      <w:r w:rsidRPr="680361B0">
        <w:t xml:space="preserve"> </w:t>
      </w:r>
    </w:p>
    <w:p w14:paraId="657BD155" w14:textId="65FAE50F" w:rsidR="00834193" w:rsidRDefault="364E4644" w:rsidP="680361B0">
      <w:pPr>
        <w:spacing w:line="360" w:lineRule="auto"/>
        <w:jc w:val="both"/>
      </w:pPr>
      <w:r w:rsidRPr="680361B0">
        <w:t xml:space="preserve">Not only has the UK labour market got more competitive since Brexit, but </w:t>
      </w:r>
      <w:r w:rsidR="2E0A1E54" w:rsidRPr="680361B0">
        <w:t>there have</w:t>
      </w:r>
      <w:r w:rsidRPr="680361B0">
        <w:t xml:space="preserve"> also been changes in population and a persistent lack of skills. Whilst attracting individuals to work in </w:t>
      </w:r>
      <w:r w:rsidRPr="680361B0">
        <w:lastRenderedPageBreak/>
        <w:t xml:space="preserve">the sector, a considerable challenge is also retaining experienced staff who </w:t>
      </w:r>
      <w:r w:rsidR="5E798D6C" w:rsidRPr="680361B0">
        <w:t>can</w:t>
      </w:r>
      <w:r w:rsidRPr="680361B0">
        <w:t xml:space="preserve"> provide a consistent and quality customer experience. (CIPD, 2025)</w:t>
      </w:r>
    </w:p>
    <w:p w14:paraId="44EA0A34" w14:textId="097439CD" w:rsidR="00834193" w:rsidRDefault="364E4644" w:rsidP="680361B0">
      <w:pPr>
        <w:spacing w:line="360" w:lineRule="auto"/>
        <w:jc w:val="both"/>
      </w:pPr>
      <w:r w:rsidRPr="680361B0">
        <w:t>Recruitment for Tesco is a process that includes a range of positions such as retail associate, logistics staff, and warehouse operatives, as well as managers and even IT professionals - and digital professionals. Meanwhile, the number of competing players like other retailers, logistics companies and internet firms continues to increase and this makes it more crucial to craft appealing employer brand strategies, which can attract talented individuals (Backhaus and Tikoo, 2004).</w:t>
      </w:r>
    </w:p>
    <w:p w14:paraId="72B1C8EB" w14:textId="32A14093" w:rsidR="00834193" w:rsidRDefault="364E4644" w:rsidP="680361B0">
      <w:pPr>
        <w:spacing w:line="360" w:lineRule="auto"/>
        <w:jc w:val="both"/>
      </w:pPr>
      <w:r w:rsidRPr="680361B0">
        <w:t xml:space="preserve">Retention is an organisational issue that is equally as important as is potentially the second pilot. When employee turnover is high you have increased costs in attraction, onboarding expenses, needed training, </w:t>
      </w:r>
      <w:r w:rsidR="5E798D6C" w:rsidRPr="680361B0">
        <w:t>and</w:t>
      </w:r>
      <w:r w:rsidRPr="680361B0">
        <w:t xml:space="preserve"> decreased service quality and continuity (Hom et al., 2017). </w:t>
      </w:r>
    </w:p>
    <w:p w14:paraId="0C6A7692" w14:textId="07D77C4A" w:rsidR="00834193" w:rsidRDefault="364E4644" w:rsidP="680361B0">
      <w:pPr>
        <w:spacing w:line="360" w:lineRule="auto"/>
        <w:jc w:val="both"/>
      </w:pPr>
      <w:r w:rsidRPr="680361B0">
        <w:t xml:space="preserve">Employee engagement is another key factor contributing to retention. Kahn (1990) supposes that the more involved an employee is, the better he or she will perform, the higher employees focus on the job, and the more loyal he or she will be in the organization. </w:t>
      </w:r>
    </w:p>
    <w:p w14:paraId="21EEBE8C" w14:textId="31367A74" w:rsidR="00834193" w:rsidRDefault="00834193" w:rsidP="680361B0">
      <w:pPr>
        <w:spacing w:line="360" w:lineRule="auto"/>
        <w:jc w:val="both"/>
      </w:pPr>
    </w:p>
    <w:p w14:paraId="520DDE2A" w14:textId="5B5390BF" w:rsidR="00834193" w:rsidRDefault="00834193" w:rsidP="680361B0">
      <w:pPr>
        <w:spacing w:line="360" w:lineRule="auto"/>
        <w:jc w:val="both"/>
      </w:pPr>
    </w:p>
    <w:p w14:paraId="611FB8CE" w14:textId="7E0D93A1" w:rsidR="00834193" w:rsidRDefault="364E4644" w:rsidP="680361B0">
      <w:pPr>
        <w:spacing w:line="360" w:lineRule="auto"/>
        <w:jc w:val="both"/>
      </w:pPr>
      <w:r w:rsidRPr="680361B0">
        <w:t>Diversity, Equity and Inclusion (DEI)</w:t>
      </w:r>
    </w:p>
    <w:p w14:paraId="70F84B26" w14:textId="65D52B00" w:rsidR="00834193" w:rsidRDefault="364E4644" w:rsidP="680361B0">
      <w:pPr>
        <w:spacing w:line="360" w:lineRule="auto"/>
        <w:jc w:val="both"/>
      </w:pPr>
      <w:r w:rsidRPr="680361B0">
        <w:t xml:space="preserve"> </w:t>
      </w:r>
    </w:p>
    <w:p w14:paraId="1374E6F7" w14:textId="1015C88B" w:rsidR="00834193" w:rsidRDefault="364E4644" w:rsidP="680361B0">
      <w:pPr>
        <w:spacing w:line="360" w:lineRule="auto"/>
        <w:jc w:val="both"/>
      </w:pPr>
      <w:r w:rsidRPr="680361B0">
        <w:t xml:space="preserve">Today, diversity, equity and inclusion are big business strategic goals for organisations. A difference among people employed (such as gender and ethnicity, disability, age, religion and sexual orientation). Equity ensures access to opportunities and fair treatment for all, and inclusion involves creating a work environment where all staff feel valued and </w:t>
      </w:r>
      <w:r w:rsidR="56B54B8B" w:rsidRPr="680361B0">
        <w:t>respected and</w:t>
      </w:r>
      <w:r w:rsidRPr="680361B0">
        <w:t xml:space="preserve"> </w:t>
      </w:r>
      <w:r w:rsidR="3E213050" w:rsidRPr="680361B0">
        <w:t>can</w:t>
      </w:r>
      <w:r w:rsidRPr="680361B0">
        <w:t xml:space="preserve"> play their part to the fullest (Shore et al., 2018).</w:t>
      </w:r>
    </w:p>
    <w:p w14:paraId="74A967D8" w14:textId="6108610C" w:rsidR="00834193" w:rsidRDefault="364E4644" w:rsidP="680361B0">
      <w:pPr>
        <w:spacing w:line="360" w:lineRule="auto"/>
        <w:jc w:val="both"/>
      </w:pPr>
      <w:r w:rsidRPr="680361B0">
        <w:t xml:space="preserve">For Tesco, a diverse workforce is not only good practice ethically and business-sense driven, </w:t>
      </w:r>
      <w:r w:rsidR="3FD905D5" w:rsidRPr="680361B0">
        <w:t>but</w:t>
      </w:r>
      <w:r w:rsidRPr="680361B0">
        <w:t xml:space="preserve"> also about commercial necessity. Where </w:t>
      </w:r>
      <w:r w:rsidR="7DAE29EA" w:rsidRPr="680361B0">
        <w:t>it is</w:t>
      </w:r>
      <w:r w:rsidRPr="680361B0">
        <w:t xml:space="preserve"> cross-cultural, the company </w:t>
      </w:r>
      <w:r w:rsidR="3E213050" w:rsidRPr="680361B0">
        <w:t>must</w:t>
      </w:r>
      <w:r w:rsidRPr="680361B0">
        <w:t xml:space="preserve"> feel the employees who know various requirements of customers; </w:t>
      </w:r>
      <w:r w:rsidR="7D55768D" w:rsidRPr="680361B0">
        <w:t>likewise,</w:t>
      </w:r>
      <w:r w:rsidRPr="680361B0">
        <w:t xml:space="preserve"> the views and differences. Study after study demonstrates the benefits that diversity brings, including to innovation, to decision-making, to more robust organisational performance, as the variety of experiences provides a broader perspective when a team is addressing a business challenge (Roberson, 2019</w:t>
      </w:r>
      <w:r w:rsidR="5DBF9C94" w:rsidRPr="680361B0">
        <w:t>).</w:t>
      </w:r>
    </w:p>
    <w:p w14:paraId="303AE75B" w14:textId="2BF92ADC" w:rsidR="00834193" w:rsidRDefault="364E4644" w:rsidP="680361B0">
      <w:pPr>
        <w:spacing w:line="360" w:lineRule="auto"/>
        <w:jc w:val="both"/>
      </w:pPr>
      <w:r w:rsidRPr="680361B0">
        <w:lastRenderedPageBreak/>
        <w:t xml:space="preserve">Perceptions of fairness and inclusion are quite an important factor affecting employee engagement - not just the formal bit that is. Organisations that make well-balanced decisions tend to produce more inclined employees to trust the firm, be more motivated and have longer stay rates at their workplace (Colquitt et al., 2013). </w:t>
      </w:r>
      <w:r w:rsidR="2A8BA1E9" w:rsidRPr="680361B0">
        <w:t>That is</w:t>
      </w:r>
      <w:r w:rsidRPr="680361B0">
        <w:t xml:space="preserve"> why inclusive leadership is important, particularly for departmental managers who are expected to create psychologically safe workplaces where workers are encouraged to share their thoughts, questions or concerns.</w:t>
      </w:r>
    </w:p>
    <w:p w14:paraId="607DF61A" w14:textId="0F4FE37F" w:rsidR="00834193" w:rsidRDefault="364E4644" w:rsidP="680361B0">
      <w:pPr>
        <w:spacing w:line="360" w:lineRule="auto"/>
        <w:jc w:val="both"/>
      </w:pPr>
      <w:r w:rsidRPr="680361B0">
        <w:t xml:space="preserve">A variety of measures are already in place at Tesco. They foster diversity networks and inclusive leadership programmes and have gender equality and disability support policies that seek to boost representation throughout the company (Tesco, 2025). Not only do these enable compliance with the Equality Act 2010, </w:t>
      </w:r>
      <w:r w:rsidR="6E69DD68" w:rsidRPr="680361B0">
        <w:t>but they</w:t>
      </w:r>
      <w:r w:rsidRPr="680361B0">
        <w:t xml:space="preserve"> will also make for a more confident organisation culture and enhance the employer's profile.</w:t>
      </w:r>
    </w:p>
    <w:p w14:paraId="5E5787A5" w14:textId="600E7E32" w:rsidR="00834193" w:rsidRDefault="364E4644" w:rsidP="680361B0">
      <w:pPr>
        <w:spacing w:line="360" w:lineRule="auto"/>
        <w:jc w:val="both"/>
      </w:pPr>
      <w:r w:rsidRPr="680361B0">
        <w:t>In a sustainability context, DEI can contribute to sustainable business success by improving employee wellbeing, employer brands and providing organisational resilience an additional boost. (Shore et al., 2018).</w:t>
      </w:r>
    </w:p>
    <w:p w14:paraId="78C208DB" w14:textId="7D826647" w:rsidR="680361B0" w:rsidRDefault="680361B0" w:rsidP="680361B0">
      <w:pPr>
        <w:spacing w:line="360" w:lineRule="auto"/>
        <w:jc w:val="both"/>
      </w:pPr>
    </w:p>
    <w:p w14:paraId="25B5807D" w14:textId="7A8D0D1F"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2. Evaluation of Contemporary HR Practices</w:t>
      </w:r>
    </w:p>
    <w:p w14:paraId="51BCB98E" w14:textId="38E33F9B" w:rsidR="680361B0" w:rsidRDefault="680361B0" w:rsidP="680361B0">
      <w:pPr>
        <w:spacing w:line="360" w:lineRule="auto"/>
        <w:jc w:val="both"/>
        <w:rPr>
          <w:rFonts w:ascii="Times New Roman" w:eastAsia="Times New Roman" w:hAnsi="Times New Roman" w:cs="Times New Roman"/>
        </w:rPr>
      </w:pPr>
    </w:p>
    <w:p w14:paraId="23ADFBBB" w14:textId="5001E3B1"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To address this pressure received from technological advances, talent acquisition and preservation alongside diversity equity and inclusion, Tesco must evolve in more modern HR practices. That should link back to the bigger organisational level, rather than just be part of the process of people management. Modern HRM prioritizes activities such as data-driven decision-making, employee experience, HR technology and inclusive leadership as opposed to the typical HR activities of administration and job filling (Armstrong and Taylor, 2023). </w:t>
      </w:r>
    </w:p>
    <w:p w14:paraId="6BD08D7B" w14:textId="42DD3B94"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2E54C778" w14:textId="6156CA74"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Digital HR systems and workforce analytics</w:t>
      </w:r>
    </w:p>
    <w:p w14:paraId="79411B1B" w14:textId="7D5E72BA"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36FF9975" w14:textId="6C895FB4"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Digital HR systems have revolutionized the recruitment, training and day to day-hide-and-tide of employees in many businesses. Tools such as Human Resource Information Systems (HRIS), artificial intelligence, workforce analytics, and </w:t>
      </w:r>
      <w:r w:rsidR="0E2F54AD" w:rsidRPr="680361B0">
        <w:rPr>
          <w:rFonts w:ascii="Times New Roman" w:eastAsia="Times New Roman" w:hAnsi="Times New Roman" w:cs="Times New Roman"/>
        </w:rPr>
        <w:t>cloud-based</w:t>
      </w:r>
      <w:r w:rsidRPr="680361B0">
        <w:rPr>
          <w:rFonts w:ascii="Times New Roman" w:eastAsia="Times New Roman" w:hAnsi="Times New Roman" w:cs="Times New Roman"/>
        </w:rPr>
        <w:t xml:space="preserve"> learning tools help HR teams draw </w:t>
      </w:r>
      <w:r w:rsidRPr="680361B0">
        <w:rPr>
          <w:rFonts w:ascii="Times New Roman" w:eastAsia="Times New Roman" w:hAnsi="Times New Roman" w:cs="Times New Roman"/>
        </w:rPr>
        <w:lastRenderedPageBreak/>
        <w:t>conclusions from evidence regarding workforce planning, recruitment and even growth programmes (Stone et al., 2020).</w:t>
      </w:r>
    </w:p>
    <w:p w14:paraId="3538C2FE" w14:textId="116C2BC4"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Tesco has invested a significant amount in digital technologies which allow online systems for recruiting, electronic information schedules and digital learning and training programmes, to increase the operational efficiency and make information easier to access for staff (Tesco, 2025). Workforce analytics lets managers keep an eye on absenteeism, turnover rates, productivity and employee engagement, so they can spot early workforce problems, before they grow into major organisational issues.</w:t>
      </w:r>
    </w:p>
    <w:p w14:paraId="0CF21D64" w14:textId="4AF7C875"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One of the main benefits of digital HR systems is that they enable more effective decision making. HR can rely on real time workforce data for predicting staffing requirements, pinpointing skills gaps and whether training </w:t>
      </w:r>
      <w:r w:rsidR="2CA31B6A" w:rsidRPr="680361B0">
        <w:rPr>
          <w:rFonts w:ascii="Times New Roman" w:eastAsia="Times New Roman" w:hAnsi="Times New Roman" w:cs="Times New Roman"/>
        </w:rPr>
        <w:t>had</w:t>
      </w:r>
      <w:r w:rsidRPr="680361B0">
        <w:rPr>
          <w:rFonts w:ascii="Times New Roman" w:eastAsia="Times New Roman" w:hAnsi="Times New Roman" w:cs="Times New Roman"/>
        </w:rPr>
        <w:t xml:space="preserve"> a positive impact. This helps with more efficient resource allocation and backs longer term workforce planning (Marler and Boudreau, 2017).</w:t>
      </w:r>
    </w:p>
    <w:p w14:paraId="7E25B1D7" w14:textId="7F75E658" w:rsidR="4911C1FC" w:rsidRDefault="4911C1FC"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But</w:t>
      </w:r>
      <w:r w:rsidR="364E4644" w:rsidRPr="680361B0">
        <w:rPr>
          <w:rFonts w:ascii="Times New Roman" w:eastAsia="Times New Roman" w:hAnsi="Times New Roman" w:cs="Times New Roman"/>
        </w:rPr>
        <w:t xml:space="preserve"> digital HR systems also have their drawbacks. Heavy use of AI-powered recruitment tools that might reflect or exacerbate existing biases, if incorporated with historic recruitment data. Additionally, staff may feel that their privacy is being invaded and fear constant monitoring, potentially leading to a lack of trust in management if monitoring is not transparent enough (CIPD, 2024). </w:t>
      </w:r>
    </w:p>
    <w:p w14:paraId="0B86DF47" w14:textId="5F073D1C"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7329CEBF" w14:textId="44AD4396"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Employer branding and strategic workforce planning</w:t>
      </w:r>
    </w:p>
    <w:p w14:paraId="64BC8E44" w14:textId="136F1563"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37E00015" w14:textId="48173FF7"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Employer branding has become even more crucial in the competitive labour market these days. Maintaining a strong employer brand enhances your reputation as an organisation and the opportunities for employment, career progression and your organisational values (Backhaus and Tikoo, 2004).</w:t>
      </w:r>
    </w:p>
    <w:p w14:paraId="74B86387" w14:textId="6015D882"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Tesco is good at positioning itself as a company that offers employment opportunities, wellbeing programmes, flexible working, career progression and apprenticeship opportunities. These practices can aid in recruiting, because jobseekers </w:t>
      </w:r>
      <w:r w:rsidR="142698D3" w:rsidRPr="680361B0">
        <w:rPr>
          <w:rFonts w:ascii="Times New Roman" w:eastAsia="Times New Roman" w:hAnsi="Times New Roman" w:cs="Times New Roman"/>
        </w:rPr>
        <w:t>are not</w:t>
      </w:r>
      <w:r w:rsidRPr="680361B0">
        <w:rPr>
          <w:rFonts w:ascii="Times New Roman" w:eastAsia="Times New Roman" w:hAnsi="Times New Roman" w:cs="Times New Roman"/>
        </w:rPr>
        <w:t xml:space="preserve"> just after a quick </w:t>
      </w:r>
      <w:r w:rsidR="38AFB67B" w:rsidRPr="680361B0">
        <w:rPr>
          <w:rFonts w:ascii="Times New Roman" w:eastAsia="Times New Roman" w:hAnsi="Times New Roman" w:cs="Times New Roman"/>
        </w:rPr>
        <w:t>paycheck</w:t>
      </w:r>
      <w:r w:rsidRPr="680361B0">
        <w:rPr>
          <w:rFonts w:ascii="Times New Roman" w:eastAsia="Times New Roman" w:hAnsi="Times New Roman" w:cs="Times New Roman"/>
        </w:rPr>
        <w:t>, they are also seeking career progression, or what are commonly called walking up the pavement. (Armstrong and Taylor, 2023).</w:t>
      </w:r>
    </w:p>
    <w:p w14:paraId="727952F7" w14:textId="48D4CE8B"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lastRenderedPageBreak/>
        <w:t xml:space="preserve">With those benefits aside, retention challenges </w:t>
      </w:r>
      <w:r w:rsidR="142698D3" w:rsidRPr="680361B0">
        <w:rPr>
          <w:rFonts w:ascii="Times New Roman" w:eastAsia="Times New Roman" w:hAnsi="Times New Roman" w:cs="Times New Roman"/>
        </w:rPr>
        <w:t>cannot</w:t>
      </w:r>
      <w:r w:rsidRPr="680361B0">
        <w:rPr>
          <w:rFonts w:ascii="Times New Roman" w:eastAsia="Times New Roman" w:hAnsi="Times New Roman" w:cs="Times New Roman"/>
        </w:rPr>
        <w:t xml:space="preserve"> be solved solely by means of employer branding if employees' workloads are excessive, possibilities for upward development are restricted, or management is inconsistent. Similarly, the successful planning of the workforce requires accurate assessments of the labour market, and this becomes more difficult in a period of economic uncertainty and during rapid technological change (Bratton and Gold, 2022). </w:t>
      </w:r>
    </w:p>
    <w:p w14:paraId="0B9B393D" w14:textId="7F41766A"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5879F4F2" w14:textId="3AC3521E"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Employee engagement, retention and inclusive HR Practices</w:t>
      </w:r>
    </w:p>
    <w:p w14:paraId="11FEE772" w14:textId="79C814C1"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418AE1D9" w14:textId="3E206A16"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Then </w:t>
      </w:r>
      <w:r w:rsidR="2EF7ADBC" w:rsidRPr="680361B0">
        <w:rPr>
          <w:rFonts w:ascii="Times New Roman" w:eastAsia="Times New Roman" w:hAnsi="Times New Roman" w:cs="Times New Roman"/>
        </w:rPr>
        <w:t>there is</w:t>
      </w:r>
      <w:r w:rsidRPr="680361B0">
        <w:rPr>
          <w:rFonts w:ascii="Times New Roman" w:eastAsia="Times New Roman" w:hAnsi="Times New Roman" w:cs="Times New Roman"/>
        </w:rPr>
        <w:t xml:space="preserve"> another HR practice in the spotlight right now that contributes to higher organisational performance, namely, “employee engagement.” Recognition programmes, wellbeing provision and ongoing learning opportunities, as well as feedback on performance, are popular engagement activities, along with flexible working arrangements. There has been research, upon research, indicating that when employees are engaged, they are more likely to be productive, to feel committed to their organisations and even to not intend to quit (Kahn, 1990).</w:t>
      </w:r>
    </w:p>
    <w:p w14:paraId="2B70A1B2" w14:textId="600CD43B"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In their staff wellbeing initiatives, Tesco has extended its employee wellbeing programmes and mental health support, developed internal promotion and leadership programmes to enhance employee satisfaction and retention and facilitated related opportunities for staff (Tesco, 2025). This not only contributes to the development of organisational commitment but can also reduce recruitment costs related to employee turnover, in practice.</w:t>
      </w:r>
    </w:p>
    <w:p w14:paraId="3D58CDC0" w14:textId="42A12C92"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The departmental managers play a crucial role on the successful implementation of existing HR practices. </w:t>
      </w:r>
      <w:r w:rsidR="2CA31B6A" w:rsidRPr="680361B0">
        <w:rPr>
          <w:rFonts w:ascii="Times New Roman" w:eastAsia="Times New Roman" w:hAnsi="Times New Roman" w:cs="Times New Roman"/>
        </w:rPr>
        <w:t>Even though</w:t>
      </w:r>
      <w:r w:rsidRPr="680361B0">
        <w:rPr>
          <w:rFonts w:ascii="Times New Roman" w:eastAsia="Times New Roman" w:hAnsi="Times New Roman" w:cs="Times New Roman"/>
        </w:rPr>
        <w:t xml:space="preserve"> the HR are the one who implement </w:t>
      </w:r>
      <w:r w:rsidR="4AC4B904" w:rsidRPr="680361B0">
        <w:rPr>
          <w:rFonts w:ascii="Times New Roman" w:eastAsia="Times New Roman" w:hAnsi="Times New Roman" w:cs="Times New Roman"/>
        </w:rPr>
        <w:t>it</w:t>
      </w:r>
      <w:r w:rsidRPr="680361B0">
        <w:rPr>
          <w:rFonts w:ascii="Times New Roman" w:eastAsia="Times New Roman" w:hAnsi="Times New Roman" w:cs="Times New Roman"/>
        </w:rPr>
        <w:t xml:space="preserve"> policies of the organisation, the managers still have a great influence on the day-to-day employee experience via their leadership style, communication, mentoring and performance management (Purcell and Hutchinson, 2007). As a result, good management is essential if Tesco is to reap the benefits that are associated with technological progress and managing talent and DEI.</w:t>
      </w:r>
    </w:p>
    <w:p w14:paraId="69A9A72F" w14:textId="3893D00B"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The first actual requirement is that of leadership accountability; it matters a ton. Managers should show organisational values, back up continuous learning and make sure employees get the right training when there is technological change. Transformational leadership advocates for employee's willingness to take up innovation by communicating a clear vision for the organisation </w:t>
      </w:r>
      <w:r w:rsidR="5D18E122" w:rsidRPr="680361B0">
        <w:rPr>
          <w:rFonts w:ascii="Times New Roman" w:eastAsia="Times New Roman" w:hAnsi="Times New Roman" w:cs="Times New Roman"/>
        </w:rPr>
        <w:t>and</w:t>
      </w:r>
      <w:r w:rsidRPr="680361B0">
        <w:rPr>
          <w:rFonts w:ascii="Times New Roman" w:eastAsia="Times New Roman" w:hAnsi="Times New Roman" w:cs="Times New Roman"/>
        </w:rPr>
        <w:t xml:space="preserve"> challenging employees to develop new competencies (Bass and Riggio, 2006). </w:t>
      </w:r>
    </w:p>
    <w:p w14:paraId="3E6ED16D" w14:textId="377810B5"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lastRenderedPageBreak/>
        <w:t xml:space="preserve">When HR is being implemented communication is of equal importance. Quick, clear </w:t>
      </w:r>
      <w:r w:rsidR="5DBF1FF5" w:rsidRPr="680361B0">
        <w:rPr>
          <w:rFonts w:ascii="Times New Roman" w:eastAsia="Times New Roman" w:hAnsi="Times New Roman" w:cs="Times New Roman"/>
        </w:rPr>
        <w:t>and two-way</w:t>
      </w:r>
      <w:r w:rsidRPr="680361B0">
        <w:rPr>
          <w:rFonts w:ascii="Times New Roman" w:eastAsia="Times New Roman" w:hAnsi="Times New Roman" w:cs="Times New Roman"/>
        </w:rPr>
        <w:t xml:space="preserve"> communication for employees is needed about new technology and changing organisational objectives and workplace rules and procedures. Effective communication can reduce ambiguity, increase employee buy-in and establish a higher level of confidence to engage in the process of change in an organisation (Kotter 2012). </w:t>
      </w:r>
    </w:p>
    <w:p w14:paraId="6F60A3A2" w14:textId="68C85E7F"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Monitoring and tracking of overall performance </w:t>
      </w:r>
      <w:proofErr w:type="gramStart"/>
      <w:r w:rsidRPr="680361B0">
        <w:rPr>
          <w:rFonts w:ascii="Times New Roman" w:eastAsia="Times New Roman" w:hAnsi="Times New Roman" w:cs="Times New Roman"/>
        </w:rPr>
        <w:t>is</w:t>
      </w:r>
      <w:proofErr w:type="gramEnd"/>
      <w:r w:rsidRPr="680361B0">
        <w:rPr>
          <w:rFonts w:ascii="Times New Roman" w:eastAsia="Times New Roman" w:hAnsi="Times New Roman" w:cs="Times New Roman"/>
        </w:rPr>
        <w:t xml:space="preserve"> also crucial. Workforce analytics is </w:t>
      </w:r>
      <w:r w:rsidR="5B34761E" w:rsidRPr="680361B0">
        <w:rPr>
          <w:rFonts w:ascii="Times New Roman" w:eastAsia="Times New Roman" w:hAnsi="Times New Roman" w:cs="Times New Roman"/>
        </w:rPr>
        <w:t>one-way</w:t>
      </w:r>
      <w:r w:rsidRPr="680361B0">
        <w:rPr>
          <w:rFonts w:ascii="Times New Roman" w:eastAsia="Times New Roman" w:hAnsi="Times New Roman" w:cs="Times New Roman"/>
        </w:rPr>
        <w:t xml:space="preserve"> managers can regularly measure recruitment outcomes, employee engagement scores, staff turnover, diversity measures, and learning effectiveness. Continuous observation is a tool for identifying problems with implementation early and concurrently </w:t>
      </w:r>
      <w:r w:rsidR="4C88B0D0" w:rsidRPr="680361B0">
        <w:rPr>
          <w:rFonts w:ascii="Times New Roman" w:eastAsia="Times New Roman" w:hAnsi="Times New Roman" w:cs="Times New Roman"/>
        </w:rPr>
        <w:t>aids with</w:t>
      </w:r>
      <w:r w:rsidRPr="680361B0">
        <w:rPr>
          <w:rFonts w:ascii="Times New Roman" w:eastAsia="Times New Roman" w:hAnsi="Times New Roman" w:cs="Times New Roman"/>
        </w:rPr>
        <w:t xml:space="preserve"> evidence-based improvement (Marler and Boudreau, 2017).</w:t>
      </w:r>
    </w:p>
    <w:p w14:paraId="2FADA2E4" w14:textId="47E16F1F"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However, as much as may be disliked, it is organisational culture that is the real key to implementation success. A strong inclusive culture is more likely to have characteristics that enable teamwork, psychological safety and employee engagement, where individuals can share ideas and are not afraid of punishment or discrimination for their ideas (Edmondson, 2019). Managers need to actively thwart discriminatory behaviours and promote fair access and opportunities; they also need to maintain the inclusive organisational values </w:t>
      </w:r>
      <w:r w:rsidR="37FA0093" w:rsidRPr="680361B0">
        <w:rPr>
          <w:rFonts w:ascii="Times New Roman" w:eastAsia="Times New Roman" w:hAnsi="Times New Roman" w:cs="Times New Roman"/>
        </w:rPr>
        <w:t>daily</w:t>
      </w:r>
      <w:r w:rsidRPr="680361B0">
        <w:rPr>
          <w:rFonts w:ascii="Times New Roman" w:eastAsia="Times New Roman" w:hAnsi="Times New Roman" w:cs="Times New Roman"/>
        </w:rPr>
        <w:t xml:space="preserve"> as part of their organizational leadership rather than relying on the formal HR policies (CIPD 2025).</w:t>
      </w:r>
    </w:p>
    <w:p w14:paraId="3B5BA07E" w14:textId="17C5FB95"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182FF28A" w14:textId="496BA90F"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Conclusion and Recommendations</w:t>
      </w:r>
    </w:p>
    <w:p w14:paraId="605E6AEC" w14:textId="26124995"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 </w:t>
      </w:r>
    </w:p>
    <w:p w14:paraId="36089DB4" w14:textId="0FFCEC5F"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Tesco is in a retail sector that moves at a </w:t>
      </w:r>
      <w:r w:rsidR="37FA0093" w:rsidRPr="680361B0">
        <w:rPr>
          <w:rFonts w:ascii="Times New Roman" w:eastAsia="Times New Roman" w:hAnsi="Times New Roman" w:cs="Times New Roman"/>
        </w:rPr>
        <w:t>rapid</w:t>
      </w:r>
      <w:r w:rsidRPr="680361B0">
        <w:rPr>
          <w:rFonts w:ascii="Times New Roman" w:eastAsia="Times New Roman" w:hAnsi="Times New Roman" w:cs="Times New Roman"/>
        </w:rPr>
        <w:t xml:space="preserve"> pace, and technological advancement, talent management, along with diversity are leading strategic priorities. Systems like digital HR tools, more strategic workforce planning, recruitment that is truly inclusive and employee engagement drives work well in today's HR world to deal with these issues. However, results will rely on how well managers do the job on a regular basis, supported by strong leadership, clear communication, constant performance tracking and a supportive culture – all of which need to be sustained.</w:t>
      </w:r>
    </w:p>
    <w:p w14:paraId="21BC99CB" w14:textId="2A3EDCE1" w:rsidR="364E4644" w:rsidRDefault="364E4644" w:rsidP="680361B0">
      <w:pPr>
        <w:spacing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Consequently, Tesco needs to continuously invest on digital skills development, building up </w:t>
      </w:r>
      <w:r w:rsidR="5B34761E" w:rsidRPr="680361B0">
        <w:rPr>
          <w:rFonts w:ascii="Times New Roman" w:eastAsia="Times New Roman" w:hAnsi="Times New Roman" w:cs="Times New Roman"/>
        </w:rPr>
        <w:t>evidence-based</w:t>
      </w:r>
      <w:r w:rsidRPr="680361B0">
        <w:rPr>
          <w:rFonts w:ascii="Times New Roman" w:eastAsia="Times New Roman" w:hAnsi="Times New Roman" w:cs="Times New Roman"/>
        </w:rPr>
        <w:t xml:space="preserve"> workforce analytics under ethical oversight, and enhancing leadership development programme on inclusive management to support future HR performance. </w:t>
      </w:r>
      <w:r w:rsidRPr="680361B0">
        <w:rPr>
          <w:rFonts w:ascii="Times New Roman" w:eastAsia="Times New Roman" w:hAnsi="Times New Roman" w:cs="Times New Roman"/>
        </w:rPr>
        <w:lastRenderedPageBreak/>
        <w:t>Simultaneously involve staff more heavily in the process of organisational change, as this helps to alleviate change over and opposition.</w:t>
      </w:r>
    </w:p>
    <w:p w14:paraId="6918EEE0" w14:textId="38375764" w:rsidR="680361B0" w:rsidRDefault="680361B0" w:rsidP="680361B0">
      <w:pPr>
        <w:spacing w:line="360" w:lineRule="auto"/>
        <w:jc w:val="both"/>
        <w:rPr>
          <w:rFonts w:ascii="Times New Roman" w:eastAsia="Times New Roman" w:hAnsi="Times New Roman" w:cs="Times New Roman"/>
        </w:rPr>
      </w:pPr>
    </w:p>
    <w:p w14:paraId="54EE55EA" w14:textId="73F6C870" w:rsidR="680361B0" w:rsidRDefault="680361B0" w:rsidP="680361B0">
      <w:pPr>
        <w:spacing w:line="360" w:lineRule="auto"/>
        <w:jc w:val="both"/>
        <w:rPr>
          <w:rFonts w:ascii="Times New Roman" w:eastAsia="Times New Roman" w:hAnsi="Times New Roman" w:cs="Times New Roman"/>
        </w:rPr>
      </w:pPr>
    </w:p>
    <w:p w14:paraId="12316FEC" w14:textId="510A2F32" w:rsidR="0C1C1CEF" w:rsidRDefault="0C1C1CEF" w:rsidP="680361B0">
      <w:pPr>
        <w:pStyle w:val="Heading1"/>
        <w:spacing w:before="322" w:after="322" w:line="360" w:lineRule="auto"/>
        <w:jc w:val="both"/>
        <w:rPr>
          <w:rFonts w:ascii="Times New Roman" w:eastAsia="Times New Roman" w:hAnsi="Times New Roman" w:cs="Times New Roman"/>
          <w:b/>
          <w:bCs/>
          <w:color w:val="auto"/>
          <w:sz w:val="24"/>
          <w:szCs w:val="24"/>
        </w:rPr>
      </w:pPr>
      <w:r w:rsidRPr="680361B0">
        <w:rPr>
          <w:rFonts w:ascii="Times New Roman" w:eastAsia="Times New Roman" w:hAnsi="Times New Roman" w:cs="Times New Roman"/>
          <w:b/>
          <w:bCs/>
          <w:color w:val="auto"/>
          <w:sz w:val="24"/>
          <w:szCs w:val="24"/>
        </w:rPr>
        <w:t xml:space="preserve">Reference List </w:t>
      </w:r>
    </w:p>
    <w:p w14:paraId="10F34F16" w14:textId="11402B91"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Armstrong, M. and Taylor, S. (2023) </w:t>
      </w:r>
      <w:r w:rsidRPr="680361B0">
        <w:rPr>
          <w:rFonts w:ascii="Times New Roman" w:eastAsia="Times New Roman" w:hAnsi="Times New Roman" w:cs="Times New Roman"/>
          <w:i/>
          <w:iCs/>
        </w:rPr>
        <w:t>Armstrong's handbook of human resource management practice</w:t>
      </w:r>
      <w:r w:rsidRPr="680361B0">
        <w:rPr>
          <w:rFonts w:ascii="Times New Roman" w:eastAsia="Times New Roman" w:hAnsi="Times New Roman" w:cs="Times New Roman"/>
        </w:rPr>
        <w:t xml:space="preserve">. 16th edn. London: Kogan Page. </w:t>
      </w:r>
    </w:p>
    <w:p w14:paraId="3B5F3AFC" w14:textId="4E225BF9"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Backhaus, K. and Tikoo, S. (2004) ‘Conceptualizing and researching employer branding’, </w:t>
      </w:r>
      <w:r w:rsidRPr="680361B0">
        <w:rPr>
          <w:rFonts w:ascii="Times New Roman" w:eastAsia="Times New Roman" w:hAnsi="Times New Roman" w:cs="Times New Roman"/>
          <w:i/>
          <w:iCs/>
        </w:rPr>
        <w:t>Career Development International</w:t>
      </w:r>
      <w:r w:rsidRPr="680361B0">
        <w:rPr>
          <w:rFonts w:ascii="Times New Roman" w:eastAsia="Times New Roman" w:hAnsi="Times New Roman" w:cs="Times New Roman"/>
        </w:rPr>
        <w:t>, 9(5), pp. 501–517.</w:t>
      </w:r>
    </w:p>
    <w:p w14:paraId="4B34DF86" w14:textId="3B83CB6B"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Bass, B.M. and Riggio, R.E. (2006) </w:t>
      </w:r>
      <w:r w:rsidRPr="680361B0">
        <w:rPr>
          <w:rFonts w:ascii="Times New Roman" w:eastAsia="Times New Roman" w:hAnsi="Times New Roman" w:cs="Times New Roman"/>
          <w:i/>
          <w:iCs/>
        </w:rPr>
        <w:t>Transformational leadership</w:t>
      </w:r>
      <w:r w:rsidRPr="680361B0">
        <w:rPr>
          <w:rFonts w:ascii="Times New Roman" w:eastAsia="Times New Roman" w:hAnsi="Times New Roman" w:cs="Times New Roman"/>
        </w:rPr>
        <w:t>. 2nd edn. Mahwah, NJ: Lawrence Erlbaum Associates.</w:t>
      </w:r>
    </w:p>
    <w:p w14:paraId="5EBC4245" w14:textId="63CA8B87"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Boxall, P. and Purcell, J. (2022) </w:t>
      </w:r>
      <w:r w:rsidRPr="680361B0">
        <w:rPr>
          <w:rFonts w:ascii="Times New Roman" w:eastAsia="Times New Roman" w:hAnsi="Times New Roman" w:cs="Times New Roman"/>
          <w:i/>
          <w:iCs/>
        </w:rPr>
        <w:t>Strategy and human resource management</w:t>
      </w:r>
      <w:r w:rsidRPr="680361B0">
        <w:rPr>
          <w:rFonts w:ascii="Times New Roman" w:eastAsia="Times New Roman" w:hAnsi="Times New Roman" w:cs="Times New Roman"/>
        </w:rPr>
        <w:t>. 5th edn. London: Red Globe Press.</w:t>
      </w:r>
    </w:p>
    <w:p w14:paraId="52DD3EBA" w14:textId="1B3C2CCB"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Bratton, J. and Gold, J. (2022) </w:t>
      </w:r>
      <w:r w:rsidRPr="680361B0">
        <w:rPr>
          <w:rFonts w:ascii="Times New Roman" w:eastAsia="Times New Roman" w:hAnsi="Times New Roman" w:cs="Times New Roman"/>
          <w:i/>
          <w:iCs/>
        </w:rPr>
        <w:t>Human resource management: Theory and practice</w:t>
      </w:r>
      <w:r w:rsidRPr="680361B0">
        <w:rPr>
          <w:rFonts w:ascii="Times New Roman" w:eastAsia="Times New Roman" w:hAnsi="Times New Roman" w:cs="Times New Roman"/>
        </w:rPr>
        <w:t>. 8th edn. London: Red Globe Press.</w:t>
      </w:r>
    </w:p>
    <w:p w14:paraId="0EECB84A" w14:textId="21B8ECDD"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Chartered Institute of Personnel and Development (CIPD) (2024) </w:t>
      </w:r>
      <w:r w:rsidRPr="680361B0">
        <w:rPr>
          <w:rFonts w:ascii="Times New Roman" w:eastAsia="Times New Roman" w:hAnsi="Times New Roman" w:cs="Times New Roman"/>
          <w:i/>
          <w:iCs/>
        </w:rPr>
        <w:t>Strategic human resource management factsheet</w:t>
      </w:r>
      <w:r w:rsidRPr="680361B0">
        <w:rPr>
          <w:rFonts w:ascii="Times New Roman" w:eastAsia="Times New Roman" w:hAnsi="Times New Roman" w:cs="Times New Roman"/>
        </w:rPr>
        <w:t xml:space="preserve">. Available at: </w:t>
      </w:r>
      <w:hyperlink r:id="rId5">
        <w:r w:rsidRPr="680361B0">
          <w:rPr>
            <w:rStyle w:val="Hyperlink"/>
            <w:color w:val="auto"/>
          </w:rPr>
          <w:t>https://www.cipd.org/en/knowledge/factsheets/strategic-hrm-factsheet/</w:t>
        </w:r>
      </w:hyperlink>
      <w:r w:rsidRPr="680361B0">
        <w:rPr>
          <w:rFonts w:ascii="Times New Roman" w:eastAsia="Times New Roman" w:hAnsi="Times New Roman" w:cs="Times New Roman"/>
        </w:rPr>
        <w:t xml:space="preserve"> (Accessed: 30 July 2026). </w:t>
      </w:r>
    </w:p>
    <w:p w14:paraId="6F4C6996" w14:textId="0446F1C7"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Chartered Institute of Personnel and Development (CIPD) (2025) </w:t>
      </w:r>
      <w:r w:rsidRPr="680361B0">
        <w:rPr>
          <w:rFonts w:ascii="Times New Roman" w:eastAsia="Times New Roman" w:hAnsi="Times New Roman" w:cs="Times New Roman"/>
          <w:i/>
          <w:iCs/>
        </w:rPr>
        <w:t>Labour market outlook: Winter 2024/25</w:t>
      </w:r>
      <w:r w:rsidRPr="680361B0">
        <w:rPr>
          <w:rFonts w:ascii="Times New Roman" w:eastAsia="Times New Roman" w:hAnsi="Times New Roman" w:cs="Times New Roman"/>
        </w:rPr>
        <w:t>. London: CIPD.</w:t>
      </w:r>
    </w:p>
    <w:p w14:paraId="19E7D9F5" w14:textId="0B9B6C3C"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Colquitt, J.A., LePine, J.A. and Wesson, M.J. (2013) </w:t>
      </w:r>
      <w:r w:rsidRPr="680361B0">
        <w:rPr>
          <w:rFonts w:ascii="Times New Roman" w:eastAsia="Times New Roman" w:hAnsi="Times New Roman" w:cs="Times New Roman"/>
          <w:i/>
          <w:iCs/>
        </w:rPr>
        <w:t>Organizational behavior: Improving performance and commitment in the workplace</w:t>
      </w:r>
      <w:r w:rsidRPr="680361B0">
        <w:rPr>
          <w:rFonts w:ascii="Times New Roman" w:eastAsia="Times New Roman" w:hAnsi="Times New Roman" w:cs="Times New Roman"/>
        </w:rPr>
        <w:t>. 3rd edn. New York: McGraw-Hill.</w:t>
      </w:r>
    </w:p>
    <w:p w14:paraId="5C06D4A4" w14:textId="387A28F3"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Edmondson, A.C. (2019) </w:t>
      </w:r>
      <w:r w:rsidRPr="680361B0">
        <w:rPr>
          <w:rFonts w:ascii="Times New Roman" w:eastAsia="Times New Roman" w:hAnsi="Times New Roman" w:cs="Times New Roman"/>
          <w:i/>
          <w:iCs/>
        </w:rPr>
        <w:t>The fearless organization: Creating psychological safety in the workplace for learning, innovation, and growth</w:t>
      </w:r>
      <w:r w:rsidRPr="680361B0">
        <w:rPr>
          <w:rFonts w:ascii="Times New Roman" w:eastAsia="Times New Roman" w:hAnsi="Times New Roman" w:cs="Times New Roman"/>
        </w:rPr>
        <w:t>. Hoboken, NJ: Wiley.</w:t>
      </w:r>
    </w:p>
    <w:p w14:paraId="429B7B7C" w14:textId="0AE9EC3E"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Hom, P.W., Lee, T.W., Shaw, J.D. and Hausknecht, J.P. (2017) ‘One hundred years of employee turnover theory and research’, </w:t>
      </w:r>
      <w:r w:rsidRPr="680361B0">
        <w:rPr>
          <w:rFonts w:ascii="Times New Roman" w:eastAsia="Times New Roman" w:hAnsi="Times New Roman" w:cs="Times New Roman"/>
          <w:i/>
          <w:iCs/>
        </w:rPr>
        <w:t>Journal of Applied Psychology</w:t>
      </w:r>
      <w:r w:rsidRPr="680361B0">
        <w:rPr>
          <w:rFonts w:ascii="Times New Roman" w:eastAsia="Times New Roman" w:hAnsi="Times New Roman" w:cs="Times New Roman"/>
        </w:rPr>
        <w:t>, 102(3), pp. 530–545.</w:t>
      </w:r>
    </w:p>
    <w:p w14:paraId="57A76930" w14:textId="1DDFC370"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lastRenderedPageBreak/>
        <w:t xml:space="preserve">Kahn, W.A. (1990) ‘Psychological conditions of personal engagement and disengagement at work’, </w:t>
      </w:r>
      <w:r w:rsidRPr="680361B0">
        <w:rPr>
          <w:rFonts w:ascii="Times New Roman" w:eastAsia="Times New Roman" w:hAnsi="Times New Roman" w:cs="Times New Roman"/>
          <w:i/>
          <w:iCs/>
        </w:rPr>
        <w:t>Academy of Management Journal</w:t>
      </w:r>
      <w:r w:rsidRPr="680361B0">
        <w:rPr>
          <w:rFonts w:ascii="Times New Roman" w:eastAsia="Times New Roman" w:hAnsi="Times New Roman" w:cs="Times New Roman"/>
        </w:rPr>
        <w:t>, 33(4), pp. 692–724.</w:t>
      </w:r>
    </w:p>
    <w:p w14:paraId="01B55178" w14:textId="2828937B"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Kotter, J.P. (2012) </w:t>
      </w:r>
      <w:r w:rsidRPr="680361B0">
        <w:rPr>
          <w:rFonts w:ascii="Times New Roman" w:eastAsia="Times New Roman" w:hAnsi="Times New Roman" w:cs="Times New Roman"/>
          <w:i/>
          <w:iCs/>
        </w:rPr>
        <w:t>Leading change</w:t>
      </w:r>
      <w:r w:rsidRPr="680361B0">
        <w:rPr>
          <w:rFonts w:ascii="Times New Roman" w:eastAsia="Times New Roman" w:hAnsi="Times New Roman" w:cs="Times New Roman"/>
        </w:rPr>
        <w:t>. Boston, MA: Harvard Business Review Press.</w:t>
      </w:r>
    </w:p>
    <w:p w14:paraId="46997AD8" w14:textId="7C5515F0"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Marler, J.H. and Boudreau, J.W. (2017) ‘An evidence-based review of HR analytics’, </w:t>
      </w:r>
      <w:r w:rsidRPr="680361B0">
        <w:rPr>
          <w:rFonts w:ascii="Times New Roman" w:eastAsia="Times New Roman" w:hAnsi="Times New Roman" w:cs="Times New Roman"/>
          <w:i/>
          <w:iCs/>
        </w:rPr>
        <w:t>International Journal of Human Resource Management</w:t>
      </w:r>
      <w:r w:rsidRPr="680361B0">
        <w:rPr>
          <w:rFonts w:ascii="Times New Roman" w:eastAsia="Times New Roman" w:hAnsi="Times New Roman" w:cs="Times New Roman"/>
        </w:rPr>
        <w:t>, 28(1), pp. 3–26.</w:t>
      </w:r>
    </w:p>
    <w:p w14:paraId="0F2F2177" w14:textId="5BAD5430"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Purcell, J. and Hutchinson, S. (2007) ‘Front-line managers as agents in the HRM-performance causal chain’, </w:t>
      </w:r>
      <w:r w:rsidRPr="680361B0">
        <w:rPr>
          <w:rFonts w:ascii="Times New Roman" w:eastAsia="Times New Roman" w:hAnsi="Times New Roman" w:cs="Times New Roman"/>
          <w:i/>
          <w:iCs/>
        </w:rPr>
        <w:t>Human Resource Management Journal</w:t>
      </w:r>
      <w:r w:rsidRPr="680361B0">
        <w:rPr>
          <w:rFonts w:ascii="Times New Roman" w:eastAsia="Times New Roman" w:hAnsi="Times New Roman" w:cs="Times New Roman"/>
        </w:rPr>
        <w:t>, 17(1), pp. 3–20.</w:t>
      </w:r>
    </w:p>
    <w:p w14:paraId="3AE11104" w14:textId="5BB1BF87"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Roberson, Q. (2019) ‘Diversity in the workplace: A review, synthesis, and future research agenda’, </w:t>
      </w:r>
      <w:r w:rsidRPr="680361B0">
        <w:rPr>
          <w:rFonts w:ascii="Times New Roman" w:eastAsia="Times New Roman" w:hAnsi="Times New Roman" w:cs="Times New Roman"/>
          <w:i/>
          <w:iCs/>
        </w:rPr>
        <w:t>Annual Review of Organizational Psychology and Organizational Behavior</w:t>
      </w:r>
      <w:r w:rsidRPr="680361B0">
        <w:rPr>
          <w:rFonts w:ascii="Times New Roman" w:eastAsia="Times New Roman" w:hAnsi="Times New Roman" w:cs="Times New Roman"/>
        </w:rPr>
        <w:t>, 6, pp. 69–88.</w:t>
      </w:r>
    </w:p>
    <w:p w14:paraId="1BB9590E" w14:textId="2672DEDB"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Shore, L.M., Cleveland, J.N. and Sanchez, D. (2018) ‘Inclusive workplaces: A review and model’, </w:t>
      </w:r>
      <w:r w:rsidRPr="680361B0">
        <w:rPr>
          <w:rFonts w:ascii="Times New Roman" w:eastAsia="Times New Roman" w:hAnsi="Times New Roman" w:cs="Times New Roman"/>
          <w:i/>
          <w:iCs/>
        </w:rPr>
        <w:t>Human Resource Management Review</w:t>
      </w:r>
      <w:r w:rsidRPr="680361B0">
        <w:rPr>
          <w:rFonts w:ascii="Times New Roman" w:eastAsia="Times New Roman" w:hAnsi="Times New Roman" w:cs="Times New Roman"/>
        </w:rPr>
        <w:t>, 28(2), pp. 176–189.</w:t>
      </w:r>
    </w:p>
    <w:p w14:paraId="0662A67C" w14:textId="079CC75D"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Stone, D.L., Deadrick, D.L., Lukaszewski, K.M. and Johnson, R. (2020) ‘The influence of technology on the future of human resource management’, </w:t>
      </w:r>
      <w:r w:rsidRPr="680361B0">
        <w:rPr>
          <w:rFonts w:ascii="Times New Roman" w:eastAsia="Times New Roman" w:hAnsi="Times New Roman" w:cs="Times New Roman"/>
          <w:i/>
          <w:iCs/>
        </w:rPr>
        <w:t>Human Resource Management Review</w:t>
      </w:r>
      <w:r w:rsidRPr="680361B0">
        <w:rPr>
          <w:rFonts w:ascii="Times New Roman" w:eastAsia="Times New Roman" w:hAnsi="Times New Roman" w:cs="Times New Roman"/>
        </w:rPr>
        <w:t>, 30(1), 100686.</w:t>
      </w:r>
    </w:p>
    <w:p w14:paraId="4F66ED27" w14:textId="2D12988D"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Tesco PLC (2025) </w:t>
      </w:r>
      <w:r w:rsidRPr="680361B0">
        <w:rPr>
          <w:rFonts w:ascii="Times New Roman" w:eastAsia="Times New Roman" w:hAnsi="Times New Roman" w:cs="Times New Roman"/>
          <w:i/>
          <w:iCs/>
        </w:rPr>
        <w:t>Annual Report and Financial Statements 2025</w:t>
      </w:r>
      <w:r w:rsidRPr="680361B0">
        <w:rPr>
          <w:rFonts w:ascii="Times New Roman" w:eastAsia="Times New Roman" w:hAnsi="Times New Roman" w:cs="Times New Roman"/>
        </w:rPr>
        <w:t>. Welwyn Garden City: Tesco PLC.</w:t>
      </w:r>
    </w:p>
    <w:p w14:paraId="29DF443F" w14:textId="544C2566"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Tesco PLC (2025) </w:t>
      </w:r>
      <w:r w:rsidRPr="680361B0">
        <w:rPr>
          <w:rFonts w:ascii="Times New Roman" w:eastAsia="Times New Roman" w:hAnsi="Times New Roman" w:cs="Times New Roman"/>
          <w:i/>
          <w:iCs/>
        </w:rPr>
        <w:t>Sustainability Report 2025</w:t>
      </w:r>
      <w:r w:rsidRPr="680361B0">
        <w:rPr>
          <w:rFonts w:ascii="Times New Roman" w:eastAsia="Times New Roman" w:hAnsi="Times New Roman" w:cs="Times New Roman"/>
        </w:rPr>
        <w:t>. Welwyn Garden City: Tesco PLC.</w:t>
      </w:r>
    </w:p>
    <w:p w14:paraId="0EA516D9" w14:textId="3DDAE4EB" w:rsidR="0C1C1CEF" w:rsidRDefault="0C1C1CEF" w:rsidP="680361B0">
      <w:pPr>
        <w:spacing w:before="240" w:after="240" w:line="360" w:lineRule="auto"/>
        <w:jc w:val="both"/>
        <w:rPr>
          <w:rFonts w:ascii="Times New Roman" w:eastAsia="Times New Roman" w:hAnsi="Times New Roman" w:cs="Times New Roman"/>
        </w:rPr>
      </w:pPr>
      <w:r w:rsidRPr="680361B0">
        <w:rPr>
          <w:rFonts w:ascii="Times New Roman" w:eastAsia="Times New Roman" w:hAnsi="Times New Roman" w:cs="Times New Roman"/>
        </w:rPr>
        <w:t xml:space="preserve">Wilton, N. (2022) </w:t>
      </w:r>
      <w:r w:rsidRPr="680361B0">
        <w:rPr>
          <w:rFonts w:ascii="Times New Roman" w:eastAsia="Times New Roman" w:hAnsi="Times New Roman" w:cs="Times New Roman"/>
          <w:i/>
          <w:iCs/>
        </w:rPr>
        <w:t>An introduction to human resource management</w:t>
      </w:r>
      <w:r w:rsidRPr="680361B0">
        <w:rPr>
          <w:rFonts w:ascii="Times New Roman" w:eastAsia="Times New Roman" w:hAnsi="Times New Roman" w:cs="Times New Roman"/>
        </w:rPr>
        <w:t>. 4th edn. London: Sage Publications.</w:t>
      </w:r>
    </w:p>
    <w:p w14:paraId="040501BD" w14:textId="10C31356" w:rsidR="680361B0" w:rsidRDefault="680361B0" w:rsidP="680361B0">
      <w:pPr>
        <w:spacing w:line="360" w:lineRule="auto"/>
        <w:jc w:val="both"/>
        <w:rPr>
          <w:rFonts w:ascii="Times New Roman" w:eastAsia="Times New Roman" w:hAnsi="Times New Roman" w:cs="Times New Roman"/>
        </w:rPr>
      </w:pPr>
    </w:p>
    <w:sectPr w:rsidR="680361B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0DA337"/>
    <w:rsid w:val="00834193"/>
    <w:rsid w:val="00895A05"/>
    <w:rsid w:val="00E24C07"/>
    <w:rsid w:val="0718D907"/>
    <w:rsid w:val="0C1C1CEF"/>
    <w:rsid w:val="0DD845B2"/>
    <w:rsid w:val="0E2F54AD"/>
    <w:rsid w:val="0E79D7B2"/>
    <w:rsid w:val="11FD9FE2"/>
    <w:rsid w:val="142698D3"/>
    <w:rsid w:val="14632274"/>
    <w:rsid w:val="16EE3703"/>
    <w:rsid w:val="1704C0BE"/>
    <w:rsid w:val="1DA9E396"/>
    <w:rsid w:val="203A52B9"/>
    <w:rsid w:val="220DA337"/>
    <w:rsid w:val="23450F97"/>
    <w:rsid w:val="276BB959"/>
    <w:rsid w:val="2A8BA1E9"/>
    <w:rsid w:val="2CA31B6A"/>
    <w:rsid w:val="2E0A1E54"/>
    <w:rsid w:val="2EF7ADBC"/>
    <w:rsid w:val="34578E4B"/>
    <w:rsid w:val="358398C1"/>
    <w:rsid w:val="364E4644"/>
    <w:rsid w:val="37FA0093"/>
    <w:rsid w:val="38AFB67B"/>
    <w:rsid w:val="3BB9F7BD"/>
    <w:rsid w:val="3E213050"/>
    <w:rsid w:val="3FD905D5"/>
    <w:rsid w:val="44CF3507"/>
    <w:rsid w:val="4911C1FC"/>
    <w:rsid w:val="4AC4B904"/>
    <w:rsid w:val="4C88B0D0"/>
    <w:rsid w:val="4CD121A2"/>
    <w:rsid w:val="542D6D2F"/>
    <w:rsid w:val="55AB595B"/>
    <w:rsid w:val="56B54B8B"/>
    <w:rsid w:val="56EC19F2"/>
    <w:rsid w:val="5B34761E"/>
    <w:rsid w:val="5D18E122"/>
    <w:rsid w:val="5DBF1FF5"/>
    <w:rsid w:val="5DBF9C94"/>
    <w:rsid w:val="5E798D6C"/>
    <w:rsid w:val="61ED0EDC"/>
    <w:rsid w:val="64030A70"/>
    <w:rsid w:val="680361B0"/>
    <w:rsid w:val="6E69DD68"/>
    <w:rsid w:val="6F746F70"/>
    <w:rsid w:val="7148D280"/>
    <w:rsid w:val="75473EEB"/>
    <w:rsid w:val="7808F451"/>
    <w:rsid w:val="7D55768D"/>
    <w:rsid w:val="7DAE2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6DB08"/>
  <w15:chartTrackingRefBased/>
  <w15:docId w15:val="{11C014B1-0806-471E-8663-EF569EFD7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80361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80361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ipd.org/en/knowledge/factsheets/strategic-hrm-factsheet/"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2752</Words>
  <Characters>15692</Characters>
  <Application>Microsoft Office Word</Application>
  <DocSecurity>0</DocSecurity>
  <Lines>130</Lines>
  <Paragraphs>36</Paragraphs>
  <ScaleCrop>false</ScaleCrop>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Bobe</dc:creator>
  <cp:keywords/>
  <dc:description/>
  <cp:lastModifiedBy>louna Begum</cp:lastModifiedBy>
  <cp:revision>2</cp:revision>
  <dcterms:created xsi:type="dcterms:W3CDTF">2026-08-10T19:13:00Z</dcterms:created>
  <dcterms:modified xsi:type="dcterms:W3CDTF">2026-08-10T19:13:00Z</dcterms:modified>
</cp:coreProperties>
</file>