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67E00" w:rsidR="006960B9" w:rsidP="006960B9" w:rsidRDefault="006960B9" w14:paraId="4DA02E6D" w14:textId="700B5E57">
      <w:pPr>
        <w:pStyle w:val="Default"/>
        <w:spacing w:line="360" w:lineRule="auto"/>
        <w:jc w:val="right"/>
        <w:rPr>
          <w:b w:val="1"/>
          <w:bCs w:val="1"/>
          <w:sz w:val="22"/>
          <w:szCs w:val="22"/>
          <w:lang w:val="en-GB"/>
        </w:rPr>
      </w:pPr>
      <w:r w:rsidR="0E076250">
        <w:rPr/>
        <w:t xml:space="preserve"> </w:t>
      </w:r>
      <w:r w:rsidR="006960B9">
        <w:drawing>
          <wp:inline wp14:editId="636D4828" wp14:anchorId="3A771F25">
            <wp:extent cx="2050990" cy="666115"/>
            <wp:effectExtent l="0" t="0" r="6985" b="635"/>
            <wp:docPr id="42335242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2059161" cy="668769"/>
                    </a:xfrm>
                    <a:prstGeom prst="rect">
                      <a:avLst/>
                    </a:prstGeom>
                    <a:noFill/>
                    <a:ln>
                      <a:noFill/>
                    </a:ln>
                  </pic:spPr>
                </pic:pic>
              </a:graphicData>
            </a:graphic>
          </wp:inline>
        </w:drawing>
      </w:r>
    </w:p>
    <w:p w:rsidRPr="00A67E00" w:rsidR="006960B9" w:rsidP="006960B9" w:rsidRDefault="006960B9" w14:paraId="1521EE82" w14:textId="77777777">
      <w:pPr>
        <w:pStyle w:val="Default"/>
        <w:spacing w:line="360" w:lineRule="auto"/>
        <w:jc w:val="both"/>
        <w:rPr>
          <w:b/>
          <w:bCs/>
          <w:sz w:val="22"/>
          <w:szCs w:val="22"/>
          <w:lang w:val="en-GB"/>
        </w:rPr>
      </w:pPr>
    </w:p>
    <w:p w:rsidRPr="00A67E00" w:rsidR="006960B9" w:rsidP="006960B9" w:rsidRDefault="006960B9" w14:paraId="51C79BB6" w14:textId="77777777">
      <w:pPr>
        <w:pStyle w:val="Default"/>
        <w:spacing w:line="360" w:lineRule="auto"/>
        <w:jc w:val="both"/>
        <w:rPr>
          <w:b/>
          <w:bCs/>
          <w:sz w:val="22"/>
          <w:szCs w:val="22"/>
          <w:lang w:val="en-GB"/>
        </w:rPr>
      </w:pPr>
    </w:p>
    <w:p w:rsidRPr="00A67E00" w:rsidR="006960B9" w:rsidP="006960B9" w:rsidRDefault="006960B9" w14:paraId="71AD6E94" w14:textId="77777777">
      <w:pPr>
        <w:pStyle w:val="Default"/>
        <w:spacing w:line="360" w:lineRule="auto"/>
        <w:jc w:val="both"/>
        <w:rPr>
          <w:b/>
          <w:bCs/>
          <w:sz w:val="22"/>
          <w:szCs w:val="22"/>
          <w:lang w:val="en-GB"/>
        </w:rPr>
      </w:pPr>
    </w:p>
    <w:p w:rsidRPr="00A67E00" w:rsidR="006960B9" w:rsidP="006960B9" w:rsidRDefault="006960B9" w14:paraId="25781F53" w14:textId="77777777">
      <w:pPr>
        <w:pStyle w:val="Default"/>
        <w:spacing w:line="360" w:lineRule="auto"/>
        <w:jc w:val="both"/>
        <w:rPr>
          <w:b/>
          <w:bCs/>
          <w:sz w:val="22"/>
          <w:szCs w:val="22"/>
          <w:lang w:val="en-GB"/>
        </w:rPr>
      </w:pPr>
    </w:p>
    <w:p w:rsidRPr="00A67E00" w:rsidR="006960B9" w:rsidP="006960B9" w:rsidRDefault="006960B9" w14:paraId="17F7182E" w14:textId="69B97705">
      <w:pPr>
        <w:pStyle w:val="Default"/>
        <w:spacing w:line="360" w:lineRule="auto"/>
        <w:jc w:val="both"/>
      </w:pPr>
      <w:r w:rsidRPr="7016674F" w:rsidR="006960B9">
        <w:rPr>
          <w:b w:val="1"/>
          <w:bCs w:val="1"/>
          <w:sz w:val="22"/>
          <w:szCs w:val="22"/>
          <w:lang w:val="en-GB"/>
        </w:rPr>
        <w:t xml:space="preserve">NAME: </w:t>
      </w:r>
      <w:r w:rsidRPr="7016674F" w:rsidR="798F9BD1">
        <w:rPr>
          <w:b w:val="1"/>
          <w:bCs w:val="1"/>
          <w:sz w:val="22"/>
          <w:szCs w:val="22"/>
          <w:lang w:val="en-GB"/>
        </w:rPr>
        <w:t xml:space="preserve">  Evelyn Alexander</w:t>
      </w:r>
      <w:r w:rsidRPr="7016674F" w:rsidR="5D17C14D">
        <w:rPr>
          <w:b w:val="1"/>
          <w:bCs w:val="1"/>
          <w:sz w:val="22"/>
          <w:szCs w:val="22"/>
          <w:lang w:val="en-GB"/>
        </w:rPr>
        <w:t xml:space="preserve"> </w:t>
      </w:r>
    </w:p>
    <w:p w:rsidRPr="00A67E00" w:rsidR="006960B9" w:rsidP="7016674F" w:rsidRDefault="006960B9" w14:paraId="71084EC3" w14:textId="1444EDCD">
      <w:pPr>
        <w:pStyle w:val="Default"/>
        <w:spacing w:line="360" w:lineRule="auto"/>
        <w:jc w:val="both"/>
        <w:rPr>
          <w:b w:val="1"/>
          <w:bCs w:val="1"/>
          <w:sz w:val="22"/>
          <w:szCs w:val="22"/>
          <w:lang w:val="en-GB"/>
        </w:rPr>
      </w:pPr>
    </w:p>
    <w:p w:rsidRPr="00A67E00" w:rsidR="006960B9" w:rsidP="006960B9" w:rsidRDefault="006960B9" w14:paraId="54D2ACC3" w14:textId="4F634BDC">
      <w:pPr>
        <w:pStyle w:val="Default"/>
        <w:spacing w:line="360" w:lineRule="auto"/>
        <w:jc w:val="both"/>
        <w:rPr>
          <w:b w:val="1"/>
          <w:bCs w:val="1"/>
          <w:sz w:val="22"/>
          <w:szCs w:val="22"/>
          <w:lang w:val="en-GB"/>
        </w:rPr>
      </w:pPr>
      <w:r w:rsidRPr="7016674F" w:rsidR="5D17C14D">
        <w:rPr>
          <w:b w:val="1"/>
          <w:bCs w:val="1"/>
          <w:sz w:val="22"/>
          <w:szCs w:val="22"/>
          <w:lang w:val="en-GB"/>
        </w:rPr>
        <w:t>S</w:t>
      </w:r>
      <w:r w:rsidRPr="7016674F" w:rsidR="006960B9">
        <w:rPr>
          <w:b w:val="1"/>
          <w:bCs w:val="1"/>
          <w:sz w:val="22"/>
          <w:szCs w:val="22"/>
          <w:lang w:val="en-GB"/>
        </w:rPr>
        <w:t>TUDENT NUMBER:</w:t>
      </w:r>
      <w:r w:rsidRPr="7016674F" w:rsidR="7282E7F6">
        <w:rPr>
          <w:b w:val="1"/>
          <w:bCs w:val="1"/>
          <w:sz w:val="22"/>
          <w:szCs w:val="22"/>
          <w:lang w:val="en-GB"/>
        </w:rPr>
        <w:t xml:space="preserve"> 24176382</w:t>
      </w:r>
    </w:p>
    <w:p w:rsidRPr="00A67E00" w:rsidR="006960B9" w:rsidP="006960B9" w:rsidRDefault="006960B9" w14:paraId="313A9B91" w14:textId="77777777">
      <w:pPr>
        <w:pStyle w:val="Default"/>
        <w:spacing w:line="360" w:lineRule="auto"/>
        <w:jc w:val="both"/>
        <w:rPr>
          <w:b/>
          <w:bCs/>
          <w:sz w:val="22"/>
          <w:szCs w:val="22"/>
          <w:lang w:val="en-GB"/>
        </w:rPr>
      </w:pPr>
    </w:p>
    <w:p w:rsidRPr="00A67E00" w:rsidR="006960B9" w:rsidP="006960B9" w:rsidRDefault="006960B9" w14:paraId="306EE4A4" w14:textId="2FEA288A">
      <w:pPr>
        <w:pStyle w:val="Default"/>
        <w:spacing w:line="360" w:lineRule="auto"/>
        <w:jc w:val="both"/>
        <w:rPr>
          <w:b w:val="1"/>
          <w:bCs w:val="1"/>
          <w:sz w:val="22"/>
          <w:szCs w:val="22"/>
          <w:lang w:val="en-GB"/>
        </w:rPr>
      </w:pPr>
      <w:r w:rsidRPr="7016674F" w:rsidR="006960B9">
        <w:rPr>
          <w:b w:val="1"/>
          <w:bCs w:val="1"/>
          <w:sz w:val="22"/>
          <w:szCs w:val="22"/>
          <w:lang w:val="en-GB"/>
        </w:rPr>
        <w:t xml:space="preserve">MODULE CODE: </w:t>
      </w:r>
      <w:r w:rsidRPr="7016674F" w:rsidR="28FEC4A3">
        <w:rPr>
          <w:b w:val="1"/>
          <w:bCs w:val="1"/>
          <w:sz w:val="22"/>
          <w:szCs w:val="22"/>
          <w:lang w:val="en-GB"/>
        </w:rPr>
        <w:t>BMHP5023</w:t>
      </w:r>
    </w:p>
    <w:p w:rsidRPr="00A67E00" w:rsidR="006960B9" w:rsidP="006960B9" w:rsidRDefault="006960B9" w14:paraId="29462EB0" w14:textId="77777777">
      <w:pPr>
        <w:pStyle w:val="Default"/>
        <w:spacing w:line="360" w:lineRule="auto"/>
        <w:jc w:val="both"/>
        <w:rPr>
          <w:b/>
          <w:bCs/>
          <w:sz w:val="22"/>
          <w:szCs w:val="22"/>
          <w:lang w:val="en-GB"/>
        </w:rPr>
      </w:pPr>
    </w:p>
    <w:p w:rsidRPr="00A67E00" w:rsidR="006960B9" w:rsidP="006960B9" w:rsidRDefault="006960B9" w14:paraId="0479D7E1" w14:textId="1F2082CB">
      <w:pPr>
        <w:pStyle w:val="Default"/>
        <w:spacing w:line="360" w:lineRule="auto"/>
        <w:jc w:val="both"/>
        <w:rPr>
          <w:b w:val="1"/>
          <w:bCs w:val="1"/>
          <w:sz w:val="22"/>
          <w:szCs w:val="22"/>
          <w:lang w:val="en-GB"/>
        </w:rPr>
      </w:pPr>
      <w:r w:rsidRPr="7016674F" w:rsidR="006960B9">
        <w:rPr>
          <w:b w:val="1"/>
          <w:bCs w:val="1"/>
          <w:sz w:val="22"/>
          <w:szCs w:val="22"/>
          <w:lang w:val="en-GB"/>
        </w:rPr>
        <w:t>MODULE TITLE</w:t>
      </w:r>
      <w:r w:rsidRPr="7016674F" w:rsidR="006960B9">
        <w:rPr>
          <w:b w:val="1"/>
          <w:bCs w:val="1"/>
          <w:sz w:val="22"/>
          <w:szCs w:val="22"/>
          <w:lang w:val="en-GB"/>
        </w:rPr>
        <w:t>:</w:t>
      </w:r>
      <w:r w:rsidRPr="7016674F" w:rsidR="21524262">
        <w:rPr>
          <w:b w:val="1"/>
          <w:bCs w:val="1"/>
          <w:sz w:val="22"/>
          <w:szCs w:val="22"/>
          <w:lang w:val="en-GB"/>
        </w:rPr>
        <w:t xml:space="preserve"> </w:t>
      </w:r>
      <w:r w:rsidRPr="7016674F" w:rsidR="270F0C00">
        <w:rPr>
          <w:b w:val="1"/>
          <w:bCs w:val="1"/>
          <w:sz w:val="22"/>
          <w:szCs w:val="22"/>
          <w:lang w:val="en-GB"/>
        </w:rPr>
        <w:t>Intrduction to Physiology</w:t>
      </w:r>
    </w:p>
    <w:p w:rsidRPr="00A67E00" w:rsidR="006960B9" w:rsidP="006960B9" w:rsidRDefault="006960B9" w14:paraId="515B8038" w14:textId="77777777">
      <w:pPr>
        <w:pStyle w:val="Default"/>
        <w:spacing w:line="360" w:lineRule="auto"/>
        <w:jc w:val="both"/>
        <w:rPr>
          <w:b/>
          <w:bCs/>
          <w:sz w:val="22"/>
          <w:szCs w:val="22"/>
          <w:lang w:val="en-GB"/>
        </w:rPr>
      </w:pPr>
    </w:p>
    <w:p w:rsidRPr="00A67E00" w:rsidR="006960B9" w:rsidP="006960B9" w:rsidRDefault="006960B9" w14:paraId="3E52C800" w14:textId="4242B504">
      <w:pPr>
        <w:pStyle w:val="Default"/>
        <w:spacing w:line="360" w:lineRule="auto"/>
        <w:jc w:val="both"/>
        <w:rPr>
          <w:b w:val="1"/>
          <w:bCs w:val="1"/>
          <w:sz w:val="22"/>
          <w:szCs w:val="22"/>
          <w:lang w:val="en-GB"/>
        </w:rPr>
      </w:pPr>
      <w:r w:rsidRPr="7016674F" w:rsidR="006960B9">
        <w:rPr>
          <w:b w:val="1"/>
          <w:bCs w:val="1"/>
          <w:sz w:val="22"/>
          <w:szCs w:val="22"/>
          <w:lang w:val="en-GB"/>
        </w:rPr>
        <w:t xml:space="preserve"> LECTURER’S NAME:</w:t>
      </w:r>
      <w:r w:rsidRPr="7016674F" w:rsidR="25B78D32">
        <w:rPr>
          <w:b w:val="1"/>
          <w:bCs w:val="1"/>
          <w:sz w:val="22"/>
          <w:szCs w:val="22"/>
          <w:lang w:val="en-GB"/>
        </w:rPr>
        <w:t xml:space="preserve"> </w:t>
      </w:r>
      <w:r w:rsidRPr="7016674F" w:rsidR="6704BC06">
        <w:rPr>
          <w:b w:val="1"/>
          <w:bCs w:val="1"/>
          <w:sz w:val="22"/>
          <w:szCs w:val="22"/>
          <w:lang w:val="en-GB"/>
        </w:rPr>
        <w:t>Shaila Hussain</w:t>
      </w:r>
    </w:p>
    <w:p w:rsidRPr="00A67E00" w:rsidR="006960B9" w:rsidP="006960B9" w:rsidRDefault="006960B9" w14:paraId="08CF71CF" w14:textId="77777777">
      <w:pPr>
        <w:pStyle w:val="Default"/>
        <w:spacing w:line="360" w:lineRule="auto"/>
        <w:jc w:val="both"/>
        <w:rPr>
          <w:b/>
          <w:bCs/>
          <w:sz w:val="22"/>
          <w:szCs w:val="22"/>
          <w:lang w:val="en-GB"/>
        </w:rPr>
      </w:pPr>
    </w:p>
    <w:p w:rsidRPr="00A67E00" w:rsidR="006960B9" w:rsidP="006960B9" w:rsidRDefault="006960B9" w14:paraId="194DC275" w14:textId="160F2C8A">
      <w:pPr>
        <w:pStyle w:val="Default"/>
        <w:spacing w:line="360" w:lineRule="auto"/>
        <w:jc w:val="both"/>
        <w:rPr>
          <w:sz w:val="22"/>
          <w:szCs w:val="22"/>
          <w:lang w:val="en-GB"/>
        </w:rPr>
      </w:pPr>
      <w:r w:rsidRPr="00A67E00">
        <w:rPr>
          <w:b/>
          <w:bCs/>
          <w:sz w:val="22"/>
          <w:szCs w:val="22"/>
          <w:lang w:val="en-GB"/>
        </w:rPr>
        <w:t>ASSIGNMENT TITLE</w:t>
      </w:r>
      <w:r w:rsidRPr="00A67E00">
        <w:rPr>
          <w:sz w:val="22"/>
          <w:szCs w:val="22"/>
          <w:lang w:val="en-GB"/>
        </w:rPr>
        <w:t xml:space="preserve">: </w:t>
      </w:r>
      <w:r w:rsidRPr="00A67E00">
        <w:rPr>
          <w:b/>
          <w:bCs/>
          <w:sz w:val="22"/>
          <w:szCs w:val="22"/>
          <w:lang w:val="en-GB"/>
        </w:rPr>
        <w:t>DIABETES IN PRIMARY CARE: PHYSIOLOGY, MONITORING AND LIFESTYLE MANAGEMENT</w:t>
      </w:r>
    </w:p>
    <w:p w:rsidRPr="00A67E00" w:rsidR="006960B9" w:rsidP="7016674F" w:rsidRDefault="006960B9" w14:paraId="7614B168" w14:textId="1BABD721">
      <w:pPr>
        <w:pStyle w:val="Default"/>
        <w:spacing w:line="360" w:lineRule="auto"/>
        <w:jc w:val="both"/>
        <w:rPr>
          <w:sz w:val="22"/>
          <w:szCs w:val="22"/>
          <w:lang w:val="en-GB"/>
        </w:rPr>
      </w:pPr>
    </w:p>
    <w:p w:rsidRPr="00A67E00" w:rsidR="006960B9" w:rsidP="006960B9" w:rsidRDefault="006960B9" w14:paraId="12E6C743" w14:textId="77777777">
      <w:pPr>
        <w:pStyle w:val="Default"/>
        <w:spacing w:line="360" w:lineRule="auto"/>
        <w:jc w:val="both"/>
        <w:rPr>
          <w:b/>
          <w:bCs/>
          <w:sz w:val="22"/>
          <w:szCs w:val="22"/>
          <w:lang w:val="en-GB"/>
        </w:rPr>
      </w:pPr>
    </w:p>
    <w:p w:rsidRPr="00A67E00" w:rsidR="006960B9" w:rsidP="0071148D" w:rsidRDefault="006960B9" w14:paraId="2889E844" w14:textId="77777777">
      <w:pPr>
        <w:spacing w:line="360" w:lineRule="auto"/>
        <w:jc w:val="center"/>
        <w:rPr>
          <w:rFonts w:ascii="Arial" w:hAnsi="Arial" w:cs="Arial"/>
          <w:b/>
          <w:bCs/>
          <w:sz w:val="24"/>
          <w:szCs w:val="24"/>
        </w:rPr>
      </w:pPr>
    </w:p>
    <w:p w:rsidRPr="00A67E00" w:rsidR="0071148D" w:rsidP="0071148D" w:rsidRDefault="0071148D" w14:paraId="03D5F19A" w14:textId="722C1FDC">
      <w:pPr>
        <w:spacing w:line="360" w:lineRule="auto"/>
        <w:jc w:val="both"/>
        <w:rPr>
          <w:rFonts w:ascii="Arial" w:hAnsi="Arial" w:cs="Arial"/>
          <w:kern w:val="0"/>
        </w:rPr>
      </w:pPr>
    </w:p>
    <w:p w:rsidRPr="00A67E00" w:rsidR="006960B9" w:rsidP="0071148D" w:rsidRDefault="006960B9" w14:paraId="46ECFA5E" w14:textId="77777777">
      <w:pPr>
        <w:spacing w:line="360" w:lineRule="auto"/>
        <w:jc w:val="both"/>
        <w:rPr>
          <w:rFonts w:ascii="Arial" w:hAnsi="Arial" w:cs="Arial"/>
          <w:kern w:val="0"/>
        </w:rPr>
      </w:pPr>
    </w:p>
    <w:p w:rsidRPr="00A67E00" w:rsidR="006960B9" w:rsidP="0071148D" w:rsidRDefault="006960B9" w14:paraId="1BC4D35B" w14:textId="77777777">
      <w:pPr>
        <w:spacing w:line="360" w:lineRule="auto"/>
        <w:jc w:val="both"/>
        <w:rPr>
          <w:rFonts w:ascii="Arial" w:hAnsi="Arial" w:cs="Arial"/>
          <w:kern w:val="0"/>
        </w:rPr>
      </w:pPr>
    </w:p>
    <w:p w:rsidRPr="00A67E00" w:rsidR="006960B9" w:rsidP="0071148D" w:rsidRDefault="006960B9" w14:paraId="6811D391" w14:textId="77777777">
      <w:pPr>
        <w:spacing w:line="360" w:lineRule="auto"/>
        <w:jc w:val="both"/>
        <w:rPr>
          <w:rFonts w:ascii="Arial" w:hAnsi="Arial" w:cs="Arial"/>
          <w:kern w:val="0"/>
        </w:rPr>
      </w:pPr>
    </w:p>
    <w:p w:rsidRPr="00A67E00" w:rsidR="006960B9" w:rsidP="0071148D" w:rsidRDefault="006960B9" w14:paraId="68143E98" w14:textId="77777777">
      <w:pPr>
        <w:spacing w:line="360" w:lineRule="auto"/>
        <w:jc w:val="both"/>
        <w:rPr>
          <w:rFonts w:ascii="Arial" w:hAnsi="Arial" w:cs="Arial"/>
          <w:kern w:val="0"/>
        </w:rPr>
      </w:pPr>
    </w:p>
    <w:p w:rsidRPr="00A67E00" w:rsidR="006960B9" w:rsidP="0071148D" w:rsidRDefault="006960B9" w14:paraId="2D015714" w14:textId="77777777">
      <w:pPr>
        <w:spacing w:line="360" w:lineRule="auto"/>
        <w:jc w:val="both"/>
        <w:rPr>
          <w:rFonts w:ascii="Arial" w:hAnsi="Arial" w:cs="Arial"/>
          <w:kern w:val="0"/>
        </w:rPr>
      </w:pPr>
    </w:p>
    <w:p w:rsidRPr="00A67E00" w:rsidR="006960B9" w:rsidP="0071148D" w:rsidRDefault="006960B9" w14:paraId="4FEA5D49" w14:textId="77777777">
      <w:pPr>
        <w:spacing w:line="360" w:lineRule="auto"/>
        <w:jc w:val="both"/>
        <w:rPr>
          <w:rFonts w:ascii="Arial" w:hAnsi="Arial" w:cs="Arial"/>
          <w:kern w:val="0"/>
        </w:rPr>
      </w:pPr>
    </w:p>
    <w:p w:rsidRPr="00A67E00" w:rsidR="00B0781C" w:rsidP="00B0781C" w:rsidRDefault="00B0781C" w14:paraId="640C76D1" w14:textId="68A91224">
      <w:pPr>
        <w:pStyle w:val="Heading2"/>
        <w:rPr>
          <w:rFonts w:ascii="Arial" w:hAnsi="Arial" w:cs="Arial"/>
          <w:b/>
          <w:bCs/>
        </w:rPr>
      </w:pPr>
      <w:bookmarkStart w:name="_Toc226555403" w:id="0"/>
      <w:r w:rsidRPr="00A67E00">
        <w:rPr>
          <w:rFonts w:ascii="Arial" w:hAnsi="Arial" w:cs="Arial"/>
          <w:b/>
          <w:bCs/>
        </w:rPr>
        <w:t>TABLE OF CONTENTS</w:t>
      </w:r>
      <w:bookmarkEnd w:id="0"/>
    </w:p>
    <w:sdt>
      <w:sdtPr>
        <w:id w:val="1075547131"/>
        <w:docPartObj>
          <w:docPartGallery w:val="Table of Contents"/>
          <w:docPartUnique/>
        </w:docPartObj>
        <w:rPr>
          <w:rFonts w:ascii="Calibri" w:hAnsi="Calibri" w:eastAsia="Calibri" w:cs="" w:asciiTheme="minorAscii" w:hAnsiTheme="minorAscii" w:eastAsiaTheme="minorAscii" w:cstheme="minorBidi"/>
          <w:color w:val="auto"/>
          <w:kern w:val="2"/>
          <w:sz w:val="22"/>
          <w:szCs w:val="22"/>
          <w:lang w:val="en-GB"/>
          <w14:ligatures w14:val="standardContextual"/>
        </w:rPr>
      </w:sdtPr>
      <w:sdtEndPr>
        <w:rPr>
          <w:rFonts w:ascii="Calibri" w:hAnsi="Calibri" w:eastAsia="Calibri" w:cs="" w:asciiTheme="minorAscii" w:hAnsiTheme="minorAscii" w:eastAsiaTheme="minorAscii" w:cstheme="minorBidi"/>
          <w:b w:val="1"/>
          <w:bCs w:val="1"/>
          <w:color w:val="auto"/>
          <w:sz w:val="22"/>
          <w:szCs w:val="22"/>
          <w:lang w:val="en-GB"/>
        </w:rPr>
      </w:sdtEndPr>
      <w:sdtContent>
        <w:p w:rsidRPr="00A67E00" w:rsidR="006564D6" w:rsidRDefault="006564D6" w14:paraId="281E42FD" w14:textId="3566E0DF">
          <w:pPr>
            <w:pStyle w:val="TOCHeading"/>
            <w:rPr>
              <w:lang w:val="en-GB"/>
            </w:rPr>
          </w:pPr>
        </w:p>
        <w:p w:rsidR="00350935" w:rsidP="7016674F" w:rsidRDefault="006564D6" w14:paraId="1F58F9F3" w14:textId="40287A8C">
          <w:pPr>
            <w:pStyle w:val="TOC2"/>
            <w:tabs>
              <w:tab w:val="right" w:leader="dot" w:pos="9350"/>
            </w:tabs>
            <w:rPr>
              <w:rFonts w:eastAsia="" w:eastAsiaTheme="minorEastAsia"/>
              <w:noProof/>
              <w:sz w:val="24"/>
              <w:szCs w:val="24"/>
              <w:lang w:val="en-US"/>
            </w:rPr>
          </w:pPr>
          <w:r w:rsidRPr="00A67E00">
            <w:fldChar w:fldCharType="begin"/>
          </w:r>
          <w:r w:rsidRPr="00A67E00">
            <w:instrText xml:space="preserve"> TOC \o "1-3" \h \z \u </w:instrText>
          </w:r>
          <w:r w:rsidRPr="00A67E00">
            <w:fldChar w:fldCharType="separate"/>
          </w:r>
          <w:hyperlink w:history="1" w:anchor="_Toc226555403">
            <w:r w:rsidRPr="00A45430" w:rsidR="00350935">
              <w:rPr>
                <w:rStyle w:val="Hyperlink"/>
                <w:rFonts w:ascii="Arial" w:hAnsi="Arial" w:cs="Arial"/>
                <w:b w:val="1"/>
                <w:bCs w:val="1"/>
                <w:noProof/>
              </w:rPr>
              <w:t>TABLE OF CONTENTS</w:t>
            </w:r>
            <w:r w:rsidR="00350935">
              <w:rPr>
                <w:noProof/>
                <w:webHidden/>
              </w:rPr>
              <w:tab/>
            </w:r>
            <w:r w:rsidR="00350935">
              <w:rPr>
                <w:noProof/>
                <w:webHidden/>
              </w:rPr>
              <w:fldChar w:fldCharType="begin"/>
            </w:r>
            <w:r w:rsidR="00350935">
              <w:rPr>
                <w:noProof/>
                <w:webHidden/>
              </w:rPr>
              <w:instrText xml:space="preserve"> PAGEREF _Toc226555403 \h </w:instrText>
            </w:r>
            <w:r w:rsidR="00350935">
              <w:rPr>
                <w:noProof/>
                <w:webHidden/>
              </w:rPr>
            </w:r>
            <w:r w:rsidR="00350935">
              <w:rPr>
                <w:noProof/>
                <w:webHidden/>
              </w:rPr>
              <w:fldChar w:fldCharType="separate"/>
            </w:r>
            <w:r w:rsidR="00350935">
              <w:rPr>
                <w:noProof/>
                <w:webHidden/>
              </w:rPr>
              <w:t>ii</w:t>
            </w:r>
            <w:r w:rsidR="00350935">
              <w:rPr>
                <w:noProof/>
                <w:webHidden/>
              </w:rPr>
              <w:fldChar w:fldCharType="end"/>
            </w:r>
          </w:hyperlink>
        </w:p>
        <w:p w:rsidR="00350935" w:rsidRDefault="00350935" w14:paraId="3379ACAE" w14:textId="4344F864">
          <w:pPr>
            <w:pStyle w:val="TOC2"/>
            <w:tabs>
              <w:tab w:val="right" w:leader="dot" w:pos="9350"/>
            </w:tabs>
            <w:rPr>
              <w:rFonts w:eastAsiaTheme="minorEastAsia"/>
              <w:noProof/>
              <w:sz w:val="24"/>
              <w:szCs w:val="24"/>
              <w:lang w:val="en-US"/>
            </w:rPr>
          </w:pPr>
          <w:hyperlink w:history="1" w:anchor="_Toc226555404">
            <w:r w:rsidRPr="00A45430">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_Toc226555404 \h </w:instrText>
            </w:r>
            <w:r>
              <w:rPr>
                <w:noProof/>
                <w:webHidden/>
              </w:rPr>
            </w:r>
            <w:r>
              <w:rPr>
                <w:noProof/>
                <w:webHidden/>
              </w:rPr>
              <w:fldChar w:fldCharType="separate"/>
            </w:r>
            <w:r>
              <w:rPr>
                <w:noProof/>
                <w:webHidden/>
              </w:rPr>
              <w:t>iii</w:t>
            </w:r>
            <w:r>
              <w:rPr>
                <w:noProof/>
                <w:webHidden/>
              </w:rPr>
              <w:fldChar w:fldCharType="end"/>
            </w:r>
          </w:hyperlink>
        </w:p>
        <w:p w:rsidR="00350935" w:rsidRDefault="00350935" w14:paraId="5DE25B09" w14:textId="5894CBEA">
          <w:pPr>
            <w:pStyle w:val="TOC2"/>
            <w:tabs>
              <w:tab w:val="left" w:pos="960"/>
              <w:tab w:val="right" w:leader="dot" w:pos="9350"/>
            </w:tabs>
            <w:rPr>
              <w:rFonts w:eastAsiaTheme="minorEastAsia"/>
              <w:noProof/>
              <w:sz w:val="24"/>
              <w:szCs w:val="24"/>
              <w:lang w:val="en-US"/>
            </w:rPr>
          </w:pPr>
          <w:hyperlink w:history="1" w:anchor="_Toc226555405">
            <w:r w:rsidRPr="00A45430">
              <w:rPr>
                <w:rStyle w:val="Hyperlink"/>
                <w:rFonts w:ascii="Arial" w:hAnsi="Arial" w:cs="Arial"/>
                <w:b/>
                <w:bCs/>
                <w:noProof/>
              </w:rPr>
              <w:t>1.0</w:t>
            </w:r>
            <w:r>
              <w:rPr>
                <w:rFonts w:eastAsiaTheme="minorEastAsia"/>
                <w:noProof/>
                <w:sz w:val="24"/>
                <w:szCs w:val="24"/>
                <w:lang w:val="en-US"/>
              </w:rPr>
              <w:tab/>
            </w:r>
            <w:r w:rsidRPr="00A4543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_Toc226555405 \h </w:instrText>
            </w:r>
            <w:r>
              <w:rPr>
                <w:noProof/>
                <w:webHidden/>
              </w:rPr>
            </w:r>
            <w:r>
              <w:rPr>
                <w:noProof/>
                <w:webHidden/>
              </w:rPr>
              <w:fldChar w:fldCharType="separate"/>
            </w:r>
            <w:r>
              <w:rPr>
                <w:noProof/>
                <w:webHidden/>
              </w:rPr>
              <w:t>1</w:t>
            </w:r>
            <w:r>
              <w:rPr>
                <w:noProof/>
                <w:webHidden/>
              </w:rPr>
              <w:fldChar w:fldCharType="end"/>
            </w:r>
          </w:hyperlink>
        </w:p>
        <w:p w:rsidR="00350935" w:rsidRDefault="00350935" w14:paraId="4FCB6194" w14:textId="76A45D3D">
          <w:pPr>
            <w:pStyle w:val="TOC2"/>
            <w:tabs>
              <w:tab w:val="left" w:pos="960"/>
              <w:tab w:val="right" w:leader="dot" w:pos="9350"/>
            </w:tabs>
            <w:rPr>
              <w:rFonts w:eastAsiaTheme="minorEastAsia"/>
              <w:noProof/>
              <w:sz w:val="24"/>
              <w:szCs w:val="24"/>
              <w:lang w:val="en-US"/>
            </w:rPr>
          </w:pPr>
          <w:hyperlink w:history="1" w:anchor="_Toc226555406">
            <w:r w:rsidRPr="00A45430">
              <w:rPr>
                <w:rStyle w:val="Hyperlink"/>
                <w:rFonts w:ascii="Arial" w:hAnsi="Arial" w:cs="Arial"/>
                <w:b/>
                <w:bCs/>
                <w:noProof/>
              </w:rPr>
              <w:t>2.0</w:t>
            </w:r>
            <w:r>
              <w:rPr>
                <w:rFonts w:eastAsiaTheme="minorEastAsia"/>
                <w:noProof/>
                <w:sz w:val="24"/>
                <w:szCs w:val="24"/>
                <w:lang w:val="en-US"/>
              </w:rPr>
              <w:tab/>
            </w:r>
            <w:r w:rsidRPr="00A45430">
              <w:rPr>
                <w:rStyle w:val="Hyperlink"/>
                <w:rFonts w:ascii="Arial" w:hAnsi="Arial" w:cs="Arial"/>
                <w:b/>
                <w:bCs/>
                <w:noProof/>
              </w:rPr>
              <w:t>UNDERSTANDING DIABETES</w:t>
            </w:r>
            <w:r>
              <w:rPr>
                <w:noProof/>
                <w:webHidden/>
              </w:rPr>
              <w:tab/>
            </w:r>
            <w:r>
              <w:rPr>
                <w:noProof/>
                <w:webHidden/>
              </w:rPr>
              <w:fldChar w:fldCharType="begin"/>
            </w:r>
            <w:r>
              <w:rPr>
                <w:noProof/>
                <w:webHidden/>
              </w:rPr>
              <w:instrText xml:space="preserve"> PAGEREF _Toc226555406 \h </w:instrText>
            </w:r>
            <w:r>
              <w:rPr>
                <w:noProof/>
                <w:webHidden/>
              </w:rPr>
            </w:r>
            <w:r>
              <w:rPr>
                <w:noProof/>
                <w:webHidden/>
              </w:rPr>
              <w:fldChar w:fldCharType="separate"/>
            </w:r>
            <w:r>
              <w:rPr>
                <w:noProof/>
                <w:webHidden/>
              </w:rPr>
              <w:t>2</w:t>
            </w:r>
            <w:r>
              <w:rPr>
                <w:noProof/>
                <w:webHidden/>
              </w:rPr>
              <w:fldChar w:fldCharType="end"/>
            </w:r>
          </w:hyperlink>
        </w:p>
        <w:p w:rsidR="00350935" w:rsidRDefault="00350935" w14:paraId="486B4787" w14:textId="1D59645D">
          <w:pPr>
            <w:pStyle w:val="TOC3"/>
            <w:tabs>
              <w:tab w:val="right" w:leader="dot" w:pos="9350"/>
            </w:tabs>
            <w:rPr>
              <w:rFonts w:eastAsiaTheme="minorEastAsia"/>
              <w:noProof/>
              <w:sz w:val="24"/>
              <w:szCs w:val="24"/>
              <w:lang w:val="en-US"/>
            </w:rPr>
          </w:pPr>
          <w:hyperlink w:history="1" w:anchor="_Toc226555407">
            <w:r w:rsidRPr="00A45430">
              <w:rPr>
                <w:rStyle w:val="Hyperlink"/>
                <w:rFonts w:ascii="Arial" w:hAnsi="Arial" w:cs="Arial"/>
                <w:noProof/>
              </w:rPr>
              <w:t>2.1 Type 1 and Type 2 Diabetes</w:t>
            </w:r>
            <w:r>
              <w:rPr>
                <w:noProof/>
                <w:webHidden/>
              </w:rPr>
              <w:tab/>
            </w:r>
            <w:r>
              <w:rPr>
                <w:noProof/>
                <w:webHidden/>
              </w:rPr>
              <w:fldChar w:fldCharType="begin"/>
            </w:r>
            <w:r>
              <w:rPr>
                <w:noProof/>
                <w:webHidden/>
              </w:rPr>
              <w:instrText xml:space="preserve"> PAGEREF _Toc226555407 \h </w:instrText>
            </w:r>
            <w:r>
              <w:rPr>
                <w:noProof/>
                <w:webHidden/>
              </w:rPr>
            </w:r>
            <w:r>
              <w:rPr>
                <w:noProof/>
                <w:webHidden/>
              </w:rPr>
              <w:fldChar w:fldCharType="separate"/>
            </w:r>
            <w:r>
              <w:rPr>
                <w:noProof/>
                <w:webHidden/>
              </w:rPr>
              <w:t>2</w:t>
            </w:r>
            <w:r>
              <w:rPr>
                <w:noProof/>
                <w:webHidden/>
              </w:rPr>
              <w:fldChar w:fldCharType="end"/>
            </w:r>
          </w:hyperlink>
        </w:p>
        <w:p w:rsidR="00350935" w:rsidRDefault="00350935" w14:paraId="56A3DAF0" w14:textId="0FE520E6">
          <w:pPr>
            <w:pStyle w:val="TOC3"/>
            <w:tabs>
              <w:tab w:val="right" w:leader="dot" w:pos="9350"/>
            </w:tabs>
            <w:rPr>
              <w:rFonts w:eastAsiaTheme="minorEastAsia"/>
              <w:noProof/>
              <w:sz w:val="24"/>
              <w:szCs w:val="24"/>
              <w:lang w:val="en-US"/>
            </w:rPr>
          </w:pPr>
          <w:hyperlink w:history="1" w:anchor="_Toc226555408">
            <w:r w:rsidRPr="00A45430">
              <w:rPr>
                <w:rStyle w:val="Hyperlink"/>
                <w:rFonts w:ascii="Arial" w:hAnsi="Arial" w:eastAsia="Times New Roman" w:cs="Arial"/>
                <w:noProof/>
              </w:rPr>
              <w:t>2.2 Risk Factors</w:t>
            </w:r>
            <w:r>
              <w:rPr>
                <w:noProof/>
                <w:webHidden/>
              </w:rPr>
              <w:tab/>
            </w:r>
            <w:r>
              <w:rPr>
                <w:noProof/>
                <w:webHidden/>
              </w:rPr>
              <w:fldChar w:fldCharType="begin"/>
            </w:r>
            <w:r>
              <w:rPr>
                <w:noProof/>
                <w:webHidden/>
              </w:rPr>
              <w:instrText xml:space="preserve"> PAGEREF _Toc226555408 \h </w:instrText>
            </w:r>
            <w:r>
              <w:rPr>
                <w:noProof/>
                <w:webHidden/>
              </w:rPr>
            </w:r>
            <w:r>
              <w:rPr>
                <w:noProof/>
                <w:webHidden/>
              </w:rPr>
              <w:fldChar w:fldCharType="separate"/>
            </w:r>
            <w:r>
              <w:rPr>
                <w:noProof/>
                <w:webHidden/>
              </w:rPr>
              <w:t>3</w:t>
            </w:r>
            <w:r>
              <w:rPr>
                <w:noProof/>
                <w:webHidden/>
              </w:rPr>
              <w:fldChar w:fldCharType="end"/>
            </w:r>
          </w:hyperlink>
        </w:p>
        <w:p w:rsidR="00350935" w:rsidRDefault="00350935" w14:paraId="6712FB4F" w14:textId="02A7FA96">
          <w:pPr>
            <w:pStyle w:val="TOC2"/>
            <w:tabs>
              <w:tab w:val="left" w:pos="960"/>
              <w:tab w:val="right" w:leader="dot" w:pos="9350"/>
            </w:tabs>
            <w:rPr>
              <w:rFonts w:eastAsiaTheme="minorEastAsia"/>
              <w:noProof/>
              <w:sz w:val="24"/>
              <w:szCs w:val="24"/>
              <w:lang w:val="en-US"/>
            </w:rPr>
          </w:pPr>
          <w:hyperlink w:history="1" w:anchor="_Toc226555409">
            <w:r w:rsidRPr="00A45430">
              <w:rPr>
                <w:rStyle w:val="Hyperlink"/>
                <w:rFonts w:ascii="Arial" w:hAnsi="Arial" w:cs="Arial"/>
                <w:b/>
                <w:bCs/>
                <w:noProof/>
              </w:rPr>
              <w:t>3.0</w:t>
            </w:r>
            <w:r>
              <w:rPr>
                <w:rFonts w:eastAsiaTheme="minorEastAsia"/>
                <w:noProof/>
                <w:sz w:val="24"/>
                <w:szCs w:val="24"/>
                <w:lang w:val="en-US"/>
              </w:rPr>
              <w:tab/>
            </w:r>
            <w:r w:rsidRPr="00A45430">
              <w:rPr>
                <w:rStyle w:val="Hyperlink"/>
                <w:rFonts w:ascii="Arial" w:hAnsi="Arial" w:cs="Arial"/>
                <w:b/>
                <w:bCs/>
                <w:noProof/>
              </w:rPr>
              <w:t>BLOOD SUGAR REGULATION</w:t>
            </w:r>
            <w:r>
              <w:rPr>
                <w:noProof/>
                <w:webHidden/>
              </w:rPr>
              <w:tab/>
            </w:r>
            <w:r>
              <w:rPr>
                <w:noProof/>
                <w:webHidden/>
              </w:rPr>
              <w:fldChar w:fldCharType="begin"/>
            </w:r>
            <w:r>
              <w:rPr>
                <w:noProof/>
                <w:webHidden/>
              </w:rPr>
              <w:instrText xml:space="preserve"> PAGEREF _Toc226555409 \h </w:instrText>
            </w:r>
            <w:r>
              <w:rPr>
                <w:noProof/>
                <w:webHidden/>
              </w:rPr>
            </w:r>
            <w:r>
              <w:rPr>
                <w:noProof/>
                <w:webHidden/>
              </w:rPr>
              <w:fldChar w:fldCharType="separate"/>
            </w:r>
            <w:r>
              <w:rPr>
                <w:noProof/>
                <w:webHidden/>
              </w:rPr>
              <w:t>3</w:t>
            </w:r>
            <w:r>
              <w:rPr>
                <w:noProof/>
                <w:webHidden/>
              </w:rPr>
              <w:fldChar w:fldCharType="end"/>
            </w:r>
          </w:hyperlink>
        </w:p>
        <w:p w:rsidR="00350935" w:rsidRDefault="00350935" w14:paraId="5E3FE289" w14:textId="4EBDC309">
          <w:pPr>
            <w:pStyle w:val="TOC2"/>
            <w:tabs>
              <w:tab w:val="right" w:leader="dot" w:pos="9350"/>
            </w:tabs>
            <w:rPr>
              <w:rFonts w:eastAsiaTheme="minorEastAsia"/>
              <w:noProof/>
              <w:sz w:val="24"/>
              <w:szCs w:val="24"/>
              <w:lang w:val="en-US"/>
            </w:rPr>
          </w:pPr>
          <w:hyperlink w:history="1" w:anchor="_Toc226555410">
            <w:r w:rsidRPr="00A45430">
              <w:rPr>
                <w:rStyle w:val="Hyperlink"/>
                <w:rFonts w:ascii="Arial" w:hAnsi="Arial" w:eastAsia="Times New Roman" w:cs="Arial"/>
                <w:b/>
                <w:bCs/>
                <w:noProof/>
              </w:rPr>
              <w:t>4.0 CELLULAR METABOLISM AND ENERGY PRODUCTION</w:t>
            </w:r>
            <w:r>
              <w:rPr>
                <w:noProof/>
                <w:webHidden/>
              </w:rPr>
              <w:tab/>
            </w:r>
            <w:r>
              <w:rPr>
                <w:noProof/>
                <w:webHidden/>
              </w:rPr>
              <w:fldChar w:fldCharType="begin"/>
            </w:r>
            <w:r>
              <w:rPr>
                <w:noProof/>
                <w:webHidden/>
              </w:rPr>
              <w:instrText xml:space="preserve"> PAGEREF _Toc226555410 \h </w:instrText>
            </w:r>
            <w:r>
              <w:rPr>
                <w:noProof/>
                <w:webHidden/>
              </w:rPr>
            </w:r>
            <w:r>
              <w:rPr>
                <w:noProof/>
                <w:webHidden/>
              </w:rPr>
              <w:fldChar w:fldCharType="separate"/>
            </w:r>
            <w:r>
              <w:rPr>
                <w:noProof/>
                <w:webHidden/>
              </w:rPr>
              <w:t>4</w:t>
            </w:r>
            <w:r>
              <w:rPr>
                <w:noProof/>
                <w:webHidden/>
              </w:rPr>
              <w:fldChar w:fldCharType="end"/>
            </w:r>
          </w:hyperlink>
        </w:p>
        <w:p w:rsidR="00350935" w:rsidRDefault="00350935" w14:paraId="53E27DA1" w14:textId="7483E394">
          <w:pPr>
            <w:pStyle w:val="TOC2"/>
            <w:tabs>
              <w:tab w:val="right" w:leader="dot" w:pos="9350"/>
            </w:tabs>
            <w:rPr>
              <w:rFonts w:eastAsiaTheme="minorEastAsia"/>
              <w:noProof/>
              <w:sz w:val="24"/>
              <w:szCs w:val="24"/>
              <w:lang w:val="en-US"/>
            </w:rPr>
          </w:pPr>
          <w:hyperlink w:history="1" w:anchor="_Toc226555411">
            <w:r w:rsidRPr="00A45430">
              <w:rPr>
                <w:rStyle w:val="Hyperlink"/>
                <w:rFonts w:ascii="Arial" w:hAnsi="Arial" w:cs="Arial"/>
                <w:b/>
                <w:bCs/>
                <w:noProof/>
              </w:rPr>
              <w:t>5.0 RECORDING AND TRACKING BLOOD GLUCOSE</w:t>
            </w:r>
            <w:r>
              <w:rPr>
                <w:noProof/>
                <w:webHidden/>
              </w:rPr>
              <w:tab/>
            </w:r>
            <w:r>
              <w:rPr>
                <w:noProof/>
                <w:webHidden/>
              </w:rPr>
              <w:fldChar w:fldCharType="begin"/>
            </w:r>
            <w:r>
              <w:rPr>
                <w:noProof/>
                <w:webHidden/>
              </w:rPr>
              <w:instrText xml:space="preserve"> PAGEREF _Toc226555411 \h </w:instrText>
            </w:r>
            <w:r>
              <w:rPr>
                <w:noProof/>
                <w:webHidden/>
              </w:rPr>
            </w:r>
            <w:r>
              <w:rPr>
                <w:noProof/>
                <w:webHidden/>
              </w:rPr>
              <w:fldChar w:fldCharType="separate"/>
            </w:r>
            <w:r>
              <w:rPr>
                <w:noProof/>
                <w:webHidden/>
              </w:rPr>
              <w:t>7</w:t>
            </w:r>
            <w:r>
              <w:rPr>
                <w:noProof/>
                <w:webHidden/>
              </w:rPr>
              <w:fldChar w:fldCharType="end"/>
            </w:r>
          </w:hyperlink>
        </w:p>
        <w:p w:rsidR="00350935" w:rsidRDefault="00350935" w14:paraId="32FA7DDA" w14:textId="632559F2">
          <w:pPr>
            <w:pStyle w:val="TOC2"/>
            <w:tabs>
              <w:tab w:val="left" w:pos="960"/>
              <w:tab w:val="right" w:leader="dot" w:pos="9350"/>
            </w:tabs>
            <w:rPr>
              <w:rFonts w:eastAsiaTheme="minorEastAsia"/>
              <w:noProof/>
              <w:sz w:val="24"/>
              <w:szCs w:val="24"/>
              <w:lang w:val="en-US"/>
            </w:rPr>
          </w:pPr>
          <w:hyperlink w:history="1" w:anchor="_Toc226555412">
            <w:r w:rsidRPr="00A45430">
              <w:rPr>
                <w:rStyle w:val="Hyperlink"/>
                <w:rFonts w:ascii="Arial" w:hAnsi="Arial" w:cs="Arial"/>
                <w:b/>
                <w:bCs/>
                <w:noProof/>
              </w:rPr>
              <w:t>6.0</w:t>
            </w:r>
            <w:r>
              <w:rPr>
                <w:rFonts w:eastAsiaTheme="minorEastAsia"/>
                <w:noProof/>
                <w:sz w:val="24"/>
                <w:szCs w:val="24"/>
                <w:lang w:val="en-US"/>
              </w:rPr>
              <w:tab/>
            </w:r>
            <w:r w:rsidRPr="00A45430">
              <w:rPr>
                <w:rStyle w:val="Hyperlink"/>
                <w:rFonts w:ascii="Arial" w:hAnsi="Arial" w:cs="Arial"/>
                <w:b/>
                <w:bCs/>
                <w:noProof/>
              </w:rPr>
              <w:t>EVIDENCE-BASED RECOMMENDATIONS</w:t>
            </w:r>
            <w:r>
              <w:rPr>
                <w:noProof/>
                <w:webHidden/>
              </w:rPr>
              <w:tab/>
            </w:r>
            <w:r>
              <w:rPr>
                <w:noProof/>
                <w:webHidden/>
              </w:rPr>
              <w:fldChar w:fldCharType="begin"/>
            </w:r>
            <w:r>
              <w:rPr>
                <w:noProof/>
                <w:webHidden/>
              </w:rPr>
              <w:instrText xml:space="preserve"> PAGEREF _Toc226555412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4EBAF168" w14:textId="19DB4D55">
          <w:pPr>
            <w:pStyle w:val="TOC3"/>
            <w:tabs>
              <w:tab w:val="right" w:leader="dot" w:pos="9350"/>
            </w:tabs>
            <w:rPr>
              <w:rFonts w:eastAsiaTheme="minorEastAsia"/>
              <w:noProof/>
              <w:sz w:val="24"/>
              <w:szCs w:val="24"/>
              <w:lang w:val="en-US"/>
            </w:rPr>
          </w:pPr>
          <w:hyperlink w:history="1" w:anchor="_Toc226555413">
            <w:r w:rsidRPr="00A45430">
              <w:rPr>
                <w:rStyle w:val="Hyperlink"/>
                <w:rFonts w:ascii="Arial" w:hAnsi="Arial" w:eastAsia="Times New Roman" w:cs="Arial"/>
                <w:noProof/>
              </w:rPr>
              <w:t>6.1 Weight Management</w:t>
            </w:r>
            <w:r>
              <w:rPr>
                <w:noProof/>
                <w:webHidden/>
              </w:rPr>
              <w:tab/>
            </w:r>
            <w:r>
              <w:rPr>
                <w:noProof/>
                <w:webHidden/>
              </w:rPr>
              <w:fldChar w:fldCharType="begin"/>
            </w:r>
            <w:r>
              <w:rPr>
                <w:noProof/>
                <w:webHidden/>
              </w:rPr>
              <w:instrText xml:space="preserve"> PAGEREF _Toc226555413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74CBFB1E" w14:textId="6370892D">
          <w:pPr>
            <w:pStyle w:val="TOC3"/>
            <w:tabs>
              <w:tab w:val="right" w:leader="dot" w:pos="9350"/>
            </w:tabs>
            <w:rPr>
              <w:rFonts w:eastAsiaTheme="minorEastAsia"/>
              <w:noProof/>
              <w:sz w:val="24"/>
              <w:szCs w:val="24"/>
              <w:lang w:val="en-US"/>
            </w:rPr>
          </w:pPr>
          <w:hyperlink w:history="1" w:anchor="_Toc226555414">
            <w:r w:rsidRPr="00A45430">
              <w:rPr>
                <w:rStyle w:val="Hyperlink"/>
                <w:rFonts w:ascii="Arial" w:hAnsi="Arial" w:eastAsia="Times New Roman" w:cs="Arial"/>
                <w:noProof/>
              </w:rPr>
              <w:t>6.2 Healthy Eating</w:t>
            </w:r>
            <w:r>
              <w:rPr>
                <w:noProof/>
                <w:webHidden/>
              </w:rPr>
              <w:tab/>
            </w:r>
            <w:r>
              <w:rPr>
                <w:noProof/>
                <w:webHidden/>
              </w:rPr>
              <w:fldChar w:fldCharType="begin"/>
            </w:r>
            <w:r>
              <w:rPr>
                <w:noProof/>
                <w:webHidden/>
              </w:rPr>
              <w:instrText xml:space="preserve"> PAGEREF _Toc226555414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506DB405" w14:textId="3AA17C55">
          <w:pPr>
            <w:pStyle w:val="TOC3"/>
            <w:tabs>
              <w:tab w:val="right" w:leader="dot" w:pos="9350"/>
            </w:tabs>
            <w:rPr>
              <w:rFonts w:eastAsiaTheme="minorEastAsia"/>
              <w:noProof/>
              <w:sz w:val="24"/>
              <w:szCs w:val="24"/>
              <w:lang w:val="en-US"/>
            </w:rPr>
          </w:pPr>
          <w:hyperlink w:history="1" w:anchor="_Toc226555415">
            <w:r w:rsidRPr="00A45430">
              <w:rPr>
                <w:rStyle w:val="Hyperlink"/>
                <w:rFonts w:ascii="Arial" w:hAnsi="Arial" w:eastAsia="Times New Roman" w:cs="Arial"/>
                <w:noProof/>
              </w:rPr>
              <w:t>6.3 Physical Activity</w:t>
            </w:r>
            <w:r>
              <w:rPr>
                <w:noProof/>
                <w:webHidden/>
              </w:rPr>
              <w:tab/>
            </w:r>
            <w:r>
              <w:rPr>
                <w:noProof/>
                <w:webHidden/>
              </w:rPr>
              <w:fldChar w:fldCharType="begin"/>
            </w:r>
            <w:r>
              <w:rPr>
                <w:noProof/>
                <w:webHidden/>
              </w:rPr>
              <w:instrText xml:space="preserve"> PAGEREF _Toc226555415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1BA0030E" w14:textId="0461C647">
          <w:pPr>
            <w:pStyle w:val="TOC3"/>
            <w:tabs>
              <w:tab w:val="right" w:leader="dot" w:pos="9350"/>
            </w:tabs>
            <w:rPr>
              <w:rFonts w:eastAsiaTheme="minorEastAsia"/>
              <w:noProof/>
              <w:sz w:val="24"/>
              <w:szCs w:val="24"/>
              <w:lang w:val="en-US"/>
            </w:rPr>
          </w:pPr>
          <w:hyperlink w:history="1" w:anchor="_Toc226555416">
            <w:r w:rsidRPr="00A45430">
              <w:rPr>
                <w:rStyle w:val="Hyperlink"/>
                <w:rFonts w:ascii="Arial" w:hAnsi="Arial" w:eastAsia="Times New Roman" w:cs="Arial"/>
                <w:noProof/>
              </w:rPr>
              <w:t>6.4 Smoking Cessation</w:t>
            </w:r>
            <w:r>
              <w:rPr>
                <w:noProof/>
                <w:webHidden/>
              </w:rPr>
              <w:tab/>
            </w:r>
            <w:r>
              <w:rPr>
                <w:noProof/>
                <w:webHidden/>
              </w:rPr>
              <w:fldChar w:fldCharType="begin"/>
            </w:r>
            <w:r>
              <w:rPr>
                <w:noProof/>
                <w:webHidden/>
              </w:rPr>
              <w:instrText xml:space="preserve"> PAGEREF _Toc226555416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64A1DE64" w14:textId="45EC5D07">
          <w:pPr>
            <w:pStyle w:val="TOC3"/>
            <w:tabs>
              <w:tab w:val="right" w:leader="dot" w:pos="9350"/>
            </w:tabs>
            <w:rPr>
              <w:rFonts w:eastAsiaTheme="minorEastAsia"/>
              <w:noProof/>
              <w:sz w:val="24"/>
              <w:szCs w:val="24"/>
              <w:lang w:val="en-US"/>
            </w:rPr>
          </w:pPr>
          <w:hyperlink w:history="1" w:anchor="_Toc226555417">
            <w:r w:rsidRPr="00A45430">
              <w:rPr>
                <w:rStyle w:val="Hyperlink"/>
                <w:rFonts w:ascii="Arial" w:hAnsi="Arial" w:eastAsia="Times New Roman" w:cs="Arial"/>
                <w:noProof/>
              </w:rPr>
              <w:t>6.5 Structured Education</w:t>
            </w:r>
            <w:r>
              <w:rPr>
                <w:noProof/>
                <w:webHidden/>
              </w:rPr>
              <w:tab/>
            </w:r>
            <w:r>
              <w:rPr>
                <w:noProof/>
                <w:webHidden/>
              </w:rPr>
              <w:fldChar w:fldCharType="begin"/>
            </w:r>
            <w:r>
              <w:rPr>
                <w:noProof/>
                <w:webHidden/>
              </w:rPr>
              <w:instrText xml:space="preserve"> PAGEREF _Toc226555417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30DD85E9" w14:textId="4A590AF6">
          <w:pPr>
            <w:pStyle w:val="TOC2"/>
            <w:tabs>
              <w:tab w:val="right" w:leader="dot" w:pos="9350"/>
            </w:tabs>
            <w:rPr>
              <w:rFonts w:eastAsiaTheme="minorEastAsia"/>
              <w:noProof/>
              <w:sz w:val="24"/>
              <w:szCs w:val="24"/>
              <w:lang w:val="en-US"/>
            </w:rPr>
          </w:pPr>
          <w:hyperlink w:history="1" w:anchor="_Toc226555418">
            <w:r w:rsidRPr="00A45430">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_Toc226555418 \h </w:instrText>
            </w:r>
            <w:r>
              <w:rPr>
                <w:noProof/>
                <w:webHidden/>
              </w:rPr>
            </w:r>
            <w:r>
              <w:rPr>
                <w:noProof/>
                <w:webHidden/>
              </w:rPr>
              <w:fldChar w:fldCharType="separate"/>
            </w:r>
            <w:r>
              <w:rPr>
                <w:noProof/>
                <w:webHidden/>
              </w:rPr>
              <w:t>8</w:t>
            </w:r>
            <w:r>
              <w:rPr>
                <w:noProof/>
                <w:webHidden/>
              </w:rPr>
              <w:fldChar w:fldCharType="end"/>
            </w:r>
          </w:hyperlink>
        </w:p>
        <w:p w:rsidR="00350935" w:rsidRDefault="00350935" w14:paraId="3D66FE7B" w14:textId="710EC71C">
          <w:pPr>
            <w:pStyle w:val="TOC2"/>
            <w:tabs>
              <w:tab w:val="right" w:leader="dot" w:pos="9350"/>
            </w:tabs>
            <w:rPr>
              <w:rFonts w:eastAsiaTheme="minorEastAsia"/>
              <w:noProof/>
              <w:sz w:val="24"/>
              <w:szCs w:val="24"/>
              <w:lang w:val="en-US"/>
            </w:rPr>
          </w:pPr>
          <w:hyperlink w:history="1" w:anchor="_Toc226555419">
            <w:r w:rsidRPr="00A45430">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_Toc226555419 \h </w:instrText>
            </w:r>
            <w:r>
              <w:rPr>
                <w:noProof/>
                <w:webHidden/>
              </w:rPr>
            </w:r>
            <w:r>
              <w:rPr>
                <w:noProof/>
                <w:webHidden/>
              </w:rPr>
              <w:fldChar w:fldCharType="separate"/>
            </w:r>
            <w:r>
              <w:rPr>
                <w:noProof/>
                <w:webHidden/>
              </w:rPr>
              <w:t>9</w:t>
            </w:r>
            <w:r>
              <w:rPr>
                <w:noProof/>
                <w:webHidden/>
              </w:rPr>
              <w:fldChar w:fldCharType="end"/>
            </w:r>
          </w:hyperlink>
        </w:p>
        <w:p w:rsidRPr="00A67E00" w:rsidR="006564D6" w:rsidRDefault="006564D6" w14:paraId="2BFCA10E" w14:textId="333D8F6C">
          <w:r w:rsidRPr="00A67E00">
            <w:rPr>
              <w:b/>
              <w:bCs/>
            </w:rPr>
            <w:fldChar w:fldCharType="end"/>
          </w:r>
        </w:p>
      </w:sdtContent>
    </w:sdt>
    <w:p w:rsidRPr="00A67E00" w:rsidR="00B0781C" w:rsidP="00B0781C" w:rsidRDefault="00B0781C" w14:paraId="4D3A717B" w14:textId="77777777"/>
    <w:p w:rsidR="00B0781C" w:rsidP="00B0781C" w:rsidRDefault="00B0781C" w14:paraId="2D6C8157" w14:textId="77777777"/>
    <w:p w:rsidR="008646F9" w:rsidP="00B0781C" w:rsidRDefault="008646F9" w14:paraId="4AAC6ECB" w14:textId="77777777"/>
    <w:p w:rsidR="008646F9" w:rsidP="00B0781C" w:rsidRDefault="008646F9" w14:paraId="16FCA152" w14:textId="77777777"/>
    <w:p w:rsidR="008646F9" w:rsidP="00B0781C" w:rsidRDefault="008646F9" w14:paraId="1ED1B9A8" w14:textId="77777777"/>
    <w:p w:rsidR="008646F9" w:rsidP="00B0781C" w:rsidRDefault="008646F9" w14:paraId="65F93C45" w14:textId="77777777"/>
    <w:p w:rsidR="008646F9" w:rsidP="00B0781C" w:rsidRDefault="008646F9" w14:paraId="49EA7822" w14:textId="77777777"/>
    <w:p w:rsidRPr="00A67E00" w:rsidR="008646F9" w:rsidP="00B0781C" w:rsidRDefault="008646F9" w14:paraId="506D8874" w14:textId="77777777"/>
    <w:p w:rsidRPr="00A67E00" w:rsidR="00B0781C" w:rsidP="00B0781C" w:rsidRDefault="00B0781C" w14:paraId="4B97F5C6" w14:textId="21CE7AEB"/>
    <w:p w:rsidRPr="00A67E00" w:rsidR="00B0781C" w:rsidP="00B0781C" w:rsidRDefault="00B0781C" w14:paraId="1D34F4A1" w14:textId="77777777"/>
    <w:p w:rsidRPr="00A67E00" w:rsidR="00B0781C" w:rsidP="00B0781C" w:rsidRDefault="00B0781C" w14:paraId="6B3F7CEF" w14:textId="2C73417B">
      <w:pPr>
        <w:pStyle w:val="Heading2"/>
        <w:rPr>
          <w:rFonts w:ascii="Arial" w:hAnsi="Arial" w:cs="Arial"/>
          <w:b/>
          <w:bCs/>
        </w:rPr>
      </w:pPr>
      <w:bookmarkStart w:name="_Toc226555404" w:id="1"/>
      <w:r w:rsidRPr="00A67E00">
        <w:rPr>
          <w:rFonts w:ascii="Arial" w:hAnsi="Arial" w:cs="Arial"/>
          <w:b/>
          <w:bCs/>
        </w:rPr>
        <w:t>LIST OF FIGURES</w:t>
      </w:r>
      <w:bookmarkEnd w:id="1"/>
    </w:p>
    <w:p w:rsidR="008646F9" w:rsidRDefault="008646F9" w14:paraId="54B7D8CC" w14:textId="3FDD0C2A">
      <w:pPr>
        <w:pStyle w:val="TableofFigures"/>
        <w:tabs>
          <w:tab w:val="right" w:leader="dot" w:pos="9350"/>
        </w:tabs>
        <w:rPr>
          <w:rFonts w:eastAsiaTheme="minorEastAsia"/>
          <w:noProof/>
          <w:sz w:val="24"/>
          <w:szCs w:val="24"/>
          <w:lang w:val="en-US"/>
        </w:rPr>
      </w:pPr>
      <w:r>
        <w:rPr>
          <w:rFonts w:ascii="Arial" w:hAnsi="Arial" w:cs="Arial"/>
          <w:kern w:val="0"/>
        </w:rPr>
        <w:fldChar w:fldCharType="begin"/>
      </w:r>
      <w:r>
        <w:rPr>
          <w:rFonts w:ascii="Arial" w:hAnsi="Arial" w:cs="Arial"/>
          <w:kern w:val="0"/>
        </w:rPr>
        <w:instrText xml:space="preserve"> TOC \h \z \c "Figure" </w:instrText>
      </w:r>
      <w:r>
        <w:rPr>
          <w:rFonts w:ascii="Arial" w:hAnsi="Arial" w:cs="Arial"/>
          <w:kern w:val="0"/>
        </w:rPr>
        <w:fldChar w:fldCharType="separate"/>
      </w:r>
      <w:hyperlink w:history="1" w:anchor="_Toc226555084">
        <w:r w:rsidRPr="00062B52">
          <w:rPr>
            <w:rStyle w:val="Hyperlink"/>
            <w:rFonts w:ascii="Arial" w:hAnsi="Arial" w:cs="Arial"/>
            <w:noProof/>
          </w:rPr>
          <w:t>Figure 1: Visual representation of hypoglycemia, normal blood sugar, and hyperglycemia levels in a blood vessel cross-section. Adapted from Dreamstime.</w:t>
        </w:r>
        <w:r>
          <w:rPr>
            <w:noProof/>
            <w:webHidden/>
          </w:rPr>
          <w:tab/>
        </w:r>
        <w:r>
          <w:rPr>
            <w:noProof/>
            <w:webHidden/>
          </w:rPr>
          <w:fldChar w:fldCharType="begin"/>
        </w:r>
        <w:r>
          <w:rPr>
            <w:noProof/>
            <w:webHidden/>
          </w:rPr>
          <w:instrText xml:space="preserve"> PAGEREF _Toc226555084 \h </w:instrText>
        </w:r>
        <w:r>
          <w:rPr>
            <w:noProof/>
            <w:webHidden/>
          </w:rPr>
        </w:r>
        <w:r>
          <w:rPr>
            <w:noProof/>
            <w:webHidden/>
          </w:rPr>
          <w:fldChar w:fldCharType="separate"/>
        </w:r>
        <w:r>
          <w:rPr>
            <w:noProof/>
            <w:webHidden/>
          </w:rPr>
          <w:t>4</w:t>
        </w:r>
        <w:r>
          <w:rPr>
            <w:noProof/>
            <w:webHidden/>
          </w:rPr>
          <w:fldChar w:fldCharType="end"/>
        </w:r>
      </w:hyperlink>
    </w:p>
    <w:p w:rsidR="008646F9" w:rsidRDefault="008646F9" w14:paraId="2C04F70F" w14:textId="114400E6">
      <w:pPr>
        <w:pStyle w:val="TableofFigures"/>
        <w:tabs>
          <w:tab w:val="right" w:leader="dot" w:pos="9350"/>
        </w:tabs>
        <w:rPr>
          <w:rFonts w:eastAsiaTheme="minorEastAsia"/>
          <w:noProof/>
          <w:sz w:val="24"/>
          <w:szCs w:val="24"/>
          <w:lang w:val="en-US"/>
        </w:rPr>
      </w:pPr>
      <w:hyperlink w:history="1" w:anchor="_Toc226555085">
        <w:r w:rsidRPr="00062B52">
          <w:rPr>
            <w:rStyle w:val="Hyperlink"/>
            <w:rFonts w:ascii="Arial" w:hAnsi="Arial" w:cs="Arial"/>
            <w:noProof/>
          </w:rPr>
          <w:t>Figure 2: Insulin–Glucagon Negative Feedback Mechanism</w:t>
        </w:r>
        <w:r>
          <w:rPr>
            <w:noProof/>
            <w:webHidden/>
          </w:rPr>
          <w:tab/>
        </w:r>
        <w:r>
          <w:rPr>
            <w:noProof/>
            <w:webHidden/>
          </w:rPr>
          <w:fldChar w:fldCharType="begin"/>
        </w:r>
        <w:r>
          <w:rPr>
            <w:noProof/>
            <w:webHidden/>
          </w:rPr>
          <w:instrText xml:space="preserve"> PAGEREF _Toc226555085 \h </w:instrText>
        </w:r>
        <w:r>
          <w:rPr>
            <w:noProof/>
            <w:webHidden/>
          </w:rPr>
        </w:r>
        <w:r>
          <w:rPr>
            <w:noProof/>
            <w:webHidden/>
          </w:rPr>
          <w:fldChar w:fldCharType="separate"/>
        </w:r>
        <w:r>
          <w:rPr>
            <w:noProof/>
            <w:webHidden/>
          </w:rPr>
          <w:t>6</w:t>
        </w:r>
        <w:r>
          <w:rPr>
            <w:noProof/>
            <w:webHidden/>
          </w:rPr>
          <w:fldChar w:fldCharType="end"/>
        </w:r>
      </w:hyperlink>
    </w:p>
    <w:p w:rsidR="008646F9" w:rsidRDefault="008646F9" w14:paraId="5586B1F8" w14:textId="3D4FEB14">
      <w:pPr>
        <w:pStyle w:val="TableofFigures"/>
        <w:tabs>
          <w:tab w:val="right" w:leader="dot" w:pos="9350"/>
        </w:tabs>
        <w:rPr>
          <w:rFonts w:eastAsiaTheme="minorEastAsia"/>
          <w:noProof/>
          <w:sz w:val="24"/>
          <w:szCs w:val="24"/>
          <w:lang w:val="en-US"/>
        </w:rPr>
      </w:pPr>
      <w:hyperlink w:history="1" w:anchor="_Toc226555086">
        <w:r w:rsidRPr="00062B52">
          <w:rPr>
            <w:rStyle w:val="Hyperlink"/>
            <w:rFonts w:ascii="Arial" w:hAnsi="Arial" w:cs="Arial"/>
            <w:noProof/>
          </w:rPr>
          <w:t>Figure 3: Role of Oxygen and Glucose in Energy Production</w:t>
        </w:r>
        <w:r>
          <w:rPr>
            <w:noProof/>
            <w:webHidden/>
          </w:rPr>
          <w:tab/>
        </w:r>
        <w:r>
          <w:rPr>
            <w:noProof/>
            <w:webHidden/>
          </w:rPr>
          <w:fldChar w:fldCharType="begin"/>
        </w:r>
        <w:r>
          <w:rPr>
            <w:noProof/>
            <w:webHidden/>
          </w:rPr>
          <w:instrText xml:space="preserve"> PAGEREF _Toc226555086 \h </w:instrText>
        </w:r>
        <w:r>
          <w:rPr>
            <w:noProof/>
            <w:webHidden/>
          </w:rPr>
        </w:r>
        <w:r>
          <w:rPr>
            <w:noProof/>
            <w:webHidden/>
          </w:rPr>
          <w:fldChar w:fldCharType="separate"/>
        </w:r>
        <w:r>
          <w:rPr>
            <w:noProof/>
            <w:webHidden/>
          </w:rPr>
          <w:t>7</w:t>
        </w:r>
        <w:r>
          <w:rPr>
            <w:noProof/>
            <w:webHidden/>
          </w:rPr>
          <w:fldChar w:fldCharType="end"/>
        </w:r>
      </w:hyperlink>
    </w:p>
    <w:p w:rsidR="008646F9" w:rsidRDefault="008646F9" w14:paraId="2B6667CA" w14:textId="3017B5C9">
      <w:pPr>
        <w:pStyle w:val="TableofFigures"/>
        <w:tabs>
          <w:tab w:val="right" w:leader="dot" w:pos="9350"/>
        </w:tabs>
        <w:rPr>
          <w:rFonts w:eastAsiaTheme="minorEastAsia"/>
          <w:noProof/>
          <w:sz w:val="24"/>
          <w:szCs w:val="24"/>
          <w:lang w:val="en-US"/>
        </w:rPr>
      </w:pPr>
      <w:hyperlink w:history="1" w:anchor="_Toc226555087">
        <w:r w:rsidRPr="00062B52">
          <w:rPr>
            <w:rStyle w:val="Hyperlink"/>
            <w:rFonts w:ascii="Arial" w:hAnsi="Arial" w:cs="Arial"/>
            <w:noProof/>
          </w:rPr>
          <w:t xml:space="preserve">Figure 4: Summary of Glycolysis (Source: Rao </w:t>
        </w:r>
        <w:r w:rsidR="001140D3">
          <w:rPr>
            <w:rStyle w:val="Hyperlink"/>
            <w:rFonts w:ascii="Arial" w:hAnsi="Arial" w:cs="Arial"/>
            <w:noProof/>
          </w:rPr>
          <w:t>and</w:t>
        </w:r>
        <w:r w:rsidRPr="00062B52">
          <w:rPr>
            <w:rStyle w:val="Hyperlink"/>
            <w:rFonts w:ascii="Arial" w:hAnsi="Arial" w:cs="Arial"/>
            <w:noProof/>
          </w:rPr>
          <w:t xml:space="preserve"> Ryan, Department of Biology, Texas University)</w:t>
        </w:r>
        <w:r>
          <w:rPr>
            <w:noProof/>
            <w:webHidden/>
          </w:rPr>
          <w:tab/>
        </w:r>
        <w:r>
          <w:rPr>
            <w:noProof/>
            <w:webHidden/>
          </w:rPr>
          <w:fldChar w:fldCharType="begin"/>
        </w:r>
        <w:r>
          <w:rPr>
            <w:noProof/>
            <w:webHidden/>
          </w:rPr>
          <w:instrText xml:space="preserve"> PAGEREF _Toc226555087 \h </w:instrText>
        </w:r>
        <w:r>
          <w:rPr>
            <w:noProof/>
            <w:webHidden/>
          </w:rPr>
        </w:r>
        <w:r>
          <w:rPr>
            <w:noProof/>
            <w:webHidden/>
          </w:rPr>
          <w:fldChar w:fldCharType="separate"/>
        </w:r>
        <w:r>
          <w:rPr>
            <w:noProof/>
            <w:webHidden/>
          </w:rPr>
          <w:t>8</w:t>
        </w:r>
        <w:r>
          <w:rPr>
            <w:noProof/>
            <w:webHidden/>
          </w:rPr>
          <w:fldChar w:fldCharType="end"/>
        </w:r>
      </w:hyperlink>
    </w:p>
    <w:p w:rsidR="008646F9" w:rsidRDefault="008646F9" w14:paraId="12A86B0E" w14:textId="7B8982D6">
      <w:pPr>
        <w:pStyle w:val="TableofFigures"/>
        <w:tabs>
          <w:tab w:val="right" w:leader="dot" w:pos="9350"/>
        </w:tabs>
        <w:rPr>
          <w:rFonts w:eastAsiaTheme="minorEastAsia"/>
          <w:noProof/>
          <w:sz w:val="24"/>
          <w:szCs w:val="24"/>
          <w:lang w:val="en-US"/>
        </w:rPr>
      </w:pPr>
      <w:hyperlink w:history="1" w:anchor="_Toc226555088">
        <w:r w:rsidRPr="00062B52">
          <w:rPr>
            <w:rStyle w:val="Hyperlink"/>
            <w:rFonts w:ascii="Arial" w:hAnsi="Arial" w:cs="Arial"/>
            <w:noProof/>
          </w:rPr>
          <w:t>Figure 5: Krebs Cycle (Source: Byjus.com)</w:t>
        </w:r>
        <w:r>
          <w:rPr>
            <w:noProof/>
            <w:webHidden/>
          </w:rPr>
          <w:tab/>
        </w:r>
        <w:r>
          <w:rPr>
            <w:noProof/>
            <w:webHidden/>
          </w:rPr>
          <w:fldChar w:fldCharType="begin"/>
        </w:r>
        <w:r>
          <w:rPr>
            <w:noProof/>
            <w:webHidden/>
          </w:rPr>
          <w:instrText xml:space="preserve"> PAGEREF _Toc226555088 \h </w:instrText>
        </w:r>
        <w:r>
          <w:rPr>
            <w:noProof/>
            <w:webHidden/>
          </w:rPr>
        </w:r>
        <w:r>
          <w:rPr>
            <w:noProof/>
            <w:webHidden/>
          </w:rPr>
          <w:fldChar w:fldCharType="separate"/>
        </w:r>
        <w:r>
          <w:rPr>
            <w:noProof/>
            <w:webHidden/>
          </w:rPr>
          <w:t>8</w:t>
        </w:r>
        <w:r>
          <w:rPr>
            <w:noProof/>
            <w:webHidden/>
          </w:rPr>
          <w:fldChar w:fldCharType="end"/>
        </w:r>
      </w:hyperlink>
    </w:p>
    <w:p w:rsidR="008646F9" w:rsidRDefault="008646F9" w14:paraId="621FB42D" w14:textId="294CFF99">
      <w:pPr>
        <w:pStyle w:val="TableofFigures"/>
        <w:tabs>
          <w:tab w:val="right" w:leader="dot" w:pos="9350"/>
        </w:tabs>
        <w:rPr>
          <w:rFonts w:eastAsiaTheme="minorEastAsia"/>
          <w:noProof/>
          <w:sz w:val="24"/>
          <w:szCs w:val="24"/>
          <w:lang w:val="en-US"/>
        </w:rPr>
      </w:pPr>
      <w:hyperlink w:history="1" w:anchor="_Toc226555089">
        <w:r w:rsidRPr="00062B52">
          <w:rPr>
            <w:rStyle w:val="Hyperlink"/>
            <w:rFonts w:ascii="Arial" w:hAnsi="Arial" w:cs="Arial"/>
            <w:noProof/>
          </w:rPr>
          <w:t>Figure 6: In oxidative phosphorylation, the pH gradient formed by the electron transport chain is used by ATP synthase to form ATP.</w:t>
        </w:r>
        <w:r>
          <w:rPr>
            <w:noProof/>
            <w:webHidden/>
          </w:rPr>
          <w:tab/>
        </w:r>
        <w:r>
          <w:rPr>
            <w:noProof/>
            <w:webHidden/>
          </w:rPr>
          <w:fldChar w:fldCharType="begin"/>
        </w:r>
        <w:r>
          <w:rPr>
            <w:noProof/>
            <w:webHidden/>
          </w:rPr>
          <w:instrText xml:space="preserve"> PAGEREF _Toc226555089 \h </w:instrText>
        </w:r>
        <w:r>
          <w:rPr>
            <w:noProof/>
            <w:webHidden/>
          </w:rPr>
        </w:r>
        <w:r>
          <w:rPr>
            <w:noProof/>
            <w:webHidden/>
          </w:rPr>
          <w:fldChar w:fldCharType="separate"/>
        </w:r>
        <w:r>
          <w:rPr>
            <w:noProof/>
            <w:webHidden/>
          </w:rPr>
          <w:t>9</w:t>
        </w:r>
        <w:r>
          <w:rPr>
            <w:noProof/>
            <w:webHidden/>
          </w:rPr>
          <w:fldChar w:fldCharType="end"/>
        </w:r>
      </w:hyperlink>
    </w:p>
    <w:p w:rsidR="00B0781C" w:rsidP="0071148D" w:rsidRDefault="008646F9" w14:paraId="2D34BBB9" w14:textId="7550161C">
      <w:pPr>
        <w:spacing w:line="360" w:lineRule="auto"/>
        <w:jc w:val="both"/>
        <w:rPr>
          <w:rFonts w:ascii="Arial" w:hAnsi="Arial" w:cs="Arial"/>
          <w:kern w:val="0"/>
        </w:rPr>
      </w:pPr>
      <w:r>
        <w:rPr>
          <w:rFonts w:ascii="Arial" w:hAnsi="Arial" w:cs="Arial"/>
          <w:kern w:val="0"/>
        </w:rPr>
        <w:fldChar w:fldCharType="end"/>
      </w:r>
    </w:p>
    <w:p w:rsidR="008646F9" w:rsidP="0071148D" w:rsidRDefault="008646F9" w14:paraId="4C692DE6" w14:textId="77777777">
      <w:pPr>
        <w:spacing w:line="360" w:lineRule="auto"/>
        <w:jc w:val="both"/>
        <w:rPr>
          <w:rFonts w:ascii="Arial" w:hAnsi="Arial" w:cs="Arial"/>
          <w:kern w:val="0"/>
        </w:rPr>
      </w:pPr>
    </w:p>
    <w:p w:rsidR="008646F9" w:rsidP="0071148D" w:rsidRDefault="008646F9" w14:paraId="39CF0E7A" w14:textId="77777777">
      <w:pPr>
        <w:spacing w:line="360" w:lineRule="auto"/>
        <w:jc w:val="both"/>
        <w:rPr>
          <w:rFonts w:ascii="Arial" w:hAnsi="Arial" w:cs="Arial"/>
          <w:kern w:val="0"/>
        </w:rPr>
      </w:pPr>
    </w:p>
    <w:p w:rsidR="00BA0DA6" w:rsidP="0071148D" w:rsidRDefault="00BA0DA6" w14:paraId="3D9CC57C" w14:textId="77777777">
      <w:pPr>
        <w:spacing w:line="360" w:lineRule="auto"/>
        <w:jc w:val="both"/>
        <w:rPr>
          <w:rFonts w:ascii="Arial" w:hAnsi="Arial" w:cs="Arial"/>
          <w:kern w:val="0"/>
        </w:rPr>
        <w:sectPr w:rsidR="00BA0DA6" w:rsidSect="00BA0DA6">
          <w:footerReference w:type="default" r:id="rId9"/>
          <w:footerReference w:type="first" r:id="rId10"/>
          <w:pgSz w:w="12240" w:h="15840" w:orient="portrait"/>
          <w:pgMar w:top="1440" w:right="1440" w:bottom="1440" w:left="1440" w:header="708" w:footer="708" w:gutter="0"/>
          <w:pgNumType w:fmt="lowerRoman" w:start="1"/>
          <w:cols w:space="708"/>
          <w:titlePg/>
          <w:docGrid w:linePitch="360"/>
        </w:sectPr>
      </w:pPr>
    </w:p>
    <w:p w:rsidRPr="0015549E" w:rsidR="008646F9" w:rsidP="0071148D" w:rsidRDefault="008646F9" w14:paraId="4FC6BD3D" w14:textId="77777777">
      <w:pPr>
        <w:spacing w:line="360" w:lineRule="auto"/>
        <w:jc w:val="both"/>
        <w:rPr>
          <w:rFonts w:ascii="Arial" w:hAnsi="Arial" w:cs="Arial"/>
          <w:kern w:val="0"/>
        </w:rPr>
      </w:pPr>
    </w:p>
    <w:p w:rsidRPr="0015549E" w:rsidR="0071148D" w:rsidP="00274B30" w:rsidRDefault="006960B9" w14:paraId="41A25133" w14:textId="4EB7CCC5">
      <w:pPr>
        <w:pStyle w:val="Heading2"/>
        <w:numPr>
          <w:ilvl w:val="0"/>
          <w:numId w:val="17"/>
        </w:numPr>
        <w:rPr>
          <w:rFonts w:ascii="Arial" w:hAnsi="Arial" w:cs="Arial"/>
          <w:b/>
          <w:bCs/>
          <w:sz w:val="22"/>
          <w:szCs w:val="22"/>
        </w:rPr>
      </w:pPr>
      <w:bookmarkStart w:name="_Toc226555405" w:id="2"/>
      <w:r w:rsidRPr="0015549E">
        <w:rPr>
          <w:rFonts w:ascii="Arial" w:hAnsi="Arial" w:cs="Arial"/>
          <w:b/>
          <w:bCs/>
          <w:sz w:val="22"/>
          <w:szCs w:val="22"/>
        </w:rPr>
        <w:t>INTRODUCTION</w:t>
      </w:r>
      <w:bookmarkEnd w:id="2"/>
    </w:p>
    <w:p w:rsidRPr="0015549E" w:rsidR="00DF6C94" w:rsidP="00DF6C94" w:rsidRDefault="00091B1A" w14:paraId="5441BD4B" w14:textId="39BC63C0">
      <w:pPr>
        <w:pStyle w:val="NormalWeb"/>
        <w:spacing w:line="360" w:lineRule="auto"/>
        <w:jc w:val="both"/>
        <w:rPr>
          <w:rFonts w:ascii="Arial" w:hAnsi="Arial" w:cs="Arial"/>
          <w:sz w:val="22"/>
          <w:szCs w:val="22"/>
          <w:lang w:val="en-GB"/>
        </w:rPr>
      </w:pPr>
      <w:r>
        <w:rPr>
          <w:rFonts w:ascii="Arial" w:hAnsi="Arial" w:cs="Arial"/>
          <w:sz w:val="22"/>
          <w:szCs w:val="22"/>
          <w:lang w:val="en-GB"/>
        </w:rPr>
        <w:t>As</w:t>
      </w:r>
      <w:r w:rsidRPr="0015549E" w:rsidR="00DF6C94">
        <w:rPr>
          <w:rFonts w:ascii="Arial" w:hAnsi="Arial" w:cs="Arial"/>
          <w:sz w:val="22"/>
          <w:szCs w:val="22"/>
          <w:lang w:val="en-GB"/>
        </w:rPr>
        <w:t xml:space="preserve"> a practice nurse in a local GP surgery, the care of patients with diabetes mellitus needs a clear and straightforward approach. Diabetes is a chronic disease that influences the body to regulate blood sugar. Unless it is properly controlled, it may cause severe health issues, including heart disease, kidney damage, and nerve issues (Diabetes UK, 2025). In the </w:t>
      </w:r>
      <w:r w:rsidR="0041412C">
        <w:rPr>
          <w:rFonts w:ascii="Arial" w:hAnsi="Arial" w:cs="Arial"/>
          <w:sz w:val="22"/>
          <w:szCs w:val="22"/>
          <w:lang w:val="en-GB"/>
        </w:rPr>
        <w:t>UK</w:t>
      </w:r>
      <w:r w:rsidRPr="0015549E" w:rsidR="00DF6C94">
        <w:rPr>
          <w:rFonts w:ascii="Arial" w:hAnsi="Arial" w:cs="Arial"/>
          <w:sz w:val="22"/>
          <w:szCs w:val="22"/>
          <w:lang w:val="en-GB"/>
        </w:rPr>
        <w:t>, the number of individuals with a diabetes diagnosis is approximately 4.6 million, and there are approximately 1.3 million individuals with undiagnosed type 2 diabetes. The number of people registered in 2023</w:t>
      </w:r>
      <w:r w:rsidR="00173251">
        <w:rPr>
          <w:rFonts w:ascii="Arial" w:hAnsi="Arial" w:cs="Arial"/>
          <w:sz w:val="22"/>
          <w:szCs w:val="22"/>
          <w:lang w:val="en-GB"/>
        </w:rPr>
        <w:t>/</w:t>
      </w:r>
      <w:r w:rsidRPr="0015549E" w:rsidR="00DF6C94">
        <w:rPr>
          <w:rFonts w:ascii="Arial" w:hAnsi="Arial" w:cs="Arial"/>
          <w:sz w:val="22"/>
          <w:szCs w:val="22"/>
          <w:lang w:val="en-GB"/>
        </w:rPr>
        <w:t>24 was 185,034 higher than in 2022</w:t>
      </w:r>
      <w:r w:rsidR="00173251">
        <w:rPr>
          <w:rFonts w:ascii="Arial" w:hAnsi="Arial" w:cs="Arial"/>
          <w:sz w:val="22"/>
          <w:szCs w:val="22"/>
          <w:lang w:val="en-GB"/>
        </w:rPr>
        <w:t>/</w:t>
      </w:r>
      <w:r w:rsidRPr="0015549E" w:rsidR="00DF6C94">
        <w:rPr>
          <w:rFonts w:ascii="Arial" w:hAnsi="Arial" w:cs="Arial"/>
          <w:sz w:val="22"/>
          <w:szCs w:val="22"/>
          <w:lang w:val="en-GB"/>
        </w:rPr>
        <w:t>23, indicating that prevalence continues to grow (Diabetes UK, 2024).</w:t>
      </w:r>
    </w:p>
    <w:p w:rsidRPr="0015549E" w:rsidR="00DF6C94" w:rsidP="00DF6C94" w:rsidRDefault="00DF6C94" w14:paraId="7907D549" w14:textId="4A2CEFFF">
      <w:pPr>
        <w:pStyle w:val="NormalWeb"/>
        <w:spacing w:line="360" w:lineRule="auto"/>
        <w:jc w:val="both"/>
        <w:rPr>
          <w:rFonts w:ascii="Arial" w:hAnsi="Arial" w:cs="Arial"/>
          <w:sz w:val="22"/>
          <w:szCs w:val="22"/>
          <w:lang w:val="en-GB"/>
        </w:rPr>
      </w:pPr>
      <w:r w:rsidRPr="0015549E">
        <w:rPr>
          <w:rFonts w:ascii="Arial" w:hAnsi="Arial" w:cs="Arial"/>
          <w:sz w:val="22"/>
          <w:szCs w:val="22"/>
          <w:lang w:val="en-GB"/>
        </w:rPr>
        <w:t>Diabetes is of two major types. Type 1 diabetes happens when the body does not produce insulin. Individuals of this kind require life-long insulin therapy. Type 2 diabetes is common and happens when the body does not use insulin properly or does not produce enough. This type is strongly linked to lifestyle factors such as diet, weight, and physical activity (NICE, 2022). Complete evaluation plays a significant role in diabetes management. This includes checking HbA1c, blood glucose levels, blood pressure, lipid profile, and body mass index (BMI). HbA1c is highly helpful as it indicates the average level of blood sugar during the last two to three months (NICE, 2022). Medication use should also be reviewed and whether patients are taking their treatment appropriately.</w:t>
      </w:r>
    </w:p>
    <w:p w:rsidRPr="0015549E" w:rsidR="00DF6C94" w:rsidP="00DF6C94" w:rsidRDefault="00DF6C94" w14:paraId="3C8E5911" w14:textId="46655F62">
      <w:pPr>
        <w:pStyle w:val="NormalWeb"/>
        <w:spacing w:line="360" w:lineRule="auto"/>
        <w:jc w:val="both"/>
        <w:rPr>
          <w:rFonts w:ascii="Arial" w:hAnsi="Arial" w:cs="Arial"/>
          <w:sz w:val="22"/>
          <w:szCs w:val="22"/>
          <w:lang w:val="en-GB"/>
        </w:rPr>
      </w:pPr>
      <w:r w:rsidRPr="0015549E">
        <w:rPr>
          <w:rFonts w:ascii="Arial" w:hAnsi="Arial" w:cs="Arial"/>
          <w:sz w:val="22"/>
          <w:szCs w:val="22"/>
          <w:lang w:val="en-GB"/>
        </w:rPr>
        <w:t>Lifestyle factors should also be evaluated. Blood sugar can be influenced by diet, physical activity, smoking, alcohol consumption, and sleep. Even minor modifications in these domains can enhance health outcomes (Colberg et al., 2016). Psychosocial factors such as stress, culture, and financial situation can affect how patients manage diabetes (Powers et al., 2020). The patient-centred care must be supportive, as recommended by the Nursing and Midwifery Council (NMC, 2018).</w:t>
      </w:r>
    </w:p>
    <w:p w:rsidRPr="0015549E" w:rsidR="004C70A1" w:rsidP="00DF6C94" w:rsidRDefault="00DF6C94" w14:paraId="31711E9D" w14:textId="619AD30A">
      <w:pPr>
        <w:pStyle w:val="NormalWeb"/>
        <w:spacing w:line="360" w:lineRule="auto"/>
        <w:jc w:val="both"/>
        <w:rPr>
          <w:rFonts w:ascii="Arial" w:hAnsi="Arial" w:cs="Arial"/>
          <w:sz w:val="22"/>
          <w:szCs w:val="22"/>
          <w:lang w:val="en-GB"/>
        </w:rPr>
      </w:pPr>
      <w:r w:rsidRPr="0015549E">
        <w:rPr>
          <w:rFonts w:ascii="Arial" w:hAnsi="Arial" w:cs="Arial"/>
          <w:sz w:val="22"/>
          <w:szCs w:val="22"/>
          <w:lang w:val="en-GB"/>
        </w:rPr>
        <w:t xml:space="preserve">This </w:t>
      </w:r>
      <w:r w:rsidR="00CB518B">
        <w:rPr>
          <w:rFonts w:ascii="Arial" w:hAnsi="Arial" w:cs="Arial"/>
          <w:sz w:val="22"/>
          <w:szCs w:val="22"/>
          <w:lang w:val="en-GB"/>
        </w:rPr>
        <w:t>report</w:t>
      </w:r>
      <w:r w:rsidRPr="0015549E">
        <w:rPr>
          <w:rFonts w:ascii="Arial" w:hAnsi="Arial" w:cs="Arial"/>
          <w:sz w:val="22"/>
          <w:szCs w:val="22"/>
          <w:lang w:val="en-GB"/>
        </w:rPr>
        <w:t xml:space="preserve"> </w:t>
      </w:r>
      <w:r w:rsidR="000519BF">
        <w:rPr>
          <w:rFonts w:ascii="Arial" w:hAnsi="Arial" w:cs="Arial"/>
          <w:sz w:val="22"/>
          <w:szCs w:val="22"/>
          <w:lang w:val="en-GB"/>
        </w:rPr>
        <w:t>focusses</w:t>
      </w:r>
      <w:r w:rsidR="00A0792D">
        <w:rPr>
          <w:rFonts w:ascii="Arial" w:hAnsi="Arial" w:cs="Arial"/>
          <w:sz w:val="22"/>
          <w:szCs w:val="22"/>
          <w:lang w:val="en-GB"/>
        </w:rPr>
        <w:t xml:space="preserve"> on discussing</w:t>
      </w:r>
      <w:r w:rsidRPr="0015549E">
        <w:rPr>
          <w:rFonts w:ascii="Arial" w:hAnsi="Arial" w:cs="Arial"/>
          <w:sz w:val="22"/>
          <w:szCs w:val="22"/>
          <w:lang w:val="en-GB"/>
        </w:rPr>
        <w:t xml:space="preserve"> describe Type 2 diabetes, the mechanism of controlling blood sugar, the production of energy in the body, and how patients can control their condition by monitoring and lifestyle modifications</w:t>
      </w:r>
      <w:r w:rsidRPr="0015549E" w:rsidR="004C70A1">
        <w:rPr>
          <w:rFonts w:ascii="Arial" w:hAnsi="Arial" w:cs="Arial"/>
          <w:sz w:val="22"/>
          <w:szCs w:val="22"/>
          <w:lang w:val="en-GB"/>
        </w:rPr>
        <w:t>.</w:t>
      </w:r>
    </w:p>
    <w:p w:rsidRPr="0015549E" w:rsidR="00E36FA1" w:rsidP="00A16917" w:rsidRDefault="000B4B3B" w14:paraId="1C7A44D6" w14:textId="7F2F573B">
      <w:pPr>
        <w:keepNext/>
        <w:spacing w:before="100" w:beforeAutospacing="1" w:after="100" w:afterAutospacing="1" w:line="360" w:lineRule="auto"/>
        <w:jc w:val="center"/>
        <w:rPr>
          <w:rFonts w:ascii="Arial" w:hAnsi="Arial" w:eastAsia="Times New Roman" w:cs="Arial"/>
          <w:kern w:val="0"/>
          <w14:ligatures w14:val="none"/>
        </w:rPr>
      </w:pPr>
      <w:r w:rsidRPr="0015549E">
        <w:rPr>
          <w:rFonts w:ascii="Arial" w:hAnsi="Arial" w:eastAsia="Times New Roman" w:cs="Arial"/>
          <w:kern w:val="0"/>
          <w14:ligatures w14:val="none"/>
        </w:rPr>
        <w:br/>
      </w:r>
      <w:r w:rsidRPr="0015549E" w:rsidR="00A16917">
        <w:rPr>
          <w:rFonts w:ascii="Arial" w:hAnsi="Arial" w:eastAsia="Times New Roman" w:cs="Arial"/>
          <w:noProof/>
          <w:kern w:val="0"/>
          <w14:ligatures w14:val="none"/>
        </w:rPr>
        <w:drawing>
          <wp:inline distT="0" distB="0" distL="0" distR="0" wp14:anchorId="3BF02B13" wp14:editId="23F09BED">
            <wp:extent cx="4701540" cy="2350770"/>
            <wp:effectExtent l="0" t="0" r="3810" b="0"/>
            <wp:docPr id="172783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1540" cy="2350770"/>
                    </a:xfrm>
                    <a:prstGeom prst="rect">
                      <a:avLst/>
                    </a:prstGeom>
                    <a:noFill/>
                  </pic:spPr>
                </pic:pic>
              </a:graphicData>
            </a:graphic>
          </wp:inline>
        </w:drawing>
      </w:r>
    </w:p>
    <w:p w:rsidRPr="0015549E" w:rsidR="000B4B3B" w:rsidP="00E36FA1" w:rsidRDefault="00E36FA1" w14:paraId="709C583E" w14:textId="4A369CA8">
      <w:pPr>
        <w:pStyle w:val="Caption"/>
        <w:jc w:val="center"/>
        <w:rPr>
          <w:rFonts w:ascii="Arial" w:hAnsi="Arial" w:eastAsia="Times New Roman" w:cs="Arial"/>
          <w:kern w:val="0"/>
          <w:sz w:val="22"/>
          <w:szCs w:val="22"/>
          <w14:ligatures w14:val="none"/>
        </w:rPr>
      </w:pPr>
      <w:bookmarkStart w:name="_Toc224915256" w:id="3"/>
      <w:bookmarkStart w:name="_Toc226555084" w:id="4"/>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sidR="000755E7">
        <w:rPr>
          <w:rFonts w:ascii="Arial" w:hAnsi="Arial" w:cs="Arial"/>
          <w:sz w:val="22"/>
          <w:szCs w:val="22"/>
        </w:rPr>
        <w:t>1</w:t>
      </w:r>
      <w:r w:rsidRPr="0015549E">
        <w:rPr>
          <w:rFonts w:ascii="Arial" w:hAnsi="Arial" w:cs="Arial"/>
          <w:sz w:val="22"/>
          <w:szCs w:val="22"/>
        </w:rPr>
        <w:fldChar w:fldCharType="end"/>
      </w:r>
      <w:r w:rsidRPr="0015549E">
        <w:rPr>
          <w:rFonts w:ascii="Arial" w:hAnsi="Arial" w:cs="Arial"/>
          <w:sz w:val="22"/>
          <w:szCs w:val="22"/>
        </w:rPr>
        <w:t xml:space="preserve">: </w:t>
      </w:r>
      <w:bookmarkEnd w:id="3"/>
      <w:r w:rsidRPr="0015549E" w:rsidR="00A16917">
        <w:rPr>
          <w:rFonts w:ascii="Arial" w:hAnsi="Arial" w:cs="Arial"/>
          <w:sz w:val="22"/>
          <w:szCs w:val="22"/>
        </w:rPr>
        <w:t xml:space="preserve">Visual representation of a </w:t>
      </w:r>
      <w:r w:rsidR="004A7943">
        <w:rPr>
          <w:rFonts w:ascii="Arial" w:hAnsi="Arial" w:cs="Arial"/>
          <w:sz w:val="22"/>
          <w:szCs w:val="22"/>
        </w:rPr>
        <w:t xml:space="preserve">Glucose Level </w:t>
      </w:r>
      <w:r w:rsidRPr="0015549E" w:rsidR="00A16917">
        <w:rPr>
          <w:rFonts w:ascii="Arial" w:hAnsi="Arial" w:cs="Arial"/>
          <w:sz w:val="22"/>
          <w:szCs w:val="22"/>
        </w:rPr>
        <w:t xml:space="preserve"> Adapted from Dreamstime.</w:t>
      </w:r>
      <w:bookmarkEnd w:id="4"/>
    </w:p>
    <w:p w:rsidRPr="0015549E" w:rsidR="007B0FAC" w:rsidP="0015549E" w:rsidRDefault="0015549E" w14:paraId="236C62C1" w14:textId="4624518A">
      <w:pPr>
        <w:pStyle w:val="Heading2"/>
        <w:rPr>
          <w:rFonts w:ascii="Arial" w:hAnsi="Arial" w:cs="Arial"/>
          <w:b/>
          <w:bCs/>
          <w:sz w:val="22"/>
          <w:szCs w:val="22"/>
        </w:rPr>
      </w:pPr>
      <w:bookmarkStart w:name="_Toc226555406" w:id="5"/>
      <w:r w:rsidRPr="0015549E">
        <w:rPr>
          <w:rFonts w:ascii="Arial" w:hAnsi="Arial" w:cs="Arial"/>
          <w:b/>
          <w:bCs/>
          <w:sz w:val="22"/>
          <w:szCs w:val="22"/>
        </w:rPr>
        <w:t>2.0</w:t>
      </w:r>
      <w:r w:rsidRPr="0015549E">
        <w:rPr>
          <w:rFonts w:ascii="Arial" w:hAnsi="Arial" w:cs="Arial"/>
          <w:b/>
          <w:bCs/>
          <w:sz w:val="22"/>
          <w:szCs w:val="22"/>
        </w:rPr>
        <w:tab/>
      </w:r>
      <w:r w:rsidRPr="0015549E" w:rsidR="007B0FAC">
        <w:rPr>
          <w:rFonts w:ascii="Arial" w:hAnsi="Arial" w:cs="Arial"/>
          <w:b/>
          <w:bCs/>
          <w:sz w:val="22"/>
          <w:szCs w:val="22"/>
        </w:rPr>
        <w:t>UNDERSTANDING DIABETES</w:t>
      </w:r>
      <w:bookmarkEnd w:id="5"/>
    </w:p>
    <w:p w:rsidRPr="0015549E" w:rsidR="003F6B2E" w:rsidP="00EA5A5F" w:rsidRDefault="003F6B2E" w14:paraId="45740D1A" w14:textId="157B2815">
      <w:pPr>
        <w:spacing w:line="360" w:lineRule="auto"/>
        <w:jc w:val="both"/>
        <w:rPr>
          <w:rFonts w:ascii="Arial" w:hAnsi="Arial" w:cs="Arial"/>
        </w:rPr>
      </w:pPr>
      <w:r w:rsidRPr="0015549E">
        <w:rPr>
          <w:rFonts w:ascii="Arial" w:hAnsi="Arial" w:cs="Arial"/>
        </w:rPr>
        <w:t>Diabetes mellitus is a chronic disorder that influences the body to regulate the level of glucose in the blood. It arises when the body fails to produce sufficient insulin or fails to utili</w:t>
      </w:r>
      <w:r w:rsidR="001140D3">
        <w:rPr>
          <w:rFonts w:ascii="Arial" w:hAnsi="Arial" w:cs="Arial"/>
        </w:rPr>
        <w:t>s</w:t>
      </w:r>
      <w:r w:rsidRPr="0015549E">
        <w:rPr>
          <w:rFonts w:ascii="Arial" w:hAnsi="Arial" w:cs="Arial"/>
        </w:rPr>
        <w:t>e insulin effectively. Insulin is a hormone that aids the uptake of glucose into cells to be utili</w:t>
      </w:r>
      <w:r w:rsidR="009751A7">
        <w:rPr>
          <w:rFonts w:ascii="Arial" w:hAnsi="Arial" w:cs="Arial"/>
        </w:rPr>
        <w:t>s</w:t>
      </w:r>
      <w:r w:rsidRPr="0015549E">
        <w:rPr>
          <w:rFonts w:ascii="Arial" w:hAnsi="Arial" w:cs="Arial"/>
        </w:rPr>
        <w:t xml:space="preserve">ed as energy. The failure of this process results in glucose accumulation in the blood, causing high blood sugar levels (hyperglycaemia) (WHO, 2024). In the long run, it may lead to severe health issues, including heart disease, kidney damage, and nerve damage (WHO, 2023; Diabetes UK, 2025). </w:t>
      </w:r>
    </w:p>
    <w:p w:rsidRPr="0015549E" w:rsidR="007B0FAC" w:rsidP="0015549E" w:rsidRDefault="0015549E" w14:paraId="101555C4" w14:textId="7D42C791">
      <w:pPr>
        <w:pStyle w:val="Heading3"/>
        <w:rPr>
          <w:rFonts w:ascii="Arial" w:hAnsi="Arial" w:eastAsia="Times New Roman" w:cs="Arial"/>
          <w:sz w:val="22"/>
          <w:szCs w:val="22"/>
        </w:rPr>
      </w:pPr>
      <w:bookmarkStart w:name="_Toc226555407" w:id="6"/>
      <w:r w:rsidRPr="0015549E">
        <w:rPr>
          <w:rFonts w:ascii="Arial" w:hAnsi="Arial" w:cs="Arial"/>
          <w:sz w:val="22"/>
          <w:szCs w:val="22"/>
        </w:rPr>
        <w:t>2.1 Type 1 and Type 2 Diabetes</w:t>
      </w:r>
      <w:bookmarkEnd w:id="6"/>
    </w:p>
    <w:p w:rsidRPr="0015549E" w:rsidR="00D10FDF" w:rsidP="00D10FDF" w:rsidRDefault="00D10FDF" w14:paraId="4CB11089" w14:textId="77777777">
      <w:pPr>
        <w:spacing w:line="360" w:lineRule="auto"/>
        <w:jc w:val="both"/>
        <w:rPr>
          <w:rFonts w:ascii="Arial" w:hAnsi="Arial" w:cs="Arial"/>
        </w:rPr>
      </w:pPr>
      <w:r w:rsidRPr="0015549E">
        <w:rPr>
          <w:rFonts w:ascii="Arial" w:hAnsi="Arial" w:cs="Arial"/>
        </w:rPr>
        <w:t>Type 1 diabetes (T1D) is an autoimmune condition where the body’s immune system attacks the insulin-producing cells in the pancreas. This leads to the body producing minimal or no insulin. Insulin is necessary as it enables glucose to be absorbed into cells and used as energy. In its absence, blood glucose levels increase rapidly. Individuals with T1D require insulin therapy on a daily basis, either by injection or insulin pump, to survive (Atkinson et al., 2013). This form commonly occurs during childhood or early adulthood, but may happen at any age.</w:t>
      </w:r>
    </w:p>
    <w:p w:rsidRPr="0015549E" w:rsidR="00D10FDF" w:rsidP="00D10FDF" w:rsidRDefault="00D10FDF" w14:paraId="6E5EB4B6" w14:textId="706D8A7F">
      <w:pPr>
        <w:spacing w:line="360" w:lineRule="auto"/>
        <w:jc w:val="both"/>
        <w:rPr>
          <w:rFonts w:ascii="Arial" w:hAnsi="Arial" w:cs="Arial"/>
        </w:rPr>
      </w:pPr>
      <w:r w:rsidRPr="0015549E">
        <w:rPr>
          <w:rFonts w:ascii="Arial" w:hAnsi="Arial" w:cs="Arial"/>
        </w:rPr>
        <w:t>Type 2 diabetes (T2D) is more common and develops gradually. In this condition, the body becomes resistant to insulin or does not produce enough to maintain normal glucose levels. As a result, glucose builds up in the blood instead of being used by the cells. Excess body weight and low physical activity are some of the lifestyle factors that are closely associated with T2D. It is treated by many patients with the help of diet, exercise, and oral medication, but some of them might need insulin later (DeFron</w:t>
      </w:r>
      <w:r w:rsidR="001140D3">
        <w:rPr>
          <w:rFonts w:ascii="Arial" w:hAnsi="Arial" w:cs="Arial"/>
        </w:rPr>
        <w:t>s</w:t>
      </w:r>
      <w:r w:rsidRPr="0015549E">
        <w:rPr>
          <w:rFonts w:ascii="Arial" w:hAnsi="Arial" w:cs="Arial"/>
        </w:rPr>
        <w:t>o et al., 2015; WHO, 2023).</w:t>
      </w:r>
    </w:p>
    <w:p w:rsidRPr="0015549E" w:rsidR="007B0FAC" w:rsidP="0015549E" w:rsidRDefault="007B0FAC" w14:paraId="2E7066B8" w14:textId="557115D0">
      <w:pPr>
        <w:pStyle w:val="Heading3"/>
        <w:rPr>
          <w:rFonts w:ascii="Arial" w:hAnsi="Arial" w:eastAsia="Times New Roman" w:cs="Arial"/>
          <w:sz w:val="22"/>
          <w:szCs w:val="22"/>
        </w:rPr>
      </w:pPr>
      <w:bookmarkStart w:name="_Toc226555408" w:id="7"/>
      <w:r w:rsidRPr="0015549E">
        <w:rPr>
          <w:rFonts w:ascii="Arial" w:hAnsi="Arial" w:eastAsia="Times New Roman" w:cs="Arial"/>
          <w:sz w:val="22"/>
          <w:szCs w:val="22"/>
        </w:rPr>
        <w:t>2.2 Risk Factors</w:t>
      </w:r>
      <w:bookmarkEnd w:id="7"/>
    </w:p>
    <w:p w:rsidRPr="0015549E" w:rsidR="005C22BE" w:rsidP="005C22BE" w:rsidRDefault="005C22BE" w14:paraId="7176A71F" w14:textId="5296745A">
      <w:pPr>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Diabetes type 2 is caused by a complex of various risk factors. These are categori</w:t>
      </w:r>
      <w:r w:rsidR="001140D3">
        <w:rPr>
          <w:rFonts w:ascii="Arial" w:hAnsi="Arial" w:eastAsia="Times New Roman" w:cs="Arial"/>
          <w:kern w:val="0"/>
          <w14:ligatures w14:val="none"/>
        </w:rPr>
        <w:t>s</w:t>
      </w:r>
      <w:r w:rsidRPr="0015549E">
        <w:rPr>
          <w:rFonts w:ascii="Arial" w:hAnsi="Arial" w:eastAsia="Times New Roman" w:cs="Arial"/>
          <w:kern w:val="0"/>
          <w14:ligatures w14:val="none"/>
        </w:rPr>
        <w:t xml:space="preserve">ed into non-modifiable and modifiable factors. Non-modifiable factors cannot be changed. These are age, family history and ethnicity. The risk of Type 2 diabetes increases with age, especially after 40 years. Individuals whose close family member has diabetes have higher chances of developing the condition. </w:t>
      </w:r>
    </w:p>
    <w:p w:rsidRPr="0015549E" w:rsidR="00934872" w:rsidP="000F2A8D" w:rsidRDefault="005C22BE" w14:paraId="33D181A7" w14:textId="578BA54A">
      <w:pPr>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 xml:space="preserve">Risk factors that are modifiable can be </w:t>
      </w:r>
      <w:r w:rsidR="009C6FD6">
        <w:rPr>
          <w:rFonts w:ascii="Arial" w:hAnsi="Arial" w:eastAsia="Times New Roman" w:cs="Arial"/>
          <w:kern w:val="0"/>
          <w14:ligatures w14:val="none"/>
        </w:rPr>
        <w:t xml:space="preserve">changed. </w:t>
      </w:r>
      <w:r w:rsidRPr="0015549E">
        <w:rPr>
          <w:rFonts w:ascii="Arial" w:hAnsi="Arial" w:eastAsia="Times New Roman" w:cs="Arial"/>
          <w:kern w:val="0"/>
          <w14:ligatures w14:val="none"/>
        </w:rPr>
        <w:t>They are obesity, poor diet, lack of exercise, smoking, and hypertension. Excess body weight, especially around the abdomen, increases insulin resistance. High sugar, fat, and processed foods diets may increase blood glucose levels. Exercise deficiency decreases the efficiency of the body to utili</w:t>
      </w:r>
      <w:r w:rsidR="001140D3">
        <w:rPr>
          <w:rFonts w:ascii="Arial" w:hAnsi="Arial" w:eastAsia="Times New Roman" w:cs="Arial"/>
          <w:kern w:val="0"/>
          <w14:ligatures w14:val="none"/>
        </w:rPr>
        <w:t>s</w:t>
      </w:r>
      <w:r w:rsidRPr="0015549E">
        <w:rPr>
          <w:rFonts w:ascii="Arial" w:hAnsi="Arial" w:eastAsia="Times New Roman" w:cs="Arial"/>
          <w:kern w:val="0"/>
          <w14:ligatures w14:val="none"/>
        </w:rPr>
        <w:t>e insulin (GOV.UK, 2018).</w:t>
      </w:r>
      <w:r w:rsidR="009B1E5D">
        <w:rPr>
          <w:rFonts w:ascii="Arial" w:hAnsi="Arial" w:eastAsia="Times New Roman" w:cs="Arial"/>
          <w:kern w:val="0"/>
          <w14:ligatures w14:val="none"/>
        </w:rPr>
        <w:t xml:space="preserve"> </w:t>
      </w:r>
      <w:r w:rsidRPr="0015549E">
        <w:rPr>
          <w:rFonts w:ascii="Arial" w:hAnsi="Arial" w:eastAsia="Times New Roman" w:cs="Arial"/>
          <w:kern w:val="0"/>
          <w14:ligatures w14:val="none"/>
        </w:rPr>
        <w:t>Simple lifestyle changes can help in preventing Type 2 diabetes</w:t>
      </w:r>
      <w:r w:rsidR="003234DB">
        <w:rPr>
          <w:rFonts w:ascii="Arial" w:hAnsi="Arial" w:eastAsia="Times New Roman" w:cs="Arial"/>
          <w:kern w:val="0"/>
          <w14:ligatures w14:val="none"/>
        </w:rPr>
        <w:t xml:space="preserve">. </w:t>
      </w:r>
      <w:r w:rsidRPr="0015549E">
        <w:rPr>
          <w:rFonts w:ascii="Arial" w:hAnsi="Arial" w:eastAsia="Times New Roman" w:cs="Arial"/>
          <w:kern w:val="0"/>
          <w14:ligatures w14:val="none"/>
        </w:rPr>
        <w:t>Exercise and healthy eating are also helpful in achieving improved health (Lean et al., 2018).</w:t>
      </w:r>
      <w:r w:rsidRPr="0015549E" w:rsidR="007B0FAC">
        <w:rPr>
          <w:rFonts w:ascii="Arial" w:hAnsi="Arial" w:cs="Arial"/>
          <w:vanish/>
        </w:rPr>
        <w:t>Top of FormBottom of Form</w:t>
      </w:r>
    </w:p>
    <w:p w:rsidRPr="00274B30" w:rsidR="000F2A8D" w:rsidP="0015549E" w:rsidRDefault="00A16917" w14:paraId="503FE3BD" w14:textId="518BFE1A">
      <w:pPr>
        <w:pStyle w:val="Heading2"/>
        <w:rPr>
          <w:rFonts w:ascii="Arial" w:hAnsi="Arial" w:eastAsia="Times New Roman" w:cs="Arial"/>
          <w:b/>
          <w:bCs/>
          <w:sz w:val="22"/>
          <w:szCs w:val="22"/>
        </w:rPr>
      </w:pPr>
      <w:bookmarkStart w:name="_Toc226555409" w:id="8"/>
      <w:r w:rsidRPr="00274B30">
        <w:rPr>
          <w:rFonts w:ascii="Arial" w:hAnsi="Arial" w:cs="Arial"/>
          <w:b/>
          <w:bCs/>
          <w:sz w:val="22"/>
          <w:szCs w:val="22"/>
        </w:rPr>
        <w:t>3.</w:t>
      </w:r>
      <w:r w:rsidR="00274B30">
        <w:rPr>
          <w:rFonts w:ascii="Arial" w:hAnsi="Arial" w:cs="Arial"/>
          <w:b/>
          <w:bCs/>
          <w:sz w:val="22"/>
          <w:szCs w:val="22"/>
        </w:rPr>
        <w:t>0</w:t>
      </w:r>
      <w:r w:rsidR="00274B30">
        <w:rPr>
          <w:rFonts w:ascii="Arial" w:hAnsi="Arial" w:cs="Arial"/>
          <w:b/>
          <w:bCs/>
          <w:sz w:val="22"/>
          <w:szCs w:val="22"/>
        </w:rPr>
        <w:tab/>
      </w:r>
      <w:r w:rsidRPr="00274B30">
        <w:rPr>
          <w:rFonts w:ascii="Arial" w:hAnsi="Arial" w:cs="Arial"/>
          <w:b/>
          <w:bCs/>
          <w:sz w:val="22"/>
          <w:szCs w:val="22"/>
        </w:rPr>
        <w:t>BLOOD SUGAR REGULATION</w:t>
      </w:r>
      <w:bookmarkEnd w:id="8"/>
    </w:p>
    <w:p w:rsidRPr="0015549E" w:rsidR="00FB4520" w:rsidP="00FB4520" w:rsidRDefault="00FB4520" w14:paraId="6565619A" w14:textId="77777777">
      <w:pPr>
        <w:spacing w:line="360" w:lineRule="auto"/>
        <w:jc w:val="both"/>
        <w:rPr>
          <w:rFonts w:ascii="Arial" w:hAnsi="Arial" w:cs="Arial"/>
        </w:rPr>
      </w:pPr>
      <w:r w:rsidRPr="0015549E">
        <w:rPr>
          <w:rFonts w:ascii="Arial" w:hAnsi="Arial" w:cs="Arial"/>
        </w:rPr>
        <w:t>The body regulates blood glucose by a definite feedback mechanism that includes the pancreas, liver, and major hormones. This system maintains the normal level of glucose, which is typically 4-7 mmol/L prior to meals and less than 8.5 mmol/L following meals in the majority of diabetic adults (NHS, 2026). Normal body functioning and damage to organs over time are facilitated by stable levels of glucose.</w:t>
      </w:r>
    </w:p>
    <w:p w:rsidRPr="0015549E" w:rsidR="00FB4520" w:rsidP="00FB4520" w:rsidRDefault="00FB4520" w14:paraId="7D5E3AAA" w14:textId="1937409C">
      <w:pPr>
        <w:spacing w:line="360" w:lineRule="auto"/>
        <w:jc w:val="both"/>
        <w:rPr>
          <w:rFonts w:ascii="Arial" w:hAnsi="Arial" w:cs="Arial"/>
        </w:rPr>
      </w:pPr>
      <w:r w:rsidRPr="0015549E">
        <w:rPr>
          <w:rFonts w:ascii="Arial" w:hAnsi="Arial" w:cs="Arial"/>
        </w:rPr>
        <w:t>The level of blood glucose increases after eating because carbohydrates are decomposed into glucose and enter the blood. The pancreas in turn responds by releasing insulin. Insulin is a key that enables glucose to get into body cells, particularly muscle and fat cells, where it is utili</w:t>
      </w:r>
      <w:r w:rsidR="001140D3">
        <w:rPr>
          <w:rFonts w:ascii="Arial" w:hAnsi="Arial" w:cs="Arial"/>
        </w:rPr>
        <w:t>s</w:t>
      </w:r>
      <w:r w:rsidRPr="0015549E">
        <w:rPr>
          <w:rFonts w:ascii="Arial" w:hAnsi="Arial" w:cs="Arial"/>
        </w:rPr>
        <w:t>ed as energy. Meanwhile, the surplus glucose is stored in the liver as glycogen to be used later (Hall and Hall, 2020; NHS, 2022). This is done to lower high blood glucose and avoid hyperglycaemia.</w:t>
      </w:r>
    </w:p>
    <w:p w:rsidRPr="0015549E" w:rsidR="00FB4520" w:rsidP="00FB4520" w:rsidRDefault="00FB4520" w14:paraId="22FD9747" w14:textId="77777777">
      <w:pPr>
        <w:spacing w:line="360" w:lineRule="auto"/>
        <w:jc w:val="both"/>
        <w:rPr>
          <w:rFonts w:ascii="Arial" w:hAnsi="Arial" w:cs="Arial"/>
        </w:rPr>
      </w:pPr>
      <w:r w:rsidRPr="0015549E">
        <w:rPr>
          <w:rFonts w:ascii="Arial" w:hAnsi="Arial" w:cs="Arial"/>
        </w:rPr>
        <w:t>Blood glucose levels start to drop between meals or during fasting. The pancreas then secretes glucagon, which is a hormone that has the reverse effect of insulin. Glucagon signals the liver to break down stored glycogen into glucose and release it into the bloodstream. This is done to make sure that the body, particularly the brain, does not run out of energy even when food is not present.</w:t>
      </w:r>
    </w:p>
    <w:p w:rsidRPr="0015549E" w:rsidR="00FB4520" w:rsidP="00FB4520" w:rsidRDefault="00FB4520" w14:paraId="75A13AA8" w14:textId="77777777">
      <w:pPr>
        <w:spacing w:line="360" w:lineRule="auto"/>
        <w:jc w:val="both"/>
        <w:rPr>
          <w:rFonts w:ascii="Arial" w:hAnsi="Arial" w:cs="Arial"/>
        </w:rPr>
      </w:pPr>
      <w:r w:rsidRPr="0015549E">
        <w:rPr>
          <w:rFonts w:ascii="Arial" w:hAnsi="Arial" w:cs="Arial"/>
        </w:rPr>
        <w:t>Cortisol and adrenaline are hormones released by the body during stress. These hormones increase blood glucose levels by stimulating glucose release from the liver. This reaction makes the body ready to act, but may cause short-term spikes in blood glucose, particularly in individuals with diabetes (Sharma et al, 2022).</w:t>
      </w:r>
    </w:p>
    <w:p w:rsidRPr="0015549E" w:rsidR="007B0FAC" w:rsidP="00FB4520" w:rsidRDefault="00FB4520" w14:paraId="678331E9" w14:textId="45544441">
      <w:pPr>
        <w:spacing w:line="360" w:lineRule="auto"/>
        <w:jc w:val="both"/>
        <w:rPr>
          <w:rFonts w:ascii="Arial" w:hAnsi="Arial" w:eastAsia="Times New Roman" w:cs="Arial"/>
          <w:kern w:val="0"/>
          <w14:ligatures w14:val="none"/>
        </w:rPr>
      </w:pPr>
      <w:r w:rsidRPr="0015549E">
        <w:rPr>
          <w:rFonts w:ascii="Arial" w:hAnsi="Arial" w:cs="Arial"/>
        </w:rPr>
        <w:t>This regulation system fails in Type 2 diabetes. The body develops resistance to insulin and therefore the glucose is unable to get into the cells. This causes glucose to stay in the blood, causing chronic high glucose levels called hyperglycaemia. In the long run, it may lead to severe complications like heart disease, kidney damage, and nerve issues (Diabetes UK, 2025).</w:t>
      </w:r>
    </w:p>
    <w:p w:rsidRPr="0015549E" w:rsidR="007B0FAC" w:rsidP="007B0FAC" w:rsidRDefault="007B0FAC" w14:paraId="706B43DE" w14:textId="77777777">
      <w:pPr>
        <w:spacing w:line="360" w:lineRule="auto"/>
        <w:jc w:val="both"/>
        <w:rPr>
          <w:rFonts w:ascii="Arial" w:hAnsi="Arial" w:eastAsia="Times New Roman" w:cs="Arial"/>
          <w:kern w:val="0"/>
          <w14:ligatures w14:val="none"/>
        </w:rPr>
      </w:pPr>
    </w:p>
    <w:p w:rsidRPr="0015549E" w:rsidR="00A07840" w:rsidP="00EA13A6" w:rsidRDefault="00482B97" w14:paraId="26E1AB50" w14:textId="6F962F69">
      <w:pPr>
        <w:keepNext/>
        <w:spacing w:line="360" w:lineRule="auto"/>
        <w:jc w:val="center"/>
        <w:rPr>
          <w:rFonts w:ascii="Arial" w:hAnsi="Arial" w:cs="Arial"/>
        </w:rPr>
      </w:pPr>
      <w:r w:rsidRPr="0015549E">
        <w:rPr>
          <w:rFonts w:ascii="Arial" w:hAnsi="Arial" w:cs="Arial"/>
          <w:noProof/>
          <w:kern w:val="0"/>
        </w:rPr>
        <w:drawing>
          <wp:inline distT="0" distB="0" distL="0" distR="0" wp14:anchorId="4A7C317D" wp14:editId="13ED39A4">
            <wp:extent cx="3330429" cy="2601370"/>
            <wp:effectExtent l="0" t="0" r="3810" b="8890"/>
            <wp:docPr id="335686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0332" cy="2616916"/>
                    </a:xfrm>
                    <a:prstGeom prst="rect">
                      <a:avLst/>
                    </a:prstGeom>
                    <a:noFill/>
                  </pic:spPr>
                </pic:pic>
              </a:graphicData>
            </a:graphic>
          </wp:inline>
        </w:drawing>
      </w:r>
    </w:p>
    <w:p w:rsidRPr="0015549E" w:rsidR="00DA4BC8" w:rsidP="00621093" w:rsidRDefault="00A07840" w14:paraId="01B0C400" w14:textId="268EB2EB">
      <w:pPr>
        <w:pStyle w:val="Caption"/>
        <w:spacing w:line="360" w:lineRule="auto"/>
        <w:jc w:val="center"/>
        <w:rPr>
          <w:rFonts w:ascii="Arial" w:hAnsi="Arial" w:cs="Arial"/>
          <w:sz w:val="22"/>
          <w:szCs w:val="22"/>
        </w:rPr>
      </w:pPr>
      <w:bookmarkStart w:name="_Toc224915257" w:id="9"/>
      <w:bookmarkStart w:name="_Toc226555085" w:id="10"/>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sidR="000755E7">
        <w:rPr>
          <w:rFonts w:ascii="Arial" w:hAnsi="Arial" w:cs="Arial"/>
          <w:sz w:val="22"/>
          <w:szCs w:val="22"/>
        </w:rPr>
        <w:t>2</w:t>
      </w:r>
      <w:r w:rsidRPr="0015549E">
        <w:rPr>
          <w:rFonts w:ascii="Arial" w:hAnsi="Arial" w:cs="Arial"/>
          <w:sz w:val="22"/>
          <w:szCs w:val="22"/>
        </w:rPr>
        <w:fldChar w:fldCharType="end"/>
      </w:r>
      <w:r w:rsidRPr="0015549E">
        <w:rPr>
          <w:rFonts w:ascii="Arial" w:hAnsi="Arial" w:cs="Arial"/>
          <w:sz w:val="22"/>
          <w:szCs w:val="22"/>
        </w:rPr>
        <w:t>: Insulin–Glucagon Negative Feedback Mechanism</w:t>
      </w:r>
      <w:bookmarkEnd w:id="9"/>
      <w:bookmarkEnd w:id="10"/>
    </w:p>
    <w:p w:rsidRPr="0015549E" w:rsidR="000F2A8D" w:rsidP="0015549E" w:rsidRDefault="00934872" w14:paraId="5791728B" w14:textId="02A00B82">
      <w:pPr>
        <w:pStyle w:val="Heading2"/>
        <w:rPr>
          <w:rFonts w:ascii="Arial" w:hAnsi="Arial" w:eastAsia="Times New Roman" w:cs="Arial"/>
          <w:b/>
          <w:bCs/>
          <w:sz w:val="22"/>
          <w:szCs w:val="22"/>
        </w:rPr>
      </w:pPr>
      <w:bookmarkStart w:name="_Toc226555410" w:id="11"/>
      <w:r w:rsidRPr="0015549E">
        <w:rPr>
          <w:rFonts w:ascii="Arial" w:hAnsi="Arial" w:eastAsia="Times New Roman" w:cs="Arial"/>
          <w:b/>
          <w:bCs/>
          <w:sz w:val="22"/>
          <w:szCs w:val="22"/>
        </w:rPr>
        <w:t>4.</w:t>
      </w:r>
      <w:r w:rsidR="00274B30">
        <w:rPr>
          <w:rFonts w:ascii="Arial" w:hAnsi="Arial" w:eastAsia="Times New Roman" w:cs="Arial"/>
          <w:b/>
          <w:bCs/>
          <w:sz w:val="22"/>
          <w:szCs w:val="22"/>
        </w:rPr>
        <w:t>0</w:t>
      </w:r>
      <w:r w:rsidRPr="0015549E">
        <w:rPr>
          <w:rFonts w:ascii="Arial" w:hAnsi="Arial" w:eastAsia="Times New Roman" w:cs="Arial"/>
          <w:b/>
          <w:bCs/>
          <w:sz w:val="22"/>
          <w:szCs w:val="22"/>
        </w:rPr>
        <w:t xml:space="preserve"> CELLULAR METABOLISM AND ENERGY PRODUCTION</w:t>
      </w:r>
      <w:bookmarkEnd w:id="11"/>
    </w:p>
    <w:p w:rsidRPr="0015549E" w:rsidR="001029F2" w:rsidP="001029F2" w:rsidRDefault="001029F2" w14:paraId="282D445F" w14:textId="2A5F351D">
      <w:pPr>
        <w:keepNext/>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The body cells require energy to operate. This energy is primarily provided by glucose and oxygen. Glucose is taken from food, while oxygen is taken in through breathing. Both are utili</w:t>
      </w:r>
      <w:r w:rsidR="001140D3">
        <w:rPr>
          <w:rFonts w:ascii="Arial" w:hAnsi="Arial" w:eastAsia="Times New Roman" w:cs="Arial"/>
          <w:kern w:val="0"/>
          <w14:ligatures w14:val="none"/>
        </w:rPr>
        <w:t>s</w:t>
      </w:r>
      <w:r w:rsidRPr="0015549E">
        <w:rPr>
          <w:rFonts w:ascii="Arial" w:hAnsi="Arial" w:eastAsia="Times New Roman" w:cs="Arial"/>
          <w:kern w:val="0"/>
          <w14:ligatures w14:val="none"/>
        </w:rPr>
        <w:t>ed to generate energy in the form of ATP in the cells. ATP is the primary source of energy that sustains all body processes like movement, thinking and tissue repair (Alberts et al, 2002).</w:t>
      </w:r>
    </w:p>
    <w:p w:rsidRPr="0015549E" w:rsidR="00934872" w:rsidP="001029F2" w:rsidRDefault="00934872" w14:paraId="69EDAEC3" w14:textId="3D635E81">
      <w:pPr>
        <w:keepNext/>
        <w:spacing w:line="360" w:lineRule="auto"/>
        <w:jc w:val="center"/>
        <w:rPr>
          <w:rFonts w:ascii="Arial" w:hAnsi="Arial" w:cs="Arial"/>
        </w:rPr>
      </w:pPr>
      <w:r w:rsidRPr="0015549E">
        <w:rPr>
          <w:rFonts w:ascii="Arial" w:hAnsi="Arial" w:cs="Arial"/>
          <w:noProof/>
        </w:rPr>
        <w:drawing>
          <wp:inline distT="0" distB="0" distL="0" distR="0" wp14:anchorId="332E5ED8" wp14:editId="14F95492">
            <wp:extent cx="2774380" cy="2167890"/>
            <wp:effectExtent l="0" t="0" r="6985" b="3810"/>
            <wp:docPr id="194194962" name="Picture 1" descr="Process of respiration and its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of respiration and its import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7659" cy="2178266"/>
                    </a:xfrm>
                    <a:prstGeom prst="rect">
                      <a:avLst/>
                    </a:prstGeom>
                    <a:noFill/>
                    <a:ln>
                      <a:noFill/>
                    </a:ln>
                  </pic:spPr>
                </pic:pic>
              </a:graphicData>
            </a:graphic>
          </wp:inline>
        </w:drawing>
      </w:r>
    </w:p>
    <w:p w:rsidRPr="0015549E" w:rsidR="00934872" w:rsidP="00934872" w:rsidRDefault="00934872" w14:paraId="5E56635A" w14:textId="77777777">
      <w:pPr>
        <w:pStyle w:val="Caption"/>
        <w:jc w:val="center"/>
        <w:rPr>
          <w:rFonts w:ascii="Arial" w:hAnsi="Arial" w:cs="Arial"/>
          <w:kern w:val="0"/>
          <w:sz w:val="22"/>
          <w:szCs w:val="22"/>
        </w:rPr>
      </w:pPr>
      <w:bookmarkStart w:name="_Toc224915258" w:id="12"/>
      <w:bookmarkStart w:name="_Toc226555086" w:id="13"/>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Pr>
          <w:rFonts w:ascii="Arial" w:hAnsi="Arial" w:cs="Arial"/>
          <w:sz w:val="22"/>
          <w:szCs w:val="22"/>
        </w:rPr>
        <w:t>3</w:t>
      </w:r>
      <w:r w:rsidRPr="0015549E">
        <w:rPr>
          <w:rFonts w:ascii="Arial" w:hAnsi="Arial" w:cs="Arial"/>
          <w:sz w:val="22"/>
          <w:szCs w:val="22"/>
        </w:rPr>
        <w:fldChar w:fldCharType="end"/>
      </w:r>
      <w:r w:rsidRPr="0015549E">
        <w:rPr>
          <w:rFonts w:ascii="Arial" w:hAnsi="Arial" w:cs="Arial"/>
          <w:sz w:val="22"/>
          <w:szCs w:val="22"/>
        </w:rPr>
        <w:t>: Role of Oxygen and Glucose in Energy Production</w:t>
      </w:r>
      <w:bookmarkEnd w:id="12"/>
      <w:bookmarkEnd w:id="13"/>
    </w:p>
    <w:p w:rsidRPr="0015549E" w:rsidR="00AC4E88" w:rsidP="00AC4E88" w:rsidRDefault="00AC4E88" w14:paraId="72CBD215" w14:textId="77777777">
      <w:pPr>
        <w:spacing w:line="360" w:lineRule="auto"/>
        <w:jc w:val="both"/>
        <w:rPr>
          <w:rFonts w:ascii="Arial" w:hAnsi="Arial" w:cs="Arial"/>
        </w:rPr>
      </w:pPr>
      <w:r w:rsidRPr="0015549E">
        <w:rPr>
          <w:rFonts w:ascii="Arial" w:hAnsi="Arial" w:cs="Arial"/>
        </w:rPr>
        <w:t>There are three primary stages of energy production. The initial phase is referred to as glycolysis. This takes place in the cytoplasm of the cell. During this stage, glucose is broken down into a smaller substance called pyruvate. This stage produces a small amount of ATP. This step is significant even though the energy generated is minimal since it initiates the entire process.</w:t>
      </w:r>
    </w:p>
    <w:p w:rsidRPr="0015549E" w:rsidR="008426FB" w:rsidP="00AC4E88" w:rsidRDefault="008426FB" w14:paraId="175C3687" w14:textId="77777777">
      <w:pPr>
        <w:spacing w:line="360" w:lineRule="auto"/>
        <w:jc w:val="both"/>
        <w:rPr>
          <w:rFonts w:ascii="Arial" w:hAnsi="Arial" w:cs="Arial"/>
        </w:rPr>
      </w:pPr>
    </w:p>
    <w:p w:rsidRPr="0015549E" w:rsidR="00934872" w:rsidP="00934872" w:rsidRDefault="00934872" w14:paraId="4982D4BA" w14:textId="73E351F3">
      <w:pPr>
        <w:keepNext/>
        <w:spacing w:line="360" w:lineRule="auto"/>
        <w:jc w:val="center"/>
        <w:rPr>
          <w:rFonts w:ascii="Arial" w:hAnsi="Arial" w:cs="Arial"/>
        </w:rPr>
      </w:pPr>
      <w:r w:rsidRPr="0015549E">
        <w:rPr>
          <w:rFonts w:ascii="Arial" w:hAnsi="Arial" w:cs="Arial"/>
          <w:noProof/>
        </w:rPr>
        <w:drawing>
          <wp:inline distT="0" distB="0" distL="0" distR="0" wp14:anchorId="7DEAF5B4" wp14:editId="3CAB6826">
            <wp:extent cx="2728800" cy="2027863"/>
            <wp:effectExtent l="0" t="0" r="0" b="0"/>
            <wp:docPr id="491107785" name="Picture 2" descr="10.2 Glycolysis – Concepts in B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2 Glycolysis – Concepts in Bi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4662" cy="2039651"/>
                    </a:xfrm>
                    <a:prstGeom prst="rect">
                      <a:avLst/>
                    </a:prstGeom>
                    <a:noFill/>
                    <a:ln>
                      <a:noFill/>
                    </a:ln>
                  </pic:spPr>
                </pic:pic>
              </a:graphicData>
            </a:graphic>
          </wp:inline>
        </w:drawing>
      </w:r>
    </w:p>
    <w:p w:rsidRPr="000F2A8D" w:rsidR="00934872" w:rsidP="00934872" w:rsidRDefault="00934872" w14:paraId="0BDE4313" w14:textId="2EA32560">
      <w:pPr>
        <w:pStyle w:val="Caption"/>
        <w:jc w:val="center"/>
        <w:rPr>
          <w:rFonts w:ascii="Arial" w:hAnsi="Arial" w:cs="Arial"/>
          <w:sz w:val="22"/>
          <w:szCs w:val="22"/>
        </w:rPr>
      </w:pPr>
      <w:bookmarkStart w:name="_Toc224915259" w:id="14"/>
      <w:bookmarkStart w:name="_Toc226555087" w:id="15"/>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Pr>
          <w:rFonts w:ascii="Arial" w:hAnsi="Arial" w:cs="Arial"/>
          <w:sz w:val="22"/>
          <w:szCs w:val="22"/>
        </w:rPr>
        <w:t>4</w:t>
      </w:r>
      <w:r w:rsidRPr="0015549E">
        <w:rPr>
          <w:rFonts w:ascii="Arial" w:hAnsi="Arial" w:cs="Arial"/>
          <w:sz w:val="22"/>
          <w:szCs w:val="22"/>
        </w:rPr>
        <w:fldChar w:fldCharType="end"/>
      </w:r>
      <w:r w:rsidRPr="0015549E">
        <w:rPr>
          <w:rFonts w:ascii="Arial" w:hAnsi="Arial" w:cs="Arial"/>
          <w:sz w:val="22"/>
          <w:szCs w:val="22"/>
        </w:rPr>
        <w:t xml:space="preserve">: Summary of Glycolysis (Source: Rao </w:t>
      </w:r>
      <w:r w:rsidR="001140D3">
        <w:rPr>
          <w:rFonts w:ascii="Arial" w:hAnsi="Arial" w:cs="Arial"/>
          <w:sz w:val="22"/>
          <w:szCs w:val="22"/>
        </w:rPr>
        <w:t>and</w:t>
      </w:r>
      <w:r w:rsidRPr="0015549E">
        <w:rPr>
          <w:rFonts w:ascii="Arial" w:hAnsi="Arial" w:cs="Arial"/>
          <w:sz w:val="22"/>
          <w:szCs w:val="22"/>
        </w:rPr>
        <w:t xml:space="preserve"> Ryan, Department of Biology, Texas University)</w:t>
      </w:r>
      <w:bookmarkEnd w:id="14"/>
      <w:bookmarkEnd w:id="15"/>
    </w:p>
    <w:p w:rsidRPr="0015549E" w:rsidR="00EA2853" w:rsidP="00EA2853" w:rsidRDefault="00EA2853" w14:paraId="588B653A" w14:textId="6FD150A2">
      <w:pPr>
        <w:keepNext/>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 xml:space="preserve">The second stage is Krebs cycle. This occurs in the mitochondria which are referred to as the energy centres of the cell. Pyruvate is transported to the mitochondria and further decomposed. This </w:t>
      </w:r>
      <w:r w:rsidRPr="0015549E" w:rsidR="00054936">
        <w:rPr>
          <w:rFonts w:ascii="Arial" w:hAnsi="Arial" w:eastAsia="Times New Roman" w:cs="Arial"/>
          <w:kern w:val="0"/>
          <w14:ligatures w14:val="none"/>
        </w:rPr>
        <w:t>stage</w:t>
      </w:r>
      <w:r w:rsidRPr="0015549E">
        <w:rPr>
          <w:rFonts w:ascii="Arial" w:hAnsi="Arial" w:eastAsia="Times New Roman" w:cs="Arial"/>
          <w:kern w:val="0"/>
          <w14:ligatures w14:val="none"/>
        </w:rPr>
        <w:t xml:space="preserve"> generates more energy-rich molecules that are required in the subsequent step. It also emits carbon dioxide as a by-product.</w:t>
      </w:r>
    </w:p>
    <w:p w:rsidRPr="0015549E" w:rsidR="00934872" w:rsidP="00934872" w:rsidRDefault="00934872" w14:paraId="5B02AE5D" w14:textId="48254315">
      <w:pPr>
        <w:keepNext/>
        <w:spacing w:line="360" w:lineRule="auto"/>
        <w:jc w:val="center"/>
        <w:rPr>
          <w:rFonts w:ascii="Arial" w:hAnsi="Arial" w:cs="Arial"/>
        </w:rPr>
      </w:pPr>
      <w:r w:rsidRPr="0015549E">
        <w:rPr>
          <w:rFonts w:ascii="Arial" w:hAnsi="Arial" w:cs="Arial"/>
          <w:noProof/>
          <w:kern w:val="0"/>
        </w:rPr>
        <w:drawing>
          <wp:inline distT="0" distB="0" distL="0" distR="0" wp14:anchorId="2E8017B9" wp14:editId="031AD70C">
            <wp:extent cx="3061699" cy="2443472"/>
            <wp:effectExtent l="0" t="0" r="5715" b="0"/>
            <wp:docPr id="203352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28762" name=""/>
                    <pic:cNvPicPr/>
                  </pic:nvPicPr>
                  <pic:blipFill>
                    <a:blip r:embed="rId15"/>
                    <a:stretch>
                      <a:fillRect/>
                    </a:stretch>
                  </pic:blipFill>
                  <pic:spPr>
                    <a:xfrm>
                      <a:off x="0" y="0"/>
                      <a:ext cx="3076833" cy="2455550"/>
                    </a:xfrm>
                    <a:prstGeom prst="rect">
                      <a:avLst/>
                    </a:prstGeom>
                  </pic:spPr>
                </pic:pic>
              </a:graphicData>
            </a:graphic>
          </wp:inline>
        </w:drawing>
      </w:r>
    </w:p>
    <w:p w:rsidRPr="0015549E" w:rsidR="00934872" w:rsidP="00934872" w:rsidRDefault="00934872" w14:paraId="10E7FA75" w14:textId="77777777">
      <w:pPr>
        <w:pStyle w:val="Caption"/>
        <w:jc w:val="center"/>
        <w:rPr>
          <w:rFonts w:ascii="Arial" w:hAnsi="Arial" w:cs="Arial"/>
          <w:kern w:val="0"/>
          <w:sz w:val="22"/>
          <w:szCs w:val="22"/>
        </w:rPr>
      </w:pPr>
      <w:bookmarkStart w:name="_Toc224915260" w:id="16"/>
      <w:bookmarkStart w:name="_Toc226555088" w:id="17"/>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Pr>
          <w:rFonts w:ascii="Arial" w:hAnsi="Arial" w:cs="Arial"/>
          <w:sz w:val="22"/>
          <w:szCs w:val="22"/>
        </w:rPr>
        <w:t>5</w:t>
      </w:r>
      <w:r w:rsidRPr="0015549E">
        <w:rPr>
          <w:rFonts w:ascii="Arial" w:hAnsi="Arial" w:cs="Arial"/>
          <w:sz w:val="22"/>
          <w:szCs w:val="22"/>
        </w:rPr>
        <w:fldChar w:fldCharType="end"/>
      </w:r>
      <w:r w:rsidRPr="0015549E">
        <w:rPr>
          <w:rFonts w:ascii="Arial" w:hAnsi="Arial" w:cs="Arial"/>
          <w:sz w:val="22"/>
          <w:szCs w:val="22"/>
        </w:rPr>
        <w:t>: Krebs Cycle (Source: Byjus.com)</w:t>
      </w:r>
      <w:bookmarkEnd w:id="16"/>
      <w:bookmarkEnd w:id="17"/>
    </w:p>
    <w:p w:rsidRPr="000F2A8D" w:rsidR="00934872" w:rsidP="000F2A8D" w:rsidRDefault="00934872" w14:paraId="76B00052" w14:textId="77777777">
      <w:pPr>
        <w:spacing w:before="100" w:beforeAutospacing="1" w:after="100" w:afterAutospacing="1" w:line="360" w:lineRule="auto"/>
        <w:jc w:val="both"/>
        <w:rPr>
          <w:rFonts w:ascii="Arial" w:hAnsi="Arial" w:eastAsia="Times New Roman" w:cs="Arial"/>
          <w:kern w:val="0"/>
          <w14:ligatures w14:val="none"/>
        </w:rPr>
      </w:pPr>
    </w:p>
    <w:p w:rsidRPr="0015549E" w:rsidR="00130295" w:rsidP="00130295" w:rsidRDefault="00130295" w14:paraId="77E285F0" w14:textId="77777777">
      <w:pPr>
        <w:keepNext/>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The third stage is the electron transport chain. The majority of the ATP is produced here. During this step, electrons are moved with the help of oxygen and a lot of energy is emitted. This energy is used to produce ATP. This stage cannot occur without oxygen and the production of energy is decreased.</w:t>
      </w:r>
    </w:p>
    <w:p w:rsidRPr="0015549E" w:rsidR="00934872" w:rsidP="00934872" w:rsidRDefault="00934872" w14:paraId="3359F138" w14:textId="39F144A0">
      <w:pPr>
        <w:keepNext/>
        <w:spacing w:line="360" w:lineRule="auto"/>
        <w:jc w:val="center"/>
        <w:rPr>
          <w:rFonts w:ascii="Arial" w:hAnsi="Arial" w:cs="Arial"/>
        </w:rPr>
      </w:pPr>
      <w:r w:rsidRPr="0015549E">
        <w:rPr>
          <w:rFonts w:ascii="Arial" w:hAnsi="Arial" w:cs="Arial"/>
          <w:noProof/>
          <w:kern w:val="0"/>
        </w:rPr>
        <w:drawing>
          <wp:inline distT="0" distB="0" distL="0" distR="0" wp14:anchorId="1E939261" wp14:editId="6306B8D2">
            <wp:extent cx="2704389" cy="1991317"/>
            <wp:effectExtent l="0" t="0" r="1270" b="9525"/>
            <wp:docPr id="491496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24637" cy="2006226"/>
                    </a:xfrm>
                    <a:prstGeom prst="rect">
                      <a:avLst/>
                    </a:prstGeom>
                    <a:noFill/>
                  </pic:spPr>
                </pic:pic>
              </a:graphicData>
            </a:graphic>
          </wp:inline>
        </w:drawing>
      </w:r>
    </w:p>
    <w:p w:rsidRPr="0015549E" w:rsidR="00934872" w:rsidP="00934872" w:rsidRDefault="00934872" w14:paraId="1C87BE13" w14:textId="2684FB87">
      <w:pPr>
        <w:pStyle w:val="Caption"/>
        <w:jc w:val="center"/>
        <w:rPr>
          <w:rFonts w:ascii="Arial" w:hAnsi="Arial" w:cs="Arial"/>
          <w:sz w:val="22"/>
          <w:szCs w:val="22"/>
        </w:rPr>
      </w:pPr>
      <w:bookmarkStart w:name="_Toc224915261" w:id="18"/>
      <w:bookmarkStart w:name="_Toc226555089" w:id="19"/>
      <w:r w:rsidRPr="0015549E">
        <w:rPr>
          <w:rFonts w:ascii="Arial" w:hAnsi="Arial" w:cs="Arial"/>
          <w:sz w:val="22"/>
          <w:szCs w:val="22"/>
        </w:rPr>
        <w:t xml:space="preserve">Figure </w:t>
      </w:r>
      <w:r w:rsidRPr="0015549E">
        <w:rPr>
          <w:rFonts w:ascii="Arial" w:hAnsi="Arial" w:cs="Arial"/>
          <w:sz w:val="22"/>
          <w:szCs w:val="22"/>
        </w:rPr>
        <w:fldChar w:fldCharType="begin"/>
      </w:r>
      <w:r w:rsidRPr="0015549E">
        <w:rPr>
          <w:rFonts w:ascii="Arial" w:hAnsi="Arial" w:cs="Arial"/>
          <w:sz w:val="22"/>
          <w:szCs w:val="22"/>
        </w:rPr>
        <w:instrText xml:space="preserve"> SEQ Figure \* ARABIC </w:instrText>
      </w:r>
      <w:r w:rsidRPr="0015549E">
        <w:rPr>
          <w:rFonts w:ascii="Arial" w:hAnsi="Arial" w:cs="Arial"/>
          <w:sz w:val="22"/>
          <w:szCs w:val="22"/>
        </w:rPr>
        <w:fldChar w:fldCharType="separate"/>
      </w:r>
      <w:r w:rsidRPr="0015549E">
        <w:rPr>
          <w:rFonts w:ascii="Arial" w:hAnsi="Arial" w:cs="Arial"/>
          <w:sz w:val="22"/>
          <w:szCs w:val="22"/>
        </w:rPr>
        <w:t>6</w:t>
      </w:r>
      <w:r w:rsidRPr="0015549E">
        <w:rPr>
          <w:rFonts w:ascii="Arial" w:hAnsi="Arial" w:cs="Arial"/>
          <w:sz w:val="22"/>
          <w:szCs w:val="22"/>
        </w:rPr>
        <w:fldChar w:fldCharType="end"/>
      </w:r>
      <w:r w:rsidRPr="0015549E">
        <w:rPr>
          <w:rFonts w:ascii="Arial" w:hAnsi="Arial" w:cs="Arial"/>
          <w:sz w:val="22"/>
          <w:szCs w:val="22"/>
        </w:rPr>
        <w:t xml:space="preserve">: </w:t>
      </w:r>
      <w:bookmarkEnd w:id="18"/>
      <w:bookmarkEnd w:id="19"/>
      <w:r w:rsidR="004A7943">
        <w:rPr>
          <w:rFonts w:ascii="Arial" w:hAnsi="Arial" w:cs="Arial"/>
          <w:sz w:val="22"/>
          <w:szCs w:val="22"/>
        </w:rPr>
        <w:t>E</w:t>
      </w:r>
      <w:r w:rsidRPr="004A7943" w:rsidR="004A7943">
        <w:rPr>
          <w:rFonts w:ascii="Arial" w:hAnsi="Arial" w:cs="Arial"/>
          <w:sz w:val="22"/>
          <w:szCs w:val="22"/>
        </w:rPr>
        <w:t xml:space="preserve">lectron </w:t>
      </w:r>
      <w:r w:rsidR="004A7943">
        <w:rPr>
          <w:rFonts w:ascii="Arial" w:hAnsi="Arial" w:cs="Arial"/>
          <w:sz w:val="22"/>
          <w:szCs w:val="22"/>
        </w:rPr>
        <w:t>T</w:t>
      </w:r>
      <w:r w:rsidRPr="004A7943" w:rsidR="004A7943">
        <w:rPr>
          <w:rFonts w:ascii="Arial" w:hAnsi="Arial" w:cs="Arial"/>
          <w:sz w:val="22"/>
          <w:szCs w:val="22"/>
        </w:rPr>
        <w:t xml:space="preserve">ransport </w:t>
      </w:r>
      <w:r w:rsidR="004A7943">
        <w:rPr>
          <w:rFonts w:ascii="Arial" w:hAnsi="Arial" w:cs="Arial"/>
          <w:sz w:val="22"/>
          <w:szCs w:val="22"/>
        </w:rPr>
        <w:t>C</w:t>
      </w:r>
      <w:r w:rsidRPr="004A7943" w:rsidR="004A7943">
        <w:rPr>
          <w:rFonts w:ascii="Arial" w:hAnsi="Arial" w:cs="Arial"/>
          <w:sz w:val="22"/>
          <w:szCs w:val="22"/>
        </w:rPr>
        <w:t>hain</w:t>
      </w:r>
    </w:p>
    <w:p w:rsidRPr="0015549E" w:rsidR="00054936" w:rsidP="00302738" w:rsidRDefault="00054936" w14:paraId="4B0782B4" w14:textId="0B8A3FDC">
      <w:pPr>
        <w:spacing w:line="360" w:lineRule="auto"/>
        <w:jc w:val="both"/>
        <w:rPr>
          <w:rFonts w:ascii="Arial" w:hAnsi="Arial" w:eastAsia="Times New Roman" w:cs="Arial"/>
          <w:kern w:val="0"/>
          <w14:ligatures w14:val="none"/>
        </w:rPr>
      </w:pPr>
      <w:r w:rsidRPr="0015549E">
        <w:rPr>
          <w:rFonts w:ascii="Arial" w:hAnsi="Arial" w:eastAsia="Times New Roman" w:cs="Arial"/>
          <w:kern w:val="0"/>
          <w14:ligatures w14:val="none"/>
        </w:rPr>
        <w:t>The importance of ATP is that it aids numerous essential processes. These involve muscle contraction, nerve signalling and synthesis of proteins required in growth and repair. In Type 2 diabetes, insulin fails to perform its functions. This causes glucose to not enter the cells easily. This implies that the cells lack sufficient fuel to generate energy. This may make patients feel weak and tired. In the long run, cells may also be damaged by high glucose levels in the blood and cause severe complications (Diabetes UK, 2025).</w:t>
      </w:r>
    </w:p>
    <w:p w:rsidRPr="0015549E" w:rsidR="00302738" w:rsidP="0015549E" w:rsidRDefault="00934872" w14:paraId="5DFF2B8E" w14:textId="50E62875">
      <w:pPr>
        <w:pStyle w:val="Heading2"/>
        <w:rPr>
          <w:rFonts w:ascii="Arial" w:hAnsi="Arial" w:eastAsia="Times New Roman" w:cs="Arial"/>
          <w:b/>
          <w:bCs/>
          <w:sz w:val="22"/>
          <w:szCs w:val="22"/>
        </w:rPr>
      </w:pPr>
      <w:bookmarkStart w:name="_Toc226555411" w:id="20"/>
      <w:r w:rsidRPr="0015549E">
        <w:rPr>
          <w:rFonts w:ascii="Arial" w:hAnsi="Arial" w:cs="Arial"/>
          <w:b/>
          <w:bCs/>
          <w:sz w:val="22"/>
          <w:szCs w:val="22"/>
        </w:rPr>
        <w:t>5.</w:t>
      </w:r>
      <w:r w:rsidR="00274B30">
        <w:rPr>
          <w:rFonts w:ascii="Arial" w:hAnsi="Arial" w:cs="Arial"/>
          <w:b/>
          <w:bCs/>
          <w:sz w:val="22"/>
          <w:szCs w:val="22"/>
        </w:rPr>
        <w:t>0</w:t>
      </w:r>
      <w:r w:rsidRPr="0015549E">
        <w:rPr>
          <w:rFonts w:ascii="Arial" w:hAnsi="Arial" w:cs="Arial"/>
          <w:b/>
          <w:bCs/>
          <w:sz w:val="22"/>
          <w:szCs w:val="22"/>
        </w:rPr>
        <w:t xml:space="preserve"> RECORDING AND TRACKING BLOOD GLUCOSE</w:t>
      </w:r>
      <w:bookmarkEnd w:id="20"/>
    </w:p>
    <w:p w:rsidRPr="0015549E" w:rsidR="00054936" w:rsidP="00054936" w:rsidRDefault="00054936" w14:paraId="26DDF152" w14:textId="39D64C00">
      <w:pPr>
        <w:spacing w:line="360" w:lineRule="auto"/>
        <w:jc w:val="both"/>
        <w:rPr>
          <w:rFonts w:ascii="Arial" w:hAnsi="Arial" w:cs="Arial"/>
        </w:rPr>
      </w:pPr>
      <w:r w:rsidRPr="0015549E">
        <w:rPr>
          <w:rFonts w:ascii="Arial" w:hAnsi="Arial" w:cs="Arial"/>
        </w:rPr>
        <w:t>It is highly important to record and monitor blood glucose in diabetes care. Effective monitoring can help avoid severe health issues and facilitate safe treatment (Malanda et al., 2012).</w:t>
      </w:r>
    </w:p>
    <w:p w:rsidRPr="0015549E" w:rsidR="00054936" w:rsidP="00054936" w:rsidRDefault="00054936" w14:paraId="2B7F9E59" w14:textId="77777777">
      <w:pPr>
        <w:spacing w:line="360" w:lineRule="auto"/>
        <w:jc w:val="both"/>
        <w:rPr>
          <w:rFonts w:ascii="Arial" w:hAnsi="Arial" w:cs="Arial"/>
        </w:rPr>
      </w:pPr>
      <w:r w:rsidRPr="0015549E">
        <w:rPr>
          <w:rFonts w:ascii="Arial" w:hAnsi="Arial" w:cs="Arial"/>
        </w:rPr>
        <w:t>Blood glucose can be monitored in two ways. The former is self-monitoring with a glucometer. This is a small device that measures blood sugar levels at home. A drop of blood is collected on a finger and put on a test strip. The outcome indicates the present blood glucose level. This technique may be repeated multiple times a day, such as before meals, after meals, or before bedtime. It provides prompt outcomes and assists patients to make daily choices regarding food, activity, and medication.</w:t>
      </w:r>
    </w:p>
    <w:p w:rsidRPr="0015549E" w:rsidR="00054936" w:rsidP="00054936" w:rsidRDefault="00054936" w14:paraId="59EA81B7" w14:textId="77777777">
      <w:pPr>
        <w:spacing w:line="360" w:lineRule="auto"/>
        <w:jc w:val="both"/>
        <w:rPr>
          <w:rFonts w:ascii="Arial" w:hAnsi="Arial" w:cs="Arial"/>
        </w:rPr>
      </w:pPr>
      <w:r w:rsidRPr="0015549E">
        <w:rPr>
          <w:rFonts w:ascii="Arial" w:hAnsi="Arial" w:cs="Arial"/>
        </w:rPr>
        <w:t>The second one is the HbA1c test. This is carried out in a hospital or clinic. It demonstrates the mean blood glucose level in the last two to three months. It is normally checked every three to six months. The test assists medical workers to learn how to manage glucose over time and modify treatment when necessary (NHS, 2023).</w:t>
      </w:r>
    </w:p>
    <w:p w:rsidRPr="0015549E" w:rsidR="00054936" w:rsidP="00054936" w:rsidRDefault="00054936" w14:paraId="147F2AF7" w14:textId="63B367D2">
      <w:pPr>
        <w:spacing w:line="360" w:lineRule="auto"/>
        <w:jc w:val="both"/>
        <w:rPr>
          <w:rFonts w:ascii="Arial" w:hAnsi="Arial" w:cs="Arial"/>
        </w:rPr>
      </w:pPr>
      <w:r w:rsidRPr="0015549E">
        <w:rPr>
          <w:rFonts w:ascii="Arial" w:hAnsi="Arial" w:cs="Arial"/>
        </w:rPr>
        <w:t xml:space="preserve">There are numerous advantages of monitoring blood glucose. It helps to identify patterns. </w:t>
      </w:r>
      <w:r w:rsidR="00D9720D">
        <w:rPr>
          <w:rFonts w:ascii="Arial" w:hAnsi="Arial" w:cs="Arial"/>
        </w:rPr>
        <w:t>For instance</w:t>
      </w:r>
      <w:r w:rsidRPr="0015549E">
        <w:rPr>
          <w:rFonts w:ascii="Arial" w:hAnsi="Arial" w:cs="Arial"/>
        </w:rPr>
        <w:t xml:space="preserve">, blood sugar can rise </w:t>
      </w:r>
      <w:r w:rsidR="000D6042">
        <w:rPr>
          <w:rFonts w:ascii="Arial" w:hAnsi="Arial" w:cs="Arial"/>
        </w:rPr>
        <w:t>after</w:t>
      </w:r>
      <w:r w:rsidRPr="0015549E">
        <w:rPr>
          <w:rFonts w:ascii="Arial" w:hAnsi="Arial" w:cs="Arial"/>
        </w:rPr>
        <w:t xml:space="preserve"> consumption of some foods or </w:t>
      </w:r>
      <w:r w:rsidR="000D6042">
        <w:rPr>
          <w:rFonts w:ascii="Arial" w:hAnsi="Arial" w:cs="Arial"/>
        </w:rPr>
        <w:t xml:space="preserve">due to </w:t>
      </w:r>
      <w:r w:rsidRPr="0015549E">
        <w:rPr>
          <w:rFonts w:ascii="Arial" w:hAnsi="Arial" w:cs="Arial"/>
        </w:rPr>
        <w:t>stress. It can also decrease following exercise. The identification of these patterns assists patients to make improved lifestyle decisions (Polonsky et al., 2011).</w:t>
      </w:r>
    </w:p>
    <w:p w:rsidRPr="0015549E" w:rsidR="00054936" w:rsidP="00054936" w:rsidRDefault="00054936" w14:paraId="6DA00544" w14:textId="6C67A52A">
      <w:pPr>
        <w:spacing w:line="360" w:lineRule="auto"/>
        <w:jc w:val="both"/>
        <w:rPr>
          <w:rFonts w:ascii="Arial" w:hAnsi="Arial" w:cs="Arial"/>
        </w:rPr>
      </w:pPr>
      <w:r w:rsidRPr="0015549E">
        <w:rPr>
          <w:rFonts w:ascii="Arial" w:hAnsi="Arial" w:cs="Arial"/>
        </w:rPr>
        <w:t>Medication management is also supported by monitoring. In case of excessively high or low blood glucose levels, it is safe to modify the treatment. This minimi</w:t>
      </w:r>
      <w:r w:rsidR="00594CA5">
        <w:rPr>
          <w:rFonts w:ascii="Arial" w:hAnsi="Arial" w:cs="Arial"/>
        </w:rPr>
        <w:t>s</w:t>
      </w:r>
      <w:r w:rsidRPr="0015549E">
        <w:rPr>
          <w:rFonts w:ascii="Arial" w:hAnsi="Arial" w:cs="Arial"/>
        </w:rPr>
        <w:t>es the chances of complications. The results can also be tracked to make lifestyle changes like better diet, more physical activity, and stress management.</w:t>
      </w:r>
    </w:p>
    <w:p w:rsidRPr="0015549E" w:rsidR="00054936" w:rsidP="00054936" w:rsidRDefault="00054936" w14:paraId="67795193" w14:textId="16210D23">
      <w:pPr>
        <w:spacing w:line="360" w:lineRule="auto"/>
        <w:jc w:val="both"/>
        <w:rPr>
          <w:rFonts w:ascii="Arial" w:hAnsi="Arial" w:cs="Arial"/>
        </w:rPr>
      </w:pPr>
      <w:r w:rsidRPr="0015549E">
        <w:rPr>
          <w:rFonts w:ascii="Arial" w:hAnsi="Arial" w:cs="Arial"/>
        </w:rPr>
        <w:t>Effective monitoring may help to minimi</w:t>
      </w:r>
      <w:r w:rsidR="0081360A">
        <w:rPr>
          <w:rFonts w:ascii="Arial" w:hAnsi="Arial" w:cs="Arial"/>
        </w:rPr>
        <w:t>s</w:t>
      </w:r>
      <w:r w:rsidRPr="0015549E">
        <w:rPr>
          <w:rFonts w:ascii="Arial" w:hAnsi="Arial" w:cs="Arial"/>
        </w:rPr>
        <w:t xml:space="preserve">e the risk of long-term complications like kidney disease, heart disease, and nerve damage (Mathew, </w:t>
      </w:r>
      <w:r w:rsidR="001140D3">
        <w:rPr>
          <w:rFonts w:ascii="Arial" w:hAnsi="Arial" w:cs="Arial"/>
        </w:rPr>
        <w:t>S</w:t>
      </w:r>
      <w:r w:rsidRPr="0015549E">
        <w:rPr>
          <w:rFonts w:ascii="Arial" w:hAnsi="Arial" w:cs="Arial"/>
        </w:rPr>
        <w:t xml:space="preserve">ubair and Tadi, 2023). </w:t>
      </w:r>
    </w:p>
    <w:p w:rsidRPr="0015549E" w:rsidR="00D618B0" w:rsidP="0015549E" w:rsidRDefault="00594A97" w14:paraId="65F6AEA8" w14:textId="76514A37">
      <w:pPr>
        <w:pStyle w:val="Heading2"/>
        <w:rPr>
          <w:rFonts w:ascii="Arial" w:hAnsi="Arial" w:eastAsia="Times New Roman" w:cs="Arial"/>
          <w:b/>
          <w:bCs/>
          <w:sz w:val="22"/>
          <w:szCs w:val="22"/>
        </w:rPr>
      </w:pPr>
      <w:bookmarkStart w:name="_Toc226555412" w:id="21"/>
      <w:r w:rsidRPr="0015549E">
        <w:rPr>
          <w:rFonts w:ascii="Arial" w:hAnsi="Arial" w:cs="Arial"/>
          <w:b/>
          <w:bCs/>
          <w:sz w:val="22"/>
          <w:szCs w:val="22"/>
        </w:rPr>
        <w:t>6.</w:t>
      </w:r>
      <w:r w:rsidR="00274B30">
        <w:rPr>
          <w:rFonts w:ascii="Arial" w:hAnsi="Arial" w:cs="Arial"/>
          <w:b/>
          <w:bCs/>
          <w:sz w:val="22"/>
          <w:szCs w:val="22"/>
        </w:rPr>
        <w:t>0</w:t>
      </w:r>
      <w:r w:rsidR="00274B30">
        <w:rPr>
          <w:rFonts w:ascii="Arial" w:hAnsi="Arial" w:cs="Arial"/>
          <w:b/>
          <w:bCs/>
          <w:sz w:val="22"/>
          <w:szCs w:val="22"/>
        </w:rPr>
        <w:tab/>
      </w:r>
      <w:r w:rsidRPr="0015549E">
        <w:rPr>
          <w:rFonts w:ascii="Arial" w:hAnsi="Arial" w:cs="Arial"/>
          <w:b/>
          <w:bCs/>
          <w:sz w:val="22"/>
          <w:szCs w:val="22"/>
        </w:rPr>
        <w:t>EVIDENCE-BASED RECOMMENDATIONS</w:t>
      </w:r>
      <w:bookmarkEnd w:id="21"/>
    </w:p>
    <w:p w:rsidRPr="0015549E" w:rsidR="00D618B0" w:rsidP="0015549E" w:rsidRDefault="00D618B0" w14:paraId="1FE3DC33" w14:textId="5CE5BD1F">
      <w:pPr>
        <w:pStyle w:val="Heading3"/>
        <w:rPr>
          <w:rFonts w:ascii="Arial" w:hAnsi="Arial" w:eastAsia="Times New Roman" w:cs="Arial"/>
          <w:sz w:val="22"/>
          <w:szCs w:val="22"/>
        </w:rPr>
      </w:pPr>
      <w:bookmarkStart w:name="_Toc226555413" w:id="22"/>
      <w:r w:rsidRPr="0015549E">
        <w:rPr>
          <w:rFonts w:ascii="Arial" w:hAnsi="Arial" w:eastAsia="Times New Roman" w:cs="Arial"/>
          <w:sz w:val="22"/>
          <w:szCs w:val="22"/>
        </w:rPr>
        <w:t>6.1 Weight Management</w:t>
      </w:r>
      <w:bookmarkEnd w:id="22"/>
    </w:p>
    <w:p w:rsidRPr="0015549E" w:rsidR="00814F0E" w:rsidP="00D618B0" w:rsidRDefault="00814F0E" w14:paraId="49016B82" w14:textId="5F54E310">
      <w:pPr>
        <w:spacing w:line="360" w:lineRule="auto"/>
        <w:jc w:val="both"/>
        <w:rPr>
          <w:rFonts w:ascii="Arial" w:hAnsi="Arial" w:cs="Arial"/>
        </w:rPr>
      </w:pPr>
      <w:r w:rsidRPr="0015549E">
        <w:rPr>
          <w:rFonts w:ascii="Arial" w:hAnsi="Arial" w:cs="Arial"/>
        </w:rPr>
        <w:t xml:space="preserve">It is important to have a healthy body weight. Too much body fat, particularly in the abdomen, complicates the functioning of insulin. Patients can lose weight safely and gradually through structured weight-loss programmes. </w:t>
      </w:r>
    </w:p>
    <w:p w:rsidRPr="0015549E" w:rsidR="00D618B0" w:rsidP="0015549E" w:rsidRDefault="00D618B0" w14:paraId="5E0869B5" w14:textId="61099E0E">
      <w:pPr>
        <w:pStyle w:val="Heading3"/>
        <w:rPr>
          <w:rFonts w:ascii="Arial" w:hAnsi="Arial" w:eastAsia="Times New Roman" w:cs="Arial"/>
          <w:sz w:val="22"/>
          <w:szCs w:val="22"/>
        </w:rPr>
      </w:pPr>
      <w:bookmarkStart w:name="_Toc226555414" w:id="23"/>
      <w:r w:rsidRPr="0015549E">
        <w:rPr>
          <w:rFonts w:ascii="Arial" w:hAnsi="Arial" w:eastAsia="Times New Roman" w:cs="Arial"/>
          <w:sz w:val="22"/>
          <w:szCs w:val="22"/>
        </w:rPr>
        <w:t>6.2 Healthy Eating</w:t>
      </w:r>
      <w:bookmarkEnd w:id="23"/>
    </w:p>
    <w:p w:rsidRPr="0015549E" w:rsidR="00AD3F84" w:rsidP="00D618B0" w:rsidRDefault="00AD3F84" w14:paraId="7FDFED75" w14:textId="1780E0E7">
      <w:pPr>
        <w:spacing w:line="360" w:lineRule="auto"/>
        <w:jc w:val="both"/>
        <w:rPr>
          <w:rFonts w:ascii="Arial" w:hAnsi="Arial" w:cs="Arial"/>
        </w:rPr>
      </w:pPr>
      <w:r w:rsidRPr="0015549E">
        <w:rPr>
          <w:rFonts w:ascii="Arial" w:hAnsi="Arial" w:cs="Arial"/>
        </w:rPr>
        <w:t>Eating well is important in the management of diabetes. Whole grains, vegetables, fruits, and lean protein (fish or beans) should be included in a balanced diet. High sugar and fat foods should be minimi</w:t>
      </w:r>
      <w:r w:rsidR="001140D3">
        <w:rPr>
          <w:rFonts w:ascii="Arial" w:hAnsi="Arial" w:cs="Arial"/>
        </w:rPr>
        <w:t>s</w:t>
      </w:r>
      <w:r w:rsidRPr="0015549E">
        <w:rPr>
          <w:rFonts w:ascii="Arial" w:hAnsi="Arial" w:cs="Arial"/>
        </w:rPr>
        <w:t xml:space="preserve">ed. One should avoid highly processed foods as they may increase blood glucose rapidly and cause weight gain (NHS, 2023). </w:t>
      </w:r>
    </w:p>
    <w:p w:rsidRPr="0015549E" w:rsidR="00D618B0" w:rsidP="0015549E" w:rsidRDefault="00D618B0" w14:paraId="490EFB45" w14:textId="7A7544DE">
      <w:pPr>
        <w:pStyle w:val="Heading3"/>
        <w:rPr>
          <w:rFonts w:ascii="Arial" w:hAnsi="Arial" w:eastAsia="Times New Roman" w:cs="Arial"/>
          <w:sz w:val="22"/>
          <w:szCs w:val="22"/>
        </w:rPr>
      </w:pPr>
      <w:bookmarkStart w:name="_Toc226555415" w:id="24"/>
      <w:r w:rsidRPr="0015549E">
        <w:rPr>
          <w:rFonts w:ascii="Arial" w:hAnsi="Arial" w:eastAsia="Times New Roman" w:cs="Arial"/>
          <w:sz w:val="22"/>
          <w:szCs w:val="22"/>
        </w:rPr>
        <w:t>6.3 Physical Activity</w:t>
      </w:r>
      <w:bookmarkEnd w:id="24"/>
    </w:p>
    <w:p w:rsidRPr="0015549E" w:rsidR="0088369F" w:rsidP="00D618B0" w:rsidRDefault="0088369F" w14:paraId="7EECC431" w14:textId="3B8EB99B">
      <w:pPr>
        <w:spacing w:line="360" w:lineRule="auto"/>
        <w:jc w:val="both"/>
        <w:rPr>
          <w:rFonts w:ascii="Arial" w:hAnsi="Arial" w:cs="Arial"/>
        </w:rPr>
      </w:pPr>
      <w:r w:rsidRPr="0015549E">
        <w:rPr>
          <w:rFonts w:ascii="Arial" w:hAnsi="Arial" w:cs="Arial"/>
        </w:rPr>
        <w:t>Exercise aids the body to utili</w:t>
      </w:r>
      <w:r w:rsidR="001140D3">
        <w:rPr>
          <w:rFonts w:ascii="Arial" w:hAnsi="Arial" w:cs="Arial"/>
        </w:rPr>
        <w:t>s</w:t>
      </w:r>
      <w:r w:rsidRPr="0015549E">
        <w:rPr>
          <w:rFonts w:ascii="Arial" w:hAnsi="Arial" w:cs="Arial"/>
        </w:rPr>
        <w:t>e insulin better. Adults with Type 2 diabetes are advised to engage in moderate exercise at least 150 minutes per week. This may involve brisk walking, cycling or light jogging. For example, 30 minutes of walking on five days each week is effective</w:t>
      </w:r>
    </w:p>
    <w:p w:rsidRPr="0015549E" w:rsidR="00D618B0" w:rsidP="0015549E" w:rsidRDefault="00D618B0" w14:paraId="14B15A40" w14:textId="07CDD839">
      <w:pPr>
        <w:pStyle w:val="Heading3"/>
        <w:rPr>
          <w:rFonts w:ascii="Arial" w:hAnsi="Arial" w:eastAsia="Times New Roman" w:cs="Arial"/>
          <w:sz w:val="22"/>
          <w:szCs w:val="22"/>
        </w:rPr>
      </w:pPr>
      <w:bookmarkStart w:name="_Toc226555416" w:id="25"/>
      <w:r w:rsidRPr="0015549E">
        <w:rPr>
          <w:rFonts w:ascii="Arial" w:hAnsi="Arial" w:eastAsia="Times New Roman" w:cs="Arial"/>
          <w:sz w:val="22"/>
          <w:szCs w:val="22"/>
        </w:rPr>
        <w:t>6.4 Smoking Cessation</w:t>
      </w:r>
      <w:bookmarkEnd w:id="25"/>
    </w:p>
    <w:p w:rsidRPr="0015549E" w:rsidR="00F52815" w:rsidP="00D618B0" w:rsidRDefault="00F52815" w14:paraId="7518B8B0" w14:textId="77777777">
      <w:pPr>
        <w:spacing w:line="360" w:lineRule="auto"/>
        <w:jc w:val="both"/>
        <w:rPr>
          <w:rFonts w:ascii="Arial" w:hAnsi="Arial" w:cs="Arial"/>
        </w:rPr>
      </w:pPr>
      <w:r w:rsidRPr="0015549E">
        <w:rPr>
          <w:rFonts w:ascii="Arial" w:hAnsi="Arial" w:cs="Arial"/>
        </w:rPr>
        <w:t>Smoking predisposes one to heart disease and complicates the management of diabetes. It also increases insulin resistance. Counselling, support groups, or nicotine replacement therapy should be used to help patients quit smoking (Pan et al., 2015).</w:t>
      </w:r>
    </w:p>
    <w:p w:rsidRPr="0015549E" w:rsidR="00D618B0" w:rsidP="0015549E" w:rsidRDefault="00D618B0" w14:paraId="164B391B" w14:textId="1BB11FAC">
      <w:pPr>
        <w:pStyle w:val="Heading3"/>
        <w:rPr>
          <w:rFonts w:ascii="Arial" w:hAnsi="Arial" w:eastAsia="Times New Roman" w:cs="Arial"/>
          <w:sz w:val="22"/>
          <w:szCs w:val="22"/>
        </w:rPr>
      </w:pPr>
      <w:bookmarkStart w:name="_Toc226555417" w:id="26"/>
      <w:r w:rsidRPr="0015549E">
        <w:rPr>
          <w:rFonts w:ascii="Arial" w:hAnsi="Arial" w:eastAsia="Times New Roman" w:cs="Arial"/>
          <w:sz w:val="22"/>
          <w:szCs w:val="22"/>
        </w:rPr>
        <w:t>6.5 Structured Education</w:t>
      </w:r>
      <w:bookmarkEnd w:id="26"/>
    </w:p>
    <w:p w:rsidRPr="0015549E" w:rsidR="00A67E00" w:rsidP="00D618B0" w:rsidRDefault="00A67E00" w14:paraId="20DB5C75" w14:textId="61E213B5">
      <w:pPr>
        <w:spacing w:line="360" w:lineRule="auto"/>
        <w:jc w:val="both"/>
        <w:rPr>
          <w:rFonts w:ascii="Arial" w:hAnsi="Arial" w:cs="Arial"/>
        </w:rPr>
      </w:pPr>
      <w:r w:rsidRPr="0015549E">
        <w:rPr>
          <w:rFonts w:ascii="Arial" w:hAnsi="Arial" w:cs="Arial"/>
        </w:rPr>
        <w:t>Engaging in educational programmes enables patients to learn about their condition and cope with it. Programmes such as DESMOND provide clear and practical advice. Patients are taught how to check blood glucose, schedule meals, and healthy lifestyle choices (Davies et al., 2008).</w:t>
      </w:r>
    </w:p>
    <w:p w:rsidRPr="0015549E" w:rsidR="00302738" w:rsidP="0015549E" w:rsidRDefault="00594A97" w14:paraId="063A0839" w14:textId="3646E606">
      <w:pPr>
        <w:pStyle w:val="Heading2"/>
        <w:rPr>
          <w:rFonts w:ascii="Arial" w:hAnsi="Arial" w:eastAsia="Times New Roman" w:cs="Arial"/>
          <w:b/>
          <w:bCs/>
          <w:sz w:val="22"/>
          <w:szCs w:val="22"/>
        </w:rPr>
      </w:pPr>
      <w:bookmarkStart w:name="_Toc226555418" w:id="27"/>
      <w:r w:rsidRPr="0015549E">
        <w:rPr>
          <w:rFonts w:ascii="Arial" w:hAnsi="Arial" w:cs="Arial"/>
          <w:b/>
          <w:bCs/>
          <w:sz w:val="22"/>
          <w:szCs w:val="22"/>
        </w:rPr>
        <w:t>7. CONCLUSION</w:t>
      </w:r>
      <w:bookmarkEnd w:id="27"/>
    </w:p>
    <w:p w:rsidRPr="0015549E" w:rsidR="0083209C" w:rsidP="0083209C" w:rsidRDefault="0083209C" w14:paraId="0436CE19" w14:textId="3210F510">
      <w:pPr>
        <w:spacing w:line="360" w:lineRule="auto"/>
        <w:jc w:val="both"/>
        <w:rPr>
          <w:rFonts w:ascii="Arial" w:hAnsi="Arial" w:cs="Arial"/>
        </w:rPr>
      </w:pPr>
      <w:r w:rsidRPr="0015549E">
        <w:rPr>
          <w:rFonts w:ascii="Arial" w:hAnsi="Arial" w:cs="Arial"/>
        </w:rPr>
        <w:t xml:space="preserve">Diabetes type 2 is a chronic disease that impacts most body systems. It influences the body in terms of blood sugar regulation and energy expenditure. Good management is important to prevent serious health problems such as heart disease, kidney damage, and nerve problems. Learning the mechanisms of blood glucose regulation in the body enables patients to make improved health choices. One should also know how the body uses glucose to generate energy. In case this process fails, it may cause fatigue and other health complications. Regular monitoring of blood glucose is very important. It assists patients and healthcare personnel to understand whether the treatment is effective. It is also useful in making safe changes in medication, diet and daily habits. The lifestyle changes are significant in the management of Type 2 diabetes. Both weight control, regular physical activity, and healthy eating can help to improve blood sugar levels. Patients are also educated to know more about their condition and how to cope with it through education programmes. </w:t>
      </w:r>
      <w:r w:rsidR="007D2C10">
        <w:rPr>
          <w:rFonts w:ascii="Arial" w:hAnsi="Arial" w:cs="Arial"/>
        </w:rPr>
        <w:t xml:space="preserve">As a </w:t>
      </w:r>
      <w:r w:rsidRPr="0015549E">
        <w:rPr>
          <w:rFonts w:ascii="Arial" w:hAnsi="Arial" w:cs="Arial"/>
        </w:rPr>
        <w:t xml:space="preserve">Nurse </w:t>
      </w:r>
      <w:r w:rsidR="007D2C10">
        <w:rPr>
          <w:rFonts w:ascii="Arial" w:hAnsi="Arial" w:cs="Arial"/>
        </w:rPr>
        <w:t>it is our role in</w:t>
      </w:r>
      <w:r w:rsidRPr="0015549E">
        <w:rPr>
          <w:rFonts w:ascii="Arial" w:hAnsi="Arial" w:cs="Arial"/>
        </w:rPr>
        <w:t xml:space="preserve"> supporting patients</w:t>
      </w:r>
      <w:r w:rsidR="007D2C10">
        <w:rPr>
          <w:rFonts w:ascii="Arial" w:hAnsi="Arial" w:cs="Arial"/>
        </w:rPr>
        <w:t xml:space="preserve"> by offering</w:t>
      </w:r>
      <w:r w:rsidRPr="0015549E">
        <w:rPr>
          <w:rFonts w:ascii="Arial" w:hAnsi="Arial" w:cs="Arial"/>
        </w:rPr>
        <w:t xml:space="preserve"> straightforward guidance, impart useful skills, and make patients feel confident about managing their condition. </w:t>
      </w:r>
    </w:p>
    <w:p w:rsidRPr="0083209C" w:rsidR="000B0A03" w:rsidP="00904151" w:rsidRDefault="004D6FE7" w14:paraId="5F9B65C2" w14:textId="766DC61A">
      <w:pPr>
        <w:tabs>
          <w:tab w:val="left" w:pos="3532"/>
        </w:tabs>
        <w:spacing w:line="360" w:lineRule="auto"/>
        <w:jc w:val="both"/>
        <w:rPr>
          <w:rFonts w:ascii="Arial" w:hAnsi="Arial" w:cs="Arial"/>
        </w:rPr>
      </w:pPr>
      <w:r>
        <w:rPr>
          <w:rFonts w:ascii="Arial" w:hAnsi="Arial" w:cs="Arial"/>
        </w:rPr>
        <w:tab/>
      </w:r>
    </w:p>
    <w:p w:rsidRPr="00274B30" w:rsidR="0071148D" w:rsidP="00412F31" w:rsidRDefault="00180D23" w14:paraId="67F6763F" w14:textId="3BF6C02A">
      <w:pPr>
        <w:pStyle w:val="Heading2"/>
        <w:rPr>
          <w:rFonts w:ascii="Arial" w:hAnsi="Arial" w:cs="Arial"/>
          <w:b/>
          <w:bCs/>
          <w:sz w:val="22"/>
          <w:szCs w:val="22"/>
        </w:rPr>
      </w:pPr>
      <w:bookmarkStart w:name="_Toc226555419" w:id="28"/>
      <w:r w:rsidRPr="00274B30">
        <w:rPr>
          <w:rFonts w:ascii="Arial" w:hAnsi="Arial" w:cs="Arial"/>
          <w:b/>
          <w:bCs/>
          <w:sz w:val="22"/>
          <w:szCs w:val="22"/>
        </w:rPr>
        <w:t>REFERENCE</w:t>
      </w:r>
      <w:bookmarkEnd w:id="28"/>
    </w:p>
    <w:p w:rsidRPr="00A67E00" w:rsidR="00F42CCE" w:rsidP="00F42CCE" w:rsidRDefault="00F42CCE" w14:paraId="5705D01D" w14:textId="77777777">
      <w:pPr>
        <w:spacing w:line="360" w:lineRule="auto"/>
        <w:jc w:val="both"/>
        <w:rPr>
          <w:rFonts w:ascii="Arial" w:hAnsi="Arial" w:cs="Arial"/>
        </w:rPr>
      </w:pPr>
      <w:r w:rsidRPr="00A67E00">
        <w:rPr>
          <w:rFonts w:ascii="Arial" w:hAnsi="Arial" w:cs="Arial"/>
        </w:rPr>
        <w:t xml:space="preserve">Alberts, B., Johnson, A., Lewis, J., Raff, M., Roberts, K. and Walter, P. (2002) How cells obtain energy from food. Available at: </w:t>
      </w:r>
      <w:hyperlink w:history="1" r:id="rId17">
        <w:r w:rsidRPr="00A67E00">
          <w:rPr>
            <w:rStyle w:val="Hyperlink"/>
            <w:rFonts w:ascii="Arial" w:hAnsi="Arial" w:cs="Arial"/>
          </w:rPr>
          <w:t>https://www.ncbi.nlm.nih.gov/books/NBK26882/</w:t>
        </w:r>
      </w:hyperlink>
      <w:r w:rsidRPr="00A67E00">
        <w:rPr>
          <w:rFonts w:ascii="Arial" w:hAnsi="Arial" w:cs="Arial"/>
        </w:rPr>
        <w:t xml:space="preserve"> (Accessed: 1st March 2026).</w:t>
      </w:r>
    </w:p>
    <w:p w:rsidRPr="00A67E00" w:rsidR="00F42CCE" w:rsidP="00F42CCE" w:rsidRDefault="00F42CCE" w14:paraId="150DDB67" w14:textId="77777777">
      <w:pPr>
        <w:spacing w:line="360" w:lineRule="auto"/>
        <w:jc w:val="both"/>
        <w:rPr>
          <w:rFonts w:ascii="Arial" w:hAnsi="Arial" w:cs="Arial"/>
        </w:rPr>
      </w:pPr>
      <w:r w:rsidRPr="00A67E00">
        <w:rPr>
          <w:rFonts w:ascii="Arial" w:hAnsi="Arial" w:cs="Arial"/>
        </w:rPr>
        <w:t xml:space="preserve">Atkinson, M.A., Eisenbarth, G.S. and Michels, A.W. (2013) 'Type 1 diabetes,' The Lancet, 383(9911), pp. 69–82. </w:t>
      </w:r>
      <w:hyperlink w:history="1" r:id="rId18">
        <w:r w:rsidRPr="00A67E00">
          <w:rPr>
            <w:rStyle w:val="Hyperlink"/>
            <w:rFonts w:ascii="Arial" w:hAnsi="Arial" w:cs="Arial"/>
          </w:rPr>
          <w:t>https://doi.org/10.1016/s0140-6736(13)60591-7</w:t>
        </w:r>
      </w:hyperlink>
      <w:r w:rsidRPr="00A67E00">
        <w:rPr>
          <w:rFonts w:ascii="Arial" w:hAnsi="Arial" w:cs="Arial"/>
        </w:rPr>
        <w:t>. (Accessed: 1 March 2026).</w:t>
      </w:r>
    </w:p>
    <w:p w:rsidRPr="00A67E00" w:rsidR="00F42CCE" w:rsidP="00F42CCE" w:rsidRDefault="00F42CCE" w14:paraId="4FA6C35A" w14:textId="77777777">
      <w:pPr>
        <w:spacing w:line="360" w:lineRule="auto"/>
        <w:jc w:val="both"/>
        <w:rPr>
          <w:rFonts w:ascii="Arial" w:hAnsi="Arial" w:cs="Arial"/>
        </w:rPr>
      </w:pPr>
      <w:r w:rsidRPr="00A67E00">
        <w:rPr>
          <w:rFonts w:ascii="Arial" w:hAnsi="Arial" w:cs="Arial"/>
        </w:rPr>
        <w:t xml:space="preserve">Colberg, S.R., Sigal, R.J., Yardley, J.E., Riddell, M.C., Dunstan, D.W., Dempsey, P.C., Horton, E.S., Castorino, K. and Tate, D.F., 2016. Physical activity/exercise and diabetes: a position statement of the American Diabetes Association. Diabetes care, 39(11), p.2065. Available at: </w:t>
      </w:r>
      <w:hyperlink w:history="1" r:id="rId19">
        <w:r w:rsidRPr="00A67E00">
          <w:rPr>
            <w:rStyle w:val="Hyperlink"/>
            <w:rFonts w:ascii="Arial" w:hAnsi="Arial" w:cs="Arial"/>
          </w:rPr>
          <w:t>https://diabetesjournals.org/care/article-pdf/39/11/2065/545565/dc161728.pdf</w:t>
        </w:r>
      </w:hyperlink>
      <w:r w:rsidRPr="00A67E00">
        <w:rPr>
          <w:rFonts w:ascii="Arial" w:hAnsi="Arial" w:cs="Arial"/>
        </w:rPr>
        <w:t xml:space="preserve"> (Accessed: 1 March 2026).</w:t>
      </w:r>
    </w:p>
    <w:p w:rsidRPr="00A67E00" w:rsidR="00F42CCE" w:rsidP="00F42CCE" w:rsidRDefault="00F42CCE" w14:paraId="4BA131BB" w14:textId="192409F9">
      <w:pPr>
        <w:spacing w:line="360" w:lineRule="auto"/>
        <w:jc w:val="both"/>
        <w:rPr>
          <w:rFonts w:ascii="Arial" w:hAnsi="Arial" w:cs="Arial"/>
        </w:rPr>
      </w:pPr>
      <w:r w:rsidRPr="00A67E00">
        <w:rPr>
          <w:rFonts w:ascii="Arial" w:hAnsi="Arial" w:cs="Arial"/>
        </w:rPr>
        <w:t>DeFron</w:t>
      </w:r>
      <w:r w:rsidR="001140D3">
        <w:rPr>
          <w:rFonts w:ascii="Arial" w:hAnsi="Arial" w:cs="Arial"/>
        </w:rPr>
        <w:t>s</w:t>
      </w:r>
      <w:r w:rsidRPr="00A67E00">
        <w:rPr>
          <w:rFonts w:ascii="Arial" w:hAnsi="Arial" w:cs="Arial"/>
        </w:rPr>
        <w:t>o, R.A., Ferrannini, E., Groop, L., Henry, R.R., Herman, W.H., Holst, J.J., Hu, F.B., Kahn, C.R., Ra</w:t>
      </w:r>
      <w:r w:rsidR="001140D3">
        <w:rPr>
          <w:rFonts w:ascii="Arial" w:hAnsi="Arial" w:cs="Arial"/>
        </w:rPr>
        <w:t>s</w:t>
      </w:r>
      <w:r w:rsidRPr="00A67E00">
        <w:rPr>
          <w:rFonts w:ascii="Arial" w:hAnsi="Arial" w:cs="Arial"/>
        </w:rPr>
        <w:t>, I., Shulman, G.I. and Simonson, D.C., 2015. Type 2 diabetes mellitus. Nature reviews Disease primers, 1(1), p.15019.</w:t>
      </w:r>
    </w:p>
    <w:p w:rsidRPr="00A67E00" w:rsidR="00F42CCE" w:rsidP="00F42CCE" w:rsidRDefault="00F42CCE" w14:paraId="01FDAB34" w14:textId="77777777">
      <w:pPr>
        <w:spacing w:line="360" w:lineRule="auto"/>
        <w:jc w:val="both"/>
        <w:rPr>
          <w:rFonts w:ascii="Arial" w:hAnsi="Arial" w:cs="Arial"/>
        </w:rPr>
      </w:pPr>
      <w:r w:rsidRPr="00A67E00">
        <w:rPr>
          <w:rFonts w:ascii="Arial" w:hAnsi="Arial" w:cs="Arial"/>
        </w:rPr>
        <w:t xml:space="preserve">Diabetes UK (2024) Our strategy: statistics. Available at: </w:t>
      </w:r>
      <w:hyperlink w:history="1" r:id="rId20">
        <w:r w:rsidRPr="00A67E00">
          <w:rPr>
            <w:rStyle w:val="Hyperlink"/>
            <w:rFonts w:ascii="Arial" w:hAnsi="Arial" w:cs="Arial"/>
          </w:rPr>
          <w:t>https://www.diabetes.org.uk/about-us/about-the-charity/our-strategy/statistics</w:t>
        </w:r>
      </w:hyperlink>
      <w:r w:rsidRPr="00A67E00">
        <w:rPr>
          <w:rFonts w:ascii="Arial" w:hAnsi="Arial" w:cs="Arial"/>
        </w:rPr>
        <w:t xml:space="preserve"> (Accessed: 8 April 2026).</w:t>
      </w:r>
    </w:p>
    <w:p w:rsidRPr="00A67E00" w:rsidR="00F42CCE" w:rsidP="00F42CCE" w:rsidRDefault="00F42CCE" w14:paraId="7B9D9C50" w14:textId="77777777">
      <w:pPr>
        <w:spacing w:line="360" w:lineRule="auto"/>
        <w:jc w:val="both"/>
        <w:rPr>
          <w:rFonts w:ascii="Arial" w:hAnsi="Arial" w:cs="Arial"/>
        </w:rPr>
      </w:pPr>
      <w:r w:rsidRPr="00A67E00">
        <w:rPr>
          <w:rFonts w:ascii="Arial" w:hAnsi="Arial" w:cs="Arial"/>
        </w:rPr>
        <w:t xml:space="preserve">Diabetes UK (2025) Complications of diabetes. Available at: </w:t>
      </w:r>
      <w:hyperlink w:history="1" r:id="rId21">
        <w:r w:rsidRPr="00A67E00">
          <w:rPr>
            <w:rStyle w:val="Hyperlink"/>
            <w:rFonts w:ascii="Arial" w:hAnsi="Arial" w:cs="Arial"/>
          </w:rPr>
          <w:t>https://www.diabetes.org.uk/about-diabetes/looking-after-diabetes/complications</w:t>
        </w:r>
      </w:hyperlink>
      <w:r w:rsidRPr="00A67E00">
        <w:rPr>
          <w:rFonts w:ascii="Arial" w:hAnsi="Arial" w:cs="Arial"/>
        </w:rPr>
        <w:t xml:space="preserve"> (Accessed: 8 April 2026).</w:t>
      </w:r>
    </w:p>
    <w:p w:rsidRPr="00A67E00" w:rsidR="00F42CCE" w:rsidP="00F42CCE" w:rsidRDefault="00F42CCE" w14:paraId="6882B2A2" w14:textId="77777777">
      <w:pPr>
        <w:spacing w:line="360" w:lineRule="auto"/>
        <w:jc w:val="both"/>
        <w:rPr>
          <w:rFonts w:ascii="Arial" w:hAnsi="Arial" w:cs="Arial"/>
        </w:rPr>
      </w:pPr>
      <w:r w:rsidRPr="00A67E00">
        <w:rPr>
          <w:rFonts w:ascii="Arial" w:hAnsi="Arial" w:cs="Arial"/>
        </w:rPr>
        <w:t xml:space="preserve">GOV.UK, 2018. Health matters: preventing Type 2 Diabetes. [online] Available at: </w:t>
      </w:r>
      <w:hyperlink w:history="1" r:id="rId22">
        <w:r w:rsidRPr="00A67E00">
          <w:rPr>
            <w:rStyle w:val="Hyperlink"/>
            <w:rFonts w:ascii="Arial" w:hAnsi="Arial" w:cs="Arial"/>
          </w:rPr>
          <w:t>https://www.gov.uk/government/publications/health-matters-preventing-type-2-diabetes/health-matters-preventing-type-2-diabetes</w:t>
        </w:r>
      </w:hyperlink>
      <w:r w:rsidRPr="00A67E00">
        <w:rPr>
          <w:rFonts w:ascii="Arial" w:hAnsi="Arial" w:cs="Arial"/>
        </w:rPr>
        <w:t xml:space="preserve">  [Accessed 8 April 2026].</w:t>
      </w:r>
    </w:p>
    <w:p w:rsidRPr="00A67E00" w:rsidR="00F42CCE" w:rsidP="00F42CCE" w:rsidRDefault="00F42CCE" w14:paraId="790BCE49" w14:textId="77777777">
      <w:pPr>
        <w:spacing w:before="100" w:beforeAutospacing="1" w:after="100" w:afterAutospacing="1" w:line="360" w:lineRule="auto"/>
        <w:jc w:val="both"/>
        <w:rPr>
          <w:rFonts w:ascii="Arial" w:hAnsi="Arial" w:eastAsia="Times New Roman" w:cs="Arial"/>
          <w:kern w:val="0"/>
          <w14:ligatures w14:val="none"/>
        </w:rPr>
      </w:pPr>
      <w:r w:rsidRPr="00A67E00">
        <w:rPr>
          <w:rFonts w:ascii="Arial" w:hAnsi="Arial" w:eastAsia="Times New Roman" w:cs="Arial"/>
          <w:kern w:val="0"/>
          <w14:ligatures w14:val="none"/>
        </w:rPr>
        <w:t>Hall, J.E. and Hall, M.E., 2020. Guyton and Hall textbook of medical physiology e-book: Guyton and Hall textbook of medical physiology e-book. Elsevier Health Sciences.</w:t>
      </w:r>
    </w:p>
    <w:p w:rsidRPr="003A365F" w:rsidR="00F42CCE" w:rsidP="00F42CCE" w:rsidRDefault="00F42CCE" w14:paraId="54F5B3C4" w14:textId="7B44AEE2">
      <w:pPr>
        <w:spacing w:line="360" w:lineRule="auto"/>
        <w:jc w:val="both"/>
        <w:rPr>
          <w:rFonts w:ascii="Arial" w:hAnsi="Arial" w:cs="Arial"/>
        </w:rPr>
      </w:pPr>
      <w:r w:rsidRPr="003A365F">
        <w:rPr>
          <w:rFonts w:ascii="Arial" w:hAnsi="Arial" w:cs="Arial"/>
        </w:rPr>
        <w:t xml:space="preserve">Lean, M.E., Leslie, W.S., Barnes, A.C., Brosnahan, N., Thom, G., McCombie, L., Peters, C., </w:t>
      </w:r>
      <w:r w:rsidR="001140D3">
        <w:rPr>
          <w:rFonts w:ascii="Arial" w:hAnsi="Arial" w:cs="Arial"/>
        </w:rPr>
        <w:t>S</w:t>
      </w:r>
      <w:r w:rsidRPr="003A365F">
        <w:rPr>
          <w:rFonts w:ascii="Arial" w:hAnsi="Arial" w:cs="Arial"/>
        </w:rPr>
        <w:t>hy</w:t>
      </w:r>
      <w:r w:rsidR="001140D3">
        <w:rPr>
          <w:rFonts w:ascii="Arial" w:hAnsi="Arial" w:cs="Arial"/>
        </w:rPr>
        <w:t>s</w:t>
      </w:r>
      <w:r w:rsidRPr="003A365F">
        <w:rPr>
          <w:rFonts w:ascii="Arial" w:hAnsi="Arial" w:cs="Arial"/>
        </w:rPr>
        <w:t xml:space="preserve">hneuskaya, S., Al-Mrabeh, A., Hollingsworth, K.G. and Rodrigues, A.M., 2018. Primary care-led weight management for remission of type 2 diabetes (DiRECT): an open-label, cluster-randomised trial. The Lancet, 391(10120), pp.541-551. Available at: </w:t>
      </w:r>
      <w:hyperlink w:history="1" r:id="rId23">
        <w:r w:rsidRPr="003A365F">
          <w:rPr>
            <w:rStyle w:val="Hyperlink"/>
            <w:rFonts w:ascii="Arial" w:hAnsi="Arial" w:cs="Arial"/>
          </w:rPr>
          <w:t>https://eprints.gla.ac.uk/153078/13/153078.pdf</w:t>
        </w:r>
      </w:hyperlink>
      <w:r w:rsidRPr="003A365F">
        <w:rPr>
          <w:rFonts w:ascii="Arial" w:hAnsi="Arial" w:cs="Arial"/>
        </w:rPr>
        <w:t xml:space="preserve"> (Accessed: 1st March 2026).</w:t>
      </w:r>
    </w:p>
    <w:p w:rsidRPr="00A67E00" w:rsidR="00F42CCE" w:rsidP="00F42CCE" w:rsidRDefault="00F42CCE" w14:paraId="70FE39BF" w14:textId="77777777">
      <w:pPr>
        <w:spacing w:before="100" w:beforeAutospacing="1" w:after="100" w:afterAutospacing="1" w:line="360" w:lineRule="auto"/>
        <w:jc w:val="both"/>
        <w:rPr>
          <w:rFonts w:ascii="Arial" w:hAnsi="Arial" w:eastAsia="Times New Roman" w:cs="Arial"/>
          <w:kern w:val="0"/>
          <w14:ligatures w14:val="none"/>
        </w:rPr>
      </w:pPr>
      <w:r w:rsidRPr="00A67E00">
        <w:rPr>
          <w:rFonts w:ascii="Arial" w:hAnsi="Arial" w:eastAsia="Times New Roman" w:cs="Arial"/>
          <w:kern w:val="0"/>
          <w14:ligatures w14:val="none"/>
        </w:rPr>
        <w:t>Malanda, U.L., Welschen, L.M., Riphagen, I.I., Dekker, J.M., Nijpels, G. and Bot, S.D., 2012. Self</w:t>
      </w:r>
      <w:r w:rsidRPr="00A67E00">
        <w:rPr>
          <w:rFonts w:ascii="Cambria Math" w:hAnsi="Cambria Math" w:eastAsia="Times New Roman" w:cs="Cambria Math"/>
          <w:kern w:val="0"/>
          <w14:ligatures w14:val="none"/>
        </w:rPr>
        <w:t>‐</w:t>
      </w:r>
      <w:r w:rsidRPr="00A67E00">
        <w:rPr>
          <w:rFonts w:ascii="Arial" w:hAnsi="Arial" w:eastAsia="Times New Roman" w:cs="Arial"/>
          <w:kern w:val="0"/>
          <w14:ligatures w14:val="none"/>
        </w:rPr>
        <w:t xml:space="preserve">monitoring of blood glucose in patients with type 2 diabetes mellitus who are not using insulin. Cochrane Database of Systematic Reviews, (1). Available at: </w:t>
      </w:r>
      <w:hyperlink w:history="1" r:id="rId24">
        <w:r w:rsidRPr="00A67E00">
          <w:rPr>
            <w:rStyle w:val="Hyperlink"/>
            <w:rFonts w:ascii="Arial" w:hAnsi="Arial" w:eastAsia="Times New Roman" w:cs="Arial"/>
            <w:kern w:val="0"/>
            <w14:ligatures w14:val="none"/>
          </w:rPr>
          <w:t>https://www.cochranelibrary.com/cdsr/doi/10.1002/14651858.CD005060.pub3/pdf/full</w:t>
        </w:r>
      </w:hyperlink>
      <w:r w:rsidRPr="00A67E00">
        <w:rPr>
          <w:rFonts w:ascii="Arial" w:hAnsi="Arial" w:eastAsia="Times New Roman" w:cs="Arial"/>
          <w:kern w:val="0"/>
          <w14:ligatures w14:val="none"/>
        </w:rPr>
        <w:t xml:space="preserve"> (Accessed: 1st March 2026).</w:t>
      </w:r>
    </w:p>
    <w:p w:rsidRPr="00D06E48" w:rsidR="00F42CCE" w:rsidP="00F42CCE" w:rsidRDefault="00F42CCE" w14:paraId="63FA4288" w14:textId="5973D45B">
      <w:pPr>
        <w:spacing w:line="360" w:lineRule="auto"/>
        <w:jc w:val="both"/>
        <w:rPr>
          <w:rFonts w:ascii="Arial" w:hAnsi="Arial" w:cs="Arial"/>
        </w:rPr>
      </w:pPr>
      <w:r w:rsidRPr="00D06E48">
        <w:rPr>
          <w:rFonts w:ascii="Arial" w:hAnsi="Arial" w:cs="Arial"/>
        </w:rPr>
        <w:t xml:space="preserve">Mathew, T.K., </w:t>
      </w:r>
      <w:r w:rsidR="001140D3">
        <w:rPr>
          <w:rFonts w:ascii="Arial" w:hAnsi="Arial" w:cs="Arial"/>
        </w:rPr>
        <w:t>S</w:t>
      </w:r>
      <w:r w:rsidRPr="00D06E48">
        <w:rPr>
          <w:rFonts w:ascii="Arial" w:hAnsi="Arial" w:cs="Arial"/>
        </w:rPr>
        <w:t xml:space="preserve">ubair, M. </w:t>
      </w:r>
      <w:r w:rsidR="001140D3">
        <w:rPr>
          <w:rFonts w:ascii="Arial" w:hAnsi="Arial" w:cs="Arial"/>
        </w:rPr>
        <w:t>and</w:t>
      </w:r>
      <w:r w:rsidRPr="00D06E48">
        <w:rPr>
          <w:rFonts w:ascii="Arial" w:hAnsi="Arial" w:cs="Arial"/>
        </w:rPr>
        <w:t xml:space="preserve"> Tadi, P., 2023. </w:t>
      </w:r>
      <w:r w:rsidRPr="00D06E48">
        <w:rPr>
          <w:rFonts w:ascii="Arial" w:hAnsi="Arial" w:cs="Arial"/>
          <w:i/>
          <w:iCs/>
        </w:rPr>
        <w:t>Blood glucose monitoring</w:t>
      </w:r>
      <w:r w:rsidRPr="00D06E48">
        <w:rPr>
          <w:rFonts w:ascii="Arial" w:hAnsi="Arial" w:cs="Arial"/>
        </w:rPr>
        <w:t xml:space="preserve">. Pakistan Kidney </w:t>
      </w:r>
      <w:r w:rsidR="001140D3">
        <w:rPr>
          <w:rFonts w:ascii="Arial" w:hAnsi="Arial" w:cs="Arial"/>
        </w:rPr>
        <w:t>and</w:t>
      </w:r>
      <w:r w:rsidRPr="00D06E48">
        <w:rPr>
          <w:rFonts w:ascii="Arial" w:hAnsi="Arial" w:cs="Arial"/>
        </w:rPr>
        <w:t xml:space="preserve"> Liver Institute and Research Centre - PKLI; Asram Medical College, Eluru, India.</w:t>
      </w:r>
    </w:p>
    <w:p w:rsidRPr="00A67E00" w:rsidR="00F42CCE" w:rsidP="00F42CCE" w:rsidRDefault="00F42CCE" w14:paraId="12D735D9" w14:textId="77777777">
      <w:pPr>
        <w:spacing w:line="360" w:lineRule="auto"/>
        <w:jc w:val="both"/>
        <w:rPr>
          <w:rFonts w:ascii="Arial" w:hAnsi="Arial" w:cs="Arial"/>
        </w:rPr>
      </w:pPr>
      <w:r w:rsidRPr="00A67E00">
        <w:rPr>
          <w:rFonts w:ascii="Arial" w:hAnsi="Arial" w:cs="Arial"/>
        </w:rPr>
        <w:t xml:space="preserve">National Institute for Health and Care Excellence (NICE) (2022) Type 2 diabetes in adults: management. London: NICE. Available at: </w:t>
      </w:r>
      <w:hyperlink w:history="1" r:id="rId25">
        <w:r w:rsidRPr="00A67E00">
          <w:rPr>
            <w:rStyle w:val="Hyperlink"/>
            <w:rFonts w:ascii="Arial" w:hAnsi="Arial" w:cs="Arial"/>
          </w:rPr>
          <w:t>https://www.nice.org.uk/guidance/ng28</w:t>
        </w:r>
      </w:hyperlink>
      <w:r w:rsidRPr="00A67E00">
        <w:rPr>
          <w:rFonts w:ascii="Arial" w:hAnsi="Arial" w:cs="Arial"/>
        </w:rPr>
        <w:t xml:space="preserve"> (Accessed: 1 March 2026).</w:t>
      </w:r>
    </w:p>
    <w:p w:rsidRPr="00A67E00" w:rsidR="00F42CCE" w:rsidP="00F42CCE" w:rsidRDefault="00F42CCE" w14:paraId="65398286" w14:textId="77777777">
      <w:pPr>
        <w:spacing w:line="360" w:lineRule="auto"/>
        <w:jc w:val="both"/>
        <w:rPr>
          <w:rFonts w:ascii="Arial" w:hAnsi="Arial" w:cs="Arial"/>
        </w:rPr>
      </w:pPr>
      <w:r w:rsidRPr="00A67E00">
        <w:rPr>
          <w:rFonts w:ascii="Arial" w:hAnsi="Arial" w:cs="Arial"/>
        </w:rPr>
        <w:t xml:space="preserve">NHS (2022) The Eatwell Guide: food guidelines and food labels. Available at: </w:t>
      </w:r>
      <w:hyperlink w:history="1" r:id="rId26">
        <w:r w:rsidRPr="00A67E00">
          <w:rPr>
            <w:rStyle w:val="Hyperlink"/>
            <w:rFonts w:ascii="Arial" w:hAnsi="Arial" w:cs="Arial"/>
          </w:rPr>
          <w:t>https://www.nhs.uk/live-well/eat-well/food-guidelines-and-food-labels/the-eatwell-guide/</w:t>
        </w:r>
      </w:hyperlink>
      <w:r w:rsidRPr="00A67E00">
        <w:rPr>
          <w:rFonts w:ascii="Arial" w:hAnsi="Arial" w:cs="Arial"/>
        </w:rPr>
        <w:t xml:space="preserve"> (Accessed: 8 April 2026).</w:t>
      </w:r>
    </w:p>
    <w:p w:rsidRPr="00A67E00" w:rsidR="00F42CCE" w:rsidP="00F42CCE" w:rsidRDefault="00F42CCE" w14:paraId="6A512D76" w14:textId="77777777">
      <w:pPr>
        <w:spacing w:line="360" w:lineRule="auto"/>
        <w:jc w:val="both"/>
        <w:rPr>
          <w:rFonts w:ascii="Arial" w:hAnsi="Arial" w:cs="Arial"/>
        </w:rPr>
      </w:pPr>
      <w:r w:rsidRPr="00A67E00">
        <w:rPr>
          <w:rFonts w:ascii="Arial" w:hAnsi="Arial" w:cs="Arial"/>
        </w:rPr>
        <w:t xml:space="preserve">NHS (2023) How cells produce energy. Available at: </w:t>
      </w:r>
      <w:hyperlink w:history="1" r:id="rId27">
        <w:r w:rsidRPr="00A67E00">
          <w:rPr>
            <w:rStyle w:val="Hyperlink"/>
            <w:rFonts w:ascii="Arial" w:hAnsi="Arial" w:cs="Arial"/>
          </w:rPr>
          <w:t>https://www.nhs.uk/conditions/energy-production-in-cells/</w:t>
        </w:r>
      </w:hyperlink>
      <w:r w:rsidRPr="00A67E00">
        <w:rPr>
          <w:rFonts w:ascii="Arial" w:hAnsi="Arial" w:cs="Arial"/>
        </w:rPr>
        <w:t xml:space="preserve">  (Accessed: 8 April 2026).</w:t>
      </w:r>
    </w:p>
    <w:p w:rsidRPr="00A67E00" w:rsidR="00F42CCE" w:rsidP="00F42CCE" w:rsidRDefault="00F42CCE" w14:paraId="4749FF74" w14:textId="77777777">
      <w:pPr>
        <w:spacing w:line="360" w:lineRule="auto"/>
        <w:jc w:val="both"/>
        <w:rPr>
          <w:rStyle w:val="Hyperlink"/>
          <w:rFonts w:ascii="Arial" w:hAnsi="Arial" w:cs="Arial"/>
        </w:rPr>
      </w:pPr>
      <w:r w:rsidRPr="00A67E00">
        <w:rPr>
          <w:rFonts w:ascii="Arial" w:hAnsi="Arial" w:cs="Arial"/>
        </w:rPr>
        <w:t xml:space="preserve">NHS (2023) The Eatwell Guide. Available at: </w:t>
      </w:r>
      <w:hyperlink w:history="1" r:id="rId28">
        <w:r w:rsidRPr="00A67E00">
          <w:rPr>
            <w:rStyle w:val="Hyperlink"/>
            <w:rFonts w:ascii="Arial" w:hAnsi="Arial" w:cs="Arial"/>
          </w:rPr>
          <w:t>https://www.nhs.uk/live-well/eat-well/food-guidelines-and-food-labels/the-eatwell-guide/</w:t>
        </w:r>
      </w:hyperlink>
      <w:r w:rsidRPr="00A67E00">
        <w:rPr>
          <w:rFonts w:ascii="Arial" w:hAnsi="Arial" w:cs="Arial"/>
        </w:rPr>
        <w:t xml:space="preserve"> (Accessed 16 March 2026).</w:t>
      </w:r>
    </w:p>
    <w:p w:rsidRPr="00A67E00" w:rsidR="00F42CCE" w:rsidP="00F42CCE" w:rsidRDefault="00F42CCE" w14:paraId="7CD9DB14" w14:textId="77777777">
      <w:pPr>
        <w:spacing w:line="360" w:lineRule="auto"/>
        <w:jc w:val="both"/>
        <w:rPr>
          <w:rFonts w:ascii="Arial" w:hAnsi="Arial" w:cs="Arial"/>
        </w:rPr>
      </w:pPr>
      <w:r w:rsidRPr="00A67E00">
        <w:rPr>
          <w:rFonts w:ascii="Arial" w:hAnsi="Arial" w:cs="Arial"/>
        </w:rPr>
        <w:t xml:space="preserve">NHS Professionals (2026) Diet and Nutrition. Available at: </w:t>
      </w:r>
      <w:r w:rsidRPr="00A67E00">
        <w:rPr>
          <w:rFonts w:ascii="Arial" w:hAnsi="Arial" w:cs="Arial"/>
          <w:color w:val="2F5496" w:themeColor="accent1" w:themeShade="BF"/>
        </w:rPr>
        <w:t>https://www.nhsprofessionals.nhs.uk/health</w:t>
      </w:r>
      <w:r w:rsidRPr="00A67E00">
        <w:rPr>
          <w:rFonts w:ascii="Cambria Math" w:hAnsi="Cambria Math" w:cs="Cambria Math"/>
          <w:color w:val="2F5496" w:themeColor="accent1" w:themeShade="BF"/>
        </w:rPr>
        <w:t>‑</w:t>
      </w:r>
      <w:r w:rsidRPr="00A67E00">
        <w:rPr>
          <w:rFonts w:ascii="Arial" w:hAnsi="Arial" w:cs="Arial"/>
          <w:color w:val="2F5496" w:themeColor="accent1" w:themeShade="BF"/>
        </w:rPr>
        <w:t>and</w:t>
      </w:r>
      <w:r w:rsidRPr="00A67E00">
        <w:rPr>
          <w:rFonts w:ascii="Cambria Math" w:hAnsi="Cambria Math" w:cs="Cambria Math"/>
          <w:color w:val="2F5496" w:themeColor="accent1" w:themeShade="BF"/>
        </w:rPr>
        <w:t>‑</w:t>
      </w:r>
      <w:r w:rsidRPr="00A67E00">
        <w:rPr>
          <w:rFonts w:ascii="Arial" w:hAnsi="Arial" w:cs="Arial"/>
          <w:color w:val="2F5496" w:themeColor="accent1" w:themeShade="BF"/>
        </w:rPr>
        <w:t>wellbeing/helpful</w:t>
      </w:r>
      <w:r w:rsidRPr="00A67E00">
        <w:rPr>
          <w:rFonts w:ascii="Cambria Math" w:hAnsi="Cambria Math" w:cs="Cambria Math"/>
          <w:color w:val="2F5496" w:themeColor="accent1" w:themeShade="BF"/>
        </w:rPr>
        <w:t>‑</w:t>
      </w:r>
      <w:r w:rsidRPr="00A67E00">
        <w:rPr>
          <w:rFonts w:ascii="Arial" w:hAnsi="Arial" w:cs="Arial"/>
          <w:color w:val="2F5496" w:themeColor="accent1" w:themeShade="BF"/>
        </w:rPr>
        <w:t>links/diet</w:t>
      </w:r>
      <w:r w:rsidRPr="00A67E00">
        <w:rPr>
          <w:rFonts w:ascii="Cambria Math" w:hAnsi="Cambria Math" w:cs="Cambria Math"/>
          <w:color w:val="2F5496" w:themeColor="accent1" w:themeShade="BF"/>
        </w:rPr>
        <w:t>‑</w:t>
      </w:r>
      <w:r w:rsidRPr="00A67E00">
        <w:rPr>
          <w:rFonts w:ascii="Arial" w:hAnsi="Arial" w:cs="Arial"/>
          <w:color w:val="2F5496" w:themeColor="accent1" w:themeShade="BF"/>
        </w:rPr>
        <w:t>and</w:t>
      </w:r>
      <w:r w:rsidRPr="00A67E00">
        <w:rPr>
          <w:rFonts w:ascii="Cambria Math" w:hAnsi="Cambria Math" w:cs="Cambria Math"/>
          <w:color w:val="2F5496" w:themeColor="accent1" w:themeShade="BF"/>
        </w:rPr>
        <w:t>‑</w:t>
      </w:r>
      <w:r w:rsidRPr="00A67E00">
        <w:rPr>
          <w:rFonts w:ascii="Arial" w:hAnsi="Arial" w:cs="Arial"/>
          <w:color w:val="2F5496" w:themeColor="accent1" w:themeShade="BF"/>
        </w:rPr>
        <w:t xml:space="preserve">nutrition </w:t>
      </w:r>
      <w:r w:rsidRPr="00A67E00">
        <w:rPr>
          <w:rFonts w:ascii="Arial" w:hAnsi="Arial" w:cs="Arial"/>
        </w:rPr>
        <w:t>(Accessed: 8 April 2026).</w:t>
      </w:r>
    </w:p>
    <w:p w:rsidRPr="00A67E00" w:rsidR="00F42CCE" w:rsidP="00F42CCE" w:rsidRDefault="00F42CCE" w14:paraId="4CB69B94" w14:textId="77777777">
      <w:pPr>
        <w:spacing w:line="360" w:lineRule="auto"/>
        <w:jc w:val="both"/>
        <w:rPr>
          <w:rFonts w:ascii="Arial" w:hAnsi="Arial" w:cs="Arial"/>
        </w:rPr>
      </w:pPr>
      <w:r w:rsidRPr="00A67E00">
        <w:rPr>
          <w:rFonts w:ascii="Arial" w:hAnsi="Arial" w:cs="Arial"/>
        </w:rPr>
        <w:t xml:space="preserve">Nursing and Midwifery Council (NMC) (2018) The code: Professional standards of practice and behaviour for nurses, midwives and nursing associates. London: NMC. Available at: </w:t>
      </w:r>
      <w:hyperlink w:history="1" r:id="rId29">
        <w:r w:rsidRPr="00A67E00">
          <w:rPr>
            <w:rStyle w:val="Hyperlink"/>
            <w:rFonts w:ascii="Arial" w:hAnsi="Arial" w:cs="Arial"/>
          </w:rPr>
          <w:t>https://www.nmc.org.uk/standards/code/</w:t>
        </w:r>
      </w:hyperlink>
      <w:r w:rsidRPr="00A67E00">
        <w:rPr>
          <w:rFonts w:ascii="Arial" w:hAnsi="Arial" w:cs="Arial"/>
        </w:rPr>
        <w:t xml:space="preserve"> (Accessed: 23 February 2026).</w:t>
      </w:r>
    </w:p>
    <w:p w:rsidRPr="00A67E00" w:rsidR="00F42CCE" w:rsidP="00F42CCE" w:rsidRDefault="00F42CCE" w14:paraId="147B6CC9" w14:textId="51C21A27">
      <w:pPr>
        <w:spacing w:before="100" w:beforeAutospacing="1" w:after="100" w:afterAutospacing="1" w:line="360" w:lineRule="auto"/>
        <w:jc w:val="both"/>
        <w:rPr>
          <w:rFonts w:ascii="Arial" w:hAnsi="Arial" w:eastAsia="Times New Roman" w:cs="Arial"/>
          <w:kern w:val="0"/>
          <w14:ligatures w14:val="none"/>
        </w:rPr>
      </w:pPr>
      <w:r w:rsidRPr="00A67E00">
        <w:rPr>
          <w:rFonts w:ascii="Arial" w:hAnsi="Arial" w:eastAsia="Times New Roman" w:cs="Arial"/>
          <w:kern w:val="0"/>
          <w14:ligatures w14:val="none"/>
        </w:rPr>
        <w:t xml:space="preserve">Pan, A., Wang, Y., Talaei, M., Hu, F.B. and Wu, T., 2015. Relation of active, passive, and quitting smoking with incident type 2 diabetes: a systematic review and meta-analysis. The lancet Diabetes </w:t>
      </w:r>
      <w:r w:rsidR="001140D3">
        <w:rPr>
          <w:rFonts w:ascii="Arial" w:hAnsi="Arial" w:eastAsia="Times New Roman" w:cs="Arial"/>
          <w:kern w:val="0"/>
          <w14:ligatures w14:val="none"/>
        </w:rPr>
        <w:t>and</w:t>
      </w:r>
      <w:r w:rsidRPr="00A67E00">
        <w:rPr>
          <w:rFonts w:ascii="Arial" w:hAnsi="Arial" w:eastAsia="Times New Roman" w:cs="Arial"/>
          <w:kern w:val="0"/>
          <w14:ligatures w14:val="none"/>
        </w:rPr>
        <w:t xml:space="preserve"> endocrinology, 3(12), pp.958-967. Available at: </w:t>
      </w:r>
      <w:hyperlink w:history="1" r:id="rId30">
        <w:r w:rsidRPr="00A67E00">
          <w:rPr>
            <w:rStyle w:val="Hyperlink"/>
            <w:rFonts w:ascii="Arial" w:hAnsi="Arial" w:eastAsia="Times New Roman" w:cs="Arial"/>
            <w:kern w:val="0"/>
            <w14:ligatures w14:val="none"/>
          </w:rPr>
          <w:t>https://drive.google.com/file/d/1RVT9UbcX_a_1q-lsTADGWq5w</w:t>
        </w:r>
        <w:r w:rsidR="001140D3">
          <w:rPr>
            <w:rStyle w:val="Hyperlink"/>
            <w:rFonts w:ascii="Arial" w:hAnsi="Arial" w:eastAsia="Times New Roman" w:cs="Arial"/>
            <w:kern w:val="0"/>
            <w14:ligatures w14:val="none"/>
          </w:rPr>
          <w:t>s</w:t>
        </w:r>
        <w:r w:rsidRPr="00A67E00">
          <w:rPr>
            <w:rStyle w:val="Hyperlink"/>
            <w:rFonts w:ascii="Arial" w:hAnsi="Arial" w:eastAsia="Times New Roman" w:cs="Arial"/>
            <w:kern w:val="0"/>
            <w14:ligatures w14:val="none"/>
          </w:rPr>
          <w:t>7-8PfVL/view</w:t>
        </w:r>
      </w:hyperlink>
      <w:r w:rsidRPr="00A67E00">
        <w:rPr>
          <w:rFonts w:ascii="Arial" w:hAnsi="Arial" w:eastAsia="Times New Roman" w:cs="Arial"/>
          <w:kern w:val="0"/>
          <w14:ligatures w14:val="none"/>
        </w:rPr>
        <w:t xml:space="preserve"> (Accessed: 1st March 2026).</w:t>
      </w:r>
    </w:p>
    <w:p w:rsidRPr="00D06E48" w:rsidR="00F42CCE" w:rsidP="00F42CCE" w:rsidRDefault="00F42CCE" w14:paraId="5E0923B3" w14:textId="77777777">
      <w:pPr>
        <w:spacing w:line="360" w:lineRule="auto"/>
        <w:jc w:val="both"/>
        <w:rPr>
          <w:rFonts w:ascii="Arial" w:hAnsi="Arial" w:cs="Arial"/>
        </w:rPr>
      </w:pPr>
      <w:r w:rsidRPr="00D06E48">
        <w:rPr>
          <w:rFonts w:ascii="Arial" w:hAnsi="Arial" w:cs="Arial"/>
        </w:rPr>
        <w:t xml:space="preserve">Perera, R., Stevens, R., Aronson, J.K., 2021. </w:t>
      </w:r>
      <w:r w:rsidRPr="00D06E48">
        <w:rPr>
          <w:rFonts w:ascii="Arial" w:hAnsi="Arial" w:cs="Arial"/>
          <w:i/>
          <w:iCs/>
        </w:rPr>
        <w:t>Long-term monitoring in primary care for chronic kidney disease and chronic heart failure: a multi-method research programme.</w:t>
      </w:r>
      <w:r w:rsidRPr="00D06E48">
        <w:rPr>
          <w:rFonts w:ascii="Arial" w:hAnsi="Arial" w:cs="Arial"/>
        </w:rPr>
        <w:t xml:space="preserve"> Programme Grants for Applied Research, No. 9.10. Southampton: NIHR Journals Library.</w:t>
      </w:r>
    </w:p>
    <w:p w:rsidRPr="00A67E00" w:rsidR="00F42CCE" w:rsidP="00F42CCE" w:rsidRDefault="00F42CCE" w14:paraId="1FAB6B36" w14:textId="4F63621C">
      <w:pPr>
        <w:spacing w:before="100" w:beforeAutospacing="1" w:after="100" w:afterAutospacing="1" w:line="360" w:lineRule="auto"/>
        <w:jc w:val="both"/>
        <w:rPr>
          <w:rFonts w:ascii="Arial" w:hAnsi="Arial" w:cs="Arial"/>
          <w:color w:val="222222"/>
          <w:shd w:val="clear" w:color="auto" w:fill="FFFFFF"/>
        </w:rPr>
      </w:pPr>
      <w:r w:rsidRPr="00A67E00">
        <w:rPr>
          <w:rFonts w:ascii="Arial" w:hAnsi="Arial" w:cs="Arial"/>
          <w:color w:val="222222"/>
          <w:shd w:val="clear" w:color="auto" w:fill="FFFFFF"/>
        </w:rPr>
        <w:t xml:space="preserve">Polonsky, W.H., Fisher, L., Schikman, C.H., Hinnen, D.A., Parkin, C.G., Jelsovsky, </w:t>
      </w:r>
      <w:r w:rsidR="001140D3">
        <w:rPr>
          <w:rFonts w:ascii="Arial" w:hAnsi="Arial" w:cs="Arial"/>
          <w:color w:val="222222"/>
          <w:shd w:val="clear" w:color="auto" w:fill="FFFFFF"/>
        </w:rPr>
        <w:t>S</w:t>
      </w:r>
      <w:r w:rsidRPr="00A67E00">
        <w:rPr>
          <w:rFonts w:ascii="Arial" w:hAnsi="Arial" w:cs="Arial"/>
          <w:color w:val="222222"/>
          <w:shd w:val="clear" w:color="auto" w:fill="FFFFFF"/>
        </w:rPr>
        <w:t>., Petersen, B., Schweit</w:t>
      </w:r>
      <w:r w:rsidR="001140D3">
        <w:rPr>
          <w:rFonts w:ascii="Arial" w:hAnsi="Arial" w:cs="Arial"/>
          <w:color w:val="222222"/>
          <w:shd w:val="clear" w:color="auto" w:fill="FFFFFF"/>
        </w:rPr>
        <w:t>s</w:t>
      </w:r>
      <w:r w:rsidRPr="00A67E00">
        <w:rPr>
          <w:rFonts w:ascii="Arial" w:hAnsi="Arial" w:cs="Arial"/>
          <w:color w:val="222222"/>
          <w:shd w:val="clear" w:color="auto" w:fill="FFFFFF"/>
        </w:rPr>
        <w:t>er, M. and Wagner, R.S., 2011. Structured self-monitoring of blood glucose significantly reduces A1C levels in poorly controlled, noninsulin-treated type 2 diabetes: results from the Structured Testing Program study. </w:t>
      </w:r>
      <w:r w:rsidRPr="00A67E00">
        <w:rPr>
          <w:rFonts w:ascii="Arial" w:hAnsi="Arial" w:cs="Arial"/>
          <w:i/>
          <w:iCs/>
          <w:color w:val="222222"/>
          <w:shd w:val="clear" w:color="auto" w:fill="FFFFFF"/>
        </w:rPr>
        <w:t>Diabetes care</w:t>
      </w:r>
      <w:r w:rsidRPr="00A67E00">
        <w:rPr>
          <w:rFonts w:ascii="Arial" w:hAnsi="Arial" w:cs="Arial"/>
          <w:color w:val="222222"/>
          <w:shd w:val="clear" w:color="auto" w:fill="FFFFFF"/>
        </w:rPr>
        <w:t>, </w:t>
      </w:r>
      <w:r w:rsidRPr="00A67E00">
        <w:rPr>
          <w:rFonts w:ascii="Arial" w:hAnsi="Arial" w:cs="Arial"/>
          <w:i/>
          <w:iCs/>
          <w:color w:val="222222"/>
          <w:shd w:val="clear" w:color="auto" w:fill="FFFFFF"/>
        </w:rPr>
        <w:t>34</w:t>
      </w:r>
      <w:r w:rsidRPr="00A67E00">
        <w:rPr>
          <w:rFonts w:ascii="Arial" w:hAnsi="Arial" w:cs="Arial"/>
          <w:color w:val="222222"/>
          <w:shd w:val="clear" w:color="auto" w:fill="FFFFFF"/>
        </w:rPr>
        <w:t xml:space="preserve">(2), pp.262-267. Available at: </w:t>
      </w:r>
      <w:hyperlink w:history="1" r:id="rId31">
        <w:r w:rsidRPr="00A67E00">
          <w:rPr>
            <w:rStyle w:val="Hyperlink"/>
            <w:rFonts w:ascii="Arial" w:hAnsi="Arial" w:cs="Arial"/>
            <w:shd w:val="clear" w:color="auto" w:fill="FFFFFF"/>
          </w:rPr>
          <w:t>https://diabetesjournals.org/care/article-pdf/34/2/262/609220/262.pdf</w:t>
        </w:r>
      </w:hyperlink>
      <w:r w:rsidRPr="00A67E00">
        <w:rPr>
          <w:rFonts w:ascii="Arial" w:hAnsi="Arial" w:cs="Arial"/>
          <w:color w:val="222222"/>
          <w:shd w:val="clear" w:color="auto" w:fill="FFFFFF"/>
        </w:rPr>
        <w:t xml:space="preserve"> (Accessed: 1st March 2026).</w:t>
      </w:r>
    </w:p>
    <w:p w:rsidRPr="00A67E00" w:rsidR="00F42CCE" w:rsidP="00F42CCE" w:rsidRDefault="00F42CCE" w14:paraId="0E3CC0A6" w14:textId="1B3579E7">
      <w:pPr>
        <w:spacing w:line="360" w:lineRule="auto"/>
        <w:jc w:val="both"/>
        <w:rPr>
          <w:rFonts w:ascii="Arial" w:hAnsi="Arial" w:cs="Arial"/>
        </w:rPr>
      </w:pPr>
      <w:r w:rsidRPr="00A67E00">
        <w:rPr>
          <w:rFonts w:ascii="Arial" w:hAnsi="Arial" w:cs="Arial"/>
        </w:rPr>
        <w:t xml:space="preserve">Powers, M.A., Bardsley, J.K., Cypress, M., Funnell, M.M., Harms, D., Hess-Fischl, A., Hooks, B., Isaacs, D., Mandel, E.D., Maryniuk, M.D. and Norton, A., 2020. Diabetes self-management education and support in adults with type 2 diabetes: a consensus report of the American Diabetes Association, the Association of Diabetes Care </w:t>
      </w:r>
      <w:r w:rsidR="001140D3">
        <w:rPr>
          <w:rFonts w:ascii="Arial" w:hAnsi="Arial" w:cs="Arial"/>
        </w:rPr>
        <w:t>and</w:t>
      </w:r>
      <w:r w:rsidRPr="00A67E00">
        <w:rPr>
          <w:rFonts w:ascii="Arial" w:hAnsi="Arial" w:cs="Arial"/>
        </w:rPr>
        <w:t xml:space="preserve"> Education Specialists, the Academy of Nutrition and Dietetics, the American Academy of Family Physicians, the American Academy of PAs, the American Association of Nurse Practitioners, and the American Pharmacists Association. Journal of the American Pharmacists Association, 60(6), pp.e1-e18.</w:t>
      </w:r>
    </w:p>
    <w:p w:rsidRPr="00A67E00" w:rsidR="00F42CCE" w:rsidP="00F42CCE" w:rsidRDefault="00F42CCE" w14:paraId="4BB76577" w14:textId="77777777">
      <w:pPr>
        <w:spacing w:line="360" w:lineRule="auto"/>
        <w:jc w:val="both"/>
        <w:rPr>
          <w:rFonts w:ascii="Arial" w:hAnsi="Arial" w:cs="Arial"/>
        </w:rPr>
      </w:pPr>
      <w:r w:rsidRPr="00A67E00">
        <w:rPr>
          <w:rFonts w:ascii="Arial" w:hAnsi="Arial" w:cs="Arial"/>
        </w:rPr>
        <w:t>Sharma, K., Akre, S., Chakole, S. and Wanjari, M.B. (2022) ‘Stress</w:t>
      </w:r>
      <w:r w:rsidRPr="00A67E00">
        <w:rPr>
          <w:rFonts w:ascii="Cambria Math" w:hAnsi="Cambria Math" w:cs="Cambria Math"/>
        </w:rPr>
        <w:t>‑</w:t>
      </w:r>
      <w:r w:rsidRPr="00A67E00">
        <w:rPr>
          <w:rFonts w:ascii="Arial" w:hAnsi="Arial" w:cs="Arial"/>
        </w:rPr>
        <w:t xml:space="preserve">induced diabetes: a review’, Cureus, 14(9), p. e29142. doi: 10.7759/cureus.29142. Available at: </w:t>
      </w:r>
      <w:hyperlink w:history="1" r:id="rId32">
        <w:r w:rsidRPr="00A67E00">
          <w:rPr>
            <w:rStyle w:val="Hyperlink"/>
            <w:rFonts w:ascii="Arial" w:hAnsi="Arial" w:cs="Arial"/>
          </w:rPr>
          <w:t>https://pmc.ncbi.nlm.nih.gov/articles/PMC9561544/</w:t>
        </w:r>
      </w:hyperlink>
      <w:r w:rsidRPr="00A67E00">
        <w:rPr>
          <w:rFonts w:ascii="Arial" w:hAnsi="Arial" w:cs="Arial"/>
        </w:rPr>
        <w:t xml:space="preserve"> (Accessed: 8 April 2026).</w:t>
      </w:r>
    </w:p>
    <w:p w:rsidRPr="00A67E00" w:rsidR="00F42CCE" w:rsidP="00F42CCE" w:rsidRDefault="00F42CCE" w14:paraId="55BC52CE" w14:textId="4B73E6BC">
      <w:pPr>
        <w:spacing w:line="360" w:lineRule="auto"/>
        <w:jc w:val="both"/>
        <w:rPr>
          <w:rFonts w:ascii="Arial" w:hAnsi="Arial" w:cs="Arial"/>
        </w:rPr>
      </w:pPr>
      <w:r w:rsidRPr="00A67E00">
        <w:rPr>
          <w:rFonts w:ascii="Arial" w:hAnsi="Arial" w:cs="Arial"/>
        </w:rPr>
        <w:t>World Health Organi</w:t>
      </w:r>
      <w:r w:rsidR="001140D3">
        <w:rPr>
          <w:rFonts w:ascii="Arial" w:hAnsi="Arial" w:cs="Arial"/>
        </w:rPr>
        <w:t>s</w:t>
      </w:r>
      <w:r w:rsidRPr="00A67E00">
        <w:rPr>
          <w:rFonts w:ascii="Arial" w:hAnsi="Arial" w:cs="Arial"/>
        </w:rPr>
        <w:t xml:space="preserve">ation (2024) Diabetes, 14 November. Available at: </w:t>
      </w:r>
      <w:hyperlink w:history="1" w:anchor=":~:text=Diabetes%20is%20a%20chronic%20disease,use%20the%20insulin%20it%20produces" r:id="rId33">
        <w:r w:rsidRPr="00A67E00">
          <w:rPr>
            <w:rStyle w:val="Hyperlink"/>
            <w:rFonts w:ascii="Arial" w:hAnsi="Arial" w:cs="Arial"/>
          </w:rPr>
          <w:t>https://www.who.int/news-room/fact-sheets/detail/diabetes#:~:text=Diabetes%20is%20a%20chronic%20disease,use%20the%20insulin%20it%20produces</w:t>
        </w:r>
      </w:hyperlink>
      <w:r w:rsidRPr="00A67E00">
        <w:rPr>
          <w:rFonts w:ascii="Arial" w:hAnsi="Arial" w:cs="Arial"/>
        </w:rPr>
        <w:t xml:space="preserve">  (Accessed: 8 April 2026).</w:t>
      </w:r>
    </w:p>
    <w:p w:rsidRPr="00A67E00" w:rsidR="00F42CCE" w:rsidP="00F42CCE" w:rsidRDefault="00F42CCE" w14:paraId="34C19B1A" w14:textId="78A7F483">
      <w:pPr>
        <w:spacing w:before="100" w:beforeAutospacing="1" w:after="100" w:afterAutospacing="1" w:line="360" w:lineRule="auto"/>
        <w:jc w:val="both"/>
        <w:rPr>
          <w:rFonts w:ascii="Arial" w:hAnsi="Arial" w:eastAsia="Times New Roman" w:cs="Arial"/>
          <w:kern w:val="0"/>
          <w14:ligatures w14:val="none"/>
        </w:rPr>
      </w:pPr>
      <w:r w:rsidRPr="00A67E00">
        <w:rPr>
          <w:rFonts w:ascii="Arial" w:hAnsi="Arial" w:eastAsia="Times New Roman" w:cs="Arial"/>
          <w:kern w:val="0"/>
          <w14:ligatures w14:val="none"/>
        </w:rPr>
        <w:t>World Health Organi</w:t>
      </w:r>
      <w:r w:rsidR="001140D3">
        <w:rPr>
          <w:rFonts w:ascii="Arial" w:hAnsi="Arial" w:eastAsia="Times New Roman" w:cs="Arial"/>
          <w:kern w:val="0"/>
          <w14:ligatures w14:val="none"/>
        </w:rPr>
        <w:t>s</w:t>
      </w:r>
      <w:r w:rsidRPr="00A67E00">
        <w:rPr>
          <w:rFonts w:ascii="Arial" w:hAnsi="Arial" w:eastAsia="Times New Roman" w:cs="Arial"/>
          <w:kern w:val="0"/>
          <w14:ligatures w14:val="none"/>
        </w:rPr>
        <w:t xml:space="preserve">ation (WHO) (2023) </w:t>
      </w:r>
      <w:r w:rsidRPr="00A67E00">
        <w:rPr>
          <w:rFonts w:ascii="Arial" w:hAnsi="Arial" w:eastAsia="Times New Roman" w:cs="Arial"/>
          <w:i/>
          <w:iCs/>
          <w:kern w:val="0"/>
          <w14:ligatures w14:val="none"/>
        </w:rPr>
        <w:t>Diabetes fact sheet</w:t>
      </w:r>
      <w:r w:rsidRPr="00A67E00">
        <w:rPr>
          <w:rFonts w:ascii="Arial" w:hAnsi="Arial" w:eastAsia="Times New Roman" w:cs="Arial"/>
          <w:kern w:val="0"/>
          <w14:ligatures w14:val="none"/>
        </w:rPr>
        <w:t xml:space="preserve">. Geneva: WHO. Available at: </w:t>
      </w:r>
      <w:hyperlink w:tgtFrame="_new" w:history="1" r:id="rId34">
        <w:r w:rsidRPr="00A67E00">
          <w:rPr>
            <w:rFonts w:ascii="Arial" w:hAnsi="Arial" w:eastAsia="Times New Roman" w:cs="Arial"/>
            <w:color w:val="0000FF"/>
            <w:kern w:val="0"/>
            <w:u w:val="single"/>
            <w14:ligatures w14:val="none"/>
          </w:rPr>
          <w:t>https://www.who.int/news-room/fact-sheets/detail/diabetes</w:t>
        </w:r>
      </w:hyperlink>
      <w:r w:rsidRPr="00A67E00">
        <w:rPr>
          <w:rFonts w:ascii="Arial" w:hAnsi="Arial" w:eastAsia="Times New Roman" w:cs="Arial"/>
          <w:kern w:val="0"/>
          <w14:ligatures w14:val="none"/>
        </w:rPr>
        <w:t xml:space="preserve"> (Accessed: 1 March 2026).</w:t>
      </w:r>
    </w:p>
    <w:p w:rsidRPr="00412F31" w:rsidR="00B835FF" w:rsidP="0071148D" w:rsidRDefault="00C23137" w14:paraId="181B4D63" w14:textId="7E6287E1">
      <w:pPr>
        <w:spacing w:line="360" w:lineRule="auto"/>
        <w:jc w:val="both"/>
        <w:rPr>
          <w:rFonts w:ascii="Arial" w:hAnsi="Arial" w:cs="Arial"/>
        </w:rPr>
      </w:pPr>
      <w:r w:rsidRPr="00A67E00">
        <w:rPr>
          <w:rFonts w:ascii="Arial" w:hAnsi="Arial" w:cs="Arial"/>
        </w:rPr>
        <w:br/>
      </w:r>
      <w:r w:rsidRPr="00A67E00">
        <w:rPr>
          <w:rFonts w:ascii="Arial" w:hAnsi="Arial" w:cs="Arial"/>
        </w:rPr>
        <w:br/>
      </w:r>
    </w:p>
    <w:sectPr w:rsidRPr="00412F31" w:rsidR="00B835FF" w:rsidSect="00BA0DA6">
      <w:pgSz w:w="12240" w:h="15840" w:orient="portrait"/>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67E00" w:rsidR="00EF33A7" w:rsidP="00CF0A55" w:rsidRDefault="00EF33A7" w14:paraId="706EA7FC" w14:textId="77777777">
      <w:pPr>
        <w:spacing w:after="0" w:line="240" w:lineRule="auto"/>
      </w:pPr>
      <w:r w:rsidRPr="00A67E00">
        <w:separator/>
      </w:r>
    </w:p>
  </w:endnote>
  <w:endnote w:type="continuationSeparator" w:id="0">
    <w:p w:rsidRPr="00A67E00" w:rsidR="00EF33A7" w:rsidP="00CF0A55" w:rsidRDefault="00EF33A7" w14:paraId="14994604" w14:textId="77777777">
      <w:pPr>
        <w:spacing w:after="0" w:line="240" w:lineRule="auto"/>
      </w:pPr>
      <w:r w:rsidRPr="00A67E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549595"/>
      <w:docPartObj>
        <w:docPartGallery w:val="Page Numbers (Bottom of Page)"/>
        <w:docPartUnique/>
      </w:docPartObj>
    </w:sdtPr>
    <w:sdtEndPr/>
    <w:sdtContent>
      <w:p w:rsidRPr="00A67E00" w:rsidR="00B0781C" w:rsidRDefault="00B0781C" w14:paraId="3F98BF7B" w14:textId="1889A1D2">
        <w:pPr>
          <w:pStyle w:val="Footer"/>
          <w:jc w:val="center"/>
        </w:pPr>
        <w:r w:rsidRPr="00A67E00">
          <w:fldChar w:fldCharType="begin"/>
        </w:r>
        <w:r w:rsidRPr="00A67E00">
          <w:instrText xml:space="preserve"> PAGE   \* MERGEFORMAT </w:instrText>
        </w:r>
        <w:r w:rsidRPr="00A67E00">
          <w:fldChar w:fldCharType="separate"/>
        </w:r>
        <w:r w:rsidRPr="00A67E00">
          <w:t>2</w:t>
        </w:r>
        <w:r w:rsidRPr="00A67E00">
          <w:fldChar w:fldCharType="end"/>
        </w:r>
      </w:p>
    </w:sdtContent>
  </w:sdt>
  <w:p w:rsidRPr="00A67E00" w:rsidR="00B0781C" w:rsidRDefault="00B0781C" w14:paraId="67A449A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100113"/>
      <w:docPartObj>
        <w:docPartGallery w:val="Page Numbers (Bottom of Page)"/>
        <w:docPartUnique/>
      </w:docPartObj>
    </w:sdtPr>
    <w:sdtEndPr/>
    <w:sdtContent>
      <w:p w:rsidRPr="00A67E00" w:rsidR="00B0781C" w:rsidRDefault="00B0781C" w14:paraId="0717BE4F" w14:textId="01F43F5A">
        <w:pPr>
          <w:pStyle w:val="Footer"/>
          <w:jc w:val="center"/>
        </w:pPr>
        <w:r w:rsidRPr="00A67E00">
          <w:fldChar w:fldCharType="begin"/>
        </w:r>
        <w:r w:rsidRPr="00A67E00">
          <w:instrText xml:space="preserve"> PAGE   \* MERGEFORMAT </w:instrText>
        </w:r>
        <w:r w:rsidRPr="00A67E00">
          <w:fldChar w:fldCharType="separate"/>
        </w:r>
        <w:r w:rsidRPr="00A67E00">
          <w:t>2</w:t>
        </w:r>
        <w:r w:rsidRPr="00A67E00">
          <w:fldChar w:fldCharType="end"/>
        </w:r>
      </w:p>
    </w:sdtContent>
  </w:sdt>
  <w:p w:rsidRPr="00A67E00" w:rsidR="00B0781C" w:rsidRDefault="00B0781C" w14:paraId="7B2CF74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67E00" w:rsidR="00EF33A7" w:rsidP="00CF0A55" w:rsidRDefault="00EF33A7" w14:paraId="534B38C2" w14:textId="77777777">
      <w:pPr>
        <w:spacing w:after="0" w:line="240" w:lineRule="auto"/>
      </w:pPr>
      <w:r w:rsidRPr="00A67E00">
        <w:separator/>
      </w:r>
    </w:p>
  </w:footnote>
  <w:footnote w:type="continuationSeparator" w:id="0">
    <w:p w:rsidRPr="00A67E00" w:rsidR="00EF33A7" w:rsidP="00CF0A55" w:rsidRDefault="00EF33A7" w14:paraId="6C3AE122" w14:textId="77777777">
      <w:pPr>
        <w:spacing w:after="0" w:line="240" w:lineRule="auto"/>
      </w:pPr>
      <w:r w:rsidRPr="00A67E00">
        <w:continuationSeparator/>
      </w:r>
    </w:p>
  </w:footnote>
</w:footnotes>
</file>

<file path=word/intelligence2.xml><?xml version="1.0" encoding="utf-8"?>
<int2:intelligence xmlns:int2="http://schemas.microsoft.com/office/intelligence/2020/intelligence">
  <int2:observations>
    <int2:textHash int2:hashCode="BvJ5CoWm5hX3o+" int2:id="U0ZCJUFa">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D5B57"/>
    <w:multiLevelType w:val="hybridMultilevel"/>
    <w:tmpl w:val="A224BF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8F6BD7"/>
    <w:multiLevelType w:val="multilevel"/>
    <w:tmpl w:val="D27C8B6A"/>
    <w:lvl w:ilvl="0">
      <w:start w:val="1"/>
      <w:numFmt w:val="decimal"/>
      <w:lvlText w:val="%1."/>
      <w:lvlJc w:val="left"/>
      <w:pPr>
        <w:tabs>
          <w:tab w:val="num" w:pos="4973"/>
        </w:tabs>
        <w:ind w:left="4973" w:hanging="360"/>
      </w:pPr>
    </w:lvl>
    <w:lvl w:ilvl="1" w:tentative="1">
      <w:start w:val="1"/>
      <w:numFmt w:val="decimal"/>
      <w:lvlText w:val="%2."/>
      <w:lvlJc w:val="left"/>
      <w:pPr>
        <w:tabs>
          <w:tab w:val="num" w:pos="5693"/>
        </w:tabs>
        <w:ind w:left="5693" w:hanging="360"/>
      </w:pPr>
    </w:lvl>
    <w:lvl w:ilvl="2" w:tentative="1">
      <w:start w:val="1"/>
      <w:numFmt w:val="decimal"/>
      <w:lvlText w:val="%3."/>
      <w:lvlJc w:val="left"/>
      <w:pPr>
        <w:tabs>
          <w:tab w:val="num" w:pos="6413"/>
        </w:tabs>
        <w:ind w:left="6413" w:hanging="360"/>
      </w:pPr>
    </w:lvl>
    <w:lvl w:ilvl="3" w:tentative="1">
      <w:start w:val="1"/>
      <w:numFmt w:val="decimal"/>
      <w:lvlText w:val="%4."/>
      <w:lvlJc w:val="left"/>
      <w:pPr>
        <w:tabs>
          <w:tab w:val="num" w:pos="7133"/>
        </w:tabs>
        <w:ind w:left="7133" w:hanging="360"/>
      </w:pPr>
    </w:lvl>
    <w:lvl w:ilvl="4" w:tentative="1">
      <w:start w:val="1"/>
      <w:numFmt w:val="decimal"/>
      <w:lvlText w:val="%5."/>
      <w:lvlJc w:val="left"/>
      <w:pPr>
        <w:tabs>
          <w:tab w:val="num" w:pos="7853"/>
        </w:tabs>
        <w:ind w:left="7853" w:hanging="360"/>
      </w:pPr>
    </w:lvl>
    <w:lvl w:ilvl="5" w:tentative="1">
      <w:start w:val="1"/>
      <w:numFmt w:val="decimal"/>
      <w:lvlText w:val="%6."/>
      <w:lvlJc w:val="left"/>
      <w:pPr>
        <w:tabs>
          <w:tab w:val="num" w:pos="8573"/>
        </w:tabs>
        <w:ind w:left="8573" w:hanging="360"/>
      </w:pPr>
    </w:lvl>
    <w:lvl w:ilvl="6" w:tentative="1">
      <w:start w:val="1"/>
      <w:numFmt w:val="decimal"/>
      <w:lvlText w:val="%7."/>
      <w:lvlJc w:val="left"/>
      <w:pPr>
        <w:tabs>
          <w:tab w:val="num" w:pos="9293"/>
        </w:tabs>
        <w:ind w:left="9293" w:hanging="360"/>
      </w:pPr>
    </w:lvl>
    <w:lvl w:ilvl="7" w:tentative="1">
      <w:start w:val="1"/>
      <w:numFmt w:val="decimal"/>
      <w:lvlText w:val="%8."/>
      <w:lvlJc w:val="left"/>
      <w:pPr>
        <w:tabs>
          <w:tab w:val="num" w:pos="10013"/>
        </w:tabs>
        <w:ind w:left="10013" w:hanging="360"/>
      </w:pPr>
    </w:lvl>
    <w:lvl w:ilvl="8" w:tentative="1">
      <w:start w:val="1"/>
      <w:numFmt w:val="decimal"/>
      <w:lvlText w:val="%9."/>
      <w:lvlJc w:val="left"/>
      <w:pPr>
        <w:tabs>
          <w:tab w:val="num" w:pos="10733"/>
        </w:tabs>
        <w:ind w:left="10733" w:hanging="360"/>
      </w:pPr>
    </w:lvl>
  </w:abstractNum>
  <w:abstractNum w:abstractNumId="2" w15:restartNumberingAfterBreak="0">
    <w:nsid w:val="113C51AD"/>
    <w:multiLevelType w:val="multilevel"/>
    <w:tmpl w:val="57943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C5316"/>
    <w:multiLevelType w:val="hybridMultilevel"/>
    <w:tmpl w:val="9152919E"/>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A505F1"/>
    <w:multiLevelType w:val="multilevel"/>
    <w:tmpl w:val="41EC8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BB1AE3"/>
    <w:multiLevelType w:val="hybridMultilevel"/>
    <w:tmpl w:val="242E7132"/>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3ABD33A8"/>
    <w:multiLevelType w:val="hybridMultilevel"/>
    <w:tmpl w:val="5874B07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1686B8D"/>
    <w:multiLevelType w:val="multilevel"/>
    <w:tmpl w:val="84C88A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178588C"/>
    <w:multiLevelType w:val="multilevel"/>
    <w:tmpl w:val="7194CD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1E94225"/>
    <w:multiLevelType w:val="multilevel"/>
    <w:tmpl w:val="90D60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CA21606"/>
    <w:multiLevelType w:val="multilevel"/>
    <w:tmpl w:val="7180D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A2743C"/>
    <w:multiLevelType w:val="multilevel"/>
    <w:tmpl w:val="F3EA02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5E1672B"/>
    <w:multiLevelType w:val="multilevel"/>
    <w:tmpl w:val="6D48E6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65252B8"/>
    <w:multiLevelType w:val="hybridMultilevel"/>
    <w:tmpl w:val="242E713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DD74DBE"/>
    <w:multiLevelType w:val="multilevel"/>
    <w:tmpl w:val="64EC19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DFF4E97"/>
    <w:multiLevelType w:val="multilevel"/>
    <w:tmpl w:val="96A6CC6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ADA0A3A"/>
    <w:multiLevelType w:val="multilevel"/>
    <w:tmpl w:val="1E66A5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43859843">
    <w:abstractNumId w:val="10"/>
  </w:num>
  <w:num w:numId="2" w16cid:durableId="460729241">
    <w:abstractNumId w:val="14"/>
  </w:num>
  <w:num w:numId="3" w16cid:durableId="1733000493">
    <w:abstractNumId w:val="1"/>
  </w:num>
  <w:num w:numId="4" w16cid:durableId="789670602">
    <w:abstractNumId w:val="16"/>
  </w:num>
  <w:num w:numId="5" w16cid:durableId="2045255199">
    <w:abstractNumId w:val="2"/>
  </w:num>
  <w:num w:numId="6" w16cid:durableId="1028917856">
    <w:abstractNumId w:val="9"/>
  </w:num>
  <w:num w:numId="7" w16cid:durableId="351230666">
    <w:abstractNumId w:val="7"/>
  </w:num>
  <w:num w:numId="8" w16cid:durableId="733940444">
    <w:abstractNumId w:val="8"/>
  </w:num>
  <w:num w:numId="9" w16cid:durableId="724570928">
    <w:abstractNumId w:val="12"/>
  </w:num>
  <w:num w:numId="10" w16cid:durableId="932665581">
    <w:abstractNumId w:val="11"/>
  </w:num>
  <w:num w:numId="11" w16cid:durableId="133377746">
    <w:abstractNumId w:val="4"/>
  </w:num>
  <w:num w:numId="12" w16cid:durableId="629089331">
    <w:abstractNumId w:val="13"/>
  </w:num>
  <w:num w:numId="13" w16cid:durableId="554436612">
    <w:abstractNumId w:val="5"/>
  </w:num>
  <w:num w:numId="14" w16cid:durableId="1066295302">
    <w:abstractNumId w:val="3"/>
  </w:num>
  <w:num w:numId="15" w16cid:durableId="811408190">
    <w:abstractNumId w:val="0"/>
  </w:num>
  <w:num w:numId="16" w16cid:durableId="268976693">
    <w:abstractNumId w:val="6"/>
  </w:num>
  <w:num w:numId="17" w16cid:durableId="10268306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AAC"/>
    <w:rsid w:val="000042D1"/>
    <w:rsid w:val="00036A55"/>
    <w:rsid w:val="00043ADB"/>
    <w:rsid w:val="00050D8E"/>
    <w:rsid w:val="000519BF"/>
    <w:rsid w:val="00054936"/>
    <w:rsid w:val="00054B69"/>
    <w:rsid w:val="000652B4"/>
    <w:rsid w:val="00072252"/>
    <w:rsid w:val="000755E7"/>
    <w:rsid w:val="00091B1A"/>
    <w:rsid w:val="00096ECC"/>
    <w:rsid w:val="000A371F"/>
    <w:rsid w:val="000B0A03"/>
    <w:rsid w:val="000B4B3B"/>
    <w:rsid w:val="000B526D"/>
    <w:rsid w:val="000C673E"/>
    <w:rsid w:val="000D5175"/>
    <w:rsid w:val="000D6042"/>
    <w:rsid w:val="000E1A2D"/>
    <w:rsid w:val="000E64B3"/>
    <w:rsid w:val="000F2A8D"/>
    <w:rsid w:val="001029F2"/>
    <w:rsid w:val="00107D12"/>
    <w:rsid w:val="00113E4D"/>
    <w:rsid w:val="001140D3"/>
    <w:rsid w:val="001204C1"/>
    <w:rsid w:val="0012234E"/>
    <w:rsid w:val="00126129"/>
    <w:rsid w:val="00130295"/>
    <w:rsid w:val="00143C03"/>
    <w:rsid w:val="00150707"/>
    <w:rsid w:val="0015549E"/>
    <w:rsid w:val="0015648B"/>
    <w:rsid w:val="00157263"/>
    <w:rsid w:val="00162493"/>
    <w:rsid w:val="00162608"/>
    <w:rsid w:val="001643B1"/>
    <w:rsid w:val="00173251"/>
    <w:rsid w:val="00177232"/>
    <w:rsid w:val="00180D23"/>
    <w:rsid w:val="00186D09"/>
    <w:rsid w:val="001A2154"/>
    <w:rsid w:val="001B0E79"/>
    <w:rsid w:val="001C1649"/>
    <w:rsid w:val="001D4483"/>
    <w:rsid w:val="001E3D4C"/>
    <w:rsid w:val="001E5EBB"/>
    <w:rsid w:val="001F4BA8"/>
    <w:rsid w:val="001F5BD5"/>
    <w:rsid w:val="0020788B"/>
    <w:rsid w:val="00245776"/>
    <w:rsid w:val="00246B1F"/>
    <w:rsid w:val="00254E3A"/>
    <w:rsid w:val="00262E1D"/>
    <w:rsid w:val="002653BC"/>
    <w:rsid w:val="00271573"/>
    <w:rsid w:val="00274B30"/>
    <w:rsid w:val="00284043"/>
    <w:rsid w:val="002866C8"/>
    <w:rsid w:val="002878F6"/>
    <w:rsid w:val="00287B3F"/>
    <w:rsid w:val="002B1001"/>
    <w:rsid w:val="002D0110"/>
    <w:rsid w:val="002D3FB8"/>
    <w:rsid w:val="002E46BE"/>
    <w:rsid w:val="002F1178"/>
    <w:rsid w:val="00302738"/>
    <w:rsid w:val="003064AC"/>
    <w:rsid w:val="00317057"/>
    <w:rsid w:val="003234DB"/>
    <w:rsid w:val="003248A0"/>
    <w:rsid w:val="00337A98"/>
    <w:rsid w:val="003448C8"/>
    <w:rsid w:val="00350935"/>
    <w:rsid w:val="00356EB8"/>
    <w:rsid w:val="003849FC"/>
    <w:rsid w:val="003A1119"/>
    <w:rsid w:val="003B1D05"/>
    <w:rsid w:val="003C324D"/>
    <w:rsid w:val="003E69A9"/>
    <w:rsid w:val="003F5FB2"/>
    <w:rsid w:val="003F6B2E"/>
    <w:rsid w:val="004079B4"/>
    <w:rsid w:val="00412F31"/>
    <w:rsid w:val="0041412C"/>
    <w:rsid w:val="00430E8E"/>
    <w:rsid w:val="00431E04"/>
    <w:rsid w:val="00437314"/>
    <w:rsid w:val="00447A3B"/>
    <w:rsid w:val="00465AEC"/>
    <w:rsid w:val="0046666E"/>
    <w:rsid w:val="0047076B"/>
    <w:rsid w:val="00482B97"/>
    <w:rsid w:val="0048584C"/>
    <w:rsid w:val="004875AF"/>
    <w:rsid w:val="00487614"/>
    <w:rsid w:val="0049454E"/>
    <w:rsid w:val="004A61CE"/>
    <w:rsid w:val="004A7943"/>
    <w:rsid w:val="004B4AC9"/>
    <w:rsid w:val="004C70A1"/>
    <w:rsid w:val="004D148E"/>
    <w:rsid w:val="004D6FE7"/>
    <w:rsid w:val="005121BB"/>
    <w:rsid w:val="00514E16"/>
    <w:rsid w:val="00514E7F"/>
    <w:rsid w:val="0051611F"/>
    <w:rsid w:val="00522F3A"/>
    <w:rsid w:val="00533640"/>
    <w:rsid w:val="00535D4A"/>
    <w:rsid w:val="0053768F"/>
    <w:rsid w:val="00547C2F"/>
    <w:rsid w:val="00553927"/>
    <w:rsid w:val="00556DC3"/>
    <w:rsid w:val="005632A1"/>
    <w:rsid w:val="00576115"/>
    <w:rsid w:val="00594A97"/>
    <w:rsid w:val="00594CA5"/>
    <w:rsid w:val="00596425"/>
    <w:rsid w:val="005A0132"/>
    <w:rsid w:val="005C22BE"/>
    <w:rsid w:val="005C2768"/>
    <w:rsid w:val="005C4FDE"/>
    <w:rsid w:val="005C67A6"/>
    <w:rsid w:val="005C6A48"/>
    <w:rsid w:val="005D04CC"/>
    <w:rsid w:val="005E6F07"/>
    <w:rsid w:val="006110C5"/>
    <w:rsid w:val="00613538"/>
    <w:rsid w:val="00621093"/>
    <w:rsid w:val="0062502C"/>
    <w:rsid w:val="00630656"/>
    <w:rsid w:val="00650E3C"/>
    <w:rsid w:val="006564D6"/>
    <w:rsid w:val="00670923"/>
    <w:rsid w:val="006760F1"/>
    <w:rsid w:val="00681E71"/>
    <w:rsid w:val="00684756"/>
    <w:rsid w:val="00691423"/>
    <w:rsid w:val="006960B9"/>
    <w:rsid w:val="00696862"/>
    <w:rsid w:val="006A76E5"/>
    <w:rsid w:val="006B196C"/>
    <w:rsid w:val="006B4D4C"/>
    <w:rsid w:val="006C5B32"/>
    <w:rsid w:val="006C7DA7"/>
    <w:rsid w:val="006D4077"/>
    <w:rsid w:val="006F5062"/>
    <w:rsid w:val="006F6FF2"/>
    <w:rsid w:val="00703827"/>
    <w:rsid w:val="0071148D"/>
    <w:rsid w:val="00717AA6"/>
    <w:rsid w:val="00724DAB"/>
    <w:rsid w:val="00725AB2"/>
    <w:rsid w:val="00740CAC"/>
    <w:rsid w:val="00741B77"/>
    <w:rsid w:val="00742F33"/>
    <w:rsid w:val="0077112C"/>
    <w:rsid w:val="00772752"/>
    <w:rsid w:val="007753DD"/>
    <w:rsid w:val="00777F5F"/>
    <w:rsid w:val="00790471"/>
    <w:rsid w:val="00790D5F"/>
    <w:rsid w:val="007A5B1C"/>
    <w:rsid w:val="007B0FAC"/>
    <w:rsid w:val="007B6DF0"/>
    <w:rsid w:val="007D2169"/>
    <w:rsid w:val="007D2C10"/>
    <w:rsid w:val="007F4144"/>
    <w:rsid w:val="007F7F60"/>
    <w:rsid w:val="008033C9"/>
    <w:rsid w:val="00804CB2"/>
    <w:rsid w:val="0081169E"/>
    <w:rsid w:val="0081360A"/>
    <w:rsid w:val="00814F0E"/>
    <w:rsid w:val="00816443"/>
    <w:rsid w:val="0083209C"/>
    <w:rsid w:val="00835338"/>
    <w:rsid w:val="00835534"/>
    <w:rsid w:val="008426FB"/>
    <w:rsid w:val="0084343B"/>
    <w:rsid w:val="0085172C"/>
    <w:rsid w:val="008646F9"/>
    <w:rsid w:val="00867242"/>
    <w:rsid w:val="0087092D"/>
    <w:rsid w:val="00874B01"/>
    <w:rsid w:val="0088369F"/>
    <w:rsid w:val="00890101"/>
    <w:rsid w:val="008A282B"/>
    <w:rsid w:val="008B3920"/>
    <w:rsid w:val="008B5E59"/>
    <w:rsid w:val="008C0BB0"/>
    <w:rsid w:val="008F105B"/>
    <w:rsid w:val="008F4F13"/>
    <w:rsid w:val="008F572F"/>
    <w:rsid w:val="00904151"/>
    <w:rsid w:val="009115E2"/>
    <w:rsid w:val="00914D8F"/>
    <w:rsid w:val="0092114A"/>
    <w:rsid w:val="0092331A"/>
    <w:rsid w:val="00934872"/>
    <w:rsid w:val="0094729A"/>
    <w:rsid w:val="00947E9E"/>
    <w:rsid w:val="00953F04"/>
    <w:rsid w:val="00965462"/>
    <w:rsid w:val="009751A7"/>
    <w:rsid w:val="009A6FAA"/>
    <w:rsid w:val="009B1E5D"/>
    <w:rsid w:val="009C2FBC"/>
    <w:rsid w:val="009C4939"/>
    <w:rsid w:val="009C6190"/>
    <w:rsid w:val="009C6FD6"/>
    <w:rsid w:val="009D1F64"/>
    <w:rsid w:val="009D5D51"/>
    <w:rsid w:val="009F54D0"/>
    <w:rsid w:val="00A051E6"/>
    <w:rsid w:val="00A07840"/>
    <w:rsid w:val="00A0792D"/>
    <w:rsid w:val="00A16917"/>
    <w:rsid w:val="00A3151A"/>
    <w:rsid w:val="00A3440E"/>
    <w:rsid w:val="00A42ED9"/>
    <w:rsid w:val="00A47077"/>
    <w:rsid w:val="00A50DAD"/>
    <w:rsid w:val="00A60A49"/>
    <w:rsid w:val="00A62387"/>
    <w:rsid w:val="00A62DB8"/>
    <w:rsid w:val="00A67E00"/>
    <w:rsid w:val="00A73BA6"/>
    <w:rsid w:val="00AB0C24"/>
    <w:rsid w:val="00AC4E88"/>
    <w:rsid w:val="00AD3F84"/>
    <w:rsid w:val="00AE4117"/>
    <w:rsid w:val="00AF52C6"/>
    <w:rsid w:val="00B050A8"/>
    <w:rsid w:val="00B0781C"/>
    <w:rsid w:val="00B21913"/>
    <w:rsid w:val="00B256AA"/>
    <w:rsid w:val="00B359E0"/>
    <w:rsid w:val="00B361F9"/>
    <w:rsid w:val="00B37C3E"/>
    <w:rsid w:val="00B418E5"/>
    <w:rsid w:val="00B60235"/>
    <w:rsid w:val="00B6100D"/>
    <w:rsid w:val="00B65910"/>
    <w:rsid w:val="00B72286"/>
    <w:rsid w:val="00B835FF"/>
    <w:rsid w:val="00B9118E"/>
    <w:rsid w:val="00BA0DA6"/>
    <w:rsid w:val="00BB0126"/>
    <w:rsid w:val="00BC452E"/>
    <w:rsid w:val="00BC5493"/>
    <w:rsid w:val="00C202F2"/>
    <w:rsid w:val="00C23137"/>
    <w:rsid w:val="00C2422E"/>
    <w:rsid w:val="00C34DF1"/>
    <w:rsid w:val="00C41127"/>
    <w:rsid w:val="00C45ADA"/>
    <w:rsid w:val="00C46B1F"/>
    <w:rsid w:val="00C5018D"/>
    <w:rsid w:val="00C55E78"/>
    <w:rsid w:val="00C85E4A"/>
    <w:rsid w:val="00C9478C"/>
    <w:rsid w:val="00C95E28"/>
    <w:rsid w:val="00CA30ED"/>
    <w:rsid w:val="00CB0225"/>
    <w:rsid w:val="00CB518B"/>
    <w:rsid w:val="00CB5674"/>
    <w:rsid w:val="00CC1261"/>
    <w:rsid w:val="00CC3C32"/>
    <w:rsid w:val="00CC521A"/>
    <w:rsid w:val="00CD4AAC"/>
    <w:rsid w:val="00CF0A55"/>
    <w:rsid w:val="00CF304C"/>
    <w:rsid w:val="00CF3777"/>
    <w:rsid w:val="00D10FDF"/>
    <w:rsid w:val="00D16DF5"/>
    <w:rsid w:val="00D25D92"/>
    <w:rsid w:val="00D31176"/>
    <w:rsid w:val="00D329BF"/>
    <w:rsid w:val="00D32BBA"/>
    <w:rsid w:val="00D37733"/>
    <w:rsid w:val="00D45FB7"/>
    <w:rsid w:val="00D618B0"/>
    <w:rsid w:val="00D66D3D"/>
    <w:rsid w:val="00D96B2B"/>
    <w:rsid w:val="00D9720D"/>
    <w:rsid w:val="00DA22EC"/>
    <w:rsid w:val="00DA4BC8"/>
    <w:rsid w:val="00DB2746"/>
    <w:rsid w:val="00DB4F17"/>
    <w:rsid w:val="00DD720F"/>
    <w:rsid w:val="00DE4F38"/>
    <w:rsid w:val="00DF6C94"/>
    <w:rsid w:val="00E02458"/>
    <w:rsid w:val="00E03FEA"/>
    <w:rsid w:val="00E06D47"/>
    <w:rsid w:val="00E15C88"/>
    <w:rsid w:val="00E27947"/>
    <w:rsid w:val="00E334B1"/>
    <w:rsid w:val="00E36FA1"/>
    <w:rsid w:val="00E560F9"/>
    <w:rsid w:val="00E5665C"/>
    <w:rsid w:val="00E6178B"/>
    <w:rsid w:val="00EA13A6"/>
    <w:rsid w:val="00EA2853"/>
    <w:rsid w:val="00EA31BD"/>
    <w:rsid w:val="00EA5A5F"/>
    <w:rsid w:val="00EB2AD2"/>
    <w:rsid w:val="00EC0DC4"/>
    <w:rsid w:val="00ED69AE"/>
    <w:rsid w:val="00ED7CE6"/>
    <w:rsid w:val="00EE0F84"/>
    <w:rsid w:val="00EF33A7"/>
    <w:rsid w:val="00EF5AE5"/>
    <w:rsid w:val="00EF5FD7"/>
    <w:rsid w:val="00EF75B7"/>
    <w:rsid w:val="00F020D5"/>
    <w:rsid w:val="00F04160"/>
    <w:rsid w:val="00F213A7"/>
    <w:rsid w:val="00F42CCE"/>
    <w:rsid w:val="00F45C28"/>
    <w:rsid w:val="00F52815"/>
    <w:rsid w:val="00F556CC"/>
    <w:rsid w:val="00F64830"/>
    <w:rsid w:val="00F72245"/>
    <w:rsid w:val="00F77867"/>
    <w:rsid w:val="00F81AFF"/>
    <w:rsid w:val="00F82DAE"/>
    <w:rsid w:val="00F85D59"/>
    <w:rsid w:val="00FA40D2"/>
    <w:rsid w:val="00FB3CCC"/>
    <w:rsid w:val="00FB4520"/>
    <w:rsid w:val="00FC05F0"/>
    <w:rsid w:val="00FE45B2"/>
    <w:rsid w:val="00FE4A2B"/>
    <w:rsid w:val="00FF3763"/>
    <w:rsid w:val="00FF54C6"/>
    <w:rsid w:val="05043175"/>
    <w:rsid w:val="0E076250"/>
    <w:rsid w:val="0EFA9722"/>
    <w:rsid w:val="1E6DC218"/>
    <w:rsid w:val="21524262"/>
    <w:rsid w:val="25B78D32"/>
    <w:rsid w:val="270F0C00"/>
    <w:rsid w:val="28FEC4A3"/>
    <w:rsid w:val="36B2725A"/>
    <w:rsid w:val="3904AFC5"/>
    <w:rsid w:val="3CF2DF5D"/>
    <w:rsid w:val="43F7D3E7"/>
    <w:rsid w:val="49665A6F"/>
    <w:rsid w:val="49665A6F"/>
    <w:rsid w:val="58F1958E"/>
    <w:rsid w:val="59727A26"/>
    <w:rsid w:val="5C293959"/>
    <w:rsid w:val="5D17C14D"/>
    <w:rsid w:val="60CB9B33"/>
    <w:rsid w:val="6704BC06"/>
    <w:rsid w:val="6FC06226"/>
    <w:rsid w:val="7016674F"/>
    <w:rsid w:val="7282E7F6"/>
    <w:rsid w:val="798F9BD1"/>
    <w:rsid w:val="7F9A9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218D"/>
  <w15:chartTrackingRefBased/>
  <w15:docId w15:val="{24A83241-60E9-4C5F-8A2C-4F6E2A179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CD4AAC"/>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D4AA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D4A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4A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4A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4A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A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A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A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4AAC"/>
    <w:rPr>
      <w:rFonts w:asciiTheme="majorHAnsi" w:hAnsiTheme="majorHAnsi" w:eastAsiaTheme="majorEastAsia" w:cstheme="majorBidi"/>
      <w:color w:val="2F5496" w:themeColor="accent1" w:themeShade="BF"/>
      <w:sz w:val="40"/>
      <w:szCs w:val="40"/>
      <w:lang w:val="en-GB"/>
    </w:rPr>
  </w:style>
  <w:style w:type="character" w:styleId="Heading2Char" w:customStyle="1">
    <w:name w:val="Heading 2 Char"/>
    <w:basedOn w:val="DefaultParagraphFont"/>
    <w:link w:val="Heading2"/>
    <w:uiPriority w:val="9"/>
    <w:rsid w:val="00CD4AAC"/>
    <w:rPr>
      <w:rFonts w:asciiTheme="majorHAnsi" w:hAnsiTheme="majorHAnsi" w:eastAsiaTheme="majorEastAsia" w:cstheme="majorBidi"/>
      <w:color w:val="2F5496" w:themeColor="accent1" w:themeShade="BF"/>
      <w:sz w:val="32"/>
      <w:szCs w:val="32"/>
      <w:lang w:val="en-GB"/>
    </w:rPr>
  </w:style>
  <w:style w:type="character" w:styleId="Heading3Char" w:customStyle="1">
    <w:name w:val="Heading 3 Char"/>
    <w:basedOn w:val="DefaultParagraphFont"/>
    <w:link w:val="Heading3"/>
    <w:uiPriority w:val="9"/>
    <w:rsid w:val="00CD4AAC"/>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CD4AAC"/>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CD4AAC"/>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CD4AAC"/>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CD4AAC"/>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CD4AAC"/>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CD4AA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D4A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D4AAC"/>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CD4A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D4AA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D4AAC"/>
    <w:pPr>
      <w:spacing w:before="160"/>
      <w:jc w:val="center"/>
    </w:pPr>
    <w:rPr>
      <w:i/>
      <w:iCs/>
      <w:color w:val="404040" w:themeColor="text1" w:themeTint="BF"/>
    </w:rPr>
  </w:style>
  <w:style w:type="character" w:styleId="QuoteChar" w:customStyle="1">
    <w:name w:val="Quote Char"/>
    <w:basedOn w:val="DefaultParagraphFont"/>
    <w:link w:val="Quote"/>
    <w:uiPriority w:val="29"/>
    <w:rsid w:val="00CD4AAC"/>
    <w:rPr>
      <w:i/>
      <w:iCs/>
      <w:color w:val="404040" w:themeColor="text1" w:themeTint="BF"/>
      <w:lang w:val="en-GB"/>
    </w:rPr>
  </w:style>
  <w:style w:type="paragraph" w:styleId="ListParagraph">
    <w:name w:val="List Paragraph"/>
    <w:basedOn w:val="Normal"/>
    <w:uiPriority w:val="34"/>
    <w:qFormat/>
    <w:rsid w:val="00CD4AAC"/>
    <w:pPr>
      <w:ind w:left="720"/>
      <w:contextualSpacing/>
    </w:pPr>
  </w:style>
  <w:style w:type="character" w:styleId="IntenseEmphasis">
    <w:name w:val="Intense Emphasis"/>
    <w:basedOn w:val="DefaultParagraphFont"/>
    <w:uiPriority w:val="21"/>
    <w:qFormat/>
    <w:rsid w:val="00CD4AAC"/>
    <w:rPr>
      <w:i/>
      <w:iCs/>
      <w:color w:val="2F5496" w:themeColor="accent1" w:themeShade="BF"/>
    </w:rPr>
  </w:style>
  <w:style w:type="paragraph" w:styleId="IntenseQuote">
    <w:name w:val="Intense Quote"/>
    <w:basedOn w:val="Normal"/>
    <w:next w:val="Normal"/>
    <w:link w:val="IntenseQuoteChar"/>
    <w:uiPriority w:val="30"/>
    <w:qFormat/>
    <w:rsid w:val="00CD4AA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CD4AAC"/>
    <w:rPr>
      <w:i/>
      <w:iCs/>
      <w:color w:val="2F5496" w:themeColor="accent1" w:themeShade="BF"/>
      <w:lang w:val="en-GB"/>
    </w:rPr>
  </w:style>
  <w:style w:type="character" w:styleId="IntenseReference">
    <w:name w:val="Intense Reference"/>
    <w:basedOn w:val="DefaultParagraphFont"/>
    <w:uiPriority w:val="32"/>
    <w:qFormat/>
    <w:rsid w:val="00CD4AAC"/>
    <w:rPr>
      <w:b/>
      <w:bCs/>
      <w:smallCaps/>
      <w:color w:val="2F5496" w:themeColor="accent1" w:themeShade="BF"/>
      <w:spacing w:val="5"/>
    </w:rPr>
  </w:style>
  <w:style w:type="table" w:styleId="TableGrid">
    <w:name w:val="Table Grid"/>
    <w:basedOn w:val="TableNormal"/>
    <w:uiPriority w:val="39"/>
    <w:rsid w:val="00CD4AA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CD4AAC"/>
    <w:rPr>
      <w:color w:val="0563C1" w:themeColor="hyperlink"/>
      <w:u w:val="single"/>
    </w:rPr>
  </w:style>
  <w:style w:type="character" w:styleId="UnresolvedMention">
    <w:name w:val="Unresolved Mention"/>
    <w:basedOn w:val="DefaultParagraphFont"/>
    <w:uiPriority w:val="99"/>
    <w:semiHidden/>
    <w:unhideWhenUsed/>
    <w:rsid w:val="00CD4AAC"/>
    <w:rPr>
      <w:color w:val="605E5C"/>
      <w:shd w:val="clear" w:color="auto" w:fill="E1DFDD"/>
    </w:rPr>
  </w:style>
  <w:style w:type="paragraph" w:styleId="Header">
    <w:name w:val="header"/>
    <w:basedOn w:val="Normal"/>
    <w:link w:val="HeaderChar"/>
    <w:uiPriority w:val="99"/>
    <w:unhideWhenUsed/>
    <w:rsid w:val="00CF0A55"/>
    <w:pPr>
      <w:tabs>
        <w:tab w:val="center" w:pos="4680"/>
        <w:tab w:val="right" w:pos="9360"/>
      </w:tabs>
      <w:spacing w:after="0" w:line="240" w:lineRule="auto"/>
    </w:pPr>
  </w:style>
  <w:style w:type="character" w:styleId="HeaderChar" w:customStyle="1">
    <w:name w:val="Header Char"/>
    <w:basedOn w:val="DefaultParagraphFont"/>
    <w:link w:val="Header"/>
    <w:uiPriority w:val="99"/>
    <w:rsid w:val="00CF0A55"/>
    <w:rPr>
      <w:lang w:val="en-GB"/>
    </w:rPr>
  </w:style>
  <w:style w:type="paragraph" w:styleId="Footer">
    <w:name w:val="footer"/>
    <w:basedOn w:val="Normal"/>
    <w:link w:val="FooterChar"/>
    <w:uiPriority w:val="99"/>
    <w:unhideWhenUsed/>
    <w:rsid w:val="00CF0A55"/>
    <w:pPr>
      <w:tabs>
        <w:tab w:val="center" w:pos="4680"/>
        <w:tab w:val="right" w:pos="9360"/>
      </w:tabs>
      <w:spacing w:after="0" w:line="240" w:lineRule="auto"/>
    </w:pPr>
  </w:style>
  <w:style w:type="character" w:styleId="FooterChar" w:customStyle="1">
    <w:name w:val="Footer Char"/>
    <w:basedOn w:val="DefaultParagraphFont"/>
    <w:link w:val="Footer"/>
    <w:uiPriority w:val="99"/>
    <w:rsid w:val="00CF0A55"/>
    <w:rPr>
      <w:lang w:val="en-GB"/>
    </w:rPr>
  </w:style>
  <w:style w:type="paragraph" w:styleId="NormalWeb">
    <w:name w:val="Normal (Web)"/>
    <w:basedOn w:val="Normal"/>
    <w:uiPriority w:val="99"/>
    <w:unhideWhenUsed/>
    <w:rsid w:val="00C41127"/>
    <w:pPr>
      <w:spacing w:before="100" w:beforeAutospacing="1" w:after="100" w:afterAutospacing="1" w:line="240" w:lineRule="auto"/>
    </w:pPr>
    <w:rPr>
      <w:rFonts w:ascii="Times New Roman" w:hAnsi="Times New Roman" w:eastAsia="Times New Roman" w:cs="Times New Roman"/>
      <w:kern w:val="0"/>
      <w:sz w:val="24"/>
      <w:szCs w:val="24"/>
      <w:lang w:val="en-US"/>
      <w14:ligatures w14:val="none"/>
    </w:rPr>
  </w:style>
  <w:style w:type="character" w:styleId="Strong">
    <w:name w:val="Strong"/>
    <w:basedOn w:val="DefaultParagraphFont"/>
    <w:uiPriority w:val="22"/>
    <w:qFormat/>
    <w:rsid w:val="000B4B3B"/>
    <w:rPr>
      <w:b/>
      <w:bCs/>
    </w:rPr>
  </w:style>
  <w:style w:type="paragraph" w:styleId="Caption">
    <w:name w:val="caption"/>
    <w:basedOn w:val="Normal"/>
    <w:next w:val="Normal"/>
    <w:uiPriority w:val="35"/>
    <w:unhideWhenUsed/>
    <w:qFormat/>
    <w:rsid w:val="00E36FA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C4FDE"/>
    <w:rPr>
      <w:color w:val="954F72" w:themeColor="followedHyperlink"/>
      <w:u w:val="single"/>
    </w:rPr>
  </w:style>
  <w:style w:type="paragraph" w:styleId="Default" w:customStyle="1">
    <w:name w:val="Default"/>
    <w:rsid w:val="006960B9"/>
    <w:pPr>
      <w:autoSpaceDE w:val="0"/>
      <w:autoSpaceDN w:val="0"/>
      <w:adjustRightInd w:val="0"/>
      <w:spacing w:after="0" w:line="240" w:lineRule="auto"/>
    </w:pPr>
    <w:rPr>
      <w:rFonts w:ascii="Arial" w:hAnsi="Arial" w:cs="Arial"/>
      <w:color w:val="000000"/>
      <w:kern w:val="0"/>
      <w:sz w:val="24"/>
      <w:szCs w:val="24"/>
    </w:rPr>
  </w:style>
  <w:style w:type="paragraph" w:styleId="TableofFigures">
    <w:name w:val="table of figures"/>
    <w:basedOn w:val="Normal"/>
    <w:next w:val="Normal"/>
    <w:uiPriority w:val="99"/>
    <w:unhideWhenUsed/>
    <w:rsid w:val="00953F04"/>
    <w:pPr>
      <w:spacing w:after="0"/>
    </w:pPr>
  </w:style>
  <w:style w:type="paragraph" w:styleId="TOCHeading">
    <w:name w:val="TOC Heading"/>
    <w:basedOn w:val="Heading1"/>
    <w:next w:val="Normal"/>
    <w:uiPriority w:val="39"/>
    <w:unhideWhenUsed/>
    <w:qFormat/>
    <w:rsid w:val="006564D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564D6"/>
    <w:pPr>
      <w:spacing w:after="100"/>
      <w:ind w:left="220"/>
    </w:pPr>
  </w:style>
  <w:style w:type="paragraph" w:styleId="TOC3">
    <w:name w:val="toc 3"/>
    <w:basedOn w:val="Normal"/>
    <w:next w:val="Normal"/>
    <w:autoRedefine/>
    <w:uiPriority w:val="39"/>
    <w:unhideWhenUsed/>
    <w:rsid w:val="006564D6"/>
    <w:pPr>
      <w:spacing w:after="100"/>
      <w:ind w:left="440"/>
    </w:pPr>
  </w:style>
  <w:style w:type="character" w:styleId="whitespace-normal" w:customStyle="1">
    <w:name w:val="whitespace-normal"/>
    <w:basedOn w:val="DefaultParagraphFont"/>
    <w:rsid w:val="004C7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image" Target="media/image4.jpeg" Id="rId13" /><Relationship Type="http://schemas.openxmlformats.org/officeDocument/2006/relationships/hyperlink" Target="https://doi.org/10.1016/s0140-6736(13)60591-7" TargetMode="External" Id="rId18" /><Relationship Type="http://schemas.openxmlformats.org/officeDocument/2006/relationships/hyperlink" Target="https://www.nhs.uk/live-well/eat-well/food-guidelines-and-food-labels/the-eatwell-guide/" TargetMode="External" Id="rId26" /><Relationship Type="http://schemas.openxmlformats.org/officeDocument/2006/relationships/styles" Target="styles.xml" Id="rId3" /><Relationship Type="http://schemas.openxmlformats.org/officeDocument/2006/relationships/hyperlink" Target="https://www.diabetes.org.uk/about-diabetes/looking-after-diabetes/complications" TargetMode="External" Id="rId21" /><Relationship Type="http://schemas.openxmlformats.org/officeDocument/2006/relationships/hyperlink" Target="https://www.who.int/news-room/fact-sheets/detail/diabetes" TargetMode="External" Id="rId34"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hyperlink" Target="https://www.ncbi.nlm.nih.gov/books/NBK26882/" TargetMode="External" Id="rId17" /><Relationship Type="http://schemas.openxmlformats.org/officeDocument/2006/relationships/hyperlink" Target="https://www.nice.org.uk/guidance/ng28" TargetMode="External" Id="rId25" /><Relationship Type="http://schemas.openxmlformats.org/officeDocument/2006/relationships/hyperlink" Target="https://www.who.int/news-room/fact-sheets/detail/diabetes" TargetMode="External" Id="rId33"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hyperlink" Target="https://www.diabetes.org.uk/about-us/about-the-charity/our-strategy/statistics" TargetMode="External" Id="rId20" /><Relationship Type="http://schemas.openxmlformats.org/officeDocument/2006/relationships/hyperlink" Target="https://www.nmc.org.uk/standards/code/"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hyperlink" Target="https://www.cochranelibrary.com/cdsr/doi/10.1002/14651858.CD005060.pub3/pdf/full" TargetMode="External" Id="rId24" /><Relationship Type="http://schemas.openxmlformats.org/officeDocument/2006/relationships/hyperlink" Target="https://pmc.ncbi.nlm.nih.gov/articles/PMC9561544/" TargetMode="External" Id="rId32"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hyperlink" Target="https://eprints.gla.ac.uk/153078/13/153078.pdf" TargetMode="External" Id="rId23" /><Relationship Type="http://schemas.openxmlformats.org/officeDocument/2006/relationships/hyperlink" Target="https://www.nhs.uk/live-well/eat-well/food-guidelines-and-food-labels/the-eatwell-guide/" TargetMode="External" Id="rId28" /><Relationship Type="http://schemas.openxmlformats.org/officeDocument/2006/relationships/theme" Target="theme/theme1.xml" Id="rId36" /><Relationship Type="http://schemas.openxmlformats.org/officeDocument/2006/relationships/footer" Target="footer2.xml" Id="rId10" /><Relationship Type="http://schemas.openxmlformats.org/officeDocument/2006/relationships/hyperlink" Target="https://diabetesjournals.org/care/article-pdf/39/11/2065/545565/dc161728.pdf" TargetMode="External" Id="rId19" /><Relationship Type="http://schemas.openxmlformats.org/officeDocument/2006/relationships/hyperlink" Target="https://diabetesjournals.org/care/article-pdf/34/2/262/609220/262.pdf" TargetMode="External" Id="rId31"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5.jpeg" Id="rId14" /><Relationship Type="http://schemas.openxmlformats.org/officeDocument/2006/relationships/hyperlink" Target="https://www.gov.uk/government/publications/health-matters-preventing-type-2-diabetes/health-matters-preventing-type-2-diabetes" TargetMode="External" Id="rId22" /><Relationship Type="http://schemas.openxmlformats.org/officeDocument/2006/relationships/hyperlink" Target="https://www.nhs.uk/conditions/energy-production-in-cells/" TargetMode="External" Id="rId27" /><Relationship Type="http://schemas.openxmlformats.org/officeDocument/2006/relationships/hyperlink" Target="https://drive.google.com/file/d/1RVT9UbcX_a_1q-lsTADGWq5wz7-8PfVL/view" TargetMode="External" Id="rId30" /><Relationship Type="http://schemas.openxmlformats.org/officeDocument/2006/relationships/fontTable" Target="fontTable.xml" Id="rId35" /><Relationship Type="http://schemas.microsoft.com/office/2020/10/relationships/intelligence" Target="intelligence2.xml" Id="Rdc1cbaa9d09141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431B3-CAFE-426E-84F0-3291A0B351C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Akinwande Stephen</dc:creator>
  <keywords/>
  <dc:description/>
  <lastModifiedBy>Evelyn Alexander (2417638)</lastModifiedBy>
  <revision>3</revision>
  <dcterms:created xsi:type="dcterms:W3CDTF">2026-04-15T09:18:00.0000000Z</dcterms:created>
  <dcterms:modified xsi:type="dcterms:W3CDTF">2026-04-15T10:05:49.7195900Z</dcterms:modified>
</coreProperties>
</file>