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13B529" w14:textId="77777777" w:rsidR="0080369A" w:rsidRPr="00423C25" w:rsidRDefault="006B7B68">
      <w:pPr>
        <w:spacing w:before="120" w:after="120"/>
        <w:rPr>
          <w:rFonts w:ascii="Aptos" w:hAnsi="Aptos" w:cstheme="minorHAnsi"/>
        </w:rPr>
      </w:pPr>
      <w:r w:rsidRPr="00423C25">
        <w:rPr>
          <w:rFonts w:ascii="Aptos" w:hAnsi="Aptos" w:cstheme="minorHAnsi"/>
        </w:rPr>
        <w:t xml:space="preserve">The following forms of artificial intelligence (AI) have been </w:t>
      </w:r>
      <w:proofErr w:type="spellStart"/>
      <w:r w:rsidRPr="00423C25">
        <w:rPr>
          <w:rFonts w:ascii="Aptos" w:hAnsi="Aptos" w:cstheme="minorHAnsi"/>
        </w:rPr>
        <w:t>utilised</w:t>
      </w:r>
      <w:proofErr w:type="spellEnd"/>
      <w:r w:rsidRPr="00423C25">
        <w:rPr>
          <w:rFonts w:ascii="Aptos" w:hAnsi="Aptos" w:cstheme="minorHAnsi"/>
        </w:rPr>
        <w:t>.</w:t>
      </w:r>
    </w:p>
    <w:p w14:paraId="6E19D34A" w14:textId="77777777" w:rsidR="0080369A" w:rsidRDefault="006B7B68">
      <w:pPr>
        <w:spacing w:before="120" w:after="120"/>
        <w:rPr>
          <w:rFonts w:ascii="Aptos" w:hAnsi="Aptos" w:cstheme="minorHAnsi"/>
        </w:rPr>
      </w:pPr>
      <w:r w:rsidRPr="00423C25">
        <w:rPr>
          <w:rFonts w:ascii="Aptos" w:hAnsi="Aptos" w:cstheme="minorHAnsi"/>
        </w:rPr>
        <w:t>Proofreading</w:t>
      </w:r>
    </w:p>
    <w:p w14:paraId="3FBEEBF2" w14:textId="0FEE2E04" w:rsidR="00272114" w:rsidRDefault="00272114">
      <w:pPr>
        <w:spacing w:before="120" w:after="120"/>
        <w:rPr>
          <w:rFonts w:ascii="Aptos" w:hAnsi="Aptos" w:cstheme="minorHAnsi"/>
        </w:rPr>
      </w:pPr>
      <w:r>
        <w:rPr>
          <w:rFonts w:ascii="Aptos" w:hAnsi="Aptos" w:cstheme="minorHAnsi"/>
        </w:rPr>
        <w:t xml:space="preserve">Bib Ref </w:t>
      </w:r>
      <w:hyperlink r:id="rId4" w:anchor="/projects/Vd3bx0/citations" w:history="1">
        <w:r w:rsidRPr="00272114">
          <w:rPr>
            <w:rStyle w:val="Hyperlink"/>
            <w:rFonts w:ascii="Aptos" w:hAnsi="Aptos" w:cstheme="minorHAnsi"/>
          </w:rPr>
          <w:t>Amira Case Study – MyBib</w:t>
        </w:r>
      </w:hyperlink>
      <w:r w:rsidR="00326E99">
        <w:rPr>
          <w:rFonts w:ascii="Aptos" w:hAnsi="Aptos" w:cstheme="minorHAnsi"/>
        </w:rPr>
        <w:t xml:space="preserve"> </w:t>
      </w:r>
      <w:r w:rsidR="00096144">
        <w:rPr>
          <w:rFonts w:ascii="Aptos" w:hAnsi="Aptos" w:cstheme="minorHAnsi"/>
        </w:rPr>
        <w:t>Proofreading references.</w:t>
      </w:r>
    </w:p>
    <w:p w14:paraId="12514433" w14:textId="14D47D1F" w:rsidR="00326E99" w:rsidRPr="00423C25" w:rsidRDefault="00326E99">
      <w:pPr>
        <w:spacing w:before="120" w:after="120"/>
        <w:rPr>
          <w:rFonts w:ascii="Aptos" w:hAnsi="Aptos" w:cstheme="minorHAnsi"/>
        </w:rPr>
      </w:pPr>
      <w:r>
        <w:rPr>
          <w:rFonts w:ascii="Aptos" w:hAnsi="Aptos" w:cstheme="minorHAnsi"/>
        </w:rPr>
        <w:t xml:space="preserve">Word </w:t>
      </w:r>
      <w:r w:rsidR="00096144">
        <w:rPr>
          <w:rFonts w:ascii="Aptos" w:hAnsi="Aptos" w:cstheme="minorHAnsi"/>
        </w:rPr>
        <w:t>rephrasing</w:t>
      </w:r>
      <w:r>
        <w:rPr>
          <w:rFonts w:ascii="Aptos" w:hAnsi="Aptos" w:cstheme="minorHAnsi"/>
        </w:rPr>
        <w:t xml:space="preserve"> </w:t>
      </w:r>
    </w:p>
    <w:p w14:paraId="6FCB9F36" w14:textId="77777777" w:rsidR="0080369A" w:rsidRDefault="006B7B68">
      <w:pPr>
        <w:spacing w:before="120" w:after="120"/>
        <w:rPr>
          <w:rFonts w:ascii="Aptos" w:hAnsi="Aptos" w:cstheme="minorHAnsi"/>
        </w:rPr>
      </w:pPr>
      <w:r w:rsidRPr="00423C25">
        <w:rPr>
          <w:rFonts w:ascii="Aptos" w:hAnsi="Aptos" w:cstheme="minorHAnsi"/>
        </w:rPr>
        <w:t>Research</w:t>
      </w:r>
    </w:p>
    <w:p w14:paraId="69FBC5B6" w14:textId="10EE2C02" w:rsidR="00615EDD" w:rsidRPr="00423C25" w:rsidRDefault="00615EDD">
      <w:pPr>
        <w:spacing w:before="120" w:after="120"/>
        <w:rPr>
          <w:rFonts w:ascii="Aptos" w:hAnsi="Aptos" w:cstheme="minorHAnsi"/>
        </w:rPr>
      </w:pPr>
      <w:r>
        <w:rPr>
          <w:rFonts w:ascii="Aptos" w:hAnsi="Aptos" w:cstheme="minorHAnsi"/>
        </w:rPr>
        <w:t xml:space="preserve">UWTSD </w:t>
      </w:r>
      <w:r w:rsidR="00783059">
        <w:rPr>
          <w:rFonts w:ascii="Aptos" w:hAnsi="Aptos" w:cstheme="minorHAnsi"/>
        </w:rPr>
        <w:t>Library</w:t>
      </w:r>
      <w:r w:rsidR="00783059" w:rsidRPr="00783059">
        <w:t xml:space="preserve"> </w:t>
      </w:r>
      <w:hyperlink r:id="rId5" w:history="1">
        <w:r w:rsidR="00783059" w:rsidRPr="00783059">
          <w:rPr>
            <w:rStyle w:val="Hyperlink"/>
            <w:rFonts w:ascii="Aptos" w:hAnsi="Aptos" w:cstheme="minorHAnsi"/>
          </w:rPr>
          <w:t>Ex Libris Discovery</w:t>
        </w:r>
      </w:hyperlink>
    </w:p>
    <w:p w14:paraId="71A7D905" w14:textId="77777777" w:rsidR="0080369A" w:rsidRPr="00423C25" w:rsidRDefault="006B7B68">
      <w:pPr>
        <w:spacing w:before="120" w:after="120"/>
        <w:rPr>
          <w:rFonts w:ascii="Aptos" w:hAnsi="Aptos" w:cstheme="minorHAnsi"/>
        </w:rPr>
      </w:pPr>
      <w:r w:rsidRPr="00423C25">
        <w:rPr>
          <w:rFonts w:ascii="Aptos" w:hAnsi="Aptos" w:cstheme="minorHAnsi"/>
        </w:rPr>
        <w:t>I confirm that no AI-generated text has been presented as my own work. I also confirm that I retain copies of all drafts, notes, and resources used before and after employing AI tools, which can be provided upon request.</w:t>
      </w:r>
    </w:p>
    <w:p w14:paraId="4F3D7F24" w14:textId="77777777" w:rsidR="0080369A" w:rsidRPr="00423C25" w:rsidRDefault="0080369A">
      <w:pPr>
        <w:spacing w:before="120" w:after="120"/>
        <w:rPr>
          <w:rFonts w:ascii="Aptos" w:hAnsi="Aptos" w:cstheme="minorHAnsi"/>
        </w:rPr>
      </w:pPr>
    </w:p>
    <w:p w14:paraId="05435855" w14:textId="77777777" w:rsidR="0080369A" w:rsidRPr="00423C25" w:rsidRDefault="0080369A">
      <w:pPr>
        <w:spacing w:before="120" w:after="120"/>
        <w:rPr>
          <w:rFonts w:ascii="Aptos" w:hAnsi="Aptos" w:cstheme="minorHAnsi"/>
        </w:rPr>
      </w:pPr>
    </w:p>
    <w:p w14:paraId="03A0569A" w14:textId="77777777" w:rsidR="0080369A" w:rsidRPr="00423C25" w:rsidRDefault="0080369A">
      <w:pPr>
        <w:spacing w:before="120" w:after="120"/>
        <w:rPr>
          <w:rFonts w:ascii="Aptos" w:hAnsi="Aptos" w:cstheme="minorHAnsi"/>
        </w:rPr>
      </w:pPr>
    </w:p>
    <w:p w14:paraId="3926FB62" w14:textId="77777777" w:rsidR="0080369A" w:rsidRPr="00423C25" w:rsidRDefault="0080369A">
      <w:pPr>
        <w:spacing w:before="120" w:after="120"/>
        <w:rPr>
          <w:rFonts w:ascii="Aptos" w:hAnsi="Aptos" w:cstheme="minorHAnsi"/>
        </w:rPr>
      </w:pPr>
    </w:p>
    <w:p w14:paraId="2786A33D" w14:textId="77777777" w:rsidR="0080369A" w:rsidRPr="00423C25" w:rsidRDefault="0080369A">
      <w:pPr>
        <w:spacing w:before="120" w:after="120"/>
        <w:rPr>
          <w:rFonts w:ascii="Aptos" w:hAnsi="Aptos" w:cstheme="minorHAnsi"/>
        </w:rPr>
      </w:pPr>
    </w:p>
    <w:p w14:paraId="73311D52" w14:textId="77777777" w:rsidR="0080369A" w:rsidRPr="00423C25" w:rsidRDefault="0080369A">
      <w:pPr>
        <w:spacing w:before="120" w:after="120"/>
        <w:rPr>
          <w:rFonts w:ascii="Aptos" w:hAnsi="Aptos" w:cstheme="minorHAnsi"/>
        </w:rPr>
      </w:pPr>
    </w:p>
    <w:p w14:paraId="3E3EBB8A" w14:textId="77777777" w:rsidR="0080369A" w:rsidRPr="00423C25" w:rsidRDefault="0080369A">
      <w:pPr>
        <w:spacing w:before="120" w:after="120"/>
        <w:rPr>
          <w:rFonts w:ascii="Aptos" w:hAnsi="Aptos" w:cstheme="minorHAnsi"/>
        </w:rPr>
      </w:pPr>
    </w:p>
    <w:p w14:paraId="07AD7494" w14:textId="77777777" w:rsidR="0080369A" w:rsidRPr="00423C25" w:rsidRDefault="0080369A">
      <w:pPr>
        <w:spacing w:before="120" w:after="120"/>
        <w:rPr>
          <w:rFonts w:ascii="Aptos" w:hAnsi="Aptos" w:cstheme="minorHAnsi"/>
        </w:rPr>
      </w:pPr>
    </w:p>
    <w:p w14:paraId="245E0445" w14:textId="77777777" w:rsidR="0080369A" w:rsidRPr="00423C25" w:rsidRDefault="0080369A">
      <w:pPr>
        <w:spacing w:before="120" w:after="120"/>
        <w:rPr>
          <w:rFonts w:ascii="Aptos" w:hAnsi="Aptos" w:cstheme="minorHAnsi"/>
        </w:rPr>
      </w:pPr>
    </w:p>
    <w:p w14:paraId="45D68EE0" w14:textId="77777777" w:rsidR="0080369A" w:rsidRPr="00423C25" w:rsidRDefault="0080369A">
      <w:pPr>
        <w:spacing w:before="120" w:after="120"/>
        <w:rPr>
          <w:rFonts w:ascii="Aptos" w:hAnsi="Aptos" w:cstheme="minorHAnsi"/>
        </w:rPr>
      </w:pPr>
    </w:p>
    <w:p w14:paraId="53340FF9" w14:textId="77777777" w:rsidR="0080369A" w:rsidRPr="00423C25" w:rsidRDefault="0080369A">
      <w:pPr>
        <w:spacing w:before="120" w:after="120"/>
        <w:rPr>
          <w:rFonts w:ascii="Aptos" w:hAnsi="Aptos" w:cstheme="minorHAnsi"/>
        </w:rPr>
      </w:pPr>
    </w:p>
    <w:p w14:paraId="0F55B32E" w14:textId="77777777" w:rsidR="0080369A" w:rsidRPr="00423C25" w:rsidRDefault="0080369A">
      <w:pPr>
        <w:spacing w:before="120" w:after="120"/>
        <w:rPr>
          <w:rFonts w:ascii="Aptos" w:hAnsi="Aptos" w:cstheme="minorHAnsi"/>
        </w:rPr>
      </w:pPr>
    </w:p>
    <w:p w14:paraId="65C79884" w14:textId="77777777" w:rsidR="0080369A" w:rsidRPr="00423C25" w:rsidRDefault="0080369A">
      <w:pPr>
        <w:spacing w:before="120" w:after="120"/>
        <w:rPr>
          <w:rFonts w:ascii="Aptos" w:hAnsi="Aptos" w:cstheme="minorHAnsi"/>
        </w:rPr>
      </w:pPr>
    </w:p>
    <w:p w14:paraId="3532F19F" w14:textId="77777777" w:rsidR="0080369A" w:rsidRPr="00423C25" w:rsidRDefault="0080369A">
      <w:pPr>
        <w:spacing w:before="120" w:after="120"/>
        <w:rPr>
          <w:rFonts w:ascii="Aptos" w:hAnsi="Aptos" w:cstheme="minorHAnsi"/>
        </w:rPr>
      </w:pPr>
    </w:p>
    <w:p w14:paraId="7E6C294A" w14:textId="77777777" w:rsidR="0080369A" w:rsidRPr="00423C25" w:rsidRDefault="0080369A">
      <w:pPr>
        <w:spacing w:before="120" w:after="120"/>
        <w:rPr>
          <w:rFonts w:ascii="Aptos" w:hAnsi="Aptos" w:cstheme="minorHAnsi"/>
        </w:rPr>
      </w:pPr>
    </w:p>
    <w:p w14:paraId="1678F57F" w14:textId="77777777" w:rsidR="0080369A" w:rsidRPr="00423C25" w:rsidRDefault="0080369A">
      <w:pPr>
        <w:spacing w:before="120" w:after="120"/>
        <w:rPr>
          <w:rFonts w:ascii="Aptos" w:hAnsi="Aptos" w:cstheme="minorHAnsi"/>
        </w:rPr>
      </w:pPr>
    </w:p>
    <w:p w14:paraId="396EB51F" w14:textId="77777777" w:rsidR="0080369A" w:rsidRPr="00423C25" w:rsidRDefault="0080369A">
      <w:pPr>
        <w:spacing w:before="120" w:after="120"/>
        <w:rPr>
          <w:rFonts w:ascii="Aptos" w:hAnsi="Aptos" w:cstheme="minorHAnsi"/>
        </w:rPr>
      </w:pPr>
    </w:p>
    <w:p w14:paraId="672731A3" w14:textId="77777777" w:rsidR="0080369A" w:rsidRPr="00423C25" w:rsidRDefault="0080369A">
      <w:pPr>
        <w:spacing w:before="120" w:after="120"/>
        <w:rPr>
          <w:rFonts w:ascii="Aptos" w:hAnsi="Aptos" w:cstheme="minorHAnsi"/>
        </w:rPr>
      </w:pPr>
    </w:p>
    <w:p w14:paraId="65A83013" w14:textId="77777777" w:rsidR="0080369A" w:rsidRPr="00423C25" w:rsidRDefault="0080369A">
      <w:pPr>
        <w:spacing w:before="120" w:after="120"/>
        <w:rPr>
          <w:rFonts w:ascii="Aptos" w:hAnsi="Aptos" w:cstheme="minorHAnsi"/>
        </w:rPr>
      </w:pPr>
    </w:p>
    <w:p w14:paraId="00493E65" w14:textId="77777777" w:rsidR="0080369A" w:rsidRPr="00423C25" w:rsidRDefault="0080369A">
      <w:pPr>
        <w:spacing w:before="120" w:after="120"/>
        <w:rPr>
          <w:rFonts w:ascii="Aptos" w:hAnsi="Aptos" w:cstheme="minorHAnsi"/>
        </w:rPr>
      </w:pPr>
    </w:p>
    <w:p w14:paraId="70CB7325" w14:textId="77777777" w:rsidR="0080369A" w:rsidRDefault="0080369A">
      <w:pPr>
        <w:spacing w:before="120" w:after="120"/>
        <w:rPr>
          <w:rFonts w:ascii="Aptos" w:hAnsi="Aptos" w:cstheme="minorHAnsi"/>
        </w:rPr>
      </w:pPr>
    </w:p>
    <w:p w14:paraId="1596C094" w14:textId="77777777" w:rsidR="000A64E7" w:rsidRPr="00423C25" w:rsidRDefault="000A64E7">
      <w:pPr>
        <w:spacing w:before="120" w:after="120"/>
        <w:rPr>
          <w:rFonts w:ascii="Aptos" w:hAnsi="Aptos" w:cstheme="minorHAnsi"/>
        </w:rPr>
      </w:pPr>
    </w:p>
    <w:p w14:paraId="1506AD47" w14:textId="0FD8D9AB" w:rsidR="006B3550" w:rsidRPr="006B3550" w:rsidRDefault="006B3550" w:rsidP="004051C8">
      <w:pPr>
        <w:spacing w:before="120" w:after="120" w:line="360" w:lineRule="auto"/>
        <w:rPr>
          <w:rFonts w:ascii="Aptos" w:hAnsi="Aptos" w:cstheme="minorHAnsi"/>
        </w:rPr>
      </w:pPr>
      <w:r w:rsidRPr="006B3550">
        <w:rPr>
          <w:rFonts w:ascii="Aptos" w:hAnsi="Aptos" w:cstheme="minorHAnsi"/>
        </w:rPr>
        <w:lastRenderedPageBreak/>
        <w:t>Amira is an eight</w:t>
      </w:r>
      <w:r w:rsidRPr="006B3550">
        <w:rPr>
          <w:rFonts w:ascii="Cambria Math" w:hAnsi="Cambria Math" w:cs="Cambria Math"/>
        </w:rPr>
        <w:t>‑</w:t>
      </w:r>
      <w:r w:rsidRPr="006B3550">
        <w:rPr>
          <w:rFonts w:ascii="Aptos" w:hAnsi="Aptos" w:cstheme="minorHAnsi"/>
        </w:rPr>
        <w:t>year</w:t>
      </w:r>
      <w:r w:rsidRPr="006B3550">
        <w:rPr>
          <w:rFonts w:ascii="Cambria Math" w:hAnsi="Cambria Math" w:cs="Cambria Math"/>
        </w:rPr>
        <w:t>‑</w:t>
      </w:r>
      <w:r w:rsidRPr="006B3550">
        <w:rPr>
          <w:rFonts w:ascii="Aptos" w:hAnsi="Aptos" w:cstheme="minorHAnsi"/>
        </w:rPr>
        <w:t>old primary school student who has faced significant neglect and instability due to her mother</w:t>
      </w:r>
      <w:r w:rsidRPr="006B3550">
        <w:rPr>
          <w:rFonts w:ascii="Aptos" w:hAnsi="Aptos" w:cs="Aptos"/>
        </w:rPr>
        <w:t>’</w:t>
      </w:r>
      <w:r w:rsidRPr="006B3550">
        <w:rPr>
          <w:rFonts w:ascii="Aptos" w:hAnsi="Aptos" w:cstheme="minorHAnsi"/>
        </w:rPr>
        <w:t xml:space="preserve">s alcohol dependence and inconsistent caregiving. Her poor school attendance, social withdrawal, and inadequate living conditions prompted the involvement of social services, </w:t>
      </w:r>
      <w:r w:rsidR="00CC4BE6">
        <w:rPr>
          <w:rFonts w:ascii="Aptos" w:hAnsi="Aptos" w:cstheme="minorHAnsi"/>
        </w:rPr>
        <w:t>which assessed the home environment a</w:t>
      </w:r>
      <w:r w:rsidR="00F32074">
        <w:rPr>
          <w:rFonts w:ascii="Aptos" w:hAnsi="Aptos" w:cstheme="minorHAnsi"/>
        </w:rPr>
        <w:t xml:space="preserve">nd deemed it </w:t>
      </w:r>
      <w:r w:rsidR="00CC4BE6">
        <w:rPr>
          <w:rFonts w:ascii="Aptos" w:hAnsi="Aptos" w:cstheme="minorHAnsi"/>
        </w:rPr>
        <w:t>unsuitable for her safety and well-being</w:t>
      </w:r>
      <w:r w:rsidRPr="006B3550">
        <w:rPr>
          <w:rFonts w:ascii="Aptos" w:hAnsi="Aptos" w:cstheme="minorHAnsi"/>
        </w:rPr>
        <w:t xml:space="preserve">. As a result, Amira was placed in the care of her grandparents, </w:t>
      </w:r>
      <w:r w:rsidR="003F0D30">
        <w:rPr>
          <w:rFonts w:ascii="Aptos" w:hAnsi="Aptos" w:cstheme="minorHAnsi"/>
        </w:rPr>
        <w:t xml:space="preserve">which </w:t>
      </w:r>
      <w:r w:rsidR="00451CF2">
        <w:rPr>
          <w:rFonts w:ascii="Aptos" w:hAnsi="Aptos" w:cstheme="minorHAnsi"/>
        </w:rPr>
        <w:t>led to many transitions in her daily routine, from a new environment</w:t>
      </w:r>
      <w:r w:rsidR="003F0D30">
        <w:rPr>
          <w:rFonts w:ascii="Aptos" w:hAnsi="Aptos" w:cstheme="minorHAnsi"/>
        </w:rPr>
        <w:t xml:space="preserve"> to different expectations and responsibilities</w:t>
      </w:r>
      <w:r w:rsidRPr="006B3550">
        <w:rPr>
          <w:rFonts w:ascii="Aptos" w:hAnsi="Aptos" w:cstheme="minorHAnsi"/>
        </w:rPr>
        <w:t>.</w:t>
      </w:r>
    </w:p>
    <w:p w14:paraId="3C32422D" w14:textId="7D7728AC" w:rsidR="006B3550" w:rsidRPr="008F1138" w:rsidRDefault="006B3550" w:rsidP="004051C8">
      <w:pPr>
        <w:spacing w:before="120" w:after="120" w:line="360" w:lineRule="auto"/>
        <w:rPr>
          <w:rFonts w:ascii="Aptos" w:hAnsi="Aptos" w:cstheme="minorHAnsi"/>
          <w:lang w:val="en-GB"/>
        </w:rPr>
      </w:pPr>
      <w:r w:rsidRPr="006B3550">
        <w:rPr>
          <w:rFonts w:ascii="Aptos" w:hAnsi="Aptos" w:cstheme="minorHAnsi"/>
        </w:rPr>
        <w:t xml:space="preserve">Amira’s situation highlights the profound impact </w:t>
      </w:r>
      <w:r w:rsidR="00CC4BE6">
        <w:rPr>
          <w:rFonts w:ascii="Aptos" w:hAnsi="Aptos" w:cstheme="minorHAnsi"/>
        </w:rPr>
        <w:t xml:space="preserve">of Adverse Childhood Experiences (ACEs) </w:t>
      </w:r>
      <w:r w:rsidRPr="006B3550">
        <w:rPr>
          <w:rFonts w:ascii="Aptos" w:hAnsi="Aptos" w:cstheme="minorHAnsi"/>
        </w:rPr>
        <w:t xml:space="preserve">on a child’s developmental </w:t>
      </w:r>
      <w:r w:rsidR="00CE1AEE">
        <w:rPr>
          <w:rFonts w:ascii="Aptos" w:hAnsi="Aptos" w:cstheme="minorHAnsi"/>
        </w:rPr>
        <w:t>pathway</w:t>
      </w:r>
      <w:r w:rsidRPr="006B3550">
        <w:rPr>
          <w:rFonts w:ascii="Aptos" w:hAnsi="Aptos" w:cstheme="minorHAnsi"/>
        </w:rPr>
        <w:t>. Extensive research demonstrates that early adversity can disrupt brain development, undermine the formation of secure attachments, and impair social and emotional functioning</w:t>
      </w:r>
      <w:r w:rsidR="008F1138">
        <w:rPr>
          <w:rFonts w:ascii="Aptos" w:hAnsi="Aptos" w:cstheme="minorHAnsi"/>
        </w:rPr>
        <w:t xml:space="preserve"> </w:t>
      </w:r>
      <w:r w:rsidR="008F1138" w:rsidRPr="008F1138">
        <w:rPr>
          <w:rFonts w:ascii="Aptos" w:hAnsi="Aptos" w:cstheme="minorHAnsi"/>
          <w:lang w:val="en-GB"/>
        </w:rPr>
        <w:t>(</w:t>
      </w:r>
      <w:proofErr w:type="spellStart"/>
      <w:r w:rsidR="008F1138" w:rsidRPr="008F1138">
        <w:rPr>
          <w:rFonts w:ascii="Aptos" w:hAnsi="Aptos" w:cstheme="minorHAnsi"/>
          <w:lang w:val="en-GB"/>
        </w:rPr>
        <w:t>Alpugan</w:t>
      </w:r>
      <w:proofErr w:type="spellEnd"/>
      <w:r w:rsidR="008F1138" w:rsidRPr="008F1138">
        <w:rPr>
          <w:rFonts w:ascii="Aptos" w:hAnsi="Aptos" w:cstheme="minorHAnsi"/>
          <w:lang w:val="en-GB"/>
        </w:rPr>
        <w:t>, 2024)</w:t>
      </w:r>
      <w:r w:rsidR="00D2175D">
        <w:rPr>
          <w:rFonts w:ascii="Aptos" w:hAnsi="Aptos" w:cstheme="minorHAnsi"/>
          <w:lang w:val="en-GB"/>
        </w:rPr>
        <w:t>.</w:t>
      </w:r>
      <w:r w:rsidRPr="006B3550">
        <w:rPr>
          <w:rFonts w:ascii="Aptos" w:hAnsi="Aptos" w:cstheme="minorHAnsi"/>
        </w:rPr>
        <w:t xml:space="preserve"> In Amira’s case, the combination of neglect, instability, and exposure to parental substance misuse places her at heightened risk of difficulties in emotional regulation, relational trust, and long</w:t>
      </w:r>
      <w:r w:rsidRPr="006B3550">
        <w:rPr>
          <w:rFonts w:ascii="Cambria Math" w:hAnsi="Cambria Math" w:cs="Cambria Math"/>
        </w:rPr>
        <w:t>‑</w:t>
      </w:r>
      <w:r w:rsidRPr="006B3550">
        <w:rPr>
          <w:rFonts w:ascii="Aptos" w:hAnsi="Aptos" w:cstheme="minorHAnsi"/>
        </w:rPr>
        <w:t>term mental health.</w:t>
      </w:r>
    </w:p>
    <w:p w14:paraId="46246784" w14:textId="46180146" w:rsidR="00CC4BE6" w:rsidRDefault="006B3550" w:rsidP="004051C8">
      <w:pPr>
        <w:spacing w:before="120" w:after="120" w:line="360" w:lineRule="auto"/>
        <w:rPr>
          <w:rFonts w:ascii="Aptos" w:hAnsi="Aptos" w:cstheme="minorHAnsi"/>
        </w:rPr>
      </w:pPr>
      <w:r w:rsidRPr="006B3550">
        <w:rPr>
          <w:rFonts w:ascii="Aptos" w:hAnsi="Aptos" w:cstheme="minorHAnsi"/>
        </w:rPr>
        <w:t>This case study will explore the effects of ACEs on Amira’s neurodevelopment, attachment patterns, and socio</w:t>
      </w:r>
      <w:r w:rsidRPr="006B3550">
        <w:rPr>
          <w:rFonts w:ascii="Cambria Math" w:hAnsi="Cambria Math" w:cs="Cambria Math"/>
        </w:rPr>
        <w:t>‑</w:t>
      </w:r>
      <w:r w:rsidRPr="006B3550">
        <w:rPr>
          <w:rFonts w:ascii="Aptos" w:hAnsi="Aptos" w:cstheme="minorHAnsi"/>
        </w:rPr>
        <w:t xml:space="preserve">emotional </w:t>
      </w:r>
      <w:r w:rsidR="00CC4BE6">
        <w:rPr>
          <w:rFonts w:ascii="Aptos" w:hAnsi="Aptos" w:cstheme="minorHAnsi"/>
        </w:rPr>
        <w:t>well-being</w:t>
      </w:r>
      <w:r w:rsidRPr="006B3550">
        <w:rPr>
          <w:rFonts w:ascii="Aptos" w:hAnsi="Aptos" w:cstheme="minorHAnsi"/>
        </w:rPr>
        <w:t>. It will also examine evidence</w:t>
      </w:r>
      <w:r w:rsidRPr="006B3550">
        <w:rPr>
          <w:rFonts w:ascii="Cambria Math" w:hAnsi="Cambria Math" w:cs="Cambria Math"/>
        </w:rPr>
        <w:t>‑</w:t>
      </w:r>
      <w:r w:rsidRPr="006B3550">
        <w:rPr>
          <w:rFonts w:ascii="Aptos" w:hAnsi="Aptos" w:cstheme="minorHAnsi"/>
        </w:rPr>
        <w:t>based, trauma</w:t>
      </w:r>
      <w:r w:rsidRPr="006B3550">
        <w:rPr>
          <w:rFonts w:ascii="Cambria Math" w:hAnsi="Cambria Math" w:cs="Cambria Math"/>
        </w:rPr>
        <w:t>‑</w:t>
      </w:r>
      <w:r w:rsidRPr="006B3550">
        <w:rPr>
          <w:rFonts w:ascii="Aptos" w:hAnsi="Aptos" w:cstheme="minorHAnsi"/>
        </w:rPr>
        <w:t>informed interventions</w:t>
      </w:r>
      <w:r w:rsidR="008F1138">
        <w:rPr>
          <w:rFonts w:ascii="Aptos" w:hAnsi="Aptos" w:cs="Aptos"/>
        </w:rPr>
        <w:t xml:space="preserve"> </w:t>
      </w:r>
      <w:r w:rsidRPr="006B3550">
        <w:rPr>
          <w:rFonts w:ascii="Aptos" w:hAnsi="Aptos" w:cstheme="minorHAnsi"/>
        </w:rPr>
        <w:t>such as Child</w:t>
      </w:r>
      <w:r w:rsidRPr="006B3550">
        <w:rPr>
          <w:rFonts w:ascii="Cambria Math" w:hAnsi="Cambria Math" w:cs="Cambria Math"/>
        </w:rPr>
        <w:t>‑</w:t>
      </w:r>
      <w:r w:rsidRPr="006B3550">
        <w:rPr>
          <w:rFonts w:ascii="Aptos" w:hAnsi="Aptos" w:cstheme="minorHAnsi"/>
        </w:rPr>
        <w:t>Parent Psychotherapy (CPP) and Dyadic Developmental Psychotherapy (DDP)</w:t>
      </w:r>
      <w:r w:rsidR="008F1138">
        <w:rPr>
          <w:rFonts w:ascii="Aptos" w:hAnsi="Aptos" w:cs="Aptos"/>
        </w:rPr>
        <w:t xml:space="preserve"> </w:t>
      </w:r>
      <w:r w:rsidRPr="006B3550">
        <w:rPr>
          <w:rFonts w:ascii="Aptos" w:hAnsi="Aptos" w:cstheme="minorHAnsi"/>
        </w:rPr>
        <w:t>that may support her recovery. Finally, the discussion will consider the importance of practitioner self</w:t>
      </w:r>
      <w:r w:rsidRPr="006B3550">
        <w:rPr>
          <w:rFonts w:ascii="Cambria Math" w:hAnsi="Cambria Math" w:cs="Cambria Math"/>
        </w:rPr>
        <w:t>‑</w:t>
      </w:r>
      <w:r w:rsidRPr="006B3550">
        <w:rPr>
          <w:rFonts w:ascii="Aptos" w:hAnsi="Aptos" w:cstheme="minorHAnsi"/>
        </w:rPr>
        <w:t>care when working with trauma</w:t>
      </w:r>
      <w:r w:rsidRPr="006B3550">
        <w:rPr>
          <w:rFonts w:ascii="Cambria Math" w:hAnsi="Cambria Math" w:cs="Cambria Math"/>
        </w:rPr>
        <w:t>‑</w:t>
      </w:r>
      <w:r w:rsidRPr="006B3550">
        <w:rPr>
          <w:rFonts w:ascii="Aptos" w:hAnsi="Aptos" w:cstheme="minorHAnsi"/>
        </w:rPr>
        <w:t xml:space="preserve">affected children, </w:t>
      </w:r>
      <w:proofErr w:type="spellStart"/>
      <w:r w:rsidRPr="006B3550">
        <w:rPr>
          <w:rFonts w:ascii="Aptos" w:hAnsi="Aptos" w:cstheme="minorHAnsi"/>
        </w:rPr>
        <w:t>recognising</w:t>
      </w:r>
      <w:proofErr w:type="spellEnd"/>
      <w:r w:rsidRPr="006B3550">
        <w:rPr>
          <w:rFonts w:ascii="Aptos" w:hAnsi="Aptos" w:cstheme="minorHAnsi"/>
        </w:rPr>
        <w:t xml:space="preserve"> that effective support requires both professional expertise and emotional resilience.</w:t>
      </w:r>
    </w:p>
    <w:p w14:paraId="418FFC9E" w14:textId="7F143AE5" w:rsidR="0080369A" w:rsidRPr="00423C25" w:rsidRDefault="006B7B68" w:rsidP="004051C8">
      <w:pPr>
        <w:spacing w:before="120" w:after="120" w:line="360" w:lineRule="auto"/>
        <w:rPr>
          <w:rFonts w:ascii="Aptos" w:hAnsi="Aptos" w:cstheme="minorHAnsi"/>
        </w:rPr>
      </w:pPr>
      <w:r w:rsidRPr="00423C25">
        <w:rPr>
          <w:rFonts w:ascii="Aptos" w:hAnsi="Aptos" w:cstheme="minorHAnsi"/>
        </w:rPr>
        <w:t>Adverse childhood experiences (ACEs) are closely linked to long-term health and development challenges (Webster, 2022). Neurobiological studies show that maltreatment can change brain development (Teicher et al., 2016).</w:t>
      </w:r>
    </w:p>
    <w:p w14:paraId="4BDB14F6" w14:textId="17C02473" w:rsidR="0080369A" w:rsidRPr="00423C25" w:rsidRDefault="006B7B68" w:rsidP="004051C8">
      <w:pPr>
        <w:spacing w:before="120" w:after="120" w:line="360" w:lineRule="auto"/>
        <w:rPr>
          <w:rFonts w:ascii="Aptos" w:hAnsi="Aptos" w:cstheme="minorHAnsi"/>
        </w:rPr>
      </w:pPr>
      <w:r w:rsidRPr="00423C25">
        <w:rPr>
          <w:rFonts w:ascii="Aptos" w:hAnsi="Aptos" w:cstheme="minorHAnsi"/>
        </w:rPr>
        <w:t>Exposure to childhood maltreatment reshapes neural pathways, particularly in the prefrontal cortex and amygdala, undermining the brain’s capacity to regulate emotions and respond to stress</w:t>
      </w:r>
      <w:r w:rsidR="0035334F">
        <w:rPr>
          <w:rFonts w:ascii="Aptos" w:hAnsi="Aptos" w:cstheme="minorHAnsi"/>
        </w:rPr>
        <w:t>ful situations or events</w:t>
      </w:r>
      <w:r w:rsidRPr="00423C25">
        <w:rPr>
          <w:rFonts w:ascii="Aptos" w:hAnsi="Aptos" w:cstheme="minorHAnsi"/>
        </w:rPr>
        <w:t xml:space="preserve"> (McCrory et al., 2017). Inconsistent caregiving </w:t>
      </w:r>
      <w:r w:rsidRPr="00423C25">
        <w:rPr>
          <w:rFonts w:ascii="Aptos" w:hAnsi="Aptos" w:cstheme="minorHAnsi"/>
        </w:rPr>
        <w:lastRenderedPageBreak/>
        <w:t xml:space="preserve">often results in insecure or </w:t>
      </w:r>
      <w:proofErr w:type="spellStart"/>
      <w:r w:rsidRPr="00423C25">
        <w:rPr>
          <w:rFonts w:ascii="Aptos" w:hAnsi="Aptos" w:cstheme="minorHAnsi"/>
        </w:rPr>
        <w:t>disorganised</w:t>
      </w:r>
      <w:proofErr w:type="spellEnd"/>
      <w:r w:rsidRPr="00423C25">
        <w:rPr>
          <w:rFonts w:ascii="Aptos" w:hAnsi="Aptos" w:cstheme="minorHAnsi"/>
        </w:rPr>
        <w:t xml:space="preserve"> attachment, weakening peer relationships and eroding emotional security (Byun et al., 2016).</w:t>
      </w:r>
    </w:p>
    <w:p w14:paraId="03906F3E" w14:textId="1127213D" w:rsidR="00F61A23" w:rsidRPr="00F61A23" w:rsidRDefault="006B7B68" w:rsidP="004051C8">
      <w:pPr>
        <w:spacing w:before="120" w:after="120" w:line="360" w:lineRule="auto"/>
        <w:rPr>
          <w:rFonts w:ascii="Aptos" w:hAnsi="Aptos" w:cstheme="minorHAnsi"/>
          <w:lang w:val="en-GB"/>
        </w:rPr>
      </w:pPr>
      <w:r w:rsidRPr="00423C25">
        <w:rPr>
          <w:rFonts w:ascii="Aptos" w:hAnsi="Aptos" w:cstheme="minorHAnsi"/>
        </w:rPr>
        <w:t xml:space="preserve">Recent research highlights how neglect impairs executive function, limiting planning and social competence. </w:t>
      </w:r>
      <w:r w:rsidR="00894221">
        <w:rPr>
          <w:rFonts w:ascii="Aptos" w:hAnsi="Aptos" w:cstheme="minorHAnsi"/>
        </w:rPr>
        <w:t>Showing</w:t>
      </w:r>
      <w:r w:rsidRPr="00423C25">
        <w:rPr>
          <w:rFonts w:ascii="Aptos" w:hAnsi="Aptos" w:cstheme="minorHAnsi"/>
        </w:rPr>
        <w:t xml:space="preserve"> higher prevalence rates linking maltreatment to these impacts (Herrero-Roldán &amp; Martín-Rodríguez, 2025). </w:t>
      </w:r>
      <w:r w:rsidR="0092222F">
        <w:rPr>
          <w:rFonts w:ascii="Aptos" w:hAnsi="Aptos" w:cstheme="minorHAnsi"/>
        </w:rPr>
        <w:t>Relating this to</w:t>
      </w:r>
      <w:r w:rsidRPr="00423C25">
        <w:rPr>
          <w:rFonts w:ascii="Aptos" w:hAnsi="Aptos" w:cstheme="minorHAnsi"/>
        </w:rPr>
        <w:t xml:space="preserve"> Amira</w:t>
      </w:r>
      <w:r w:rsidR="0092222F">
        <w:rPr>
          <w:rFonts w:ascii="Aptos" w:hAnsi="Aptos" w:cstheme="minorHAnsi"/>
        </w:rPr>
        <w:t>, these neurobiological changes are evident in her withdrawal and reluctance to play, which suggests</w:t>
      </w:r>
      <w:r w:rsidRPr="00423C25">
        <w:rPr>
          <w:rFonts w:ascii="Aptos" w:hAnsi="Aptos" w:cstheme="minorHAnsi"/>
        </w:rPr>
        <w:t xml:space="preserve"> impaired regulation and heightened stress reactivity. </w:t>
      </w:r>
      <w:r w:rsidR="002D3BED" w:rsidRPr="002D3BED">
        <w:rPr>
          <w:rFonts w:ascii="Aptos" w:hAnsi="Aptos" w:cstheme="minorHAnsi"/>
        </w:rPr>
        <w:t xml:space="preserve">These difficulties are not </w:t>
      </w:r>
      <w:r w:rsidR="002D3BED">
        <w:rPr>
          <w:rFonts w:ascii="Aptos" w:hAnsi="Aptos" w:cstheme="minorHAnsi"/>
        </w:rPr>
        <w:t xml:space="preserve">merely </w:t>
      </w:r>
      <w:proofErr w:type="spellStart"/>
      <w:r w:rsidR="002D3BED">
        <w:rPr>
          <w:rFonts w:ascii="Aptos" w:hAnsi="Aptos" w:cstheme="minorHAnsi"/>
        </w:rPr>
        <w:t>behavioural</w:t>
      </w:r>
      <w:proofErr w:type="spellEnd"/>
      <w:r w:rsidR="002D3BED">
        <w:rPr>
          <w:rFonts w:ascii="Aptos" w:hAnsi="Aptos" w:cstheme="minorHAnsi"/>
        </w:rPr>
        <w:t xml:space="preserve"> choices but reflect underlying disruptions in neural circuitry resulting from</w:t>
      </w:r>
      <w:r w:rsidR="002D3BED" w:rsidRPr="002D3BED">
        <w:rPr>
          <w:rFonts w:ascii="Aptos" w:hAnsi="Aptos" w:cstheme="minorHAnsi"/>
        </w:rPr>
        <w:t xml:space="preserve"> the absence of consistent stimulation and responsive caregiving</w:t>
      </w:r>
      <w:r w:rsidR="00F61A23">
        <w:rPr>
          <w:rFonts w:ascii="Aptos" w:hAnsi="Aptos" w:cstheme="minorHAnsi"/>
        </w:rPr>
        <w:t xml:space="preserve"> </w:t>
      </w:r>
      <w:r w:rsidR="00F61A23" w:rsidRPr="00F61A23">
        <w:rPr>
          <w:rFonts w:ascii="Aptos" w:hAnsi="Aptos" w:cstheme="minorHAnsi"/>
          <w:lang w:val="en-GB"/>
        </w:rPr>
        <w:t>(</w:t>
      </w:r>
      <w:proofErr w:type="spellStart"/>
      <w:r w:rsidR="00F61A23" w:rsidRPr="00F61A23">
        <w:rPr>
          <w:rFonts w:ascii="Aptos" w:hAnsi="Aptos" w:cstheme="minorHAnsi"/>
          <w:lang w:val="en-GB"/>
        </w:rPr>
        <w:t>Clarici</w:t>
      </w:r>
      <w:proofErr w:type="spellEnd"/>
      <w:r w:rsidR="00F61A23" w:rsidRPr="00F61A23">
        <w:rPr>
          <w:rFonts w:ascii="Aptos" w:hAnsi="Aptos" w:cstheme="minorHAnsi"/>
          <w:lang w:val="en-GB"/>
        </w:rPr>
        <w:t xml:space="preserve"> et al., 2024)</w:t>
      </w:r>
    </w:p>
    <w:p w14:paraId="2EBFF9DC" w14:textId="2B66213F" w:rsidR="0080369A" w:rsidRPr="00423C25" w:rsidRDefault="002D3BED" w:rsidP="004051C8">
      <w:pPr>
        <w:spacing w:before="120" w:after="120" w:line="360" w:lineRule="auto"/>
        <w:rPr>
          <w:rFonts w:ascii="Aptos" w:hAnsi="Aptos" w:cstheme="minorHAnsi"/>
        </w:rPr>
      </w:pPr>
      <w:r w:rsidRPr="002D3BED">
        <w:rPr>
          <w:rFonts w:ascii="Aptos" w:hAnsi="Aptos" w:cstheme="minorHAnsi"/>
        </w:rPr>
        <w:t xml:space="preserve"> Amira’s inconsistent school attendance and her difficulty engaging with peers may therefore reflect deeper cognitive and emotional challenges rooted </w:t>
      </w:r>
      <w:r w:rsidR="00451CF2">
        <w:rPr>
          <w:rFonts w:ascii="Aptos" w:hAnsi="Aptos" w:cstheme="minorHAnsi"/>
        </w:rPr>
        <w:t>in</w:t>
      </w:r>
      <w:r w:rsidRPr="002D3BED">
        <w:rPr>
          <w:rFonts w:ascii="Aptos" w:hAnsi="Aptos" w:cstheme="minorHAnsi"/>
        </w:rPr>
        <w:t xml:space="preserve"> her early environment</w:t>
      </w:r>
      <w:r w:rsidR="0026482E">
        <w:rPr>
          <w:rFonts w:ascii="Aptos" w:hAnsi="Aptos" w:cstheme="minorHAnsi"/>
        </w:rPr>
        <w:t xml:space="preserve"> and the neglect she was exposed to</w:t>
      </w:r>
      <w:r w:rsidRPr="002D3BED">
        <w:rPr>
          <w:rFonts w:ascii="Aptos" w:hAnsi="Aptos" w:cstheme="minorHAnsi"/>
        </w:rPr>
        <w:t xml:space="preserve">. Without intervention, these neurodevelopmental disruptions can become </w:t>
      </w:r>
      <w:r w:rsidR="0026482E" w:rsidRPr="002D3BED">
        <w:rPr>
          <w:rFonts w:ascii="Aptos" w:hAnsi="Aptos" w:cstheme="minorHAnsi"/>
        </w:rPr>
        <w:t>embedded</w:t>
      </w:r>
      <w:r w:rsidR="00817EA6">
        <w:rPr>
          <w:rFonts w:ascii="Aptos" w:hAnsi="Aptos" w:cstheme="minorHAnsi"/>
        </w:rPr>
        <w:t xml:space="preserve"> in her cognitive processing</w:t>
      </w:r>
      <w:r w:rsidRPr="002D3BED">
        <w:rPr>
          <w:rFonts w:ascii="Aptos" w:hAnsi="Aptos" w:cstheme="minorHAnsi"/>
        </w:rPr>
        <w:t>, increasing the risk of long</w:t>
      </w:r>
      <w:r w:rsidRPr="002D3BED">
        <w:rPr>
          <w:rFonts w:ascii="Cambria Math" w:hAnsi="Cambria Math" w:cs="Cambria Math"/>
        </w:rPr>
        <w:t>‑</w:t>
      </w:r>
      <w:r w:rsidRPr="002D3BED">
        <w:rPr>
          <w:rFonts w:ascii="Aptos" w:hAnsi="Aptos" w:cstheme="minorHAnsi"/>
        </w:rPr>
        <w:t>term difficulties in emotional regulation, academic achievement, and social functioning.</w:t>
      </w:r>
      <w:r>
        <w:rPr>
          <w:rFonts w:ascii="Aptos" w:hAnsi="Aptos" w:cstheme="minorHAnsi"/>
        </w:rPr>
        <w:t xml:space="preserve"> </w:t>
      </w:r>
      <w:r w:rsidR="006B7B68" w:rsidRPr="00423C25">
        <w:rPr>
          <w:rFonts w:ascii="Aptos" w:hAnsi="Aptos" w:cstheme="minorHAnsi"/>
        </w:rPr>
        <w:t>Without intervention, such changes risk becoming maladaptive patterns that persist into adolescence and adulthood.</w:t>
      </w:r>
    </w:p>
    <w:p w14:paraId="68086EB4" w14:textId="77777777" w:rsidR="00374349" w:rsidRPr="00374349" w:rsidRDefault="00425314" w:rsidP="004051C8">
      <w:pPr>
        <w:spacing w:before="120" w:after="120" w:line="360" w:lineRule="auto"/>
        <w:rPr>
          <w:rFonts w:ascii="Aptos" w:hAnsi="Aptos" w:cstheme="minorHAnsi"/>
          <w:lang w:val="en-GB"/>
        </w:rPr>
      </w:pPr>
      <w:r w:rsidRPr="00425314">
        <w:rPr>
          <w:rFonts w:ascii="Aptos" w:hAnsi="Aptos" w:cstheme="minorHAnsi"/>
        </w:rPr>
        <w:t xml:space="preserve">Attachment theory provides a further lens for understanding Amira’s difficulties, particularly the relational patterns that have emerged from her early experiences of neglect and inconsistent caregiving. Bowlby’s foundational work </w:t>
      </w:r>
      <w:proofErr w:type="spellStart"/>
      <w:r w:rsidRPr="00425314">
        <w:rPr>
          <w:rFonts w:ascii="Aptos" w:hAnsi="Aptos" w:cstheme="minorHAnsi"/>
        </w:rPr>
        <w:t>emphasised</w:t>
      </w:r>
      <w:proofErr w:type="spellEnd"/>
      <w:r w:rsidRPr="00425314">
        <w:rPr>
          <w:rFonts w:ascii="Aptos" w:hAnsi="Aptos" w:cstheme="minorHAnsi"/>
        </w:rPr>
        <w:t xml:space="preserve"> that children develop internal working models based on the responsiveness and reliability of their caregivers, which shape expectations of themselves and others throughout life</w:t>
      </w:r>
      <w:r w:rsidR="00374349">
        <w:rPr>
          <w:rFonts w:ascii="Aptos" w:hAnsi="Aptos" w:cstheme="minorHAnsi"/>
        </w:rPr>
        <w:t xml:space="preserve"> </w:t>
      </w:r>
      <w:r w:rsidR="00374349" w:rsidRPr="00374349">
        <w:rPr>
          <w:rFonts w:ascii="Aptos" w:hAnsi="Aptos" w:cstheme="minorHAnsi"/>
          <w:lang w:val="en-GB"/>
        </w:rPr>
        <w:t>(Khadka, 2022)</w:t>
      </w:r>
    </w:p>
    <w:p w14:paraId="7142307C" w14:textId="05BFF13C" w:rsidR="00425314" w:rsidRPr="00425314" w:rsidRDefault="00425314" w:rsidP="004051C8">
      <w:pPr>
        <w:spacing w:before="120" w:after="120" w:line="360" w:lineRule="auto"/>
        <w:rPr>
          <w:rFonts w:ascii="Aptos" w:hAnsi="Aptos" w:cstheme="minorHAnsi"/>
        </w:rPr>
      </w:pPr>
      <w:r w:rsidRPr="00425314">
        <w:rPr>
          <w:rFonts w:ascii="Aptos" w:hAnsi="Aptos" w:cstheme="minorHAnsi"/>
        </w:rPr>
        <w:t xml:space="preserve"> When caregiving is unpredictable, frightening, or emotionally </w:t>
      </w:r>
      <w:r w:rsidR="002505AD" w:rsidRPr="00425314">
        <w:rPr>
          <w:rFonts w:ascii="Aptos" w:hAnsi="Aptos" w:cstheme="minorHAnsi"/>
        </w:rPr>
        <w:t>absent</w:t>
      </w:r>
      <w:r w:rsidRPr="00425314">
        <w:rPr>
          <w:rFonts w:ascii="Aptos" w:hAnsi="Aptos" w:cstheme="minorHAnsi"/>
        </w:rPr>
        <w:t xml:space="preserve">, children struggle to form a coherent sense of safety, leading to insecure or </w:t>
      </w:r>
      <w:proofErr w:type="spellStart"/>
      <w:r w:rsidRPr="00425314">
        <w:rPr>
          <w:rFonts w:ascii="Aptos" w:hAnsi="Aptos" w:cstheme="minorHAnsi"/>
        </w:rPr>
        <w:t>disorganised</w:t>
      </w:r>
      <w:proofErr w:type="spellEnd"/>
      <w:r w:rsidRPr="00425314">
        <w:rPr>
          <w:rFonts w:ascii="Aptos" w:hAnsi="Aptos" w:cstheme="minorHAnsi"/>
        </w:rPr>
        <w:t xml:space="preserve"> attachment patterns. Research by Lyons</w:t>
      </w:r>
      <w:r w:rsidRPr="00425314">
        <w:rPr>
          <w:rFonts w:ascii="Cambria Math" w:hAnsi="Cambria Math" w:cs="Cambria Math"/>
        </w:rPr>
        <w:t>‑</w:t>
      </w:r>
      <w:r w:rsidRPr="00425314">
        <w:rPr>
          <w:rFonts w:ascii="Aptos" w:hAnsi="Aptos" w:cstheme="minorHAnsi"/>
        </w:rPr>
        <w:t xml:space="preserve">Ruth and </w:t>
      </w:r>
      <w:proofErr w:type="spellStart"/>
      <w:r w:rsidRPr="00425314">
        <w:rPr>
          <w:rFonts w:ascii="Aptos" w:hAnsi="Aptos" w:cstheme="minorHAnsi"/>
        </w:rPr>
        <w:t>Jacobvitz</w:t>
      </w:r>
      <w:proofErr w:type="spellEnd"/>
      <w:r w:rsidRPr="00425314">
        <w:rPr>
          <w:rFonts w:ascii="Aptos" w:hAnsi="Aptos" w:cstheme="minorHAnsi"/>
        </w:rPr>
        <w:t xml:space="preserve"> (2016) highlights that </w:t>
      </w:r>
      <w:proofErr w:type="spellStart"/>
      <w:r w:rsidRPr="00425314">
        <w:rPr>
          <w:rFonts w:ascii="Aptos" w:hAnsi="Aptos" w:cstheme="minorHAnsi"/>
        </w:rPr>
        <w:t>disorganised</w:t>
      </w:r>
      <w:proofErr w:type="spellEnd"/>
      <w:r w:rsidRPr="00425314">
        <w:rPr>
          <w:rFonts w:ascii="Aptos" w:hAnsi="Aptos" w:cstheme="minorHAnsi"/>
        </w:rPr>
        <w:t xml:space="preserve"> attachment is especially prevalent among children who have experienced maltreatment, as they face the paradox of seeking comfort from a caregiver who is simultaneously a source of fear or </w:t>
      </w:r>
      <w:r w:rsidRPr="00425314">
        <w:rPr>
          <w:rFonts w:ascii="Aptos" w:hAnsi="Aptos" w:cstheme="minorHAnsi"/>
        </w:rPr>
        <w:lastRenderedPageBreak/>
        <w:t xml:space="preserve">neglect. This internal conflict often manifests </w:t>
      </w:r>
      <w:proofErr w:type="spellStart"/>
      <w:r w:rsidRPr="00425314">
        <w:rPr>
          <w:rFonts w:ascii="Aptos" w:hAnsi="Aptos" w:cstheme="minorHAnsi"/>
        </w:rPr>
        <w:t>behaviourally</w:t>
      </w:r>
      <w:proofErr w:type="spellEnd"/>
      <w:r w:rsidRPr="00425314">
        <w:rPr>
          <w:rFonts w:ascii="Aptos" w:hAnsi="Aptos" w:cstheme="minorHAnsi"/>
        </w:rPr>
        <w:t xml:space="preserve"> as withdrawal, hypervigilance, or difficulties in forming trusting relationships.</w:t>
      </w:r>
    </w:p>
    <w:p w14:paraId="19F642FA" w14:textId="723E4EC5" w:rsidR="007A7ADA" w:rsidRPr="007A7ADA" w:rsidRDefault="00425314" w:rsidP="004051C8">
      <w:pPr>
        <w:spacing w:before="120" w:after="120" w:line="360" w:lineRule="auto"/>
        <w:rPr>
          <w:rFonts w:ascii="Aptos" w:hAnsi="Aptos" w:cstheme="minorHAnsi"/>
          <w:lang w:val="en-GB"/>
        </w:rPr>
      </w:pPr>
      <w:r w:rsidRPr="00425314">
        <w:rPr>
          <w:rFonts w:ascii="Aptos" w:hAnsi="Aptos" w:cstheme="minorHAnsi"/>
        </w:rPr>
        <w:t xml:space="preserve">Amira’s reluctance to play with her peers and her increasingly withdrawn </w:t>
      </w:r>
      <w:proofErr w:type="spellStart"/>
      <w:r w:rsidRPr="00425314">
        <w:rPr>
          <w:rFonts w:ascii="Aptos" w:hAnsi="Aptos" w:cstheme="minorHAnsi"/>
        </w:rPr>
        <w:t>behaviour</w:t>
      </w:r>
      <w:proofErr w:type="spellEnd"/>
      <w:r w:rsidRPr="00425314">
        <w:rPr>
          <w:rFonts w:ascii="Aptos" w:hAnsi="Aptos" w:cstheme="minorHAnsi"/>
        </w:rPr>
        <w:t xml:space="preserve"> can therefore be understood as adaptive responses to an environment in which relationships have historically been unsafe or unpredictable. Rather than indicating a lack of social interest, these </w:t>
      </w:r>
      <w:proofErr w:type="spellStart"/>
      <w:r w:rsidRPr="00425314">
        <w:rPr>
          <w:rFonts w:ascii="Aptos" w:hAnsi="Aptos" w:cstheme="minorHAnsi"/>
        </w:rPr>
        <w:t>behaviours</w:t>
      </w:r>
      <w:proofErr w:type="spellEnd"/>
      <w:r w:rsidRPr="00425314">
        <w:rPr>
          <w:rFonts w:ascii="Aptos" w:hAnsi="Aptos" w:cstheme="minorHAnsi"/>
        </w:rPr>
        <w:t xml:space="preserve"> may reflect a protective strategy </w:t>
      </w:r>
      <w:r w:rsidR="00195CCC">
        <w:rPr>
          <w:rFonts w:ascii="Aptos" w:hAnsi="Aptos" w:cstheme="minorHAnsi"/>
        </w:rPr>
        <w:t xml:space="preserve">that is </w:t>
      </w:r>
      <w:r w:rsidRPr="00425314">
        <w:rPr>
          <w:rFonts w:ascii="Aptos" w:hAnsi="Aptos" w:cstheme="minorHAnsi"/>
        </w:rPr>
        <w:t>developed in response to chronic emotional insecurity</w:t>
      </w:r>
      <w:r w:rsidR="004B4FDB">
        <w:rPr>
          <w:rFonts w:ascii="Aptos" w:hAnsi="Aptos" w:cstheme="minorHAnsi"/>
        </w:rPr>
        <w:t xml:space="preserve"> and to self-protect from emotional distress</w:t>
      </w:r>
      <w:r w:rsidRPr="00425314">
        <w:rPr>
          <w:rFonts w:ascii="Aptos" w:hAnsi="Aptos" w:cstheme="minorHAnsi"/>
        </w:rPr>
        <w:t>. If these attachment disruptions remain unaddressed, they can have significant implications for Amira’s future development. Insecure attachment has been linked to heightened vulnerability to depression, anxiety, and relational instability in adolescence and adulthood</w:t>
      </w:r>
      <w:r w:rsidR="007A7ADA">
        <w:rPr>
          <w:rFonts w:ascii="Aptos" w:hAnsi="Aptos" w:cstheme="minorHAnsi"/>
        </w:rPr>
        <w:t xml:space="preserve"> </w:t>
      </w:r>
      <w:r w:rsidR="007A7ADA" w:rsidRPr="007A7ADA">
        <w:rPr>
          <w:rFonts w:ascii="Aptos" w:hAnsi="Aptos" w:cstheme="minorHAnsi"/>
          <w:lang w:val="en-GB"/>
        </w:rPr>
        <w:t>(Clery et al., 2021)</w:t>
      </w:r>
    </w:p>
    <w:p w14:paraId="3A2106C1" w14:textId="7C7D7C25" w:rsidR="008E05B4" w:rsidRPr="00A71B51" w:rsidRDefault="006B5702" w:rsidP="004051C8">
      <w:pPr>
        <w:spacing w:before="120" w:after="120" w:line="360" w:lineRule="auto"/>
        <w:rPr>
          <w:rFonts w:ascii="Aptos" w:hAnsi="Aptos" w:cstheme="minorHAnsi"/>
          <w:lang w:val="en-GB"/>
        </w:rPr>
      </w:pPr>
      <w:r w:rsidRPr="006B5702">
        <w:rPr>
          <w:rFonts w:ascii="Aptos" w:hAnsi="Aptos" w:cstheme="minorHAnsi"/>
        </w:rPr>
        <w:t xml:space="preserve">These patterns are particularly pronounced in children exposed to ACEs, where the combination of trauma and disrupted caregiving significantly increases vulnerability to psychological distress </w:t>
      </w:r>
      <w:r w:rsidR="006101C3">
        <w:rPr>
          <w:rFonts w:ascii="Aptos" w:hAnsi="Aptos" w:cstheme="minorHAnsi"/>
        </w:rPr>
        <w:t xml:space="preserve"> </w:t>
      </w:r>
      <w:r w:rsidR="006101C3" w:rsidRPr="006101C3">
        <w:rPr>
          <w:rFonts w:ascii="Aptos" w:hAnsi="Aptos" w:cstheme="minorHAnsi"/>
          <w:lang w:val="en-GB"/>
        </w:rPr>
        <w:t>(Finch et al., 2024)</w:t>
      </w:r>
      <w:r w:rsidR="00D2175D">
        <w:rPr>
          <w:rFonts w:ascii="Aptos" w:hAnsi="Aptos" w:cstheme="minorHAnsi"/>
          <w:lang w:val="en-GB"/>
        </w:rPr>
        <w:t>.</w:t>
      </w:r>
      <w:r w:rsidR="006101C3">
        <w:rPr>
          <w:rFonts w:ascii="Aptos" w:hAnsi="Aptos" w:cstheme="minorHAnsi"/>
          <w:lang w:val="en-GB"/>
        </w:rPr>
        <w:t xml:space="preserve"> </w:t>
      </w:r>
      <w:r w:rsidR="006101C3">
        <w:rPr>
          <w:rFonts w:ascii="Aptos" w:hAnsi="Aptos" w:cstheme="minorHAnsi"/>
        </w:rPr>
        <w:t>A</w:t>
      </w:r>
      <w:r w:rsidR="00425314" w:rsidRPr="00425314">
        <w:rPr>
          <w:rFonts w:ascii="Aptos" w:hAnsi="Aptos" w:cstheme="minorHAnsi"/>
        </w:rPr>
        <w:t xml:space="preserve">s children </w:t>
      </w:r>
      <w:proofErr w:type="spellStart"/>
      <w:r w:rsidR="00425314" w:rsidRPr="00425314">
        <w:rPr>
          <w:rFonts w:ascii="Aptos" w:hAnsi="Aptos" w:cstheme="minorHAnsi"/>
        </w:rPr>
        <w:t>internalise</w:t>
      </w:r>
      <w:proofErr w:type="spellEnd"/>
      <w:r w:rsidR="00425314" w:rsidRPr="00425314">
        <w:rPr>
          <w:rFonts w:ascii="Aptos" w:hAnsi="Aptos" w:cstheme="minorHAnsi"/>
        </w:rPr>
        <w:t xml:space="preserve"> beliefs that others are unreliable or that they themselves are unworthy of care. Moreover, the absence of a secure attachment </w:t>
      </w:r>
      <w:r w:rsidR="003173AF">
        <w:rPr>
          <w:rFonts w:ascii="Aptos" w:hAnsi="Aptos" w:cstheme="minorHAnsi"/>
        </w:rPr>
        <w:t>formulates the foundations of</w:t>
      </w:r>
      <w:r w:rsidR="00425314" w:rsidRPr="00425314">
        <w:rPr>
          <w:rFonts w:ascii="Aptos" w:hAnsi="Aptos" w:cstheme="minorHAnsi"/>
        </w:rPr>
        <w:t xml:space="preserve"> the risk of intergenerational transmission of trauma, as individuals who have not experienced consistent, </w:t>
      </w:r>
      <w:r w:rsidR="00220C52">
        <w:rPr>
          <w:rFonts w:ascii="Aptos" w:hAnsi="Aptos" w:cstheme="minorHAnsi"/>
        </w:rPr>
        <w:t>emotional sensitivity such as, empathy within their</w:t>
      </w:r>
      <w:r w:rsidR="00425314" w:rsidRPr="00425314">
        <w:rPr>
          <w:rFonts w:ascii="Aptos" w:hAnsi="Aptos" w:cstheme="minorHAnsi"/>
        </w:rPr>
        <w:t xml:space="preserve"> caregiving may struggle to provide it to their own children</w:t>
      </w:r>
      <w:r w:rsidR="00A71B51">
        <w:rPr>
          <w:rFonts w:ascii="Aptos" w:hAnsi="Aptos" w:cstheme="minorHAnsi"/>
        </w:rPr>
        <w:t xml:space="preserve"> </w:t>
      </w:r>
      <w:r w:rsidR="00A71B51" w:rsidRPr="00A71B51">
        <w:rPr>
          <w:rFonts w:ascii="Aptos" w:hAnsi="Aptos" w:cstheme="minorHAnsi"/>
          <w:lang w:val="en-GB"/>
        </w:rPr>
        <w:t>(Rossi et al., 2025)</w:t>
      </w:r>
      <w:r w:rsidR="00A71B51">
        <w:rPr>
          <w:rFonts w:ascii="Aptos" w:hAnsi="Aptos" w:cstheme="minorHAnsi"/>
          <w:lang w:val="en-GB"/>
        </w:rPr>
        <w:t xml:space="preserve"> </w:t>
      </w:r>
      <w:r w:rsidR="00425314" w:rsidRPr="00425314">
        <w:rPr>
          <w:rFonts w:ascii="Aptos" w:hAnsi="Aptos" w:cstheme="minorHAnsi"/>
        </w:rPr>
        <w:t>For Amira, early intervention aimed at strengthening her sense of safety and relational trust is therefore essential to interrupt these developmental trajectories and support healthier emotional and social outcomes.</w:t>
      </w:r>
    </w:p>
    <w:p w14:paraId="3243DB46" w14:textId="77777777" w:rsidR="000A2D58" w:rsidRPr="000A2D58" w:rsidRDefault="00000B84" w:rsidP="004051C8">
      <w:pPr>
        <w:spacing w:before="120" w:after="120" w:line="360" w:lineRule="auto"/>
        <w:rPr>
          <w:rFonts w:ascii="Aptos" w:hAnsi="Aptos" w:cstheme="minorHAnsi"/>
          <w:lang w:val="en-GB"/>
        </w:rPr>
      </w:pPr>
      <w:r w:rsidRPr="00000B84">
        <w:rPr>
          <w:rFonts w:ascii="Aptos" w:hAnsi="Aptos" w:cstheme="minorHAnsi"/>
        </w:rPr>
        <w:t xml:space="preserve">Exposure to multiple ACEs substantially heightens the likelihood of </w:t>
      </w:r>
      <w:proofErr w:type="spellStart"/>
      <w:r w:rsidRPr="00000B84">
        <w:rPr>
          <w:rFonts w:ascii="Aptos" w:hAnsi="Aptos" w:cstheme="minorHAnsi"/>
        </w:rPr>
        <w:t>behavioural</w:t>
      </w:r>
      <w:proofErr w:type="spellEnd"/>
      <w:r w:rsidRPr="00000B84">
        <w:rPr>
          <w:rFonts w:ascii="Aptos" w:hAnsi="Aptos" w:cstheme="minorHAnsi"/>
        </w:rPr>
        <w:t xml:space="preserve"> difficulties, emotional dysregulation, and later mental health problems, with many of these difficulties not emerging until adolescence or adulthood (Hughes et al., 2017). The cumulative nature of ACEs is particularly significant; rather than each adverse experience exerting an isolated effect, their impact is additive and often exponential. This means that children like Amira, who have experienced chronic neglect alongside environmental </w:t>
      </w:r>
      <w:r w:rsidRPr="00000B84">
        <w:rPr>
          <w:rFonts w:ascii="Aptos" w:hAnsi="Aptos" w:cstheme="minorHAnsi"/>
        </w:rPr>
        <w:lastRenderedPageBreak/>
        <w:t>instability, are at far greater risk of long</w:t>
      </w:r>
      <w:r w:rsidRPr="00000B84">
        <w:rPr>
          <w:rFonts w:ascii="Cambria Math" w:hAnsi="Cambria Math" w:cs="Cambria Math"/>
        </w:rPr>
        <w:t>‑</w:t>
      </w:r>
      <w:r w:rsidRPr="00000B84">
        <w:rPr>
          <w:rFonts w:ascii="Aptos" w:hAnsi="Aptos" w:cstheme="minorHAnsi"/>
        </w:rPr>
        <w:t>term developmental disruption than children exposed to a single adverse event</w:t>
      </w:r>
      <w:r w:rsidR="000A2D58">
        <w:rPr>
          <w:rFonts w:ascii="Aptos" w:hAnsi="Aptos" w:cstheme="minorHAnsi"/>
        </w:rPr>
        <w:t xml:space="preserve"> </w:t>
      </w:r>
      <w:r w:rsidR="000A2D58" w:rsidRPr="000A2D58">
        <w:rPr>
          <w:rFonts w:ascii="Aptos" w:hAnsi="Aptos" w:cstheme="minorHAnsi"/>
          <w:lang w:val="en-GB"/>
        </w:rPr>
        <w:t>(Bellis et al., 2019)</w:t>
      </w:r>
    </w:p>
    <w:p w14:paraId="67F5BCC8" w14:textId="6866EEF8" w:rsidR="00000B84" w:rsidRPr="00000B84" w:rsidRDefault="00000B84" w:rsidP="004051C8">
      <w:pPr>
        <w:spacing w:before="120" w:after="120" w:line="360" w:lineRule="auto"/>
        <w:rPr>
          <w:rFonts w:ascii="Aptos" w:hAnsi="Aptos" w:cstheme="minorHAnsi"/>
        </w:rPr>
      </w:pPr>
      <w:r w:rsidRPr="00000B84">
        <w:rPr>
          <w:rFonts w:ascii="Aptos" w:hAnsi="Aptos" w:cstheme="minorHAnsi"/>
        </w:rPr>
        <w:t xml:space="preserve">Longitudinal evidence further demonstrates that early adversity is strongly associated with increased vulnerability to a wide range of physical and psychological health difficulties across </w:t>
      </w:r>
      <w:r w:rsidR="00451CF2">
        <w:rPr>
          <w:rFonts w:ascii="Aptos" w:hAnsi="Aptos" w:cstheme="minorHAnsi"/>
        </w:rPr>
        <w:t>one's</w:t>
      </w:r>
      <w:r w:rsidRPr="00000B84">
        <w:rPr>
          <w:rFonts w:ascii="Aptos" w:hAnsi="Aptos" w:cstheme="minorHAnsi"/>
        </w:rPr>
        <w:t xml:space="preserve"> lifespan. Martins et al. (2025), for example, highlight that individuals exposed to childhood trauma show elevated rates of depression, anxiety disorders, cardiovascular disease, and poorer overall health outcomes well into adulthood. This body of research underscores the enduring nature of early trauma, illustrating how experiences in the first years of life can shape biological stress systems, cognitive functioning, and relational patterns for decades.</w:t>
      </w:r>
      <w:r w:rsidR="00C003F8" w:rsidRPr="00C003F8">
        <w:rPr>
          <w:rFonts w:ascii="Aptos" w:hAnsi="Aptos" w:cstheme="minorHAnsi"/>
        </w:rPr>
        <w:t xml:space="preserve"> Emotional dysregulation is </w:t>
      </w:r>
      <w:r w:rsidR="00D2175D">
        <w:rPr>
          <w:rFonts w:ascii="Aptos" w:hAnsi="Aptos" w:cstheme="minorHAnsi"/>
        </w:rPr>
        <w:t>a prevalent</w:t>
      </w:r>
      <w:r w:rsidR="00C003F8" w:rsidRPr="00C003F8">
        <w:rPr>
          <w:rFonts w:ascii="Aptos" w:hAnsi="Aptos" w:cstheme="minorHAnsi"/>
        </w:rPr>
        <w:t xml:space="preserve"> outcome, with research showing that ACEs disrupt the development of regulatory capacities and increase vulnerability to later psychological distress (Schilling et al., 2019). Early adversity also shapes relational patterns across the lifespan, with insecure attachment and disrupted caregiving linked to difficulties in forming stable relationships in adulthood (Murphy et al., 2019)</w:t>
      </w:r>
      <w:r w:rsidRPr="00000B84">
        <w:rPr>
          <w:rFonts w:ascii="Aptos" w:hAnsi="Aptos" w:cstheme="minorHAnsi"/>
        </w:rPr>
        <w:t xml:space="preserve"> In Amira’s case, the absence of timely intervention could therefore allow the effects of neglect to become embedded, increasing the likelihood of significant emotional, </w:t>
      </w:r>
      <w:proofErr w:type="spellStart"/>
      <w:r w:rsidRPr="00000B84">
        <w:rPr>
          <w:rFonts w:ascii="Aptos" w:hAnsi="Aptos" w:cstheme="minorHAnsi"/>
        </w:rPr>
        <w:t>behavioural</w:t>
      </w:r>
      <w:proofErr w:type="spellEnd"/>
      <w:r w:rsidRPr="00000B84">
        <w:rPr>
          <w:rFonts w:ascii="Aptos" w:hAnsi="Aptos" w:cstheme="minorHAnsi"/>
        </w:rPr>
        <w:t>, and health</w:t>
      </w:r>
      <w:r w:rsidRPr="00000B84">
        <w:rPr>
          <w:rFonts w:ascii="Cambria Math" w:hAnsi="Cambria Math" w:cs="Cambria Math"/>
        </w:rPr>
        <w:t>‑</w:t>
      </w:r>
      <w:r w:rsidRPr="00000B84">
        <w:rPr>
          <w:rFonts w:ascii="Aptos" w:hAnsi="Aptos" w:cstheme="minorHAnsi"/>
        </w:rPr>
        <w:t>related challenges as she grows older.</w:t>
      </w:r>
    </w:p>
    <w:p w14:paraId="3F918BAC" w14:textId="6301FB74" w:rsidR="00F934C0" w:rsidRPr="00F934C0" w:rsidRDefault="00795025" w:rsidP="004051C8">
      <w:pPr>
        <w:spacing w:before="120" w:after="120" w:line="360" w:lineRule="auto"/>
        <w:rPr>
          <w:rFonts w:ascii="Aptos" w:hAnsi="Aptos" w:cstheme="minorHAnsi"/>
          <w:lang w:val="en-GB"/>
        </w:rPr>
      </w:pPr>
      <w:r>
        <w:rPr>
          <w:rFonts w:ascii="Aptos" w:hAnsi="Aptos" w:cstheme="minorHAnsi"/>
        </w:rPr>
        <w:t>Overall, c</w:t>
      </w:r>
      <w:r w:rsidR="00000B84" w:rsidRPr="00000B84">
        <w:rPr>
          <w:rFonts w:ascii="Aptos" w:hAnsi="Aptos" w:cstheme="minorHAnsi"/>
        </w:rPr>
        <w:t xml:space="preserve">hildren like Amira, who have experienced neglect and instability, are at heightened risk of developing emotional dysregulation, social withdrawal, and </w:t>
      </w:r>
      <w:proofErr w:type="spellStart"/>
      <w:r w:rsidR="00000B84" w:rsidRPr="00000B84">
        <w:rPr>
          <w:rFonts w:ascii="Aptos" w:hAnsi="Aptos" w:cstheme="minorHAnsi"/>
        </w:rPr>
        <w:t>behavioural</w:t>
      </w:r>
      <w:proofErr w:type="spellEnd"/>
      <w:r w:rsidR="00000B84" w:rsidRPr="00000B84">
        <w:rPr>
          <w:rFonts w:ascii="Aptos" w:hAnsi="Aptos" w:cstheme="minorHAnsi"/>
        </w:rPr>
        <w:t xml:space="preserve"> difficulties, as their early environments have not provided the co</w:t>
      </w:r>
      <w:r w:rsidR="00000B84" w:rsidRPr="00000B84">
        <w:rPr>
          <w:rFonts w:ascii="Cambria Math" w:hAnsi="Cambria Math" w:cs="Cambria Math"/>
        </w:rPr>
        <w:t>‑</w:t>
      </w:r>
      <w:r w:rsidR="00000B84" w:rsidRPr="00000B84">
        <w:rPr>
          <w:rFonts w:ascii="Aptos" w:hAnsi="Aptos" w:cstheme="minorHAnsi"/>
        </w:rPr>
        <w:t>regulation and attuned caregiving necessary for healthy emotional development</w:t>
      </w:r>
      <w:r w:rsidR="00A2502C">
        <w:rPr>
          <w:rFonts w:ascii="Aptos" w:hAnsi="Aptos" w:cstheme="minorHAnsi"/>
        </w:rPr>
        <w:t xml:space="preserve"> </w:t>
      </w:r>
      <w:r w:rsidR="00A2502C" w:rsidRPr="00A2502C">
        <w:rPr>
          <w:rFonts w:ascii="Aptos" w:hAnsi="Aptos" w:cstheme="minorHAnsi"/>
          <w:lang w:val="en-GB"/>
        </w:rPr>
        <w:t xml:space="preserve">(Kaçar-Başaran &amp; </w:t>
      </w:r>
      <w:proofErr w:type="spellStart"/>
      <w:r w:rsidR="00A2502C" w:rsidRPr="00A2502C">
        <w:rPr>
          <w:rFonts w:ascii="Aptos" w:hAnsi="Aptos" w:cstheme="minorHAnsi"/>
          <w:lang w:val="en-GB"/>
        </w:rPr>
        <w:t>Kızıltepe</w:t>
      </w:r>
      <w:proofErr w:type="spellEnd"/>
      <w:r w:rsidR="00A2502C" w:rsidRPr="00A2502C">
        <w:rPr>
          <w:rFonts w:ascii="Aptos" w:hAnsi="Aptos" w:cstheme="minorHAnsi"/>
          <w:lang w:val="en-GB"/>
        </w:rPr>
        <w:t>, 2025)</w:t>
      </w:r>
      <w:r w:rsidR="00000B84" w:rsidRPr="00000B84">
        <w:rPr>
          <w:rFonts w:ascii="Aptos" w:hAnsi="Aptos" w:cstheme="minorHAnsi"/>
        </w:rPr>
        <w:t xml:space="preserve"> In Amira</w:t>
      </w:r>
      <w:r w:rsidR="00000B84" w:rsidRPr="00000B84">
        <w:rPr>
          <w:rFonts w:ascii="Aptos" w:hAnsi="Aptos" w:cs="Aptos"/>
        </w:rPr>
        <w:t>’</w:t>
      </w:r>
      <w:r w:rsidR="00000B84" w:rsidRPr="00000B84">
        <w:rPr>
          <w:rFonts w:ascii="Aptos" w:hAnsi="Aptos" w:cstheme="minorHAnsi"/>
        </w:rPr>
        <w:t>s instance, such difficulties are already visible: her reluctance to engage with peers, her withdrawn presentation, and her difficulty managing emotions all reflect the internal impact of chronic neglect</w:t>
      </w:r>
      <w:r w:rsidR="00E14B80">
        <w:rPr>
          <w:rFonts w:ascii="Aptos" w:hAnsi="Aptos" w:cstheme="minorHAnsi"/>
        </w:rPr>
        <w:t xml:space="preserve"> </w:t>
      </w:r>
      <w:r w:rsidR="00E14B80" w:rsidRPr="00E14B80">
        <w:rPr>
          <w:rFonts w:ascii="Aptos" w:hAnsi="Aptos" w:cstheme="minorHAnsi"/>
          <w:lang w:val="en-GB"/>
        </w:rPr>
        <w:t>(Simon et al., 2024)</w:t>
      </w:r>
      <w:r w:rsidR="00000B84" w:rsidRPr="00000B84">
        <w:rPr>
          <w:rFonts w:ascii="Aptos" w:hAnsi="Aptos" w:cstheme="minorHAnsi"/>
        </w:rPr>
        <w:t xml:space="preserve"> These </w:t>
      </w:r>
      <w:proofErr w:type="spellStart"/>
      <w:r w:rsidR="00000B84" w:rsidRPr="00000B84">
        <w:rPr>
          <w:rFonts w:ascii="Aptos" w:hAnsi="Aptos" w:cstheme="minorHAnsi"/>
        </w:rPr>
        <w:t>behaviours</w:t>
      </w:r>
      <w:proofErr w:type="spellEnd"/>
      <w:r w:rsidR="00000B84" w:rsidRPr="00000B84">
        <w:rPr>
          <w:rFonts w:ascii="Aptos" w:hAnsi="Aptos" w:cstheme="minorHAnsi"/>
        </w:rPr>
        <w:t xml:space="preserve"> are not simply signs of shyness or immaturity but are adaptive responses to an environment in which emotional needs were consistently unmet. Over time, these patterns can become entrenched, making it increasingly difficult for children to form trusting relationships or participate fully in social and educational contexts</w:t>
      </w:r>
      <w:r w:rsidR="00F934C0">
        <w:rPr>
          <w:rFonts w:ascii="Aptos" w:hAnsi="Aptos" w:cstheme="minorHAnsi"/>
        </w:rPr>
        <w:t xml:space="preserve"> </w:t>
      </w:r>
      <w:r w:rsidR="00F934C0" w:rsidRPr="00F934C0">
        <w:rPr>
          <w:rFonts w:ascii="Aptos" w:hAnsi="Aptos" w:cstheme="minorHAnsi"/>
          <w:lang w:val="en-GB"/>
        </w:rPr>
        <w:t>(Fan &amp; Kang, 2025)</w:t>
      </w:r>
    </w:p>
    <w:p w14:paraId="1CD6EFAC" w14:textId="63A45A48" w:rsidR="0001576A" w:rsidRPr="00974168" w:rsidRDefault="00000B84" w:rsidP="004051C8">
      <w:pPr>
        <w:spacing w:before="120" w:after="120" w:line="360" w:lineRule="auto"/>
        <w:rPr>
          <w:rFonts w:ascii="Aptos" w:hAnsi="Aptos" w:cstheme="minorHAnsi"/>
        </w:rPr>
      </w:pPr>
      <w:r w:rsidRPr="00000B84">
        <w:rPr>
          <w:rFonts w:ascii="Aptos" w:hAnsi="Aptos" w:cstheme="minorHAnsi"/>
        </w:rPr>
        <w:lastRenderedPageBreak/>
        <w:t xml:space="preserve">Educationally, neglect impairs concentration, working memory, and the capacity to </w:t>
      </w:r>
      <w:r w:rsidR="00EA34BA">
        <w:rPr>
          <w:rFonts w:ascii="Aptos" w:hAnsi="Aptos" w:cstheme="minorHAnsi"/>
        </w:rPr>
        <w:t>sustain</w:t>
      </w:r>
      <w:r w:rsidRPr="00000B84">
        <w:rPr>
          <w:rFonts w:ascii="Aptos" w:hAnsi="Aptos" w:cstheme="minorHAnsi"/>
        </w:rPr>
        <w:t xml:space="preserve"> learning, placing Amira at heightened risk of academic underachievement. This academic vulnerability compounds her risk of poor outcomes in adolescence and adulthood, as educational difficulties often intersect with emotional and </w:t>
      </w:r>
      <w:proofErr w:type="spellStart"/>
      <w:r w:rsidRPr="00000B84">
        <w:rPr>
          <w:rFonts w:ascii="Aptos" w:hAnsi="Aptos" w:cstheme="minorHAnsi"/>
        </w:rPr>
        <w:t>behavioural</w:t>
      </w:r>
      <w:proofErr w:type="spellEnd"/>
      <w:r w:rsidRPr="00000B84">
        <w:rPr>
          <w:rFonts w:ascii="Aptos" w:hAnsi="Aptos" w:cstheme="minorHAnsi"/>
        </w:rPr>
        <w:t xml:space="preserve"> challenges to limit future opportunities. Without targeted, trauma</w:t>
      </w:r>
      <w:r w:rsidRPr="00000B84">
        <w:rPr>
          <w:rFonts w:ascii="Cambria Math" w:hAnsi="Cambria Math" w:cs="Cambria Math"/>
        </w:rPr>
        <w:t>‑</w:t>
      </w:r>
      <w:r w:rsidRPr="00000B84">
        <w:rPr>
          <w:rFonts w:ascii="Aptos" w:hAnsi="Aptos" w:cstheme="minorHAnsi"/>
        </w:rPr>
        <w:t>informed intervention, Amira</w:t>
      </w:r>
      <w:r w:rsidRPr="00000B84">
        <w:rPr>
          <w:rFonts w:ascii="Aptos" w:hAnsi="Aptos" w:cs="Aptos"/>
        </w:rPr>
        <w:t>’</w:t>
      </w:r>
      <w:r w:rsidRPr="00000B84">
        <w:rPr>
          <w:rFonts w:ascii="Aptos" w:hAnsi="Aptos" w:cstheme="minorHAnsi"/>
        </w:rPr>
        <w:t xml:space="preserve">s early experiences may therefore continue to shape her </w:t>
      </w:r>
      <w:r w:rsidR="00451CF2">
        <w:rPr>
          <w:rFonts w:ascii="Aptos" w:hAnsi="Aptos" w:cstheme="minorHAnsi"/>
        </w:rPr>
        <w:t>development in ways that increase barriers to her well-being and</w:t>
      </w:r>
      <w:r w:rsidRPr="00000B84">
        <w:rPr>
          <w:rFonts w:ascii="Aptos" w:hAnsi="Aptos" w:cstheme="minorHAnsi"/>
        </w:rPr>
        <w:t xml:space="preserve"> relationships.</w:t>
      </w:r>
    </w:p>
    <w:p w14:paraId="6A25C479" w14:textId="77777777" w:rsidR="00974168" w:rsidRDefault="006B7B68" w:rsidP="004051C8">
      <w:pPr>
        <w:spacing w:before="120" w:after="120" w:line="360" w:lineRule="auto"/>
        <w:rPr>
          <w:rFonts w:ascii="Aptos" w:hAnsi="Aptos" w:cstheme="minorHAnsi"/>
        </w:rPr>
      </w:pPr>
      <w:r w:rsidRPr="00423C25">
        <w:rPr>
          <w:rFonts w:ascii="Aptos" w:hAnsi="Aptos" w:cstheme="minorHAnsi"/>
        </w:rPr>
        <w:t xml:space="preserve">Amira's case required a careful assessment that </w:t>
      </w:r>
      <w:proofErr w:type="spellStart"/>
      <w:r w:rsidRPr="00423C25">
        <w:rPr>
          <w:rFonts w:ascii="Aptos" w:hAnsi="Aptos" w:cstheme="minorHAnsi"/>
        </w:rPr>
        <w:t>recognises</w:t>
      </w:r>
      <w:proofErr w:type="spellEnd"/>
      <w:r w:rsidRPr="00423C25">
        <w:rPr>
          <w:rFonts w:ascii="Aptos" w:hAnsi="Aptos" w:cstheme="minorHAnsi"/>
        </w:rPr>
        <w:t xml:space="preserve"> both the potential risks connected with her early experiences and the protective factors that may promote </w:t>
      </w:r>
      <w:r w:rsidR="006D522E" w:rsidRPr="00423C25">
        <w:rPr>
          <w:rFonts w:ascii="Aptos" w:hAnsi="Aptos" w:cstheme="minorHAnsi"/>
        </w:rPr>
        <w:t>regaining</w:t>
      </w:r>
      <w:r w:rsidR="006D522E">
        <w:rPr>
          <w:rFonts w:ascii="Aptos" w:hAnsi="Aptos" w:cstheme="minorHAnsi"/>
        </w:rPr>
        <w:t xml:space="preserve"> </w:t>
      </w:r>
      <w:r w:rsidR="00B948FE">
        <w:rPr>
          <w:rFonts w:ascii="Aptos" w:hAnsi="Aptos" w:cstheme="minorHAnsi"/>
        </w:rPr>
        <w:t>‘normality’</w:t>
      </w:r>
      <w:r w:rsidRPr="00423C25">
        <w:rPr>
          <w:rFonts w:ascii="Aptos" w:hAnsi="Aptos" w:cstheme="minorHAnsi"/>
        </w:rPr>
        <w:t xml:space="preserve"> and developmental resilience. Recent research stresses that whereas ACEs increase vulnerability to psychological and </w:t>
      </w:r>
      <w:proofErr w:type="spellStart"/>
      <w:r w:rsidRPr="00423C25">
        <w:rPr>
          <w:rFonts w:ascii="Aptos" w:hAnsi="Aptos" w:cstheme="minorHAnsi"/>
        </w:rPr>
        <w:t>behavioural</w:t>
      </w:r>
      <w:proofErr w:type="spellEnd"/>
      <w:r w:rsidRPr="00423C25">
        <w:rPr>
          <w:rFonts w:ascii="Aptos" w:hAnsi="Aptos" w:cstheme="minorHAnsi"/>
        </w:rPr>
        <w:t xml:space="preserve"> issues, resilience processes are shaped by relational, contextual, and individual protective factors that can </w:t>
      </w:r>
      <w:r w:rsidR="0092222F">
        <w:rPr>
          <w:rFonts w:ascii="Aptos" w:hAnsi="Aptos" w:cstheme="minorHAnsi"/>
        </w:rPr>
        <w:t>significantly</w:t>
      </w:r>
      <w:r w:rsidRPr="00423C25">
        <w:rPr>
          <w:rFonts w:ascii="Aptos" w:hAnsi="Aptos" w:cstheme="minorHAnsi"/>
        </w:rPr>
        <w:t xml:space="preserve"> mitigate these effects (Crouch et al., 2020). Resilience is a dynamic process that requires stable relationships, access to supportive services, and opportunities for emotional regulation and connection, rather than being a fixed trait. (Scottish Government, 2025) </w:t>
      </w:r>
    </w:p>
    <w:p w14:paraId="3D6D7C7F" w14:textId="3C31D539" w:rsidR="0080369A" w:rsidRPr="00423C25" w:rsidRDefault="00E51BAD" w:rsidP="004051C8">
      <w:pPr>
        <w:spacing w:before="120" w:after="120" w:line="360" w:lineRule="auto"/>
        <w:rPr>
          <w:rFonts w:ascii="Aptos" w:hAnsi="Aptos" w:cstheme="minorHAnsi"/>
        </w:rPr>
      </w:pPr>
      <w:r w:rsidRPr="00E51BAD">
        <w:rPr>
          <w:rFonts w:ascii="Aptos" w:hAnsi="Aptos" w:cstheme="minorHAnsi"/>
        </w:rPr>
        <w:t>Although the ACEs framework has been influential in highlighting the long</w:t>
      </w:r>
      <w:r w:rsidRPr="00E51BAD">
        <w:rPr>
          <w:rFonts w:ascii="Cambria Math" w:hAnsi="Cambria Math" w:cs="Cambria Math"/>
        </w:rPr>
        <w:t>‑</w:t>
      </w:r>
      <w:r w:rsidRPr="00E51BAD">
        <w:rPr>
          <w:rFonts w:ascii="Aptos" w:hAnsi="Aptos" w:cstheme="minorHAnsi"/>
        </w:rPr>
        <w:t>term impact of early adversity, it has also been widely critiqued for oversimplifying complex developmental experiences (</w:t>
      </w:r>
      <w:proofErr w:type="spellStart"/>
      <w:r w:rsidRPr="00E51BAD">
        <w:rPr>
          <w:rFonts w:ascii="Aptos" w:hAnsi="Aptos" w:cstheme="minorHAnsi"/>
        </w:rPr>
        <w:t>Finkelhor</w:t>
      </w:r>
      <w:proofErr w:type="spellEnd"/>
      <w:r w:rsidRPr="00E51BAD">
        <w:rPr>
          <w:rFonts w:ascii="Aptos" w:hAnsi="Aptos" w:cstheme="minorHAnsi"/>
        </w:rPr>
        <w:t>, 2018). ACE scores treat all adversities as equal in weight, despite strong evidence that different forms of trauma have distinct neurobiological and relational effects (Lacey &amp; Minnis, 20</w:t>
      </w:r>
      <w:r w:rsidR="007F3AF5">
        <w:rPr>
          <w:rFonts w:ascii="Aptos" w:hAnsi="Aptos" w:cstheme="minorHAnsi"/>
        </w:rPr>
        <w:t>19</w:t>
      </w:r>
      <w:r w:rsidRPr="00E51BAD">
        <w:rPr>
          <w:rFonts w:ascii="Aptos" w:hAnsi="Aptos" w:cstheme="minorHAnsi"/>
        </w:rPr>
        <w:t xml:space="preserve">). The framework has also been </w:t>
      </w:r>
      <w:proofErr w:type="spellStart"/>
      <w:r w:rsidRPr="00E51BAD">
        <w:rPr>
          <w:rFonts w:ascii="Aptos" w:hAnsi="Aptos" w:cstheme="minorHAnsi"/>
        </w:rPr>
        <w:t>criticised</w:t>
      </w:r>
      <w:proofErr w:type="spellEnd"/>
      <w:r w:rsidRPr="00E51BAD">
        <w:rPr>
          <w:rFonts w:ascii="Aptos" w:hAnsi="Aptos" w:cstheme="minorHAnsi"/>
        </w:rPr>
        <w:t xml:space="preserve"> for its lack of cultural sensitivity, as it was developed within a narrow demographic context and does not account for structural inequalities, racism, poverty, or community</w:t>
      </w:r>
      <w:r w:rsidRPr="00E51BAD">
        <w:rPr>
          <w:rFonts w:ascii="Cambria Math" w:hAnsi="Cambria Math" w:cs="Cambria Math"/>
        </w:rPr>
        <w:t>‑</w:t>
      </w:r>
      <w:r w:rsidRPr="00E51BAD">
        <w:rPr>
          <w:rFonts w:ascii="Aptos" w:hAnsi="Aptos" w:cstheme="minorHAnsi"/>
        </w:rPr>
        <w:t xml:space="preserve">level trauma (McLennan et al., 2020). Furthermore, ACEs research is correlational rather than causal, meaning high scores indicate increased risk but do not determine outcomes (Anda et al., 2020). Relying too heavily on ACE scores risks </w:t>
      </w:r>
      <w:proofErr w:type="spellStart"/>
      <w:r w:rsidRPr="00E51BAD">
        <w:rPr>
          <w:rFonts w:ascii="Aptos" w:hAnsi="Aptos" w:cstheme="minorHAnsi"/>
        </w:rPr>
        <w:t>pathologising</w:t>
      </w:r>
      <w:proofErr w:type="spellEnd"/>
      <w:r w:rsidRPr="00E51BAD">
        <w:rPr>
          <w:rFonts w:ascii="Aptos" w:hAnsi="Aptos" w:cstheme="minorHAnsi"/>
        </w:rPr>
        <w:t xml:space="preserve"> families and overlooking protective factors such as supportive relationships, cultural strengths, and community resilience (Hardcastle et al., 2018). For Amira, this means that while her ACEs provide a </w:t>
      </w:r>
      <w:r w:rsidR="00244557">
        <w:rPr>
          <w:rFonts w:ascii="Aptos" w:hAnsi="Aptos" w:cstheme="minorHAnsi"/>
        </w:rPr>
        <w:t>helpful</w:t>
      </w:r>
      <w:r w:rsidRPr="00E51BAD">
        <w:rPr>
          <w:rFonts w:ascii="Aptos" w:hAnsi="Aptos" w:cstheme="minorHAnsi"/>
        </w:rPr>
        <w:t xml:space="preserve"> starting point for understanding risk, a trauma</w:t>
      </w:r>
      <w:r w:rsidRPr="00E51BAD">
        <w:rPr>
          <w:rFonts w:ascii="Cambria Math" w:hAnsi="Cambria Math" w:cs="Cambria Math"/>
        </w:rPr>
        <w:t>‑</w:t>
      </w:r>
      <w:r w:rsidRPr="00E51BAD">
        <w:rPr>
          <w:rFonts w:ascii="Aptos" w:hAnsi="Aptos" w:cstheme="minorHAnsi"/>
        </w:rPr>
        <w:t xml:space="preserve">informed assessment must move beyond scoring to consider her relational </w:t>
      </w:r>
      <w:r w:rsidRPr="00E51BAD">
        <w:rPr>
          <w:rFonts w:ascii="Aptos" w:hAnsi="Aptos" w:cstheme="minorHAnsi"/>
        </w:rPr>
        <w:lastRenderedPageBreak/>
        <w:t>context, strengths, and the specific meaning of her experiences</w:t>
      </w:r>
      <w:r w:rsidR="00244557">
        <w:rPr>
          <w:rFonts w:ascii="Aptos" w:hAnsi="Aptos" w:cstheme="minorHAnsi"/>
        </w:rPr>
        <w:t>.</w:t>
      </w:r>
      <w:r w:rsidRPr="00E51BAD">
        <w:rPr>
          <w:rFonts w:ascii="Aptos" w:hAnsi="Aptos" w:cstheme="minorHAnsi"/>
        </w:rPr>
        <w:t xml:space="preserve"> </w:t>
      </w:r>
      <w:r w:rsidR="00AA042C">
        <w:rPr>
          <w:rFonts w:ascii="Aptos" w:hAnsi="Aptos" w:cstheme="minorHAnsi"/>
        </w:rPr>
        <w:t>The above</w:t>
      </w:r>
      <w:r w:rsidR="00244557">
        <w:rPr>
          <w:rFonts w:ascii="Aptos" w:hAnsi="Aptos" w:cstheme="minorHAnsi"/>
        </w:rPr>
        <w:t>,</w:t>
      </w:r>
      <w:r w:rsidR="00AA042C">
        <w:rPr>
          <w:rFonts w:ascii="Aptos" w:hAnsi="Aptos" w:cstheme="minorHAnsi"/>
        </w:rPr>
        <w:t xml:space="preserve"> therefore, </w:t>
      </w:r>
      <w:r w:rsidR="006B7B68" w:rsidRPr="00423C25">
        <w:rPr>
          <w:rFonts w:ascii="Aptos" w:hAnsi="Aptos" w:cstheme="minorHAnsi"/>
        </w:rPr>
        <w:t>highlight the significance of considering both challenges and strengths when developing an intervention plan for Amira.</w:t>
      </w:r>
    </w:p>
    <w:p w14:paraId="2C4DF16D" w14:textId="707D352D" w:rsidR="0080369A" w:rsidRPr="00423C25" w:rsidRDefault="006B7B68" w:rsidP="004051C8">
      <w:pPr>
        <w:spacing w:before="120" w:after="120" w:line="360" w:lineRule="auto"/>
        <w:rPr>
          <w:rFonts w:ascii="Aptos" w:hAnsi="Aptos" w:cstheme="minorHAnsi"/>
        </w:rPr>
      </w:pPr>
      <w:r w:rsidRPr="00423C25">
        <w:rPr>
          <w:rFonts w:ascii="Aptos" w:hAnsi="Aptos" w:cstheme="minorHAnsi"/>
        </w:rPr>
        <w:t xml:space="preserve">Intervention strategies need to be evidence-based and matched to Amira’s developmental stage (Blanden &amp; Rabe, 2021). Creative therapies, such as art and play-based approaches, offer safe and non-verbal ways for her to express and </w:t>
      </w:r>
      <w:proofErr w:type="spellStart"/>
      <w:r w:rsidRPr="00423C25">
        <w:rPr>
          <w:rFonts w:ascii="Aptos" w:hAnsi="Aptos" w:cstheme="minorHAnsi"/>
        </w:rPr>
        <w:t>organise</w:t>
      </w:r>
      <w:proofErr w:type="spellEnd"/>
      <w:r w:rsidRPr="00423C25">
        <w:rPr>
          <w:rFonts w:ascii="Aptos" w:hAnsi="Aptos" w:cstheme="minorHAnsi"/>
        </w:rPr>
        <w:t xml:space="preserve"> overwhelming emotions (Versitano et al., 2025). School-based work focusing on resilience and belonging can also protect her by strengthening peer relationships (Allen et al., 2018)</w:t>
      </w:r>
      <w:r w:rsidR="0092222F">
        <w:rPr>
          <w:rFonts w:ascii="Aptos" w:hAnsi="Aptos" w:cstheme="minorHAnsi"/>
        </w:rPr>
        <w:t xml:space="preserve"> and</w:t>
      </w:r>
      <w:r w:rsidRPr="00423C25">
        <w:rPr>
          <w:rFonts w:ascii="Aptos" w:hAnsi="Aptos" w:cstheme="minorHAnsi"/>
        </w:rPr>
        <w:t xml:space="preserve"> helping children feel connected and valued in their learning environment (Masten, 2021). Attachment-focused and relational trauma approaches highlight the importance of consistent, attuned caregiving relationships in rebuilding trust and supporting regulation (Hughes et al., 2019). Taken together, these approaches underscore the value of integrating therapeutic, educational, and relational support to address Amira’s complex needs.</w:t>
      </w:r>
    </w:p>
    <w:p w14:paraId="67E2FF22" w14:textId="61D3FD24" w:rsidR="0080369A" w:rsidRPr="00423C25" w:rsidRDefault="006B7B68" w:rsidP="004051C8">
      <w:pPr>
        <w:spacing w:before="120" w:after="120" w:line="360" w:lineRule="auto"/>
        <w:rPr>
          <w:rFonts w:ascii="Aptos" w:hAnsi="Aptos" w:cstheme="minorHAnsi"/>
        </w:rPr>
      </w:pPr>
      <w:r w:rsidRPr="00423C25">
        <w:rPr>
          <w:rFonts w:ascii="Aptos" w:hAnsi="Aptos" w:cstheme="minorHAnsi"/>
        </w:rPr>
        <w:t xml:space="preserve">Addressing these risks means using trauma-informed approaches that focus on safety, trust, empowerment, and collaboration while also considering cultural sensitivity, which is central to trauma-informed practice (Gottlieb, 2021). It requires </w:t>
      </w:r>
      <w:proofErr w:type="spellStart"/>
      <w:r w:rsidRPr="00423C25">
        <w:rPr>
          <w:rFonts w:ascii="Aptos" w:hAnsi="Aptos" w:cstheme="minorHAnsi"/>
        </w:rPr>
        <w:t>recognising</w:t>
      </w:r>
      <w:proofErr w:type="spellEnd"/>
      <w:r w:rsidRPr="00423C25">
        <w:rPr>
          <w:rFonts w:ascii="Aptos" w:hAnsi="Aptos" w:cstheme="minorHAnsi"/>
        </w:rPr>
        <w:t xml:space="preserve"> and valuing Amira’s identity and background and ensuring that support does not impose dominant cultural ideas but instead </w:t>
      </w:r>
      <w:r w:rsidR="00BF305F" w:rsidRPr="00423C25">
        <w:rPr>
          <w:rFonts w:ascii="Aptos" w:hAnsi="Aptos" w:cstheme="minorHAnsi"/>
        </w:rPr>
        <w:t>respects</w:t>
      </w:r>
      <w:r w:rsidRPr="00423C25">
        <w:rPr>
          <w:rFonts w:ascii="Aptos" w:hAnsi="Aptos" w:cstheme="minorHAnsi"/>
        </w:rPr>
        <w:t xml:space="preserve"> her lived experiences. Practitioners must remain reflexive by noticing how their assumptions, communication style, and professional boundaries influence the work</w:t>
      </w:r>
      <w:r w:rsidR="004E0FE1">
        <w:rPr>
          <w:rFonts w:ascii="Aptos" w:hAnsi="Aptos" w:cstheme="minorHAnsi"/>
        </w:rPr>
        <w:t xml:space="preserve"> and support they are providing</w:t>
      </w:r>
      <w:r w:rsidRPr="00423C25">
        <w:rPr>
          <w:rFonts w:ascii="Aptos" w:hAnsi="Aptos" w:cstheme="minorHAnsi"/>
        </w:rPr>
        <w:t>. This aligns with research showing that culturally responsive, anti-oppressive practice is essential when supporting children who have experienced trauma (Schore, 2022).</w:t>
      </w:r>
    </w:p>
    <w:p w14:paraId="4E8B299C" w14:textId="58B6AE7A" w:rsidR="006032EC" w:rsidRDefault="00D44410" w:rsidP="004051C8">
      <w:pPr>
        <w:spacing w:before="120" w:after="120" w:line="360" w:lineRule="auto"/>
        <w:rPr>
          <w:rFonts w:ascii="Aptos" w:hAnsi="Aptos" w:cstheme="minorHAnsi"/>
        </w:rPr>
      </w:pPr>
      <w:r w:rsidRPr="00D44410">
        <w:rPr>
          <w:rFonts w:ascii="Aptos" w:hAnsi="Aptos" w:cstheme="minorHAnsi"/>
        </w:rPr>
        <w:t>Child</w:t>
      </w:r>
      <w:r w:rsidRPr="00D44410">
        <w:rPr>
          <w:rFonts w:ascii="Cambria Math" w:hAnsi="Cambria Math" w:cs="Cambria Math"/>
        </w:rPr>
        <w:t>‑</w:t>
      </w:r>
      <w:r w:rsidRPr="00D44410">
        <w:rPr>
          <w:rFonts w:ascii="Aptos" w:hAnsi="Aptos" w:cstheme="minorHAnsi"/>
        </w:rPr>
        <w:t>Parent Psychotherapy (CPP) is a dyadic, relationship</w:t>
      </w:r>
      <w:r w:rsidRPr="00D44410">
        <w:rPr>
          <w:rFonts w:ascii="Cambria Math" w:hAnsi="Cambria Math" w:cs="Cambria Math"/>
        </w:rPr>
        <w:t>‑</w:t>
      </w:r>
      <w:r w:rsidRPr="00D44410">
        <w:rPr>
          <w:rFonts w:ascii="Aptos" w:hAnsi="Aptos" w:cstheme="minorHAnsi"/>
        </w:rPr>
        <w:t>based intervention designed to strengthen the bond between a child and their caregiver while supporting the child to make sense of traumatic experiences within the safety of that relationship</w:t>
      </w:r>
      <w:r w:rsidR="00764272">
        <w:rPr>
          <w:rFonts w:ascii="Aptos" w:hAnsi="Aptos" w:cstheme="minorHAnsi"/>
        </w:rPr>
        <w:t xml:space="preserve"> </w:t>
      </w:r>
      <w:r w:rsidR="00764272" w:rsidRPr="00D44410">
        <w:rPr>
          <w:rFonts w:ascii="Aptos" w:hAnsi="Aptos" w:cstheme="minorHAnsi"/>
        </w:rPr>
        <w:t xml:space="preserve">(Cunha et al., 2024) </w:t>
      </w:r>
      <w:r w:rsidRPr="00D44410">
        <w:rPr>
          <w:rFonts w:ascii="Aptos" w:hAnsi="Aptos" w:cstheme="minorHAnsi"/>
        </w:rPr>
        <w:t xml:space="preserve"> Grounded in attachment theory and developmental neuroscience, CPP </w:t>
      </w:r>
      <w:r w:rsidR="00EA34BA">
        <w:rPr>
          <w:rFonts w:ascii="Aptos" w:hAnsi="Aptos" w:cstheme="minorHAnsi"/>
        </w:rPr>
        <w:t>helps</w:t>
      </w:r>
      <w:r w:rsidRPr="00D44410">
        <w:rPr>
          <w:rFonts w:ascii="Aptos" w:hAnsi="Aptos" w:cstheme="minorHAnsi"/>
        </w:rPr>
        <w:t xml:space="preserve"> caregivers understand how trauma shapes a child</w:t>
      </w:r>
      <w:r w:rsidRPr="00D44410">
        <w:rPr>
          <w:rFonts w:ascii="Aptos" w:hAnsi="Aptos" w:cs="Aptos"/>
        </w:rPr>
        <w:t>’</w:t>
      </w:r>
      <w:r w:rsidRPr="00D44410">
        <w:rPr>
          <w:rFonts w:ascii="Aptos" w:hAnsi="Aptos" w:cstheme="minorHAnsi"/>
        </w:rPr>
        <w:t xml:space="preserve">s </w:t>
      </w:r>
      <w:proofErr w:type="spellStart"/>
      <w:r w:rsidRPr="00D44410">
        <w:rPr>
          <w:rFonts w:ascii="Aptos" w:hAnsi="Aptos" w:cstheme="minorHAnsi"/>
        </w:rPr>
        <w:t>behaviour</w:t>
      </w:r>
      <w:proofErr w:type="spellEnd"/>
      <w:r w:rsidRPr="00D44410">
        <w:rPr>
          <w:rFonts w:ascii="Aptos" w:hAnsi="Aptos" w:cstheme="minorHAnsi"/>
        </w:rPr>
        <w:t xml:space="preserve"> and emotional responses, enabling them to respond with greater attunement and sensitivity.</w:t>
      </w:r>
      <w:r w:rsidR="00821375">
        <w:rPr>
          <w:rFonts w:ascii="Aptos" w:hAnsi="Aptos" w:cstheme="minorHAnsi"/>
        </w:rPr>
        <w:t xml:space="preserve"> As </w:t>
      </w:r>
      <w:r w:rsidR="006032EC">
        <w:rPr>
          <w:rFonts w:ascii="Aptos" w:hAnsi="Aptos" w:cstheme="minorHAnsi"/>
        </w:rPr>
        <w:t>the caregiver</w:t>
      </w:r>
      <w:r w:rsidR="00821375">
        <w:rPr>
          <w:rFonts w:ascii="Aptos" w:hAnsi="Aptos" w:cstheme="minorHAnsi"/>
        </w:rPr>
        <w:t xml:space="preserve"> can see the child </w:t>
      </w:r>
      <w:r w:rsidR="00821375">
        <w:rPr>
          <w:rFonts w:ascii="Aptos" w:hAnsi="Aptos" w:cstheme="minorHAnsi"/>
        </w:rPr>
        <w:lastRenderedPageBreak/>
        <w:t xml:space="preserve">from a different </w:t>
      </w:r>
      <w:r w:rsidR="000614B9">
        <w:rPr>
          <w:rFonts w:ascii="Aptos" w:hAnsi="Aptos" w:cstheme="minorHAnsi"/>
        </w:rPr>
        <w:t>perspective</w:t>
      </w:r>
      <w:r w:rsidR="006032EC">
        <w:rPr>
          <w:rFonts w:ascii="Aptos" w:hAnsi="Aptos" w:cstheme="minorHAnsi"/>
        </w:rPr>
        <w:t>, formed on what the child may be experiencing,</w:t>
      </w:r>
      <w:r w:rsidR="000614B9">
        <w:rPr>
          <w:rFonts w:ascii="Aptos" w:hAnsi="Aptos" w:cstheme="minorHAnsi"/>
        </w:rPr>
        <w:t xml:space="preserve"> </w:t>
      </w:r>
      <w:r w:rsidR="00244557">
        <w:rPr>
          <w:rFonts w:ascii="Aptos" w:hAnsi="Aptos" w:cstheme="minorHAnsi"/>
        </w:rPr>
        <w:t>this gives</w:t>
      </w:r>
      <w:r w:rsidR="006032EC">
        <w:rPr>
          <w:rFonts w:ascii="Aptos" w:hAnsi="Aptos" w:cstheme="minorHAnsi"/>
        </w:rPr>
        <w:t xml:space="preserve"> a glimpse into why they may be presenting a </w:t>
      </w:r>
      <w:r w:rsidR="00451CF2">
        <w:rPr>
          <w:rFonts w:ascii="Aptos" w:hAnsi="Aptos" w:cstheme="minorHAnsi"/>
        </w:rPr>
        <w:t>specific</w:t>
      </w:r>
      <w:r w:rsidR="006032EC">
        <w:rPr>
          <w:rFonts w:ascii="Aptos" w:hAnsi="Aptos" w:cstheme="minorHAnsi"/>
        </w:rPr>
        <w:t xml:space="preserve"> </w:t>
      </w:r>
      <w:proofErr w:type="spellStart"/>
      <w:r w:rsidR="006032EC">
        <w:rPr>
          <w:rFonts w:ascii="Aptos" w:hAnsi="Aptos" w:cstheme="minorHAnsi"/>
        </w:rPr>
        <w:t>behaviour</w:t>
      </w:r>
      <w:proofErr w:type="spellEnd"/>
      <w:r w:rsidR="006032EC">
        <w:rPr>
          <w:rFonts w:ascii="Aptos" w:hAnsi="Aptos" w:cstheme="minorHAnsi"/>
        </w:rPr>
        <w:t xml:space="preserve"> that </w:t>
      </w:r>
      <w:r w:rsidR="00451CF2">
        <w:rPr>
          <w:rFonts w:ascii="Aptos" w:hAnsi="Aptos" w:cstheme="minorHAnsi"/>
        </w:rPr>
        <w:t>does not</w:t>
      </w:r>
      <w:r w:rsidR="006032EC">
        <w:rPr>
          <w:rFonts w:ascii="Aptos" w:hAnsi="Aptos" w:cstheme="minorHAnsi"/>
        </w:rPr>
        <w:t xml:space="preserve"> align with the moral compass the caregiver may have expected beforehand. </w:t>
      </w:r>
    </w:p>
    <w:p w14:paraId="2F68F472" w14:textId="08A57521" w:rsidR="00D44410" w:rsidRPr="00D44410" w:rsidRDefault="00D44410" w:rsidP="004051C8">
      <w:pPr>
        <w:spacing w:before="120" w:after="120" w:line="360" w:lineRule="auto"/>
        <w:rPr>
          <w:rFonts w:ascii="Aptos" w:hAnsi="Aptos" w:cstheme="minorHAnsi"/>
        </w:rPr>
      </w:pPr>
      <w:r w:rsidRPr="00D44410">
        <w:rPr>
          <w:rFonts w:ascii="Aptos" w:hAnsi="Aptos" w:cstheme="minorHAnsi"/>
        </w:rPr>
        <w:t>Research demonstrates that CPP is particularly effective for young children who have experienced instability or early adversity, with evidence showing reductions in trauma symptoms and improvements in attachment security following treatment (Norlén et al., 2021). For Amira, CPP could offer a structured therapeutic space in which her grandparents learn to provide consistent, nurturing care that rebuilds her sense of trust and emotional safety. This is especially important given her history of neglect, as CPP would allow her to explore and process her experiences while simultaneously strengthening the caregiving relationship that now forms the foundation of her recovery.</w:t>
      </w:r>
    </w:p>
    <w:p w14:paraId="68767D86" w14:textId="71DF1206" w:rsidR="00D44410" w:rsidRPr="00D44410" w:rsidRDefault="00D44410" w:rsidP="004051C8">
      <w:pPr>
        <w:spacing w:before="120" w:after="120" w:line="360" w:lineRule="auto"/>
        <w:rPr>
          <w:rFonts w:ascii="Aptos" w:hAnsi="Aptos" w:cstheme="minorHAnsi"/>
        </w:rPr>
      </w:pPr>
      <w:r w:rsidRPr="00D44410">
        <w:rPr>
          <w:rFonts w:ascii="Aptos" w:hAnsi="Aptos" w:cstheme="minorHAnsi"/>
        </w:rPr>
        <w:t>However, despite its strong evidence base, CPP can be challenging to access. It is resource</w:t>
      </w:r>
      <w:r w:rsidRPr="00D44410">
        <w:rPr>
          <w:rFonts w:ascii="Cambria Math" w:hAnsi="Cambria Math" w:cs="Cambria Math"/>
        </w:rPr>
        <w:t>‑</w:t>
      </w:r>
      <w:r w:rsidRPr="00D44410">
        <w:rPr>
          <w:rFonts w:ascii="Aptos" w:hAnsi="Aptos" w:cstheme="minorHAnsi"/>
        </w:rPr>
        <w:t>intensive, typically requiring weekly sessions over an extended period, and must be delivered by clinicians with specialist training. This can limit availability, particularly in overstretched services or rural areas where specialist provision is scarce. In contrast, Dyadic Developmental Psychotherapy (DDP) offers a different but complementary approach, focusing on relational connection and emotional safety as the basis for healing</w:t>
      </w:r>
      <w:r w:rsidR="001D2B43">
        <w:rPr>
          <w:rFonts w:ascii="Aptos" w:hAnsi="Aptos" w:cstheme="minorHAnsi"/>
        </w:rPr>
        <w:t xml:space="preserve"> (</w:t>
      </w:r>
      <w:r w:rsidRPr="00D44410">
        <w:rPr>
          <w:rFonts w:ascii="Aptos" w:hAnsi="Aptos" w:cstheme="minorHAnsi"/>
        </w:rPr>
        <w:t>Hughes et al</w:t>
      </w:r>
      <w:r w:rsidR="001D2B43">
        <w:rPr>
          <w:rFonts w:ascii="Aptos" w:hAnsi="Aptos" w:cstheme="minorHAnsi"/>
        </w:rPr>
        <w:t xml:space="preserve">., </w:t>
      </w:r>
      <w:r w:rsidRPr="00D44410">
        <w:rPr>
          <w:rFonts w:ascii="Aptos" w:hAnsi="Aptos" w:cstheme="minorHAnsi"/>
        </w:rPr>
        <w:t>2015). Whereas CPP works through the co</w:t>
      </w:r>
      <w:r w:rsidRPr="00D44410">
        <w:rPr>
          <w:rFonts w:ascii="Cambria Math" w:hAnsi="Cambria Math" w:cs="Cambria Math"/>
        </w:rPr>
        <w:t>‑</w:t>
      </w:r>
      <w:r w:rsidRPr="00D44410">
        <w:rPr>
          <w:rFonts w:ascii="Aptos" w:hAnsi="Aptos" w:cstheme="minorHAnsi"/>
        </w:rPr>
        <w:t xml:space="preserve">construction of trauma narratives and caregiver insight, DDP </w:t>
      </w:r>
      <w:proofErr w:type="spellStart"/>
      <w:r w:rsidRPr="00D44410">
        <w:rPr>
          <w:rFonts w:ascii="Aptos" w:hAnsi="Aptos" w:cstheme="minorHAnsi"/>
        </w:rPr>
        <w:t>prioritises</w:t>
      </w:r>
      <w:proofErr w:type="spellEnd"/>
      <w:r w:rsidRPr="00D44410">
        <w:rPr>
          <w:rFonts w:ascii="Aptos" w:hAnsi="Aptos" w:cstheme="minorHAnsi"/>
        </w:rPr>
        <w:t xml:space="preserve"> moment</w:t>
      </w:r>
      <w:r w:rsidRPr="00D44410">
        <w:rPr>
          <w:rFonts w:ascii="Cambria Math" w:hAnsi="Cambria Math" w:cs="Cambria Math"/>
        </w:rPr>
        <w:t>‑</w:t>
      </w:r>
      <w:r w:rsidRPr="00D44410">
        <w:rPr>
          <w:rFonts w:ascii="Aptos" w:hAnsi="Aptos" w:cstheme="minorHAnsi"/>
        </w:rPr>
        <w:t>to</w:t>
      </w:r>
      <w:r w:rsidRPr="00D44410">
        <w:rPr>
          <w:rFonts w:ascii="Cambria Math" w:hAnsi="Cambria Math" w:cs="Cambria Math"/>
        </w:rPr>
        <w:t>‑</w:t>
      </w:r>
      <w:r w:rsidRPr="00D44410">
        <w:rPr>
          <w:rFonts w:ascii="Aptos" w:hAnsi="Aptos" w:cstheme="minorHAnsi"/>
        </w:rPr>
        <w:t>moment relational attunement, helping children regulate their emotions through the caregiver</w:t>
      </w:r>
      <w:r w:rsidRPr="00D44410">
        <w:rPr>
          <w:rFonts w:ascii="Aptos" w:hAnsi="Aptos" w:cs="Aptos"/>
        </w:rPr>
        <w:t>’</w:t>
      </w:r>
      <w:r w:rsidRPr="00D44410">
        <w:rPr>
          <w:rFonts w:ascii="Aptos" w:hAnsi="Aptos" w:cstheme="minorHAnsi"/>
        </w:rPr>
        <w:t>s calm, responsive presence.</w:t>
      </w:r>
    </w:p>
    <w:p w14:paraId="4A8E4D67" w14:textId="16D1BAC0" w:rsidR="0082744D" w:rsidRDefault="00FC38C8" w:rsidP="004051C8">
      <w:pPr>
        <w:spacing w:before="120" w:after="120" w:line="360" w:lineRule="auto"/>
        <w:rPr>
          <w:rFonts w:ascii="Aptos" w:hAnsi="Aptos" w:cstheme="minorHAnsi"/>
        </w:rPr>
      </w:pPr>
      <w:r w:rsidRPr="00FC38C8">
        <w:rPr>
          <w:rFonts w:ascii="Aptos" w:hAnsi="Aptos" w:cstheme="minorHAnsi"/>
        </w:rPr>
        <w:t>Research shows that DDP can reduce aggression, improve emotional regulation, and support the development of healthier attachment patterns in children who have experienced relational trauma (Hughes, 2017). Central to DDP is the PACE model</w:t>
      </w:r>
      <w:r w:rsidR="00764272">
        <w:rPr>
          <w:rFonts w:ascii="Aptos" w:hAnsi="Aptos" w:cstheme="minorHAnsi"/>
        </w:rPr>
        <w:t>.</w:t>
      </w:r>
      <w:r w:rsidR="00244557">
        <w:rPr>
          <w:rFonts w:ascii="Aptos" w:hAnsi="Aptos" w:cstheme="minorHAnsi"/>
        </w:rPr>
        <w:t xml:space="preserve"> </w:t>
      </w:r>
      <w:r w:rsidRPr="00FC38C8">
        <w:rPr>
          <w:rFonts w:ascii="Aptos" w:hAnsi="Aptos" w:cstheme="minorHAnsi"/>
        </w:rPr>
        <w:t>Playfulness, Acceptance, Curiosity, and Empathy</w:t>
      </w:r>
      <w:r w:rsidR="008F2ABD">
        <w:rPr>
          <w:rFonts w:ascii="Aptos" w:hAnsi="Aptos" w:cstheme="minorHAnsi"/>
        </w:rPr>
        <w:t xml:space="preserve"> </w:t>
      </w:r>
      <w:r w:rsidR="00244557">
        <w:rPr>
          <w:rFonts w:ascii="Aptos" w:hAnsi="Aptos" w:cstheme="minorHAnsi"/>
        </w:rPr>
        <w:t>provide</w:t>
      </w:r>
      <w:r w:rsidRPr="00FC38C8">
        <w:rPr>
          <w:rFonts w:ascii="Aptos" w:hAnsi="Aptos" w:cstheme="minorHAnsi"/>
        </w:rPr>
        <w:t xml:space="preserve"> a relational framework that helps children feel safe enough to explore their internal experiences. </w:t>
      </w:r>
    </w:p>
    <w:p w14:paraId="09661BFA" w14:textId="6358657A" w:rsidR="0082744D" w:rsidRPr="00633F90" w:rsidRDefault="0082744D" w:rsidP="004051C8">
      <w:pPr>
        <w:spacing w:before="120" w:after="120" w:line="360" w:lineRule="auto"/>
        <w:rPr>
          <w:rFonts w:ascii="Aptos" w:hAnsi="Aptos" w:cstheme="minorHAnsi"/>
          <w:lang w:val="en-GB"/>
        </w:rPr>
      </w:pPr>
      <w:r w:rsidRPr="008940CB">
        <w:rPr>
          <w:rFonts w:ascii="Aptos" w:hAnsi="Aptos" w:cstheme="minorHAnsi"/>
          <w:lang w:val="en-GB"/>
        </w:rPr>
        <w:t xml:space="preserve">The PACE aims to create emotional safety through the caregiver’s affective stance rather than through structured trauma exploration. This can be particularly beneficial for children </w:t>
      </w:r>
      <w:r w:rsidRPr="008940CB">
        <w:rPr>
          <w:rFonts w:ascii="Aptos" w:hAnsi="Aptos" w:cstheme="minorHAnsi"/>
          <w:lang w:val="en-GB"/>
        </w:rPr>
        <w:lastRenderedPageBreak/>
        <w:t>whose trauma histories have disrupted their capacity to trust adults, as it prioritises relational repair over cognitive processing</w:t>
      </w:r>
      <w:r>
        <w:rPr>
          <w:rFonts w:ascii="Aptos" w:hAnsi="Aptos" w:cstheme="minorHAnsi"/>
          <w:lang w:val="en-GB"/>
        </w:rPr>
        <w:t xml:space="preserve"> </w:t>
      </w:r>
      <w:r w:rsidRPr="000927BE">
        <w:rPr>
          <w:rFonts w:ascii="Aptos" w:hAnsi="Aptos" w:cstheme="minorHAnsi"/>
          <w:lang w:val="en-GB"/>
        </w:rPr>
        <w:t>(Copperman, 2018)</w:t>
      </w:r>
    </w:p>
    <w:p w14:paraId="1C17E50D" w14:textId="59B400EA" w:rsidR="00FC38C8" w:rsidRDefault="00053307" w:rsidP="004051C8">
      <w:pPr>
        <w:spacing w:before="120" w:after="120" w:line="360" w:lineRule="auto"/>
        <w:rPr>
          <w:rFonts w:ascii="Aptos" w:hAnsi="Aptos" w:cstheme="minorHAnsi"/>
        </w:rPr>
      </w:pPr>
      <w:r>
        <w:rPr>
          <w:rFonts w:ascii="Aptos" w:hAnsi="Aptos" w:cstheme="minorHAnsi"/>
        </w:rPr>
        <w:t>Relating it to</w:t>
      </w:r>
      <w:r w:rsidR="00FC38C8" w:rsidRPr="00FC38C8">
        <w:rPr>
          <w:rFonts w:ascii="Aptos" w:hAnsi="Aptos" w:cstheme="minorHAnsi"/>
        </w:rPr>
        <w:t xml:space="preserve"> </w:t>
      </w:r>
      <w:r>
        <w:rPr>
          <w:rFonts w:ascii="Aptos" w:hAnsi="Aptos" w:cstheme="minorHAnsi"/>
        </w:rPr>
        <w:t>Amira's experiences</w:t>
      </w:r>
      <w:r w:rsidR="00FC38C8" w:rsidRPr="00FC38C8">
        <w:rPr>
          <w:rFonts w:ascii="Aptos" w:hAnsi="Aptos" w:cstheme="minorHAnsi"/>
        </w:rPr>
        <w:t xml:space="preserve">, whose early environment was </w:t>
      </w:r>
      <w:proofErr w:type="spellStart"/>
      <w:r w:rsidR="00FC38C8" w:rsidRPr="00FC38C8">
        <w:rPr>
          <w:rFonts w:ascii="Aptos" w:hAnsi="Aptos" w:cstheme="minorHAnsi"/>
        </w:rPr>
        <w:t>characterised</w:t>
      </w:r>
      <w:proofErr w:type="spellEnd"/>
      <w:r w:rsidR="00FC38C8" w:rsidRPr="00FC38C8">
        <w:rPr>
          <w:rFonts w:ascii="Aptos" w:hAnsi="Aptos" w:cstheme="minorHAnsi"/>
        </w:rPr>
        <w:t xml:space="preserve"> by neglect and emotional inconsistency, DDP could offer a structured yet nurturing therapeutic space</w:t>
      </w:r>
      <w:r>
        <w:rPr>
          <w:rFonts w:ascii="Aptos" w:hAnsi="Aptos" w:cstheme="minorHAnsi"/>
        </w:rPr>
        <w:t xml:space="preserve"> fostering a sense of safety</w:t>
      </w:r>
      <w:r w:rsidR="003C744D">
        <w:rPr>
          <w:rFonts w:ascii="Aptos" w:hAnsi="Aptos" w:cstheme="minorHAnsi"/>
        </w:rPr>
        <w:t xml:space="preserve"> that</w:t>
      </w:r>
      <w:r w:rsidR="00537849">
        <w:rPr>
          <w:rFonts w:ascii="Aptos" w:hAnsi="Aptos" w:cstheme="minorHAnsi"/>
        </w:rPr>
        <w:t>, over time, will support Amira,</w:t>
      </w:r>
      <w:r w:rsidR="003C744D">
        <w:rPr>
          <w:rFonts w:ascii="Aptos" w:hAnsi="Aptos" w:cstheme="minorHAnsi"/>
        </w:rPr>
        <w:t xml:space="preserve"> and</w:t>
      </w:r>
      <w:r w:rsidR="00537849">
        <w:rPr>
          <w:rFonts w:ascii="Aptos" w:hAnsi="Aptos" w:cstheme="minorHAnsi"/>
        </w:rPr>
        <w:t xml:space="preserve"> will provided an environment where she may start to feel comfortable enough to</w:t>
      </w:r>
      <w:r w:rsidR="00FC38C8" w:rsidRPr="00FC38C8">
        <w:rPr>
          <w:rFonts w:ascii="Aptos" w:hAnsi="Aptos" w:cstheme="minorHAnsi"/>
        </w:rPr>
        <w:t xml:space="preserve"> begin to process her experiences and make sense of the feelings associated with them. Through the therapist’s </w:t>
      </w:r>
      <w:r w:rsidR="000C2EEF">
        <w:rPr>
          <w:rFonts w:ascii="Aptos" w:hAnsi="Aptos" w:cstheme="minorHAnsi"/>
        </w:rPr>
        <w:t>knowledge and ability to show empathy and understanding</w:t>
      </w:r>
      <w:r w:rsidR="009702B3">
        <w:rPr>
          <w:rFonts w:ascii="Aptos" w:hAnsi="Aptos" w:cstheme="minorHAnsi"/>
        </w:rPr>
        <w:t xml:space="preserve">, </w:t>
      </w:r>
      <w:r w:rsidR="00244557">
        <w:rPr>
          <w:rFonts w:ascii="Aptos" w:hAnsi="Aptos" w:cstheme="minorHAnsi"/>
        </w:rPr>
        <w:t>and through</w:t>
      </w:r>
      <w:r w:rsidR="009702B3">
        <w:rPr>
          <w:rFonts w:ascii="Aptos" w:hAnsi="Aptos" w:cstheme="minorHAnsi"/>
        </w:rPr>
        <w:t xml:space="preserve"> the co</w:t>
      </w:r>
      <w:r w:rsidR="009702B3">
        <w:rPr>
          <w:rFonts w:ascii="Cambria Math" w:hAnsi="Cambria Math" w:cs="Cambria Math"/>
        </w:rPr>
        <w:t>‑</w:t>
      </w:r>
      <w:r w:rsidR="009702B3">
        <w:rPr>
          <w:rFonts w:ascii="Aptos" w:hAnsi="Aptos" w:cstheme="minorHAnsi"/>
        </w:rPr>
        <w:t>regulation from</w:t>
      </w:r>
      <w:r w:rsidR="000C2EEF">
        <w:rPr>
          <w:rFonts w:ascii="Aptos" w:hAnsi="Aptos" w:cstheme="minorHAnsi"/>
        </w:rPr>
        <w:t xml:space="preserve"> her grandparents, Amira would be supported in developing</w:t>
      </w:r>
      <w:r w:rsidR="00FC38C8" w:rsidRPr="00FC38C8">
        <w:rPr>
          <w:rFonts w:ascii="Aptos" w:hAnsi="Aptos" w:cstheme="minorHAnsi"/>
        </w:rPr>
        <w:t xml:space="preserve"> new internal working models that promote trust, emotional safety, and the capacity to form secure relationships. This is particularly important given her current withdrawal and reluctance to engage with peers, which may reflect deep</w:t>
      </w:r>
      <w:r w:rsidR="00FC38C8" w:rsidRPr="00FC38C8">
        <w:rPr>
          <w:rFonts w:ascii="Cambria Math" w:hAnsi="Cambria Math" w:cs="Cambria Math"/>
        </w:rPr>
        <w:t>‑</w:t>
      </w:r>
      <w:r w:rsidR="00FC38C8" w:rsidRPr="00FC38C8">
        <w:rPr>
          <w:rFonts w:ascii="Aptos" w:hAnsi="Aptos" w:cstheme="minorHAnsi"/>
        </w:rPr>
        <w:t>seated fears about connection and vulnerability</w:t>
      </w:r>
      <w:r w:rsidR="00EA34BA">
        <w:rPr>
          <w:rFonts w:ascii="Aptos" w:hAnsi="Aptos" w:cstheme="minorHAnsi"/>
        </w:rPr>
        <w:t>.</w:t>
      </w:r>
    </w:p>
    <w:p w14:paraId="528B3FF3" w14:textId="387B4BE0" w:rsidR="006D721D" w:rsidRDefault="00633F90" w:rsidP="004051C8">
      <w:pPr>
        <w:spacing w:before="120" w:after="120" w:line="360" w:lineRule="auto"/>
        <w:rPr>
          <w:rFonts w:ascii="Aptos" w:hAnsi="Aptos" w:cstheme="minorHAnsi"/>
          <w:lang w:val="en-GB"/>
        </w:rPr>
      </w:pPr>
      <w:r w:rsidRPr="00633F90">
        <w:rPr>
          <w:rFonts w:ascii="Aptos" w:hAnsi="Aptos" w:cstheme="minorHAnsi"/>
          <w:lang w:val="en-GB"/>
        </w:rPr>
        <w:t xml:space="preserve">Comparing these forms of therapy critically reveals several important considerations for practice, particularly when working with children who have experienced relational trauma. Although CPP is especially beneficial for younger children and </w:t>
      </w:r>
      <w:r w:rsidR="00EA34BA">
        <w:rPr>
          <w:rFonts w:ascii="Aptos" w:hAnsi="Aptos" w:cstheme="minorHAnsi"/>
          <w:lang w:val="en-GB"/>
        </w:rPr>
        <w:t>supported by a strong,</w:t>
      </w:r>
      <w:r w:rsidRPr="00633F90">
        <w:rPr>
          <w:rFonts w:ascii="Aptos" w:hAnsi="Aptos" w:cstheme="minorHAnsi"/>
          <w:lang w:val="en-GB"/>
        </w:rPr>
        <w:t xml:space="preserve"> well</w:t>
      </w:r>
      <w:r w:rsidRPr="00633F90">
        <w:rPr>
          <w:rFonts w:ascii="Cambria Math" w:hAnsi="Cambria Math" w:cs="Cambria Math"/>
          <w:lang w:val="en-GB"/>
        </w:rPr>
        <w:t>‑</w:t>
      </w:r>
      <w:r w:rsidRPr="00633F90">
        <w:rPr>
          <w:rFonts w:ascii="Aptos" w:hAnsi="Aptos" w:cstheme="minorHAnsi"/>
          <w:lang w:val="en-GB"/>
        </w:rPr>
        <w:t>established evidence base, its duration and intensity can pose significant challenges for services already operating under considerable strain. CPP typically requires weekly sessions over an extended period and must be delivered by clinicians with specialist training, which can limit its accessibility in overstretched or under</w:t>
      </w:r>
      <w:r w:rsidRPr="00633F90">
        <w:rPr>
          <w:rFonts w:ascii="Cambria Math" w:hAnsi="Cambria Math" w:cs="Cambria Math"/>
          <w:lang w:val="en-GB"/>
        </w:rPr>
        <w:t>‑</w:t>
      </w:r>
      <w:r w:rsidRPr="00633F90">
        <w:rPr>
          <w:rFonts w:ascii="Aptos" w:hAnsi="Aptos" w:cstheme="minorHAnsi"/>
          <w:lang w:val="en-GB"/>
        </w:rPr>
        <w:t>resourced settings</w:t>
      </w:r>
      <w:r w:rsidR="001D2B43">
        <w:rPr>
          <w:rFonts w:ascii="Aptos" w:hAnsi="Aptos" w:cstheme="minorHAnsi"/>
          <w:lang w:val="en-GB"/>
        </w:rPr>
        <w:t xml:space="preserve"> </w:t>
      </w:r>
      <w:r w:rsidR="001D2B43" w:rsidRPr="001D2B43">
        <w:rPr>
          <w:rFonts w:ascii="Aptos" w:hAnsi="Aptos" w:cstheme="minorHAnsi"/>
          <w:lang w:val="en-GB"/>
        </w:rPr>
        <w:t>(Hagan et al., 2017)</w:t>
      </w:r>
      <w:r w:rsidR="00244557">
        <w:rPr>
          <w:rFonts w:ascii="Aptos" w:hAnsi="Aptos" w:cstheme="minorHAnsi"/>
          <w:lang w:val="en-GB"/>
        </w:rPr>
        <w:t>. This means</w:t>
      </w:r>
      <w:r w:rsidR="004A6927" w:rsidRPr="004A6927">
        <w:rPr>
          <w:rFonts w:ascii="Aptos" w:hAnsi="Aptos" w:cstheme="minorHAnsi"/>
          <w:lang w:val="en-GB"/>
        </w:rPr>
        <w:t xml:space="preserve"> that children like Amira may face long waiting lists or </w:t>
      </w:r>
      <w:r w:rsidR="00244557">
        <w:rPr>
          <w:rFonts w:ascii="Aptos" w:hAnsi="Aptos" w:cstheme="minorHAnsi"/>
          <w:lang w:val="en-GB"/>
        </w:rPr>
        <w:t>no</w:t>
      </w:r>
      <w:r w:rsidR="004A6927" w:rsidRPr="004A6927">
        <w:rPr>
          <w:rFonts w:ascii="Aptos" w:hAnsi="Aptos" w:cstheme="minorHAnsi"/>
          <w:lang w:val="en-GB"/>
        </w:rPr>
        <w:t xml:space="preserve"> access at all. This raises ethical concerns about recommending an intervention that may not be realistically available within the child’s timeframe of need.</w:t>
      </w:r>
      <w:r w:rsidRPr="00633F90">
        <w:rPr>
          <w:rFonts w:ascii="Aptos" w:hAnsi="Aptos" w:cstheme="minorHAnsi"/>
          <w:lang w:val="en-GB"/>
        </w:rPr>
        <w:t xml:space="preserve"> </w:t>
      </w:r>
    </w:p>
    <w:p w14:paraId="222CF793" w14:textId="7EDF5930" w:rsidR="00633F90" w:rsidRPr="00633F90" w:rsidRDefault="00633F90" w:rsidP="004051C8">
      <w:pPr>
        <w:spacing w:before="120" w:after="120" w:line="360" w:lineRule="auto"/>
        <w:rPr>
          <w:rFonts w:ascii="Aptos" w:hAnsi="Aptos" w:cstheme="minorHAnsi"/>
          <w:lang w:val="en-GB"/>
        </w:rPr>
      </w:pPr>
      <w:r w:rsidRPr="00633F90">
        <w:rPr>
          <w:rFonts w:ascii="Aptos" w:hAnsi="Aptos" w:cstheme="minorHAnsi"/>
          <w:lang w:val="en-GB"/>
        </w:rPr>
        <w:t xml:space="preserve">In contrast, DDP presents </w:t>
      </w:r>
      <w:r w:rsidR="00115D9D">
        <w:rPr>
          <w:rFonts w:ascii="Aptos" w:hAnsi="Aptos" w:cstheme="minorHAnsi"/>
          <w:lang w:val="en-GB"/>
        </w:rPr>
        <w:t>a</w:t>
      </w:r>
      <w:r w:rsidR="00EA34BA">
        <w:rPr>
          <w:rFonts w:ascii="Aptos" w:hAnsi="Aptos" w:cstheme="minorHAnsi"/>
          <w:lang w:val="en-GB"/>
        </w:rPr>
        <w:t xml:space="preserve"> potentially valuable</w:t>
      </w:r>
      <w:r w:rsidRPr="00633F90">
        <w:rPr>
          <w:rFonts w:ascii="Aptos" w:hAnsi="Aptos" w:cstheme="minorHAnsi"/>
          <w:lang w:val="en-GB"/>
        </w:rPr>
        <w:t xml:space="preserve"> option for Amira</w:t>
      </w:r>
      <w:r w:rsidRPr="00633F90">
        <w:rPr>
          <w:rFonts w:ascii="Aptos" w:hAnsi="Aptos" w:cs="Aptos"/>
          <w:lang w:val="en-GB"/>
        </w:rPr>
        <w:t>’</w:t>
      </w:r>
      <w:r w:rsidRPr="00633F90">
        <w:rPr>
          <w:rFonts w:ascii="Aptos" w:hAnsi="Aptos" w:cstheme="minorHAnsi"/>
          <w:lang w:val="en-GB"/>
        </w:rPr>
        <w:t>s grandparents, as it has demonstrated particular applicability in contexts involving alternative carers, such as kinship or foster placements</w:t>
      </w:r>
      <w:r w:rsidR="00244557">
        <w:rPr>
          <w:rFonts w:ascii="Aptos" w:hAnsi="Aptos" w:cstheme="minorHAnsi"/>
          <w:lang w:val="en-GB"/>
        </w:rPr>
        <w:t>, which provide</w:t>
      </w:r>
      <w:r w:rsidR="0025006B">
        <w:rPr>
          <w:rFonts w:ascii="Aptos" w:hAnsi="Aptos" w:cstheme="minorHAnsi"/>
          <w:lang w:val="en-GB"/>
        </w:rPr>
        <w:t xml:space="preserve"> </w:t>
      </w:r>
      <w:r w:rsidR="00DF288F">
        <w:rPr>
          <w:rFonts w:ascii="Aptos" w:hAnsi="Aptos" w:cstheme="minorHAnsi"/>
          <w:lang w:val="en-GB"/>
        </w:rPr>
        <w:t xml:space="preserve">a </w:t>
      </w:r>
      <w:r w:rsidR="0025006B" w:rsidRPr="0025006B">
        <w:rPr>
          <w:rFonts w:ascii="Aptos" w:hAnsi="Aptos" w:cstheme="minorHAnsi"/>
          <w:lang w:val="en-GB"/>
        </w:rPr>
        <w:t>relational environment that feels safe and predictable</w:t>
      </w:r>
      <w:r w:rsidRPr="00633F90">
        <w:rPr>
          <w:rFonts w:ascii="Aptos" w:hAnsi="Aptos" w:cstheme="minorHAnsi"/>
          <w:lang w:val="en-GB"/>
        </w:rPr>
        <w:t>.</w:t>
      </w:r>
      <w:r w:rsidR="0025006B">
        <w:rPr>
          <w:rFonts w:ascii="Aptos" w:hAnsi="Aptos" w:cstheme="minorHAnsi"/>
          <w:lang w:val="en-GB"/>
        </w:rPr>
        <w:t xml:space="preserve"> As well as being suited to </w:t>
      </w:r>
      <w:r w:rsidR="0025006B" w:rsidRPr="0025006B">
        <w:rPr>
          <w:rFonts w:ascii="Aptos" w:hAnsi="Aptos" w:cstheme="minorHAnsi"/>
          <w:lang w:val="en-GB"/>
        </w:rPr>
        <w:t xml:space="preserve"> Amira</w:t>
      </w:r>
      <w:r w:rsidR="0025006B" w:rsidRPr="0025006B">
        <w:rPr>
          <w:rFonts w:ascii="Aptos" w:hAnsi="Aptos" w:cs="Aptos"/>
          <w:lang w:val="en-GB"/>
        </w:rPr>
        <w:t>’</w:t>
      </w:r>
      <w:r w:rsidR="0025006B" w:rsidRPr="0025006B">
        <w:rPr>
          <w:rFonts w:ascii="Aptos" w:hAnsi="Aptos" w:cstheme="minorHAnsi"/>
          <w:lang w:val="en-GB"/>
        </w:rPr>
        <w:t xml:space="preserve">s current relational needs. Her early experiences of emotional inconsistency and neglect have likely impaired her capacity for </w:t>
      </w:r>
      <w:r w:rsidR="0025006B" w:rsidRPr="0025006B">
        <w:rPr>
          <w:rFonts w:ascii="Aptos" w:hAnsi="Aptos" w:cstheme="minorHAnsi"/>
          <w:lang w:val="en-GB"/>
        </w:rPr>
        <w:lastRenderedPageBreak/>
        <w:t>trust and co</w:t>
      </w:r>
      <w:r w:rsidR="0025006B" w:rsidRPr="0025006B">
        <w:rPr>
          <w:rFonts w:ascii="Cambria Math" w:hAnsi="Cambria Math" w:cs="Cambria Math"/>
          <w:lang w:val="en-GB"/>
        </w:rPr>
        <w:t>‑</w:t>
      </w:r>
      <w:r w:rsidR="0025006B" w:rsidRPr="0025006B">
        <w:rPr>
          <w:rFonts w:ascii="Aptos" w:hAnsi="Aptos" w:cstheme="minorHAnsi"/>
          <w:lang w:val="en-GB"/>
        </w:rPr>
        <w:t xml:space="preserve">regulation. </w:t>
      </w:r>
      <w:r w:rsidR="00DF288F">
        <w:rPr>
          <w:rFonts w:ascii="Aptos" w:hAnsi="Aptos" w:cstheme="minorHAnsi"/>
          <w:lang w:val="en-GB"/>
        </w:rPr>
        <w:t>However</w:t>
      </w:r>
      <w:r w:rsidR="00F51C4F">
        <w:rPr>
          <w:rFonts w:ascii="Aptos" w:hAnsi="Aptos" w:cstheme="minorHAnsi"/>
          <w:lang w:val="en-GB"/>
        </w:rPr>
        <w:t>, given DPP's</w:t>
      </w:r>
      <w:r w:rsidRPr="00633F90">
        <w:rPr>
          <w:rFonts w:ascii="Aptos" w:hAnsi="Aptos" w:cstheme="minorHAnsi"/>
          <w:lang w:val="en-GB"/>
        </w:rPr>
        <w:t xml:space="preserve"> smaller research base, existing studies suggest that DDP can be highly effective in supporting children whose early experiences have disrupted their capacity to trust and connect with caregivers.</w:t>
      </w:r>
      <w:r w:rsidR="007153F2">
        <w:rPr>
          <w:rFonts w:ascii="Aptos" w:hAnsi="Aptos" w:cstheme="minorHAnsi"/>
          <w:lang w:val="en-GB"/>
        </w:rPr>
        <w:t xml:space="preserve"> </w:t>
      </w:r>
      <w:r w:rsidR="00F51C4F">
        <w:rPr>
          <w:rFonts w:ascii="Aptos" w:hAnsi="Aptos" w:cstheme="minorHAnsi"/>
          <w:lang w:val="en-GB"/>
        </w:rPr>
        <w:t>This intervention still needs to be used with caution due</w:t>
      </w:r>
      <w:r w:rsidR="00D45D1A">
        <w:rPr>
          <w:rFonts w:ascii="Aptos" w:hAnsi="Aptos" w:cstheme="minorHAnsi"/>
          <w:lang w:val="en-GB"/>
        </w:rPr>
        <w:t xml:space="preserve"> to the lack of established knowledge and strategies to </w:t>
      </w:r>
      <w:r w:rsidR="00240F5C">
        <w:rPr>
          <w:rFonts w:ascii="Aptos" w:hAnsi="Aptos" w:cstheme="minorHAnsi"/>
          <w:lang w:val="en-GB"/>
        </w:rPr>
        <w:t xml:space="preserve">address </w:t>
      </w:r>
      <w:r w:rsidR="00244557">
        <w:rPr>
          <w:rFonts w:ascii="Aptos" w:hAnsi="Aptos" w:cstheme="minorHAnsi"/>
          <w:lang w:val="en-GB"/>
        </w:rPr>
        <w:t>specific</w:t>
      </w:r>
      <w:r w:rsidR="00240F5C">
        <w:rPr>
          <w:rFonts w:ascii="Aptos" w:hAnsi="Aptos" w:cstheme="minorHAnsi"/>
          <w:lang w:val="en-GB"/>
        </w:rPr>
        <w:t xml:space="preserve"> aspects of the treatment </w:t>
      </w:r>
      <w:r w:rsidR="00244557">
        <w:rPr>
          <w:rFonts w:ascii="Aptos" w:hAnsi="Aptos" w:cstheme="minorHAnsi"/>
          <w:lang w:val="en-GB"/>
        </w:rPr>
        <w:t>for</w:t>
      </w:r>
      <w:r w:rsidR="00240F5C">
        <w:rPr>
          <w:rFonts w:ascii="Aptos" w:hAnsi="Aptos" w:cstheme="minorHAnsi"/>
          <w:lang w:val="en-GB"/>
        </w:rPr>
        <w:t xml:space="preserve"> each individual.</w:t>
      </w:r>
    </w:p>
    <w:p w14:paraId="3222840A" w14:textId="0FD5D5B9" w:rsidR="00633F90" w:rsidRDefault="00633F90" w:rsidP="004051C8">
      <w:pPr>
        <w:spacing w:before="120" w:after="120" w:line="360" w:lineRule="auto"/>
        <w:rPr>
          <w:rFonts w:ascii="Aptos" w:hAnsi="Aptos" w:cstheme="minorHAnsi"/>
          <w:lang w:val="en-GB"/>
        </w:rPr>
      </w:pPr>
      <w:r w:rsidRPr="00633F90">
        <w:rPr>
          <w:rFonts w:ascii="Aptos" w:hAnsi="Aptos" w:cstheme="minorHAnsi"/>
          <w:lang w:val="en-GB"/>
        </w:rPr>
        <w:t>Both interventions share a strong emphasis on co</w:t>
      </w:r>
      <w:r w:rsidRPr="00633F90">
        <w:rPr>
          <w:rFonts w:ascii="Cambria Math" w:hAnsi="Cambria Math" w:cs="Cambria Math"/>
          <w:lang w:val="en-GB"/>
        </w:rPr>
        <w:t>‑</w:t>
      </w:r>
      <w:r w:rsidRPr="00633F90">
        <w:rPr>
          <w:rFonts w:ascii="Aptos" w:hAnsi="Aptos" w:cstheme="minorHAnsi"/>
          <w:lang w:val="en-GB"/>
        </w:rPr>
        <w:t>regulation of affect, relational repair, and emotional sensitivity</w:t>
      </w:r>
      <w:r w:rsidR="00244557">
        <w:rPr>
          <w:rFonts w:ascii="Aptos" w:hAnsi="Aptos" w:cstheme="minorHAnsi"/>
          <w:lang w:val="en-GB"/>
        </w:rPr>
        <w:t>,</w:t>
      </w:r>
      <w:r w:rsidR="00393609">
        <w:rPr>
          <w:rFonts w:ascii="Aptos" w:hAnsi="Aptos" w:cs="Aptos"/>
          <w:lang w:val="en-GB"/>
        </w:rPr>
        <w:t xml:space="preserve"> </w:t>
      </w:r>
      <w:r w:rsidRPr="00633F90">
        <w:rPr>
          <w:rFonts w:ascii="Aptos" w:hAnsi="Aptos" w:cstheme="minorHAnsi"/>
          <w:lang w:val="en-GB"/>
        </w:rPr>
        <w:t>core components of trauma</w:t>
      </w:r>
      <w:r w:rsidRPr="00633F90">
        <w:rPr>
          <w:rFonts w:ascii="Cambria Math" w:hAnsi="Cambria Math" w:cs="Cambria Math"/>
          <w:lang w:val="en-GB"/>
        </w:rPr>
        <w:t>‑</w:t>
      </w:r>
      <w:r w:rsidRPr="00633F90">
        <w:rPr>
          <w:rFonts w:ascii="Aptos" w:hAnsi="Aptos" w:cstheme="minorHAnsi"/>
          <w:lang w:val="en-GB"/>
        </w:rPr>
        <w:t xml:space="preserve">informed practice that are especially relevant for children who have experienced neglect. </w:t>
      </w:r>
      <w:r w:rsidR="00115D9D">
        <w:rPr>
          <w:rFonts w:ascii="Aptos" w:hAnsi="Aptos" w:cstheme="minorHAnsi"/>
          <w:lang w:val="en-GB"/>
        </w:rPr>
        <w:t>In</w:t>
      </w:r>
      <w:r w:rsidR="001C5F81">
        <w:rPr>
          <w:rFonts w:ascii="Aptos" w:hAnsi="Aptos" w:cstheme="minorHAnsi"/>
          <w:lang w:val="en-GB"/>
        </w:rPr>
        <w:t xml:space="preserve"> relation to</w:t>
      </w:r>
      <w:r w:rsidRPr="00633F90">
        <w:rPr>
          <w:rFonts w:ascii="Aptos" w:hAnsi="Aptos" w:cstheme="minorHAnsi"/>
          <w:lang w:val="en-GB"/>
        </w:rPr>
        <w:t xml:space="preserve"> Amira, whose early environment was marked by inconsistency and emotional unavailability, these relational elements are essential. CPP may be particularly beneficial in helping her grandparents understand how neglect has shaped her behaviour and emotional world, enabling them to respond with greater </w:t>
      </w:r>
      <w:r>
        <w:rPr>
          <w:rFonts w:ascii="Aptos" w:hAnsi="Aptos" w:cstheme="minorHAnsi"/>
          <w:lang w:val="en-GB"/>
        </w:rPr>
        <w:t>empathy</w:t>
      </w:r>
      <w:r w:rsidRPr="00633F90">
        <w:rPr>
          <w:rFonts w:ascii="Aptos" w:hAnsi="Aptos" w:cstheme="minorHAnsi"/>
          <w:lang w:val="en-GB"/>
        </w:rPr>
        <w:t xml:space="preserve"> and predictability. DDP, on the other hand, could support the development of a warm, emotionally attuned relational environment that fosters trust, safety, and improved emotional regulation through the PACE model</w:t>
      </w:r>
      <w:r w:rsidR="0015049C">
        <w:rPr>
          <w:rFonts w:ascii="Aptos" w:hAnsi="Aptos" w:cstheme="minorHAnsi"/>
          <w:lang w:val="en-GB"/>
        </w:rPr>
        <w:t xml:space="preserve"> </w:t>
      </w:r>
      <w:r w:rsidR="0015049C" w:rsidRPr="0015049C">
        <w:rPr>
          <w:rFonts w:ascii="Aptos" w:hAnsi="Aptos" w:cstheme="minorHAnsi"/>
          <w:lang w:val="en-GB"/>
        </w:rPr>
        <w:t xml:space="preserve"> (Playfulness, Acceptance, Curiosity, Empathy)</w:t>
      </w:r>
      <w:r w:rsidRPr="00633F90">
        <w:rPr>
          <w:rFonts w:ascii="Aptos" w:hAnsi="Aptos" w:cstheme="minorHAnsi"/>
          <w:lang w:val="en-GB"/>
        </w:rPr>
        <w:t>.</w:t>
      </w:r>
    </w:p>
    <w:p w14:paraId="642A4406" w14:textId="42A9A1C8" w:rsidR="001E1CF6" w:rsidRPr="001E1CF6" w:rsidRDefault="00C61F8A" w:rsidP="004051C8">
      <w:pPr>
        <w:spacing w:before="120" w:after="120" w:line="360" w:lineRule="auto"/>
        <w:rPr>
          <w:rFonts w:ascii="Aptos" w:hAnsi="Aptos" w:cstheme="minorHAnsi"/>
          <w:lang w:val="en-GB"/>
        </w:rPr>
      </w:pPr>
      <w:r>
        <w:rPr>
          <w:rFonts w:ascii="Aptos" w:hAnsi="Aptos" w:cstheme="minorHAnsi"/>
          <w:lang w:val="en-GB"/>
        </w:rPr>
        <w:t>As well as, when directly</w:t>
      </w:r>
      <w:r w:rsidR="001E1CF6" w:rsidRPr="001E1CF6">
        <w:rPr>
          <w:rFonts w:ascii="Aptos" w:hAnsi="Aptos" w:cstheme="minorHAnsi"/>
          <w:lang w:val="en-GB"/>
        </w:rPr>
        <w:t xml:space="preserve"> </w:t>
      </w:r>
      <w:r>
        <w:rPr>
          <w:rFonts w:ascii="Aptos" w:hAnsi="Aptos" w:cstheme="minorHAnsi"/>
          <w:lang w:val="en-GB"/>
        </w:rPr>
        <w:t>compared,</w:t>
      </w:r>
      <w:r w:rsidR="001E1CF6" w:rsidRPr="001E1CF6">
        <w:rPr>
          <w:rFonts w:ascii="Aptos" w:hAnsi="Aptos" w:cstheme="minorHAnsi"/>
          <w:lang w:val="en-GB"/>
        </w:rPr>
        <w:t xml:space="preserve"> CPP offers stronger empirical validation, particularly for trauma symptom reduction, but may be less accessible and more demanding for families and services. DDP offers relational depth and flexibility, making it highly relevant for children with attachment disruptions, but its evidence base is less robust and requires careful implementation.</w:t>
      </w:r>
    </w:p>
    <w:p w14:paraId="1C97C1DE" w14:textId="32C37A59" w:rsidR="00966397" w:rsidRDefault="00C61F8A" w:rsidP="004051C8">
      <w:pPr>
        <w:spacing w:before="120" w:after="120" w:line="360" w:lineRule="auto"/>
        <w:rPr>
          <w:rFonts w:ascii="Aptos" w:hAnsi="Aptos" w:cstheme="minorHAnsi"/>
          <w:lang w:val="en-GB"/>
        </w:rPr>
      </w:pPr>
      <w:r>
        <w:rPr>
          <w:rFonts w:ascii="Aptos" w:hAnsi="Aptos" w:cstheme="minorHAnsi"/>
          <w:lang w:val="en-GB"/>
        </w:rPr>
        <w:t xml:space="preserve">In </w:t>
      </w:r>
      <w:r w:rsidR="00966397">
        <w:rPr>
          <w:rFonts w:ascii="Aptos" w:hAnsi="Aptos" w:cstheme="minorHAnsi"/>
          <w:lang w:val="en-GB"/>
        </w:rPr>
        <w:t>Amira's</w:t>
      </w:r>
      <w:r>
        <w:rPr>
          <w:rFonts w:ascii="Aptos" w:hAnsi="Aptos" w:cstheme="minorHAnsi"/>
          <w:lang w:val="en-GB"/>
        </w:rPr>
        <w:t xml:space="preserve"> instance</w:t>
      </w:r>
      <w:r w:rsidR="001E1CF6" w:rsidRPr="001E1CF6">
        <w:rPr>
          <w:rFonts w:ascii="Aptos" w:hAnsi="Aptos" w:cstheme="minorHAnsi"/>
          <w:lang w:val="en-GB"/>
        </w:rPr>
        <w:t xml:space="preserve">, the most ethical and </w:t>
      </w:r>
      <w:r w:rsidR="00966397">
        <w:rPr>
          <w:rFonts w:ascii="Aptos" w:hAnsi="Aptos" w:cstheme="minorHAnsi"/>
          <w:lang w:val="en-GB"/>
        </w:rPr>
        <w:t>practical</w:t>
      </w:r>
      <w:r w:rsidR="001E1CF6" w:rsidRPr="001E1CF6">
        <w:rPr>
          <w:rFonts w:ascii="Aptos" w:hAnsi="Aptos" w:cstheme="minorHAnsi"/>
          <w:lang w:val="en-GB"/>
        </w:rPr>
        <w:t xml:space="preserve"> approach may not be choosing </w:t>
      </w:r>
      <w:r>
        <w:rPr>
          <w:rFonts w:ascii="Aptos" w:hAnsi="Aptos" w:cstheme="minorHAnsi"/>
          <w:lang w:val="en-GB"/>
        </w:rPr>
        <w:t>between interventions</w:t>
      </w:r>
      <w:r w:rsidR="001E1CF6" w:rsidRPr="001E1CF6">
        <w:rPr>
          <w:rFonts w:ascii="Aptos" w:hAnsi="Aptos" w:cstheme="minorHAnsi"/>
          <w:lang w:val="en-GB"/>
        </w:rPr>
        <w:t>, but rather integrating principles from both, depending on service availability, practitioner expertise, and the family’s readiness. This aligns with trauma</w:t>
      </w:r>
      <w:r w:rsidR="001E1CF6" w:rsidRPr="001E1CF6">
        <w:rPr>
          <w:rFonts w:ascii="Cambria Math" w:hAnsi="Cambria Math" w:cs="Cambria Math"/>
          <w:lang w:val="en-GB"/>
        </w:rPr>
        <w:t>‑</w:t>
      </w:r>
      <w:r w:rsidR="001E1CF6" w:rsidRPr="001E1CF6">
        <w:rPr>
          <w:rFonts w:ascii="Aptos" w:hAnsi="Aptos" w:cstheme="minorHAnsi"/>
          <w:lang w:val="en-GB"/>
        </w:rPr>
        <w:t>informed practice, which emphasises flexibility, relational safety, and responsiveness to the child</w:t>
      </w:r>
      <w:r w:rsidR="001E1CF6" w:rsidRPr="001E1CF6">
        <w:rPr>
          <w:rFonts w:ascii="Aptos" w:hAnsi="Aptos" w:cs="Aptos"/>
          <w:lang w:val="en-GB"/>
        </w:rPr>
        <w:t>’</w:t>
      </w:r>
      <w:r w:rsidR="001E1CF6" w:rsidRPr="001E1CF6">
        <w:rPr>
          <w:rFonts w:ascii="Aptos" w:hAnsi="Aptos" w:cstheme="minorHAnsi"/>
          <w:lang w:val="en-GB"/>
        </w:rPr>
        <w:t>s developmental stage.</w:t>
      </w:r>
      <w:r w:rsidR="00966397">
        <w:rPr>
          <w:rFonts w:ascii="Aptos" w:hAnsi="Aptos" w:cstheme="minorHAnsi"/>
          <w:lang w:val="en-GB"/>
        </w:rPr>
        <w:t xml:space="preserve"> </w:t>
      </w:r>
      <w:r w:rsidR="00244557">
        <w:rPr>
          <w:rFonts w:ascii="Aptos" w:hAnsi="Aptos" w:cstheme="minorHAnsi"/>
          <w:lang w:val="en-GB"/>
        </w:rPr>
        <w:t>Amira's specific developmental needs are acknowledged, as are a range of contextual factors</w:t>
      </w:r>
      <w:r w:rsidR="00633F90" w:rsidRPr="00633F90">
        <w:rPr>
          <w:rFonts w:ascii="Aptos" w:hAnsi="Aptos" w:cstheme="minorHAnsi"/>
          <w:lang w:val="en-GB"/>
        </w:rPr>
        <w:t xml:space="preserve">. </w:t>
      </w:r>
    </w:p>
    <w:p w14:paraId="221D5989" w14:textId="4FE4EE53" w:rsidR="00E6354C" w:rsidRDefault="00966397" w:rsidP="004051C8">
      <w:pPr>
        <w:spacing w:before="120" w:after="120" w:line="360" w:lineRule="auto"/>
        <w:rPr>
          <w:rFonts w:ascii="Aptos" w:hAnsi="Aptos" w:cstheme="minorHAnsi"/>
          <w:lang w:val="en-GB"/>
        </w:rPr>
      </w:pPr>
      <w:r>
        <w:rPr>
          <w:rFonts w:ascii="Aptos" w:hAnsi="Aptos" w:cstheme="minorHAnsi"/>
          <w:lang w:val="en-GB"/>
        </w:rPr>
        <w:lastRenderedPageBreak/>
        <w:t>Overall</w:t>
      </w:r>
      <w:r w:rsidR="00633F90" w:rsidRPr="00633F90">
        <w:rPr>
          <w:rFonts w:ascii="Aptos" w:hAnsi="Aptos" w:cstheme="minorHAnsi"/>
          <w:lang w:val="en-GB"/>
        </w:rPr>
        <w:t xml:space="preserve"> approaches offer valuable pathways to recovery, but their effectiveness will be shaped by how well they align with the resources, readiness, and relational dynamics of Amira’s caregiving environment.</w:t>
      </w:r>
    </w:p>
    <w:p w14:paraId="3FF8A6AE" w14:textId="65E6AFB9" w:rsidR="00C47CBF" w:rsidRPr="00C47CBF" w:rsidRDefault="00C47CBF" w:rsidP="004051C8">
      <w:pPr>
        <w:spacing w:before="120" w:after="120" w:line="360" w:lineRule="auto"/>
        <w:rPr>
          <w:rFonts w:ascii="Aptos" w:hAnsi="Aptos" w:cstheme="minorHAnsi"/>
        </w:rPr>
      </w:pPr>
      <w:r w:rsidRPr="00C47CBF">
        <w:rPr>
          <w:rFonts w:ascii="Aptos" w:hAnsi="Aptos" w:cstheme="minorHAnsi"/>
        </w:rPr>
        <w:t xml:space="preserve">Alongside therapeutic interventions, a Family Support Worker (FSW) plays a significant role in supporting Amira’s grandparents by </w:t>
      </w:r>
      <w:r w:rsidR="00115D9D">
        <w:rPr>
          <w:rFonts w:ascii="Aptos" w:hAnsi="Aptos" w:cstheme="minorHAnsi"/>
        </w:rPr>
        <w:t>providing practical assistance, establishing</w:t>
      </w:r>
      <w:r w:rsidRPr="00C47CBF">
        <w:rPr>
          <w:rFonts w:ascii="Aptos" w:hAnsi="Aptos" w:cstheme="minorHAnsi"/>
        </w:rPr>
        <w:t xml:space="preserve"> consistent routines, and ensuring access to essential resources (Frost et al., 2015). Although FSW support is not therapeutic in itself, it provides the structural stability that enables therapeutic work to be effective. Morris (2012) argues that practical, relationship</w:t>
      </w:r>
      <w:r w:rsidRPr="00C47CBF">
        <w:rPr>
          <w:rFonts w:ascii="Cambria Math" w:hAnsi="Cambria Math" w:cs="Cambria Math"/>
        </w:rPr>
        <w:t>‑</w:t>
      </w:r>
      <w:r w:rsidRPr="00C47CBF">
        <w:rPr>
          <w:rFonts w:ascii="Aptos" w:hAnsi="Aptos" w:cstheme="minorHAnsi"/>
        </w:rPr>
        <w:t xml:space="preserve">based family support is often the foundation upon which more intensive interventions can take root, as children are better able to engage in therapy when their home environment is predictable, </w:t>
      </w:r>
      <w:proofErr w:type="spellStart"/>
      <w:r w:rsidRPr="00C47CBF">
        <w:rPr>
          <w:rFonts w:ascii="Aptos" w:hAnsi="Aptos" w:cstheme="minorHAnsi"/>
        </w:rPr>
        <w:t>organised</w:t>
      </w:r>
      <w:proofErr w:type="spellEnd"/>
      <w:r w:rsidRPr="00C47CBF">
        <w:rPr>
          <w:rFonts w:ascii="Aptos" w:hAnsi="Aptos" w:cstheme="minorHAnsi"/>
        </w:rPr>
        <w:t xml:space="preserve">, and emotionally containing. For Amira, whose early experiences were </w:t>
      </w:r>
      <w:proofErr w:type="spellStart"/>
      <w:r w:rsidRPr="00C47CBF">
        <w:rPr>
          <w:rFonts w:ascii="Aptos" w:hAnsi="Aptos" w:cstheme="minorHAnsi"/>
        </w:rPr>
        <w:t>characterised</w:t>
      </w:r>
      <w:proofErr w:type="spellEnd"/>
      <w:r w:rsidRPr="00C47CBF">
        <w:rPr>
          <w:rFonts w:ascii="Aptos" w:hAnsi="Aptos" w:cstheme="minorHAnsi"/>
        </w:rPr>
        <w:t xml:space="preserve"> by instability and unmet needs, the presence of an FSW can help her grandparents create a nurturing, structured environment that supports her sense of safety and reduces the daily stressors that may otherwise undermine therapeutic progress.</w:t>
      </w:r>
    </w:p>
    <w:p w14:paraId="2EB9CA6F" w14:textId="7F21C386" w:rsidR="00052911" w:rsidRDefault="00C47CBF" w:rsidP="004051C8">
      <w:pPr>
        <w:spacing w:before="120" w:after="120" w:line="360" w:lineRule="auto"/>
        <w:rPr>
          <w:rFonts w:ascii="Aptos" w:hAnsi="Aptos" w:cstheme="minorHAnsi"/>
        </w:rPr>
      </w:pPr>
      <w:r w:rsidRPr="00C47CBF">
        <w:rPr>
          <w:rFonts w:ascii="Aptos" w:hAnsi="Aptos" w:cstheme="minorHAnsi"/>
        </w:rPr>
        <w:t xml:space="preserve">Reducing the impact of ACEs also requires a deliberate strengthening of protective factors around the child. Stable caregiving, supportive school environments, and positive peer relationships all play a crucial role in buffering the effects of trauma and promoting resilience. Early intervention is </w:t>
      </w:r>
      <w:r w:rsidR="00115D9D">
        <w:rPr>
          <w:rFonts w:ascii="Aptos" w:hAnsi="Aptos" w:cstheme="minorHAnsi"/>
        </w:rPr>
        <w:t>significant</w:t>
      </w:r>
      <w:r w:rsidRPr="00C47CBF">
        <w:rPr>
          <w:rFonts w:ascii="Aptos" w:hAnsi="Aptos" w:cstheme="minorHAnsi"/>
        </w:rPr>
        <w:t>, as it can prevent toxic stress from becoming biologically embedded and shaping a child’s developmental trajectory in harmful ways (</w:t>
      </w:r>
      <w:proofErr w:type="spellStart"/>
      <w:r w:rsidRPr="00C47CBF">
        <w:rPr>
          <w:rFonts w:ascii="Aptos" w:hAnsi="Aptos" w:cstheme="minorHAnsi"/>
        </w:rPr>
        <w:t>Biglan</w:t>
      </w:r>
      <w:proofErr w:type="spellEnd"/>
      <w:r w:rsidRPr="00C47CBF">
        <w:rPr>
          <w:rFonts w:ascii="Aptos" w:hAnsi="Aptos" w:cstheme="minorHAnsi"/>
        </w:rPr>
        <w:t xml:space="preserve"> et al., 2017). For Amira, strong multi</w:t>
      </w:r>
      <w:r w:rsidRPr="00C47CBF">
        <w:rPr>
          <w:rFonts w:ascii="Cambria Math" w:hAnsi="Cambria Math" w:cs="Cambria Math"/>
        </w:rPr>
        <w:t>‑</w:t>
      </w:r>
      <w:r w:rsidRPr="00C47CBF">
        <w:rPr>
          <w:rFonts w:ascii="Aptos" w:hAnsi="Aptos" w:cstheme="minorHAnsi"/>
        </w:rPr>
        <w:t xml:space="preserve">agency collaboration between school staff, social care, and health professionals is essential to ensure that her needs are understood holistically and addressed consistently across settings. When therapeutic support is combined with practical assistance, educational stability, and relational </w:t>
      </w:r>
      <w:r w:rsidR="003B6861">
        <w:rPr>
          <w:rFonts w:ascii="Aptos" w:hAnsi="Aptos" w:cstheme="minorHAnsi"/>
        </w:rPr>
        <w:t>connectivity</w:t>
      </w:r>
      <w:r w:rsidR="00451CF2">
        <w:rPr>
          <w:rFonts w:ascii="Aptos" w:hAnsi="Aptos" w:cstheme="minorHAnsi"/>
        </w:rPr>
        <w:t>,</w:t>
      </w:r>
      <w:r w:rsidRPr="00C47CBF">
        <w:rPr>
          <w:rFonts w:ascii="Aptos" w:hAnsi="Aptos" w:cstheme="minorHAnsi"/>
        </w:rPr>
        <w:t xml:space="preserve"> children are far more likely to recover from early adversity. Through this integrated approach</w:t>
      </w:r>
      <w:r w:rsidR="00633A18">
        <w:rPr>
          <w:rFonts w:ascii="Aptos" w:hAnsi="Aptos" w:cstheme="minorHAnsi"/>
        </w:rPr>
        <w:t xml:space="preserve">, </w:t>
      </w:r>
      <w:r w:rsidR="003B6861">
        <w:rPr>
          <w:rFonts w:ascii="Aptos" w:hAnsi="Aptos" w:cstheme="minorHAnsi"/>
        </w:rPr>
        <w:t>which brings together therapeutic interventions, environmental stability, and coordinated professional support, practitioners can help Amira regain a sense of safety, strengthen her capacity to form healthy relationships, and develop the emotional regulation skills necessary for long</w:t>
      </w:r>
      <w:r w:rsidR="003B6861">
        <w:rPr>
          <w:rFonts w:ascii="Cambria Math" w:hAnsi="Cambria Math" w:cs="Cambria Math"/>
        </w:rPr>
        <w:t>‑</w:t>
      </w:r>
      <w:r w:rsidR="003B6861">
        <w:rPr>
          <w:rFonts w:ascii="Aptos" w:hAnsi="Aptos" w:cstheme="minorHAnsi"/>
        </w:rPr>
        <w:t>term well-being</w:t>
      </w:r>
      <w:r w:rsidRPr="00C47CBF">
        <w:rPr>
          <w:rFonts w:ascii="Aptos" w:hAnsi="Aptos" w:cstheme="minorHAnsi"/>
        </w:rPr>
        <w:t xml:space="preserve"> (DfE, 2025).</w:t>
      </w:r>
    </w:p>
    <w:p w14:paraId="7A3EB1D6" w14:textId="3804E45E" w:rsidR="00697379" w:rsidRDefault="006B7B68" w:rsidP="004051C8">
      <w:pPr>
        <w:spacing w:before="120" w:after="120" w:line="360" w:lineRule="auto"/>
        <w:rPr>
          <w:rFonts w:ascii="Aptos" w:hAnsi="Aptos" w:cstheme="minorHAnsi"/>
        </w:rPr>
      </w:pPr>
      <w:r w:rsidRPr="00423C25">
        <w:rPr>
          <w:rFonts w:ascii="Aptos" w:hAnsi="Aptos" w:cstheme="minorHAnsi"/>
        </w:rPr>
        <w:lastRenderedPageBreak/>
        <w:t xml:space="preserve">While interventions are crucial for Amira's well-being, their effectiveness is partly determined by practitioners' resilience. Working with trauma professionals at risk of burnout and compassion fatigue (Oberg et al., 2023). </w:t>
      </w:r>
      <w:r w:rsidR="00957FDF" w:rsidRPr="00957FDF">
        <w:rPr>
          <w:rFonts w:ascii="Aptos" w:hAnsi="Aptos" w:cstheme="minorHAnsi"/>
        </w:rPr>
        <w:t>Professional resilience is not simply a desirable quality in trauma</w:t>
      </w:r>
      <w:r w:rsidR="00957FDF" w:rsidRPr="00957FDF">
        <w:rPr>
          <w:rFonts w:ascii="Cambria Math" w:hAnsi="Cambria Math" w:cs="Cambria Math"/>
        </w:rPr>
        <w:t>‑</w:t>
      </w:r>
      <w:r w:rsidR="00957FDF" w:rsidRPr="00957FDF">
        <w:rPr>
          <w:rFonts w:ascii="Aptos" w:hAnsi="Aptos" w:cstheme="minorHAnsi"/>
        </w:rPr>
        <w:t>informed practice; it is an ethical necessity. Practitioners working with children like Amira are repeatedly exposed to narratives of neglect, deprivation, and emotional pain</w:t>
      </w:r>
      <w:r w:rsidR="00957FDF">
        <w:rPr>
          <w:rFonts w:ascii="Aptos" w:hAnsi="Aptos" w:cstheme="minorHAnsi"/>
        </w:rPr>
        <w:t xml:space="preserve"> if not </w:t>
      </w:r>
      <w:r w:rsidR="008C2EAF">
        <w:rPr>
          <w:rFonts w:ascii="Aptos" w:hAnsi="Aptos" w:cstheme="minorHAnsi"/>
        </w:rPr>
        <w:t>dealt with.</w:t>
      </w:r>
      <w:r w:rsidR="00697379">
        <w:rPr>
          <w:rFonts w:ascii="Aptos" w:hAnsi="Aptos" w:cstheme="minorHAnsi"/>
        </w:rPr>
        <w:t xml:space="preserve"> </w:t>
      </w:r>
      <w:r w:rsidRPr="00423C25">
        <w:rPr>
          <w:rFonts w:ascii="Aptos" w:hAnsi="Aptos" w:cstheme="minorHAnsi"/>
        </w:rPr>
        <w:t xml:space="preserve">Practitioners who work with trauma are at risk of developing secondary traumatic stress because they could be exposed to and </w:t>
      </w:r>
      <w:proofErr w:type="spellStart"/>
      <w:r w:rsidRPr="00423C25">
        <w:rPr>
          <w:rFonts w:ascii="Aptos" w:hAnsi="Aptos" w:cstheme="minorHAnsi"/>
        </w:rPr>
        <w:t>internalise</w:t>
      </w:r>
      <w:proofErr w:type="spellEnd"/>
      <w:r w:rsidRPr="00423C25">
        <w:rPr>
          <w:rFonts w:ascii="Aptos" w:hAnsi="Aptos" w:cstheme="minorHAnsi"/>
        </w:rPr>
        <w:t xml:space="preserve"> uncomfortable experiences shared by the children and families they support. (Cleary et al., 2023) </w:t>
      </w:r>
    </w:p>
    <w:p w14:paraId="76F6EBBF" w14:textId="7CDDB9CA" w:rsidR="009E7B2A" w:rsidRDefault="009E7B2A" w:rsidP="004051C8">
      <w:pPr>
        <w:spacing w:before="120" w:after="120" w:line="360" w:lineRule="auto"/>
        <w:rPr>
          <w:rFonts w:ascii="Aptos" w:hAnsi="Aptos" w:cstheme="minorHAnsi"/>
          <w:lang w:val="en-GB"/>
        </w:rPr>
      </w:pPr>
      <w:r w:rsidRPr="009E7B2A">
        <w:rPr>
          <w:rFonts w:ascii="Aptos" w:hAnsi="Aptos" w:cstheme="minorHAnsi"/>
          <w:lang w:val="en-GB"/>
        </w:rPr>
        <w:t xml:space="preserve">Compassion fatigue is different from burnout in that it is directly related to empathic interaction with trauma survivors, emerging from the emotional cost of caring for those who have experienced significant harm </w:t>
      </w:r>
      <w:r w:rsidR="00C30B13" w:rsidRPr="00C30B13">
        <w:rPr>
          <w:rFonts w:ascii="Aptos" w:hAnsi="Aptos" w:cstheme="minorHAnsi"/>
          <w:lang w:val="en-GB"/>
        </w:rPr>
        <w:t>(Cocker &amp; Joss, 2016)</w:t>
      </w:r>
      <w:r w:rsidR="00C30B13">
        <w:rPr>
          <w:rFonts w:ascii="Aptos" w:hAnsi="Aptos" w:cstheme="minorHAnsi"/>
          <w:lang w:val="en-GB"/>
        </w:rPr>
        <w:t xml:space="preserve"> </w:t>
      </w:r>
      <w:r w:rsidRPr="009E7B2A">
        <w:rPr>
          <w:rFonts w:ascii="Aptos" w:hAnsi="Aptos" w:cstheme="minorHAnsi"/>
          <w:lang w:val="en-GB"/>
        </w:rPr>
        <w:t xml:space="preserve">In Amira’s instance, her open disclosure of being left alone for extended periods, going without food, and living in unsafe surroundings can evoke strong emotional responses from practitioners, particularly those who have personal histories of adversity and are therefore more vulnerable to secondary traumatic stress </w:t>
      </w:r>
      <w:r w:rsidR="007B55D6" w:rsidRPr="007B55D6">
        <w:rPr>
          <w:rFonts w:ascii="Aptos" w:hAnsi="Aptos" w:cstheme="minorHAnsi"/>
          <w:lang w:val="en-GB"/>
        </w:rPr>
        <w:t>(Mach et al., 2017)</w:t>
      </w:r>
      <w:r w:rsidRPr="009E7B2A">
        <w:rPr>
          <w:rFonts w:ascii="Aptos" w:hAnsi="Aptos" w:cstheme="minorHAnsi"/>
          <w:lang w:val="en-GB"/>
        </w:rPr>
        <w:t>. Practitioners working with traumatised children frequently report heightened levels of compassion fatigue due to repeated exposure to distressing narratives, making reflective supervision and self</w:t>
      </w:r>
      <w:r w:rsidRPr="009E7B2A">
        <w:rPr>
          <w:rFonts w:ascii="Cambria Math" w:hAnsi="Cambria Math" w:cs="Cambria Math"/>
          <w:lang w:val="en-GB"/>
        </w:rPr>
        <w:t>‑</w:t>
      </w:r>
      <w:r w:rsidRPr="009E7B2A">
        <w:rPr>
          <w:rFonts w:ascii="Aptos" w:hAnsi="Aptos" w:cstheme="minorHAnsi"/>
          <w:lang w:val="en-GB"/>
        </w:rPr>
        <w:t xml:space="preserve">care essential components of safe practice </w:t>
      </w:r>
      <w:r w:rsidR="0025655E" w:rsidRPr="0025655E">
        <w:rPr>
          <w:rFonts w:ascii="Aptos" w:hAnsi="Aptos" w:cstheme="minorHAnsi"/>
          <w:lang w:val="en-GB"/>
        </w:rPr>
        <w:t>(Sprang et al., 2011)</w:t>
      </w:r>
    </w:p>
    <w:p w14:paraId="4CFC229A" w14:textId="5356C97E" w:rsidR="006B7B68" w:rsidRPr="00697379" w:rsidRDefault="006B7B68" w:rsidP="004051C8">
      <w:pPr>
        <w:spacing w:before="120" w:after="120" w:line="360" w:lineRule="auto"/>
        <w:rPr>
          <w:rFonts w:ascii="Aptos" w:hAnsi="Aptos" w:cstheme="minorHAnsi"/>
          <w:lang w:val="en-GB"/>
        </w:rPr>
      </w:pPr>
      <w:r w:rsidRPr="006B7B68">
        <w:rPr>
          <w:rFonts w:ascii="Aptos" w:hAnsi="Aptos" w:cstheme="minorHAnsi"/>
          <w:lang w:val="en-GB"/>
        </w:rPr>
        <w:t xml:space="preserve">Secondary traumatic stress, which mimics the signs of post-traumatic stress disorder but results from indirect exposure to trauma, is another serious concern that can </w:t>
      </w:r>
      <w:r w:rsidR="00115D9D">
        <w:rPr>
          <w:rFonts w:ascii="Aptos" w:hAnsi="Aptos" w:cstheme="minorHAnsi"/>
          <w:lang w:val="en-GB"/>
        </w:rPr>
        <w:t>arise</w:t>
      </w:r>
      <w:r w:rsidRPr="006B7B68">
        <w:rPr>
          <w:rFonts w:ascii="Aptos" w:hAnsi="Aptos" w:cstheme="minorHAnsi"/>
          <w:lang w:val="en-GB"/>
        </w:rPr>
        <w:t xml:space="preserve"> </w:t>
      </w:r>
      <w:r w:rsidR="000A0194" w:rsidRPr="000A0194">
        <w:rPr>
          <w:rFonts w:ascii="Aptos" w:hAnsi="Aptos" w:cstheme="minorHAnsi"/>
          <w:lang w:val="en-GB"/>
        </w:rPr>
        <w:t>(Cieslak et al., 2014)</w:t>
      </w:r>
      <w:r w:rsidRPr="006B7B68">
        <w:rPr>
          <w:rFonts w:ascii="Aptos" w:hAnsi="Aptos" w:cstheme="minorHAnsi"/>
          <w:lang w:val="en-GB"/>
        </w:rPr>
        <w:t xml:space="preserve"> Practitioners may endure sleep difficulties, become hypervigilant in their own surroundings, or become fixated on the child's experiences</w:t>
      </w:r>
      <w:r w:rsidR="00E3323A">
        <w:rPr>
          <w:rFonts w:ascii="Aptos" w:hAnsi="Aptos" w:cstheme="minorHAnsi"/>
          <w:lang w:val="en-GB"/>
        </w:rPr>
        <w:t xml:space="preserve"> </w:t>
      </w:r>
      <w:r w:rsidR="00E3323A" w:rsidRPr="00E3323A">
        <w:rPr>
          <w:rFonts w:ascii="Aptos" w:hAnsi="Aptos" w:cstheme="minorHAnsi"/>
          <w:lang w:val="en-GB"/>
        </w:rPr>
        <w:t>(Kira et al., 2020)</w:t>
      </w:r>
      <w:r w:rsidRPr="006B7B68">
        <w:rPr>
          <w:rFonts w:ascii="Aptos" w:hAnsi="Aptos" w:cstheme="minorHAnsi"/>
          <w:lang w:val="en-GB"/>
        </w:rPr>
        <w:t xml:space="preserve"> Working with young children, whose vulnerability triggers strong protective impulses, increases the likelihood of this. Secondary traumatic stress is a significant issue because of Amira's</w:t>
      </w:r>
      <w:r w:rsidR="00115D9D">
        <w:rPr>
          <w:rFonts w:ascii="Aptos" w:hAnsi="Aptos" w:cstheme="minorHAnsi"/>
          <w:lang w:val="en-GB"/>
        </w:rPr>
        <w:t xml:space="preserve"> </w:t>
      </w:r>
      <w:r w:rsidRPr="006B7B68">
        <w:rPr>
          <w:rFonts w:ascii="Aptos" w:hAnsi="Aptos" w:cstheme="minorHAnsi"/>
          <w:lang w:val="en-GB"/>
        </w:rPr>
        <w:t>age, apparent distress, and the extent of her neglect, which may increase the emotional impact on professionals.</w:t>
      </w:r>
    </w:p>
    <w:p w14:paraId="0C95EB61" w14:textId="0E150ACA" w:rsidR="0080369A" w:rsidRPr="000D3300" w:rsidRDefault="00697379" w:rsidP="004051C8">
      <w:pPr>
        <w:spacing w:before="120" w:after="120" w:line="360" w:lineRule="auto"/>
        <w:rPr>
          <w:rFonts w:ascii="Aptos" w:hAnsi="Aptos" w:cstheme="minorHAnsi"/>
          <w:lang w:val="en-GB"/>
        </w:rPr>
      </w:pPr>
      <w:r>
        <w:rPr>
          <w:rFonts w:ascii="Aptos" w:hAnsi="Aptos" w:cstheme="minorHAnsi"/>
        </w:rPr>
        <w:lastRenderedPageBreak/>
        <w:t xml:space="preserve">Therefore, to </w:t>
      </w:r>
      <w:r w:rsidR="003D22A0">
        <w:rPr>
          <w:rFonts w:ascii="Aptos" w:hAnsi="Aptos" w:cstheme="minorHAnsi"/>
        </w:rPr>
        <w:t xml:space="preserve">regulate these </w:t>
      </w:r>
      <w:r w:rsidR="00115D9D">
        <w:rPr>
          <w:rFonts w:ascii="Aptos" w:hAnsi="Aptos" w:cstheme="minorHAnsi"/>
        </w:rPr>
        <w:t>emotions safely, regular reflective supervision is</w:t>
      </w:r>
      <w:r w:rsidR="003D22A0">
        <w:rPr>
          <w:rFonts w:ascii="Aptos" w:hAnsi="Aptos" w:cstheme="minorHAnsi"/>
        </w:rPr>
        <w:t xml:space="preserve"> key</w:t>
      </w:r>
      <w:r w:rsidR="000D3300">
        <w:rPr>
          <w:rFonts w:ascii="Aptos" w:hAnsi="Aptos" w:cstheme="minorHAnsi"/>
        </w:rPr>
        <w:t xml:space="preserve"> </w:t>
      </w:r>
      <w:r w:rsidR="000D3300" w:rsidRPr="000D3300">
        <w:rPr>
          <w:rFonts w:ascii="Aptos" w:hAnsi="Aptos" w:cstheme="minorHAnsi"/>
          <w:lang w:val="en-GB"/>
        </w:rPr>
        <w:t>(Varghese et al., 2018)</w:t>
      </w:r>
      <w:r w:rsidR="00DC718C">
        <w:rPr>
          <w:rFonts w:ascii="Aptos" w:hAnsi="Aptos" w:cstheme="minorHAnsi"/>
          <w:lang w:val="en-GB"/>
        </w:rPr>
        <w:t>.</w:t>
      </w:r>
      <w:r w:rsidR="00115D9D">
        <w:rPr>
          <w:rFonts w:ascii="Aptos" w:hAnsi="Aptos" w:cstheme="minorHAnsi"/>
        </w:rPr>
        <w:t xml:space="preserve"> It</w:t>
      </w:r>
      <w:r w:rsidR="006B7B68" w:rsidRPr="00423C25">
        <w:rPr>
          <w:rFonts w:ascii="Aptos" w:hAnsi="Aptos" w:cstheme="minorHAnsi"/>
        </w:rPr>
        <w:t xml:space="preserve"> provides a structured space to explore emotional responses, </w:t>
      </w:r>
      <w:proofErr w:type="spellStart"/>
      <w:r w:rsidR="006B7B68" w:rsidRPr="00423C25">
        <w:rPr>
          <w:rFonts w:ascii="Aptos" w:hAnsi="Aptos" w:cstheme="minorHAnsi"/>
        </w:rPr>
        <w:t>recognise</w:t>
      </w:r>
      <w:proofErr w:type="spellEnd"/>
      <w:r w:rsidR="006B7B68" w:rsidRPr="00423C25">
        <w:rPr>
          <w:rFonts w:ascii="Aptos" w:hAnsi="Aptos" w:cstheme="minorHAnsi"/>
        </w:rPr>
        <w:t xml:space="preserve"> early signs of stress, and maintain healthy boundaries. Helping prevent countertransference, which occurs when practitioners overidentify with a client's experiences, undermining therapy boundaries and reducing effectiveness. (</w:t>
      </w:r>
      <w:proofErr w:type="spellStart"/>
      <w:r w:rsidR="006B7B68" w:rsidRPr="00423C25">
        <w:rPr>
          <w:rFonts w:ascii="Aptos" w:hAnsi="Aptos" w:cstheme="minorHAnsi"/>
        </w:rPr>
        <w:t>Whittenbury</w:t>
      </w:r>
      <w:proofErr w:type="spellEnd"/>
      <w:r w:rsidR="006B7B68" w:rsidRPr="00423C25">
        <w:rPr>
          <w:rFonts w:ascii="Aptos" w:hAnsi="Aptos" w:cstheme="minorHAnsi"/>
        </w:rPr>
        <w:t xml:space="preserve"> et al., 2025)</w:t>
      </w:r>
    </w:p>
    <w:p w14:paraId="6E73A959" w14:textId="719BDD58" w:rsidR="0080369A" w:rsidRPr="00423C25" w:rsidRDefault="006B7B68" w:rsidP="004051C8">
      <w:pPr>
        <w:spacing w:before="120" w:after="120" w:line="360" w:lineRule="auto"/>
        <w:rPr>
          <w:rFonts w:ascii="Aptos" w:hAnsi="Aptos" w:cstheme="minorHAnsi"/>
        </w:rPr>
      </w:pPr>
      <w:r w:rsidRPr="00423C25">
        <w:rPr>
          <w:rFonts w:ascii="Aptos" w:hAnsi="Aptos" w:cstheme="minorHAnsi"/>
        </w:rPr>
        <w:t>El Husseini et al. (2016) contend that trauma work can also disrupt practitioner identity, resulting in feelings of inadequacy or powerlessness. Practitioners risk not being the best they can be, not only in themselves but also in their work</w:t>
      </w:r>
      <w:r w:rsidR="00F23290">
        <w:rPr>
          <w:rFonts w:ascii="Aptos" w:hAnsi="Aptos" w:cstheme="minorHAnsi"/>
        </w:rPr>
        <w:t>, without</w:t>
      </w:r>
      <w:r w:rsidRPr="00423C25">
        <w:rPr>
          <w:rFonts w:ascii="Aptos" w:hAnsi="Aptos" w:cstheme="minorHAnsi"/>
        </w:rPr>
        <w:t xml:space="preserve"> self-care, which is detrimental to both them and those whom they support. </w:t>
      </w:r>
    </w:p>
    <w:p w14:paraId="6634B59D" w14:textId="5A6658BC" w:rsidR="0080369A" w:rsidRPr="000A34EA" w:rsidRDefault="006B7B68" w:rsidP="004051C8">
      <w:pPr>
        <w:spacing w:before="120" w:after="120" w:line="360" w:lineRule="auto"/>
        <w:rPr>
          <w:rFonts w:ascii="Aptos" w:hAnsi="Aptos" w:cstheme="minorHAnsi"/>
          <w:lang w:val="en-GB"/>
        </w:rPr>
      </w:pPr>
      <w:r w:rsidRPr="00423C25">
        <w:rPr>
          <w:rFonts w:ascii="Aptos" w:hAnsi="Aptos" w:cstheme="minorHAnsi"/>
        </w:rPr>
        <w:t xml:space="preserve">In professional practice, self-care is frequently overlooked despite its significance. Self-sacrifice is valued in the social work and mental health fields, where practitioners are required to put their clients' needs ahead of their own. This neglect is </w:t>
      </w:r>
      <w:r w:rsidR="00235788">
        <w:rPr>
          <w:rFonts w:ascii="Aptos" w:hAnsi="Aptos" w:cstheme="minorHAnsi"/>
        </w:rPr>
        <w:t>worsened by systemic pressures,</w:t>
      </w:r>
      <w:r w:rsidRPr="00423C25">
        <w:rPr>
          <w:rFonts w:ascii="Aptos" w:hAnsi="Aptos" w:cstheme="minorHAnsi"/>
        </w:rPr>
        <w:t xml:space="preserve"> such as heavy caseloads and scarce resources, which leave little time for introspection or healing</w:t>
      </w:r>
      <w:r w:rsidR="000A34EA">
        <w:rPr>
          <w:rFonts w:ascii="Aptos" w:hAnsi="Aptos" w:cstheme="minorHAnsi"/>
        </w:rPr>
        <w:t xml:space="preserve"> </w:t>
      </w:r>
      <w:r w:rsidR="000A34EA" w:rsidRPr="000A34EA">
        <w:rPr>
          <w:rFonts w:ascii="Aptos" w:hAnsi="Aptos" w:cstheme="minorHAnsi"/>
          <w:lang w:val="en-GB"/>
        </w:rPr>
        <w:t>(Glassburn et al., 2025)</w:t>
      </w:r>
      <w:r w:rsidR="00DC718C">
        <w:rPr>
          <w:rFonts w:ascii="Aptos" w:hAnsi="Aptos" w:cstheme="minorHAnsi"/>
          <w:lang w:val="en-GB"/>
        </w:rPr>
        <w:t>.</w:t>
      </w:r>
      <w:r w:rsidRPr="00423C25">
        <w:rPr>
          <w:rFonts w:ascii="Aptos" w:hAnsi="Aptos" w:cstheme="minorHAnsi"/>
        </w:rPr>
        <w:t xml:space="preserve"> Because trauma narratives elicit strong reactions that practitioners may find </w:t>
      </w:r>
      <w:r w:rsidR="00235788">
        <w:rPr>
          <w:rFonts w:ascii="Aptos" w:hAnsi="Aptos" w:cstheme="minorHAnsi"/>
        </w:rPr>
        <w:t>challenging</w:t>
      </w:r>
      <w:r w:rsidRPr="00423C25">
        <w:rPr>
          <w:rFonts w:ascii="Aptos" w:hAnsi="Aptos" w:cstheme="minorHAnsi"/>
        </w:rPr>
        <w:t xml:space="preserve"> to manage, emotional demands exacerbate the issue. The first step in resolving these issues is acknowledging them.</w:t>
      </w:r>
    </w:p>
    <w:p w14:paraId="21632099" w14:textId="05D5CA6E" w:rsidR="00F40972" w:rsidRPr="008B140C" w:rsidRDefault="006B7B68" w:rsidP="004051C8">
      <w:pPr>
        <w:spacing w:before="120" w:after="120" w:line="360" w:lineRule="auto"/>
        <w:rPr>
          <w:rFonts w:ascii="Aptos" w:hAnsi="Aptos" w:cstheme="minorHAnsi"/>
          <w:lang w:val="en-GB"/>
        </w:rPr>
      </w:pPr>
      <w:r w:rsidRPr="00423C25">
        <w:rPr>
          <w:rFonts w:ascii="Aptos" w:hAnsi="Aptos" w:cstheme="minorHAnsi"/>
        </w:rPr>
        <w:t>Reflective supervision, mindfulness, peer support, and distinct work-life boundaries are examples of evidence-based self-care techniques</w:t>
      </w:r>
      <w:r w:rsidR="00BF625C">
        <w:rPr>
          <w:rFonts w:ascii="Aptos" w:hAnsi="Aptos" w:cstheme="minorHAnsi"/>
        </w:rPr>
        <w:t xml:space="preserve"> </w:t>
      </w:r>
      <w:r w:rsidR="00BF625C" w:rsidRPr="00BF625C">
        <w:rPr>
          <w:rFonts w:ascii="Aptos" w:hAnsi="Aptos" w:cstheme="minorHAnsi"/>
          <w:lang w:val="en-GB"/>
        </w:rPr>
        <w:t>(Cunha et al., 2024)</w:t>
      </w:r>
      <w:r w:rsidR="00BF625C">
        <w:rPr>
          <w:rFonts w:ascii="Aptos" w:hAnsi="Aptos" w:cstheme="minorHAnsi"/>
          <w:lang w:val="en-GB"/>
        </w:rPr>
        <w:t xml:space="preserve"> </w:t>
      </w:r>
      <w:r w:rsidRPr="00423C25">
        <w:rPr>
          <w:rFonts w:ascii="Aptos" w:hAnsi="Aptos" w:cstheme="minorHAnsi"/>
        </w:rPr>
        <w:t>Reflective supervision provides a secure environment for handling countertransference and processing emotional reactions</w:t>
      </w:r>
      <w:r w:rsidR="00130AE9">
        <w:rPr>
          <w:rFonts w:ascii="Aptos" w:hAnsi="Aptos" w:cstheme="minorHAnsi"/>
        </w:rPr>
        <w:t xml:space="preserve"> </w:t>
      </w:r>
      <w:r w:rsidR="00133181" w:rsidRPr="00133181">
        <w:rPr>
          <w:rFonts w:ascii="Aptos" w:hAnsi="Aptos" w:cstheme="minorHAnsi"/>
        </w:rPr>
        <w:t>(Heffron et al., 2016)</w:t>
      </w:r>
      <w:r w:rsidR="00130AE9">
        <w:rPr>
          <w:rFonts w:ascii="Aptos" w:hAnsi="Aptos" w:cstheme="minorHAnsi"/>
        </w:rPr>
        <w:t xml:space="preserve"> </w:t>
      </w:r>
      <w:r w:rsidR="00E164C8" w:rsidRPr="00E164C8">
        <w:rPr>
          <w:rFonts w:ascii="Aptos" w:hAnsi="Aptos" w:cstheme="minorHAnsi"/>
        </w:rPr>
        <w:t xml:space="preserve">Through reflective dialogue, practitioners can process the emotional weight of their work, gain perspective, and prevent the </w:t>
      </w:r>
      <w:proofErr w:type="spellStart"/>
      <w:r w:rsidR="00E164C8" w:rsidRPr="00E164C8">
        <w:rPr>
          <w:rFonts w:ascii="Aptos" w:hAnsi="Aptos" w:cstheme="minorHAnsi"/>
        </w:rPr>
        <w:t>internalisation</w:t>
      </w:r>
      <w:proofErr w:type="spellEnd"/>
      <w:r w:rsidR="00E164C8" w:rsidRPr="00E164C8">
        <w:rPr>
          <w:rFonts w:ascii="Aptos" w:hAnsi="Aptos" w:cstheme="minorHAnsi"/>
        </w:rPr>
        <w:t xml:space="preserve"> of trauma</w:t>
      </w:r>
      <w:r w:rsidR="00D8380E">
        <w:rPr>
          <w:rFonts w:ascii="Aptos" w:hAnsi="Aptos" w:cstheme="minorHAnsi"/>
        </w:rPr>
        <w:t xml:space="preserve"> </w:t>
      </w:r>
      <w:r w:rsidR="00D8380E" w:rsidRPr="00D8380E">
        <w:rPr>
          <w:rFonts w:ascii="Aptos" w:hAnsi="Aptos" w:cstheme="minorHAnsi"/>
          <w:lang w:val="en-GB"/>
        </w:rPr>
        <w:t>(Maude et al., 2024)</w:t>
      </w:r>
      <w:r w:rsidR="00D8380E">
        <w:rPr>
          <w:rFonts w:ascii="Aptos" w:hAnsi="Aptos" w:cstheme="minorHAnsi"/>
          <w:lang w:val="en-GB"/>
        </w:rPr>
        <w:t xml:space="preserve"> </w:t>
      </w:r>
      <w:r w:rsidR="00D8380E">
        <w:rPr>
          <w:rFonts w:ascii="Aptos" w:hAnsi="Aptos" w:cstheme="minorHAnsi"/>
        </w:rPr>
        <w:t>A</w:t>
      </w:r>
      <w:r w:rsidR="00E164C8" w:rsidRPr="00E164C8">
        <w:rPr>
          <w:rFonts w:ascii="Aptos" w:hAnsi="Aptos" w:cstheme="minorHAnsi"/>
        </w:rPr>
        <w:t xml:space="preserve"> practitioner supporting Amira may use supervision to explore feelings of anger toward the mother, sadness for Amira’s experiences, or anxiety about the child’s future. Naming these emotions reduces their power and prevents them from unconsciously shaping practice</w:t>
      </w:r>
      <w:r w:rsidR="00B129AA">
        <w:rPr>
          <w:rFonts w:ascii="Aptos" w:hAnsi="Aptos" w:cstheme="minorHAnsi"/>
        </w:rPr>
        <w:t xml:space="preserve">. </w:t>
      </w:r>
      <w:r w:rsidRPr="00423C25">
        <w:rPr>
          <w:rFonts w:ascii="Aptos" w:hAnsi="Aptos" w:cstheme="minorHAnsi"/>
        </w:rPr>
        <w:t xml:space="preserve">Peer support groups foster group resilience and </w:t>
      </w:r>
      <w:proofErr w:type="spellStart"/>
      <w:r w:rsidRPr="00423C25">
        <w:rPr>
          <w:rFonts w:ascii="Aptos" w:hAnsi="Aptos" w:cstheme="minorHAnsi"/>
        </w:rPr>
        <w:t>normalise</w:t>
      </w:r>
      <w:proofErr w:type="spellEnd"/>
      <w:r w:rsidRPr="00423C25">
        <w:rPr>
          <w:rFonts w:ascii="Aptos" w:hAnsi="Aptos" w:cstheme="minorHAnsi"/>
        </w:rPr>
        <w:t xml:space="preserve"> difficulties. While professional development in resilience training equips practitioners with the knowledge they need to maintain their practice, setting limits safeguards their personal welfare.</w:t>
      </w:r>
    </w:p>
    <w:p w14:paraId="55442CEC" w14:textId="5BC61EB9" w:rsidR="006F543F" w:rsidRPr="006F543F" w:rsidRDefault="006F543F" w:rsidP="004051C8">
      <w:pPr>
        <w:spacing w:before="120" w:after="120" w:line="360" w:lineRule="auto"/>
        <w:rPr>
          <w:rFonts w:ascii="Aptos" w:hAnsi="Aptos" w:cstheme="minorHAnsi"/>
          <w:lang w:val="en-GB"/>
        </w:rPr>
      </w:pPr>
      <w:r w:rsidRPr="006F543F">
        <w:rPr>
          <w:rFonts w:ascii="Aptos" w:hAnsi="Aptos" w:cstheme="minorHAnsi"/>
          <w:lang w:val="en-GB"/>
        </w:rPr>
        <w:lastRenderedPageBreak/>
        <w:t xml:space="preserve">Additionally, </w:t>
      </w:r>
      <w:r w:rsidR="00115D9D">
        <w:rPr>
          <w:rFonts w:ascii="Aptos" w:hAnsi="Aptos" w:cstheme="minorHAnsi"/>
          <w:lang w:val="en-GB"/>
        </w:rPr>
        <w:t xml:space="preserve">psychological resilience among practitioners </w:t>
      </w:r>
      <w:r w:rsidRPr="006F543F">
        <w:rPr>
          <w:rFonts w:ascii="Aptos" w:hAnsi="Aptos" w:cstheme="minorHAnsi"/>
          <w:lang w:val="en-GB"/>
        </w:rPr>
        <w:t>benefits greatly from mindfulness-based techniques. By regulating the neurological system</w:t>
      </w:r>
      <w:r w:rsidR="00B129AA">
        <w:rPr>
          <w:rFonts w:ascii="Aptos" w:hAnsi="Aptos" w:cstheme="minorHAnsi"/>
          <w:lang w:val="en-GB"/>
        </w:rPr>
        <w:t xml:space="preserve"> by </w:t>
      </w:r>
      <w:r w:rsidR="00115D9D">
        <w:rPr>
          <w:rFonts w:ascii="Aptos" w:hAnsi="Aptos" w:cstheme="minorHAnsi"/>
          <w:lang w:val="en-GB"/>
        </w:rPr>
        <w:t xml:space="preserve">breathwork and grounding exercises </w:t>
      </w:r>
      <w:r w:rsidR="00B129AA">
        <w:rPr>
          <w:rFonts w:ascii="Aptos" w:hAnsi="Aptos" w:cstheme="minorHAnsi"/>
          <w:lang w:val="en-GB"/>
        </w:rPr>
        <w:t>stress can be reduced</w:t>
      </w:r>
      <w:r w:rsidR="00C071FB">
        <w:rPr>
          <w:rFonts w:ascii="Aptos" w:hAnsi="Aptos" w:cstheme="minorHAnsi"/>
          <w:lang w:val="en-GB"/>
        </w:rPr>
        <w:t xml:space="preserve"> </w:t>
      </w:r>
      <w:r w:rsidR="00C071FB" w:rsidRPr="00C071FB">
        <w:rPr>
          <w:rFonts w:ascii="Aptos" w:hAnsi="Aptos" w:cstheme="minorHAnsi"/>
          <w:lang w:val="en-GB"/>
        </w:rPr>
        <w:t>(Wu et al., 2024)</w:t>
      </w:r>
      <w:r w:rsidR="009E650D">
        <w:rPr>
          <w:rFonts w:ascii="Aptos" w:hAnsi="Aptos" w:cstheme="minorHAnsi"/>
          <w:lang w:val="en-GB"/>
        </w:rPr>
        <w:t>.</w:t>
      </w:r>
      <w:r w:rsidRPr="006F543F">
        <w:rPr>
          <w:rFonts w:ascii="Aptos" w:hAnsi="Aptos" w:cstheme="minorHAnsi"/>
          <w:lang w:val="en-GB"/>
        </w:rPr>
        <w:t xml:space="preserve"> These techniques </w:t>
      </w:r>
      <w:r w:rsidR="00115D9D">
        <w:rPr>
          <w:rFonts w:ascii="Aptos" w:hAnsi="Aptos" w:cstheme="minorHAnsi"/>
          <w:lang w:val="en-GB"/>
        </w:rPr>
        <w:t xml:space="preserve">reduce the likelihood of </w:t>
      </w:r>
      <w:r w:rsidRPr="006F543F">
        <w:rPr>
          <w:rFonts w:ascii="Aptos" w:hAnsi="Aptos" w:cstheme="minorHAnsi"/>
          <w:lang w:val="en-GB"/>
        </w:rPr>
        <w:t xml:space="preserve">impulsive choices and increase emotional awareness. </w:t>
      </w:r>
      <w:r w:rsidR="00B129AA">
        <w:rPr>
          <w:rFonts w:ascii="Aptos" w:hAnsi="Aptos" w:cstheme="minorHAnsi"/>
          <w:lang w:val="en-GB"/>
        </w:rPr>
        <w:t>M</w:t>
      </w:r>
      <w:r w:rsidRPr="006F543F">
        <w:rPr>
          <w:rFonts w:ascii="Aptos" w:hAnsi="Aptos" w:cstheme="minorHAnsi"/>
          <w:lang w:val="en-GB"/>
        </w:rPr>
        <w:t>indfulness can help practitioners who work with trauma stay present with the child's trauma without becoming overcome by it</w:t>
      </w:r>
      <w:r w:rsidR="00215270">
        <w:rPr>
          <w:rFonts w:ascii="Aptos" w:hAnsi="Aptos" w:cstheme="minorHAnsi"/>
          <w:lang w:val="en-GB"/>
        </w:rPr>
        <w:t xml:space="preserve"> </w:t>
      </w:r>
      <w:r w:rsidR="00215270" w:rsidRPr="00215270">
        <w:rPr>
          <w:rFonts w:ascii="Aptos" w:hAnsi="Aptos" w:cstheme="minorHAnsi"/>
          <w:lang w:val="en-GB"/>
        </w:rPr>
        <w:t>(Tang et al., 2015)</w:t>
      </w:r>
      <w:r w:rsidR="009E650D">
        <w:rPr>
          <w:rFonts w:ascii="Aptos" w:hAnsi="Aptos" w:cstheme="minorHAnsi"/>
          <w:lang w:val="en-GB"/>
        </w:rPr>
        <w:t>.</w:t>
      </w:r>
      <w:r w:rsidRPr="006F543F">
        <w:rPr>
          <w:rFonts w:ascii="Aptos" w:hAnsi="Aptos" w:cstheme="minorHAnsi"/>
          <w:lang w:val="en-GB"/>
        </w:rPr>
        <w:t xml:space="preserve"> </w:t>
      </w:r>
      <w:r w:rsidR="00B129AA">
        <w:rPr>
          <w:rFonts w:ascii="Aptos" w:hAnsi="Aptos" w:cstheme="minorHAnsi"/>
          <w:lang w:val="en-GB"/>
        </w:rPr>
        <w:t>Allowing them to be</w:t>
      </w:r>
      <w:r w:rsidR="00115D9D">
        <w:rPr>
          <w:rFonts w:ascii="Aptos" w:hAnsi="Aptos" w:cstheme="minorHAnsi"/>
          <w:lang w:val="en-GB"/>
        </w:rPr>
        <w:t xml:space="preserve"> emotionally focused and ready to provide calm, controlled </w:t>
      </w:r>
      <w:proofErr w:type="spellStart"/>
      <w:r w:rsidR="00115D9D">
        <w:rPr>
          <w:rFonts w:ascii="Aptos" w:hAnsi="Aptos" w:cstheme="minorHAnsi"/>
          <w:lang w:val="en-GB"/>
        </w:rPr>
        <w:t>assistance</w:t>
      </w:r>
      <w:r w:rsidR="00B129AA">
        <w:rPr>
          <w:rFonts w:ascii="Aptos" w:hAnsi="Aptos" w:cstheme="minorHAnsi"/>
          <w:lang w:val="en-GB"/>
        </w:rPr>
        <w:t>.In</w:t>
      </w:r>
      <w:proofErr w:type="spellEnd"/>
      <w:r w:rsidR="00115D9D">
        <w:rPr>
          <w:rFonts w:ascii="Aptos" w:hAnsi="Aptos" w:cstheme="minorHAnsi"/>
          <w:lang w:val="en-GB"/>
        </w:rPr>
        <w:t xml:space="preserve"> Amira's situation, a practitioner may employ grounding techniques </w:t>
      </w:r>
      <w:r w:rsidR="00D2175D">
        <w:rPr>
          <w:rFonts w:ascii="Aptos" w:hAnsi="Aptos" w:cstheme="minorHAnsi"/>
          <w:lang w:val="en-GB"/>
        </w:rPr>
        <w:t>before a session begins</w:t>
      </w:r>
      <w:r w:rsidRPr="006F543F">
        <w:rPr>
          <w:rFonts w:ascii="Aptos" w:hAnsi="Aptos" w:cstheme="minorHAnsi"/>
          <w:lang w:val="en-GB"/>
        </w:rPr>
        <w:t xml:space="preserve">. </w:t>
      </w:r>
    </w:p>
    <w:p w14:paraId="765D20FE" w14:textId="0E38F2F0" w:rsidR="00F40972" w:rsidRPr="00F40972" w:rsidRDefault="00F40972" w:rsidP="004051C8">
      <w:pPr>
        <w:spacing w:before="120" w:after="120" w:line="360" w:lineRule="auto"/>
        <w:rPr>
          <w:rFonts w:ascii="Aptos" w:hAnsi="Aptos" w:cstheme="minorHAnsi"/>
          <w:lang w:val="en-GB"/>
        </w:rPr>
      </w:pPr>
      <w:r w:rsidRPr="00F40972">
        <w:rPr>
          <w:rFonts w:ascii="Aptos" w:hAnsi="Aptos" w:cstheme="minorHAnsi"/>
          <w:lang w:val="en-GB"/>
        </w:rPr>
        <w:t>Setting up distinct boundaries between work and life is equally crucial</w:t>
      </w:r>
      <w:r w:rsidR="00044437">
        <w:rPr>
          <w:rFonts w:ascii="Aptos" w:hAnsi="Aptos" w:cstheme="minorHAnsi"/>
          <w:lang w:val="en-GB"/>
        </w:rPr>
        <w:t xml:space="preserve"> </w:t>
      </w:r>
      <w:r w:rsidR="00044437" w:rsidRPr="00044437">
        <w:rPr>
          <w:rFonts w:ascii="Aptos" w:hAnsi="Aptos" w:cstheme="minorHAnsi"/>
          <w:lang w:val="en-GB"/>
        </w:rPr>
        <w:t>(Kinman, 2024)</w:t>
      </w:r>
      <w:r w:rsidR="00044437">
        <w:rPr>
          <w:rFonts w:ascii="Aptos" w:hAnsi="Aptos" w:cstheme="minorHAnsi"/>
          <w:lang w:val="en-GB"/>
        </w:rPr>
        <w:t xml:space="preserve"> </w:t>
      </w:r>
      <w:r w:rsidRPr="00F40972">
        <w:rPr>
          <w:rFonts w:ascii="Aptos" w:hAnsi="Aptos" w:cstheme="minorHAnsi"/>
          <w:lang w:val="en-GB"/>
        </w:rPr>
        <w:t>In this</w:t>
      </w:r>
      <w:r w:rsidR="00115D9D">
        <w:rPr>
          <w:rFonts w:ascii="Aptos" w:hAnsi="Aptos" w:cstheme="minorHAnsi"/>
          <w:lang w:val="en-GB"/>
        </w:rPr>
        <w:t>,</w:t>
      </w:r>
      <w:r w:rsidRPr="00F40972">
        <w:rPr>
          <w:rFonts w:ascii="Aptos" w:hAnsi="Aptos" w:cstheme="minorHAnsi"/>
          <w:lang w:val="en-GB"/>
        </w:rPr>
        <w:t xml:space="preserve"> </w:t>
      </w:r>
      <w:r w:rsidR="00115D9D">
        <w:rPr>
          <w:rFonts w:ascii="Aptos" w:hAnsi="Aptos" w:cstheme="minorHAnsi"/>
          <w:lang w:val="en-GB"/>
        </w:rPr>
        <w:t>practitioners need to be able to "switch off" from their practice so their nervous systems can heal</w:t>
      </w:r>
      <w:r w:rsidR="00186AD5">
        <w:rPr>
          <w:rFonts w:ascii="Aptos" w:hAnsi="Aptos" w:cstheme="minorHAnsi"/>
          <w:lang w:val="en-GB"/>
        </w:rPr>
        <w:t xml:space="preserve"> </w:t>
      </w:r>
      <w:r w:rsidR="00186AD5" w:rsidRPr="00186AD5">
        <w:rPr>
          <w:rFonts w:ascii="Aptos" w:hAnsi="Aptos" w:cstheme="minorHAnsi"/>
          <w:lang w:val="en-GB"/>
        </w:rPr>
        <w:t>(Sonnentag &amp; Fritz, 2015)</w:t>
      </w:r>
      <w:r w:rsidR="00186AD5">
        <w:rPr>
          <w:rFonts w:ascii="Aptos" w:hAnsi="Aptos" w:cstheme="minorHAnsi"/>
          <w:lang w:val="en-GB"/>
        </w:rPr>
        <w:t xml:space="preserve"> </w:t>
      </w:r>
      <w:r w:rsidRPr="00F40972">
        <w:rPr>
          <w:rFonts w:ascii="Aptos" w:hAnsi="Aptos" w:cstheme="minorHAnsi"/>
          <w:lang w:val="en-GB"/>
        </w:rPr>
        <w:t xml:space="preserve">This could be limiting overtime, establishing routines for stepping out of </w:t>
      </w:r>
      <w:r w:rsidR="00115D9D">
        <w:rPr>
          <w:rFonts w:ascii="Aptos" w:hAnsi="Aptos" w:cstheme="minorHAnsi"/>
          <w:lang w:val="en-GB"/>
        </w:rPr>
        <w:t xml:space="preserve">a </w:t>
      </w:r>
      <w:r w:rsidRPr="00F40972">
        <w:rPr>
          <w:rFonts w:ascii="Aptos" w:hAnsi="Aptos" w:cstheme="minorHAnsi"/>
          <w:lang w:val="en-GB"/>
        </w:rPr>
        <w:t xml:space="preserve">work mindset, or taking part in relaxing events away from the office. Without these limits, professionals </w:t>
      </w:r>
      <w:r w:rsidR="00115D9D">
        <w:rPr>
          <w:rFonts w:ascii="Aptos" w:hAnsi="Aptos" w:cstheme="minorHAnsi"/>
          <w:lang w:val="en-GB"/>
        </w:rPr>
        <w:t>risk bringing the emotional burden of their work into their personal lives, leading to long-term stress and diminished well-being</w:t>
      </w:r>
      <w:r w:rsidRPr="00F40972">
        <w:rPr>
          <w:rFonts w:ascii="Aptos" w:hAnsi="Aptos" w:cstheme="minorHAnsi"/>
          <w:lang w:val="en-GB"/>
        </w:rPr>
        <w:t>.</w:t>
      </w:r>
    </w:p>
    <w:p w14:paraId="4780578F" w14:textId="77777777" w:rsidR="00523932" w:rsidRPr="00523932" w:rsidRDefault="00BB5984" w:rsidP="004051C8">
      <w:pPr>
        <w:spacing w:before="120" w:after="120" w:line="360" w:lineRule="auto"/>
        <w:rPr>
          <w:rFonts w:ascii="Aptos" w:hAnsi="Aptos" w:cstheme="minorHAnsi"/>
          <w:lang w:val="en-GB"/>
        </w:rPr>
      </w:pPr>
      <w:r>
        <w:rPr>
          <w:rFonts w:ascii="Aptos" w:hAnsi="Aptos" w:cstheme="minorHAnsi"/>
        </w:rPr>
        <w:t>These</w:t>
      </w:r>
      <w:r w:rsidRPr="00BB5984">
        <w:rPr>
          <w:rFonts w:ascii="Aptos" w:hAnsi="Aptos" w:cstheme="minorHAnsi"/>
          <w:lang w:val="en-GB"/>
        </w:rPr>
        <w:t xml:space="preserve"> self-care techniques are crucial to maintaining successful, moral practice in Amira's situation. Her experiences of neglect and instability may trigger strong emotional reactions</w:t>
      </w:r>
      <w:r w:rsidR="00115D9D">
        <w:rPr>
          <w:rFonts w:ascii="Aptos" w:hAnsi="Aptos" w:cstheme="minorHAnsi"/>
          <w:lang w:val="en-GB"/>
        </w:rPr>
        <w:t>. If</w:t>
      </w:r>
      <w:r w:rsidRPr="00BB5984">
        <w:rPr>
          <w:rFonts w:ascii="Aptos" w:hAnsi="Aptos" w:cstheme="minorHAnsi"/>
          <w:lang w:val="en-GB"/>
        </w:rPr>
        <w:t xml:space="preserve"> these reactions are not appropriately contained, the practitioner's capacity to offer sensitive, trauma-informed assistance may be jeopardised</w:t>
      </w:r>
      <w:r w:rsidR="00523932">
        <w:rPr>
          <w:rFonts w:ascii="Aptos" w:hAnsi="Aptos" w:cstheme="minorHAnsi"/>
          <w:lang w:val="en-GB"/>
        </w:rPr>
        <w:t xml:space="preserve"> </w:t>
      </w:r>
      <w:r w:rsidR="00523932" w:rsidRPr="00523932">
        <w:rPr>
          <w:rFonts w:ascii="Aptos" w:hAnsi="Aptos" w:cstheme="minorHAnsi"/>
          <w:lang w:val="en-GB"/>
        </w:rPr>
        <w:t>(Heffron et al., 2016)</w:t>
      </w:r>
    </w:p>
    <w:p w14:paraId="14B898E3" w14:textId="21ABF646" w:rsidR="00BB5984" w:rsidRDefault="00320BE1" w:rsidP="004051C8">
      <w:pPr>
        <w:spacing w:before="120" w:after="120" w:line="360" w:lineRule="auto"/>
        <w:rPr>
          <w:rFonts w:ascii="Aptos" w:hAnsi="Aptos" w:cstheme="minorHAnsi"/>
          <w:lang w:val="en-GB"/>
        </w:rPr>
      </w:pPr>
      <w:r w:rsidRPr="00320BE1">
        <w:rPr>
          <w:rFonts w:ascii="Aptos" w:hAnsi="Aptos" w:cstheme="minorHAnsi"/>
          <w:lang w:val="en-GB"/>
        </w:rPr>
        <w:t xml:space="preserve">By engaging in reflective supervision, practising mindfulness, seeking peer support, and maintaining boundaries, practitioners can ensure they remain emotionally available, professionally grounded, and </w:t>
      </w:r>
      <w:r w:rsidR="00115D9D">
        <w:rPr>
          <w:rFonts w:ascii="Aptos" w:hAnsi="Aptos" w:cstheme="minorHAnsi"/>
          <w:lang w:val="en-GB"/>
        </w:rPr>
        <w:t>able to support</w:t>
      </w:r>
      <w:r w:rsidRPr="00320BE1">
        <w:rPr>
          <w:rFonts w:ascii="Aptos" w:hAnsi="Aptos" w:cstheme="minorHAnsi"/>
          <w:lang w:val="en-GB"/>
        </w:rPr>
        <w:t xml:space="preserve"> Amira’s recovery</w:t>
      </w:r>
      <w:r w:rsidR="00BC1962">
        <w:rPr>
          <w:rFonts w:ascii="Aptos" w:hAnsi="Aptos" w:cstheme="minorHAnsi"/>
          <w:lang w:val="en-GB"/>
        </w:rPr>
        <w:t xml:space="preserve"> </w:t>
      </w:r>
      <w:r w:rsidR="00BC1962" w:rsidRPr="00BC1962">
        <w:rPr>
          <w:rFonts w:ascii="Aptos" w:hAnsi="Aptos" w:cstheme="minorHAnsi"/>
          <w:lang w:val="en-GB"/>
        </w:rPr>
        <w:t>(Kinman &amp; Grant, 2017)</w:t>
      </w:r>
    </w:p>
    <w:p w14:paraId="21D694A6" w14:textId="3960E4A0" w:rsidR="008B140C" w:rsidRPr="00BB5984" w:rsidRDefault="008B140C" w:rsidP="004051C8">
      <w:pPr>
        <w:spacing w:before="120" w:after="120" w:line="360" w:lineRule="auto"/>
        <w:rPr>
          <w:rFonts w:ascii="Aptos" w:hAnsi="Aptos" w:cstheme="minorHAnsi"/>
          <w:lang w:val="en-GB"/>
        </w:rPr>
      </w:pPr>
      <w:r>
        <w:rPr>
          <w:rFonts w:ascii="Aptos" w:hAnsi="Aptos" w:cstheme="minorHAnsi"/>
          <w:lang w:val="en-GB"/>
        </w:rPr>
        <w:t xml:space="preserve">Relating the above to </w:t>
      </w:r>
      <w:r w:rsidR="008D5F74">
        <w:rPr>
          <w:rFonts w:ascii="Aptos" w:hAnsi="Aptos" w:cstheme="minorHAnsi"/>
          <w:lang w:val="en-GB"/>
        </w:rPr>
        <w:t>my practice</w:t>
      </w:r>
      <w:r w:rsidRPr="008B140C">
        <w:rPr>
          <w:rFonts w:ascii="Aptos" w:hAnsi="Aptos" w:cstheme="minorHAnsi"/>
          <w:lang w:val="en-GB"/>
        </w:rPr>
        <w:t xml:space="preserve">, I recognise that resilience is not a fixed trait but a dynamic process that requires ongoing attention. Supporting Amira would require me </w:t>
      </w:r>
      <w:r w:rsidR="00244557">
        <w:rPr>
          <w:rFonts w:ascii="Aptos" w:hAnsi="Aptos" w:cstheme="minorHAnsi"/>
          <w:lang w:val="en-GB"/>
        </w:rPr>
        <w:t>to monitor my emotional well-being continually</w:t>
      </w:r>
      <w:r w:rsidRPr="008B140C">
        <w:rPr>
          <w:rFonts w:ascii="Aptos" w:hAnsi="Aptos" w:cstheme="minorHAnsi"/>
          <w:lang w:val="en-GB"/>
        </w:rPr>
        <w:t xml:space="preserve">, notice when my stress levels rise, and respond proactively rather than reactively. By combining reflective supervision, mindfulness, peer support, and </w:t>
      </w:r>
      <w:r w:rsidR="00244557">
        <w:rPr>
          <w:rFonts w:ascii="Aptos" w:hAnsi="Aptos" w:cstheme="minorHAnsi"/>
          <w:lang w:val="en-GB"/>
        </w:rPr>
        <w:t>firm</w:t>
      </w:r>
      <w:r w:rsidRPr="008B140C">
        <w:rPr>
          <w:rFonts w:ascii="Aptos" w:hAnsi="Aptos" w:cstheme="minorHAnsi"/>
          <w:lang w:val="en-GB"/>
        </w:rPr>
        <w:t xml:space="preserve"> </w:t>
      </w:r>
    </w:p>
    <w:p w14:paraId="5A8A7704" w14:textId="283BB16F" w:rsidR="00BB5984" w:rsidRDefault="00244557" w:rsidP="004051C8">
      <w:pPr>
        <w:spacing w:before="120" w:after="120" w:line="360" w:lineRule="auto"/>
        <w:rPr>
          <w:rFonts w:ascii="Aptos" w:hAnsi="Aptos" w:cstheme="minorHAnsi"/>
        </w:rPr>
      </w:pPr>
      <w:r>
        <w:rPr>
          <w:rFonts w:ascii="Aptos" w:hAnsi="Aptos" w:cstheme="minorHAnsi"/>
        </w:rPr>
        <w:t>Overall</w:t>
      </w:r>
      <w:r w:rsidR="00115D9D">
        <w:rPr>
          <w:rFonts w:ascii="Aptos" w:hAnsi="Aptos" w:cstheme="minorHAnsi"/>
        </w:rPr>
        <w:t>,</w:t>
      </w:r>
      <w:r w:rsidR="00320BE1">
        <w:rPr>
          <w:rFonts w:ascii="Aptos" w:hAnsi="Aptos" w:cstheme="minorHAnsi"/>
        </w:rPr>
        <w:t xml:space="preserve"> i</w:t>
      </w:r>
      <w:r w:rsidR="00BB5984" w:rsidRPr="00423C25">
        <w:rPr>
          <w:rFonts w:ascii="Aptos" w:hAnsi="Aptos" w:cstheme="minorHAnsi"/>
        </w:rPr>
        <w:t xml:space="preserve">t is critical to identify </w:t>
      </w:r>
      <w:r w:rsidR="00320BE1">
        <w:rPr>
          <w:rFonts w:ascii="Aptos" w:hAnsi="Aptos" w:cstheme="minorHAnsi"/>
        </w:rPr>
        <w:t>and limit negative</w:t>
      </w:r>
      <w:r w:rsidR="00BB5984" w:rsidRPr="00423C25">
        <w:rPr>
          <w:rFonts w:ascii="Aptos" w:hAnsi="Aptos" w:cstheme="minorHAnsi"/>
        </w:rPr>
        <w:t xml:space="preserve"> triggers and </w:t>
      </w:r>
      <w:r w:rsidR="00320BE1">
        <w:rPr>
          <w:rFonts w:ascii="Aptos" w:hAnsi="Aptos" w:cstheme="minorHAnsi"/>
        </w:rPr>
        <w:t xml:space="preserve">instead </w:t>
      </w:r>
      <w:r w:rsidR="00BB5984" w:rsidRPr="00423C25">
        <w:rPr>
          <w:rFonts w:ascii="Aptos" w:hAnsi="Aptos" w:cstheme="minorHAnsi"/>
        </w:rPr>
        <w:t xml:space="preserve">use supervision to control countertransference. Sustainability and ethical practice are ensured by creating an </w:t>
      </w:r>
      <w:proofErr w:type="spellStart"/>
      <w:r w:rsidR="00BB5984" w:rsidRPr="00423C25">
        <w:rPr>
          <w:rFonts w:ascii="Aptos" w:hAnsi="Aptos" w:cstheme="minorHAnsi"/>
        </w:rPr>
        <w:lastRenderedPageBreak/>
        <w:t>organised</w:t>
      </w:r>
      <w:proofErr w:type="spellEnd"/>
      <w:r w:rsidR="00BB5984" w:rsidRPr="00423C25">
        <w:rPr>
          <w:rFonts w:ascii="Aptos" w:hAnsi="Aptos" w:cstheme="minorHAnsi"/>
        </w:rPr>
        <w:t xml:space="preserve"> self-care plan that includes </w:t>
      </w:r>
      <w:r w:rsidR="00BB5984">
        <w:rPr>
          <w:rFonts w:ascii="Aptos" w:hAnsi="Aptos" w:cstheme="minorHAnsi"/>
        </w:rPr>
        <w:t xml:space="preserve">setting limits, seeking peer support, and </w:t>
      </w:r>
      <w:proofErr w:type="spellStart"/>
      <w:r w:rsidR="00115D9D">
        <w:rPr>
          <w:rFonts w:ascii="Aptos" w:hAnsi="Aptos" w:cstheme="minorHAnsi"/>
        </w:rPr>
        <w:t>practising</w:t>
      </w:r>
      <w:proofErr w:type="spellEnd"/>
      <w:r w:rsidR="00BB5984">
        <w:rPr>
          <w:rFonts w:ascii="Aptos" w:hAnsi="Aptos" w:cstheme="minorHAnsi"/>
        </w:rPr>
        <w:t xml:space="preserve"> </w:t>
      </w:r>
      <w:r w:rsidR="00BB5984" w:rsidRPr="00423C25">
        <w:rPr>
          <w:rFonts w:ascii="Aptos" w:hAnsi="Aptos" w:cstheme="minorHAnsi"/>
        </w:rPr>
        <w:t xml:space="preserve">mindfulness. By </w:t>
      </w:r>
      <w:proofErr w:type="spellStart"/>
      <w:r w:rsidR="00BB5984" w:rsidRPr="00423C25">
        <w:rPr>
          <w:rFonts w:ascii="Aptos" w:hAnsi="Aptos" w:cstheme="minorHAnsi"/>
        </w:rPr>
        <w:t>prioritising</w:t>
      </w:r>
      <w:proofErr w:type="spellEnd"/>
      <w:r w:rsidR="00BB5984" w:rsidRPr="00423C25">
        <w:rPr>
          <w:rFonts w:ascii="Aptos" w:hAnsi="Aptos" w:cstheme="minorHAnsi"/>
        </w:rPr>
        <w:t xml:space="preserve"> resilience, practitioners can protect their own well-being while providing Amira with reliable, efficient care.</w:t>
      </w:r>
    </w:p>
    <w:p w14:paraId="699D221E" w14:textId="77777777" w:rsidR="00413161" w:rsidRPr="00413161" w:rsidRDefault="00413161" w:rsidP="004051C8">
      <w:pPr>
        <w:spacing w:before="120" w:after="120" w:line="360" w:lineRule="auto"/>
        <w:rPr>
          <w:rFonts w:ascii="Aptos" w:hAnsi="Aptos" w:cstheme="minorHAnsi"/>
        </w:rPr>
      </w:pPr>
      <w:r w:rsidRPr="00413161">
        <w:rPr>
          <w:rFonts w:ascii="Aptos" w:hAnsi="Aptos" w:cstheme="minorHAnsi"/>
        </w:rPr>
        <w:t xml:space="preserve">Amira’s case illustrates the profound and enduring impact that early neglect, instability, and cumulative ACEs can have on a child’s neurobiological, emotional, and relational development. Her withdrawn presentation, difficulties with peer engagement, and challenges in emotional regulation are not isolated </w:t>
      </w:r>
      <w:proofErr w:type="spellStart"/>
      <w:r w:rsidRPr="00413161">
        <w:rPr>
          <w:rFonts w:ascii="Aptos" w:hAnsi="Aptos" w:cstheme="minorHAnsi"/>
        </w:rPr>
        <w:t>behaviours</w:t>
      </w:r>
      <w:proofErr w:type="spellEnd"/>
      <w:r w:rsidRPr="00413161">
        <w:rPr>
          <w:rFonts w:ascii="Aptos" w:hAnsi="Aptos" w:cstheme="minorHAnsi"/>
        </w:rPr>
        <w:t xml:space="preserve"> but the visible expression of disrupted attachment, chronic stress activation, and the absence of consistent, attuned caregiving. Without timely intervention, these patterns risk becoming embedded, shaping her developmental trajectory well into adolescence and adulthood.</w:t>
      </w:r>
    </w:p>
    <w:p w14:paraId="4B974A31" w14:textId="2B684407" w:rsidR="00413161" w:rsidRDefault="00413161" w:rsidP="004051C8">
      <w:pPr>
        <w:spacing w:before="120" w:after="120" w:line="360" w:lineRule="auto"/>
        <w:rPr>
          <w:rFonts w:ascii="Aptos" w:hAnsi="Aptos" w:cstheme="minorHAnsi"/>
        </w:rPr>
      </w:pPr>
      <w:r w:rsidRPr="00413161">
        <w:rPr>
          <w:rFonts w:ascii="Aptos" w:hAnsi="Aptos" w:cstheme="minorHAnsi"/>
        </w:rPr>
        <w:t>The evidence reviewed demonstrates that trauma</w:t>
      </w:r>
      <w:r w:rsidRPr="00413161">
        <w:rPr>
          <w:rFonts w:ascii="Cambria Math" w:hAnsi="Cambria Math" w:cs="Cambria Math"/>
        </w:rPr>
        <w:t>‑</w:t>
      </w:r>
      <w:r w:rsidRPr="00413161">
        <w:rPr>
          <w:rFonts w:ascii="Aptos" w:hAnsi="Aptos" w:cstheme="minorHAnsi"/>
        </w:rPr>
        <w:t>informed, relationally focused interventions such as CPP and DDP offer meaningful pathways to recovery, each with distinct strengths and limitations. CPP provides a robust, evidence</w:t>
      </w:r>
      <w:r w:rsidRPr="00413161">
        <w:rPr>
          <w:rFonts w:ascii="Cambria Math" w:hAnsi="Cambria Math" w:cs="Cambria Math"/>
        </w:rPr>
        <w:t>‑</w:t>
      </w:r>
      <w:r w:rsidRPr="00413161">
        <w:rPr>
          <w:rFonts w:ascii="Aptos" w:hAnsi="Aptos" w:cstheme="minorHAnsi"/>
        </w:rPr>
        <w:t>based framework for supporting young children to make sense of traumatic experiences within a secure caregiving relationship</w:t>
      </w:r>
      <w:r w:rsidR="00244557">
        <w:rPr>
          <w:rFonts w:ascii="Aptos" w:hAnsi="Aptos" w:cstheme="minorHAnsi"/>
        </w:rPr>
        <w:t>. However,</w:t>
      </w:r>
      <w:r w:rsidRPr="00413161">
        <w:rPr>
          <w:rFonts w:ascii="Aptos" w:hAnsi="Aptos" w:cstheme="minorHAnsi"/>
        </w:rPr>
        <w:t xml:space="preserve"> its intensity and specialist training requirements may limit accessibility. DDP, while supported by a smaller evidence base, offers a flexible, relationally attuned approach that aligns closely with Amira’s current needs, particularly given her disrupted trust and early relational inconsistencies. When combined with school</w:t>
      </w:r>
      <w:r w:rsidRPr="00413161">
        <w:rPr>
          <w:rFonts w:ascii="Cambria Math" w:hAnsi="Cambria Math" w:cs="Cambria Math"/>
        </w:rPr>
        <w:t>‑</w:t>
      </w:r>
      <w:r w:rsidRPr="00413161">
        <w:rPr>
          <w:rFonts w:ascii="Aptos" w:hAnsi="Aptos" w:cstheme="minorHAnsi"/>
        </w:rPr>
        <w:t>based support, creative therapeutic opportunities, and the practical stability offered by a Family Support Worker, these interventions can work together to rebuild safety, strengthen emotional regulation, and promote resilience.</w:t>
      </w:r>
      <w:r w:rsidRPr="00413161">
        <w:rPr>
          <w:rFonts w:ascii="Aptos" w:hAnsi="Aptos" w:cstheme="minorHAnsi"/>
        </w:rPr>
        <w:t xml:space="preserve"> </w:t>
      </w:r>
    </w:p>
    <w:p w14:paraId="58C02177" w14:textId="32E3F226" w:rsidR="00AF14D2" w:rsidRPr="00AF14D2" w:rsidRDefault="00AF14D2" w:rsidP="004051C8">
      <w:pPr>
        <w:spacing w:before="120" w:after="120" w:line="360" w:lineRule="auto"/>
        <w:rPr>
          <w:rFonts w:ascii="Aptos" w:hAnsi="Aptos" w:cstheme="minorHAnsi"/>
        </w:rPr>
      </w:pPr>
      <w:r w:rsidRPr="00AF14D2">
        <w:rPr>
          <w:rFonts w:ascii="Aptos" w:hAnsi="Aptos" w:cstheme="minorHAnsi"/>
        </w:rPr>
        <w:t xml:space="preserve">However, the effectiveness of any intervention is inseparable from the </w:t>
      </w:r>
      <w:r w:rsidR="00244557">
        <w:rPr>
          <w:rFonts w:ascii="Aptos" w:hAnsi="Aptos" w:cstheme="minorHAnsi"/>
        </w:rPr>
        <w:t>well-being</w:t>
      </w:r>
      <w:r w:rsidRPr="00AF14D2">
        <w:rPr>
          <w:rFonts w:ascii="Aptos" w:hAnsi="Aptos" w:cstheme="minorHAnsi"/>
        </w:rPr>
        <w:t xml:space="preserve"> of the practitioners delivering it. Working with trauma</w:t>
      </w:r>
      <w:r w:rsidRPr="00AF14D2">
        <w:rPr>
          <w:rFonts w:ascii="Cambria Math" w:hAnsi="Cambria Math" w:cs="Cambria Math"/>
        </w:rPr>
        <w:t>‑</w:t>
      </w:r>
      <w:r w:rsidRPr="00AF14D2">
        <w:rPr>
          <w:rFonts w:ascii="Aptos" w:hAnsi="Aptos" w:cstheme="minorHAnsi"/>
        </w:rPr>
        <w:t>affected children exposes professionals to emotional strain, compassion fatigue, and secondary traumatic stress, making reflective supervision, clear boundaries, mindfulness, and peer support essential components of ethical and sustainable practice. By actively engaging in these strategies, practitioners can remain grounded, emotionally regulated, and able to offer the attuned, consistent presence that children like Amira require.</w:t>
      </w:r>
    </w:p>
    <w:p w14:paraId="65F9A79E" w14:textId="5DD0A879" w:rsidR="001E793B" w:rsidRDefault="00AF14D2" w:rsidP="004051C8">
      <w:pPr>
        <w:spacing w:before="120" w:after="120" w:line="360" w:lineRule="auto"/>
        <w:rPr>
          <w:rFonts w:ascii="Aptos" w:hAnsi="Aptos" w:cstheme="minorHAnsi"/>
        </w:rPr>
      </w:pPr>
      <w:r w:rsidRPr="00AF14D2">
        <w:rPr>
          <w:rFonts w:ascii="Aptos" w:hAnsi="Aptos" w:cstheme="minorHAnsi"/>
        </w:rPr>
        <w:lastRenderedPageBreak/>
        <w:t>Ultimately, supporting Amira involves more than addressing the consequences of her early experiences; it requires creating a coordinated, relationally rich environment in which she can rebuild trust, develop emotional security, and experience predictable care. Through trauma</w:t>
      </w:r>
      <w:r w:rsidRPr="00AF14D2">
        <w:rPr>
          <w:rFonts w:ascii="Cambria Math" w:hAnsi="Cambria Math" w:cs="Cambria Math"/>
        </w:rPr>
        <w:t>‑</w:t>
      </w:r>
      <w:r w:rsidRPr="00AF14D2">
        <w:rPr>
          <w:rFonts w:ascii="Aptos" w:hAnsi="Aptos" w:cstheme="minorHAnsi"/>
        </w:rPr>
        <w:t>informed intervention, multi</w:t>
      </w:r>
      <w:r w:rsidRPr="00AF14D2">
        <w:rPr>
          <w:rFonts w:ascii="Cambria Math" w:hAnsi="Cambria Math" w:cs="Cambria Math"/>
        </w:rPr>
        <w:t>‑</w:t>
      </w:r>
      <w:r w:rsidRPr="00AF14D2">
        <w:rPr>
          <w:rFonts w:ascii="Aptos" w:hAnsi="Aptos" w:cstheme="minorHAnsi"/>
        </w:rPr>
        <w:t>agency collaboration, and practitioner resilience, it is possible to interrupt the long</w:t>
      </w:r>
      <w:r w:rsidRPr="00AF14D2">
        <w:rPr>
          <w:rFonts w:ascii="Cambria Math" w:hAnsi="Cambria Math" w:cs="Cambria Math"/>
        </w:rPr>
        <w:t>‑</w:t>
      </w:r>
      <w:r w:rsidRPr="00AF14D2">
        <w:rPr>
          <w:rFonts w:ascii="Aptos" w:hAnsi="Aptos" w:cstheme="minorHAnsi"/>
        </w:rPr>
        <w:t>term risks associated with ACEs and help Amira move toward healthier developmental outcomes and a more secure future.</w:t>
      </w:r>
    </w:p>
    <w:p w14:paraId="6D94E5FE" w14:textId="77777777" w:rsidR="00B129AA" w:rsidRDefault="00B129AA" w:rsidP="004051C8">
      <w:pPr>
        <w:spacing w:before="120" w:after="120" w:line="360" w:lineRule="auto"/>
        <w:rPr>
          <w:rFonts w:ascii="Aptos" w:hAnsi="Aptos" w:cstheme="minorHAnsi"/>
        </w:rPr>
      </w:pPr>
    </w:p>
    <w:p w14:paraId="5ED7672D" w14:textId="77777777" w:rsidR="00B129AA" w:rsidRDefault="00B129AA" w:rsidP="00AF14D2">
      <w:pPr>
        <w:spacing w:before="120" w:after="120"/>
        <w:rPr>
          <w:rFonts w:ascii="Aptos" w:hAnsi="Aptos" w:cstheme="minorHAnsi"/>
        </w:rPr>
      </w:pPr>
    </w:p>
    <w:p w14:paraId="31ADB172" w14:textId="77777777" w:rsidR="00B129AA" w:rsidRDefault="00B129AA" w:rsidP="00AF14D2">
      <w:pPr>
        <w:spacing w:before="120" w:after="120"/>
        <w:rPr>
          <w:rFonts w:ascii="Aptos" w:hAnsi="Aptos" w:cstheme="minorHAnsi"/>
        </w:rPr>
      </w:pPr>
    </w:p>
    <w:p w14:paraId="3149C920" w14:textId="77777777" w:rsidR="00B129AA" w:rsidRDefault="00B129AA" w:rsidP="00AF14D2">
      <w:pPr>
        <w:spacing w:before="120" w:after="120"/>
        <w:rPr>
          <w:rFonts w:ascii="Aptos" w:hAnsi="Aptos" w:cstheme="minorHAnsi"/>
        </w:rPr>
      </w:pPr>
    </w:p>
    <w:p w14:paraId="2F628B0C" w14:textId="77777777" w:rsidR="00B129AA" w:rsidRDefault="00B129AA" w:rsidP="00AF14D2">
      <w:pPr>
        <w:spacing w:before="120" w:after="120"/>
        <w:rPr>
          <w:rFonts w:ascii="Aptos" w:hAnsi="Aptos" w:cstheme="minorHAnsi"/>
        </w:rPr>
      </w:pPr>
    </w:p>
    <w:p w14:paraId="424E9223" w14:textId="77777777" w:rsidR="00B129AA" w:rsidRDefault="00B129AA" w:rsidP="00AF14D2">
      <w:pPr>
        <w:spacing w:before="120" w:after="120"/>
        <w:rPr>
          <w:rFonts w:ascii="Aptos" w:hAnsi="Aptos" w:cstheme="minorHAnsi"/>
        </w:rPr>
      </w:pPr>
    </w:p>
    <w:p w14:paraId="1DC58A06" w14:textId="77777777" w:rsidR="00B129AA" w:rsidRDefault="00B129AA" w:rsidP="00AF14D2">
      <w:pPr>
        <w:spacing w:before="120" w:after="120"/>
        <w:rPr>
          <w:rFonts w:ascii="Aptos" w:hAnsi="Aptos" w:cstheme="minorHAnsi"/>
        </w:rPr>
      </w:pPr>
    </w:p>
    <w:p w14:paraId="202CB4B0" w14:textId="77777777" w:rsidR="00B129AA" w:rsidRDefault="00B129AA" w:rsidP="00AF14D2">
      <w:pPr>
        <w:spacing w:before="120" w:after="120"/>
        <w:rPr>
          <w:rFonts w:ascii="Aptos" w:hAnsi="Aptos" w:cstheme="minorHAnsi"/>
        </w:rPr>
      </w:pPr>
    </w:p>
    <w:p w14:paraId="59A73AEE" w14:textId="77777777" w:rsidR="00B129AA" w:rsidRDefault="00B129AA" w:rsidP="00AF14D2">
      <w:pPr>
        <w:spacing w:before="120" w:after="120"/>
        <w:rPr>
          <w:rFonts w:ascii="Aptos" w:hAnsi="Aptos" w:cstheme="minorHAnsi"/>
        </w:rPr>
      </w:pPr>
    </w:p>
    <w:p w14:paraId="52D8B254" w14:textId="77777777" w:rsidR="00B129AA" w:rsidRDefault="00B129AA" w:rsidP="00AF14D2">
      <w:pPr>
        <w:spacing w:before="120" w:after="120"/>
        <w:rPr>
          <w:rFonts w:ascii="Aptos" w:hAnsi="Aptos" w:cstheme="minorHAnsi"/>
        </w:rPr>
      </w:pPr>
    </w:p>
    <w:p w14:paraId="1174507D" w14:textId="77777777" w:rsidR="00B129AA" w:rsidRDefault="00B129AA" w:rsidP="00AF14D2">
      <w:pPr>
        <w:spacing w:before="120" w:after="120"/>
        <w:rPr>
          <w:rFonts w:ascii="Aptos" w:hAnsi="Aptos" w:cstheme="minorHAnsi"/>
        </w:rPr>
      </w:pPr>
    </w:p>
    <w:p w14:paraId="6641BA40" w14:textId="77777777" w:rsidR="00B129AA" w:rsidRDefault="00B129AA" w:rsidP="00AF14D2">
      <w:pPr>
        <w:spacing w:before="120" w:after="120"/>
        <w:rPr>
          <w:rFonts w:ascii="Aptos" w:hAnsi="Aptos" w:cstheme="minorHAnsi"/>
        </w:rPr>
      </w:pPr>
    </w:p>
    <w:p w14:paraId="34EF8356" w14:textId="77777777" w:rsidR="00B129AA" w:rsidRDefault="00B129AA" w:rsidP="00AF14D2">
      <w:pPr>
        <w:spacing w:before="120" w:after="120"/>
        <w:rPr>
          <w:rFonts w:ascii="Aptos" w:hAnsi="Aptos" w:cstheme="minorHAnsi"/>
        </w:rPr>
      </w:pPr>
    </w:p>
    <w:p w14:paraId="545ADEBA" w14:textId="77777777" w:rsidR="00B129AA" w:rsidRDefault="00B129AA" w:rsidP="00AF14D2">
      <w:pPr>
        <w:spacing w:before="120" w:after="120"/>
        <w:rPr>
          <w:rFonts w:ascii="Aptos" w:hAnsi="Aptos" w:cstheme="minorHAnsi"/>
        </w:rPr>
      </w:pPr>
    </w:p>
    <w:p w14:paraId="7E79AF6C" w14:textId="77777777" w:rsidR="00B129AA" w:rsidRPr="00B129AA" w:rsidRDefault="00B129AA" w:rsidP="00B129AA">
      <w:pPr>
        <w:spacing w:before="120" w:after="120"/>
        <w:rPr>
          <w:rFonts w:ascii="Aptos" w:hAnsi="Aptos" w:cstheme="minorHAnsi"/>
          <w:b/>
          <w:bCs/>
          <w:lang w:val="en-GB"/>
        </w:rPr>
      </w:pPr>
      <w:r w:rsidRPr="00B129AA">
        <w:rPr>
          <w:rFonts w:ascii="Aptos" w:hAnsi="Aptos" w:cstheme="minorHAnsi"/>
          <w:b/>
          <w:bCs/>
          <w:lang w:val="en-GB"/>
        </w:rPr>
        <w:t>References</w:t>
      </w:r>
    </w:p>
    <w:p w14:paraId="1D4BC177"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Abate, B. B., </w:t>
      </w:r>
      <w:proofErr w:type="spellStart"/>
      <w:r w:rsidRPr="00B129AA">
        <w:rPr>
          <w:rFonts w:ascii="Aptos" w:hAnsi="Aptos" w:cstheme="minorHAnsi"/>
          <w:lang w:val="en-GB"/>
        </w:rPr>
        <w:t>Sendekie</w:t>
      </w:r>
      <w:proofErr w:type="spellEnd"/>
      <w:r w:rsidRPr="00B129AA">
        <w:rPr>
          <w:rFonts w:ascii="Aptos" w:hAnsi="Aptos" w:cstheme="minorHAnsi"/>
          <w:lang w:val="en-GB"/>
        </w:rPr>
        <w:t xml:space="preserve">, A. K., Tadesse, A. W., </w:t>
      </w:r>
      <w:proofErr w:type="spellStart"/>
      <w:r w:rsidRPr="00B129AA">
        <w:rPr>
          <w:rFonts w:ascii="Aptos" w:hAnsi="Aptos" w:cstheme="minorHAnsi"/>
          <w:lang w:val="en-GB"/>
        </w:rPr>
        <w:t>Engdaw</w:t>
      </w:r>
      <w:proofErr w:type="spellEnd"/>
      <w:r w:rsidRPr="00B129AA">
        <w:rPr>
          <w:rFonts w:ascii="Aptos" w:hAnsi="Aptos" w:cstheme="minorHAnsi"/>
          <w:lang w:val="en-GB"/>
        </w:rPr>
        <w:t xml:space="preserve">, T., Mengesha, A., Zemariam, A. B., </w:t>
      </w:r>
      <w:proofErr w:type="spellStart"/>
      <w:r w:rsidRPr="00B129AA">
        <w:rPr>
          <w:rFonts w:ascii="Aptos" w:hAnsi="Aptos" w:cstheme="minorHAnsi"/>
          <w:lang w:val="en-GB"/>
        </w:rPr>
        <w:t>Alamaw</w:t>
      </w:r>
      <w:proofErr w:type="spellEnd"/>
      <w:r w:rsidRPr="00B129AA">
        <w:rPr>
          <w:rFonts w:ascii="Aptos" w:hAnsi="Aptos" w:cstheme="minorHAnsi"/>
          <w:lang w:val="en-GB"/>
        </w:rPr>
        <w:t xml:space="preserve">, A. W., Abebe, G., &amp; </w:t>
      </w:r>
      <w:proofErr w:type="spellStart"/>
      <w:r w:rsidRPr="00B129AA">
        <w:rPr>
          <w:rFonts w:ascii="Aptos" w:hAnsi="Aptos" w:cstheme="minorHAnsi"/>
          <w:lang w:val="en-GB"/>
        </w:rPr>
        <w:t>Azmeraw</w:t>
      </w:r>
      <w:proofErr w:type="spellEnd"/>
      <w:r w:rsidRPr="00B129AA">
        <w:rPr>
          <w:rFonts w:ascii="Aptos" w:hAnsi="Aptos" w:cstheme="minorHAnsi"/>
          <w:lang w:val="en-GB"/>
        </w:rPr>
        <w:t>, M. (2024). Resilience after adversity: an Umbrella Review of Adversity Protective Factors and resilience-promoting Interventions. </w:t>
      </w:r>
      <w:r w:rsidRPr="00B129AA">
        <w:rPr>
          <w:rFonts w:ascii="Aptos" w:hAnsi="Aptos" w:cstheme="minorHAnsi"/>
          <w:i/>
          <w:iCs/>
          <w:lang w:val="en-GB"/>
        </w:rPr>
        <w:t>Frontiers in Psychiatry</w:t>
      </w:r>
      <w:r w:rsidRPr="00B129AA">
        <w:rPr>
          <w:rFonts w:ascii="Aptos" w:hAnsi="Aptos" w:cstheme="minorHAnsi"/>
          <w:lang w:val="en-GB"/>
        </w:rPr>
        <w:t>, </w:t>
      </w:r>
      <w:r w:rsidRPr="00B129AA">
        <w:rPr>
          <w:rFonts w:ascii="Aptos" w:hAnsi="Aptos" w:cstheme="minorHAnsi"/>
          <w:i/>
          <w:iCs/>
          <w:lang w:val="en-GB"/>
        </w:rPr>
        <w:t>15</w:t>
      </w:r>
      <w:r w:rsidRPr="00B129AA">
        <w:rPr>
          <w:rFonts w:ascii="Aptos" w:hAnsi="Aptos" w:cstheme="minorHAnsi"/>
          <w:lang w:val="en-GB"/>
        </w:rPr>
        <w:t>. https://doi.org/10.3389/fpsyt.2024.1391312</w:t>
      </w:r>
    </w:p>
    <w:p w14:paraId="7E49B63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Allen, K., Kern, M. L., Vella-Brodrick, D., Hattie, J., &amp; Waters, L. (2018). What Schools Need to Know About Fostering School Belonging: a Meta-analysis. </w:t>
      </w:r>
      <w:r w:rsidRPr="00B129AA">
        <w:rPr>
          <w:rFonts w:ascii="Aptos" w:hAnsi="Aptos" w:cstheme="minorHAnsi"/>
          <w:i/>
          <w:iCs/>
          <w:lang w:val="en-GB"/>
        </w:rPr>
        <w:t>Educational Psychology Review</w:t>
      </w:r>
      <w:r w:rsidRPr="00B129AA">
        <w:rPr>
          <w:rFonts w:ascii="Aptos" w:hAnsi="Aptos" w:cstheme="minorHAnsi"/>
          <w:lang w:val="en-GB"/>
        </w:rPr>
        <w:t>, </w:t>
      </w:r>
      <w:r w:rsidRPr="00B129AA">
        <w:rPr>
          <w:rFonts w:ascii="Aptos" w:hAnsi="Aptos" w:cstheme="minorHAnsi"/>
          <w:i/>
          <w:iCs/>
          <w:lang w:val="en-GB"/>
        </w:rPr>
        <w:t>30</w:t>
      </w:r>
      <w:r w:rsidRPr="00B129AA">
        <w:rPr>
          <w:rFonts w:ascii="Aptos" w:hAnsi="Aptos" w:cstheme="minorHAnsi"/>
          <w:lang w:val="en-GB"/>
        </w:rPr>
        <w:t>(1), 1–34. https://doi.org/10.1007/s10648-016-9389-8</w:t>
      </w:r>
    </w:p>
    <w:p w14:paraId="6CDF45F9" w14:textId="77777777" w:rsidR="00B129AA" w:rsidRPr="00B129AA" w:rsidRDefault="00B129AA" w:rsidP="00B129AA">
      <w:pPr>
        <w:spacing w:before="120" w:after="120"/>
        <w:rPr>
          <w:rFonts w:ascii="Aptos" w:hAnsi="Aptos" w:cstheme="minorHAnsi"/>
          <w:lang w:val="en-GB"/>
        </w:rPr>
      </w:pPr>
      <w:proofErr w:type="spellStart"/>
      <w:r w:rsidRPr="00B129AA">
        <w:rPr>
          <w:rFonts w:ascii="Aptos" w:hAnsi="Aptos" w:cstheme="minorHAnsi"/>
          <w:lang w:val="en-GB"/>
        </w:rPr>
        <w:t>Alpugan</w:t>
      </w:r>
      <w:proofErr w:type="spellEnd"/>
      <w:r w:rsidRPr="00B129AA">
        <w:rPr>
          <w:rFonts w:ascii="Aptos" w:hAnsi="Aptos" w:cstheme="minorHAnsi"/>
          <w:lang w:val="en-GB"/>
        </w:rPr>
        <w:t>, Z. (2024). The Impact of Early Childhood Adversity on Neurodevelopment A Comprehensive Review. </w:t>
      </w:r>
      <w:proofErr w:type="spellStart"/>
      <w:r w:rsidRPr="00B129AA">
        <w:rPr>
          <w:rFonts w:ascii="Aptos" w:hAnsi="Aptos" w:cstheme="minorHAnsi"/>
          <w:i/>
          <w:iCs/>
          <w:lang w:val="en-GB"/>
        </w:rPr>
        <w:t>Üha</w:t>
      </w:r>
      <w:proofErr w:type="spellEnd"/>
      <w:r w:rsidRPr="00B129AA">
        <w:rPr>
          <w:rFonts w:ascii="Aptos" w:hAnsi="Aptos" w:cstheme="minorHAnsi"/>
          <w:lang w:val="en-GB"/>
        </w:rPr>
        <w:t>, </w:t>
      </w:r>
      <w:r w:rsidRPr="00B129AA">
        <w:rPr>
          <w:rFonts w:ascii="Aptos" w:hAnsi="Aptos" w:cstheme="minorHAnsi"/>
          <w:i/>
          <w:iCs/>
          <w:lang w:val="en-GB"/>
        </w:rPr>
        <w:t>11</w:t>
      </w:r>
      <w:r w:rsidRPr="00B129AA">
        <w:rPr>
          <w:rFonts w:ascii="Aptos" w:hAnsi="Aptos" w:cstheme="minorHAnsi"/>
          <w:lang w:val="en-GB"/>
        </w:rPr>
        <w:t>(2), 45–59. https://doi.org/10.32739/uha.jnbs.11.1539116</w:t>
      </w:r>
    </w:p>
    <w:p w14:paraId="4C8C4915"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lastRenderedPageBreak/>
        <w:t>Anda, R. F., Porter, L. E., &amp; Brown, D. W. (2020). Inside the adverse childhood experience score: Strengths, limitations, and misapplications. </w:t>
      </w:r>
      <w:r w:rsidRPr="00B129AA">
        <w:rPr>
          <w:rFonts w:ascii="Aptos" w:hAnsi="Aptos" w:cstheme="minorHAnsi"/>
          <w:i/>
          <w:iCs/>
          <w:lang w:val="en-GB"/>
        </w:rPr>
        <w:t>American Journal of Preventive Medicine</w:t>
      </w:r>
      <w:r w:rsidRPr="00B129AA">
        <w:rPr>
          <w:rFonts w:ascii="Aptos" w:hAnsi="Aptos" w:cstheme="minorHAnsi"/>
          <w:lang w:val="en-GB"/>
        </w:rPr>
        <w:t>, </w:t>
      </w:r>
      <w:r w:rsidRPr="00B129AA">
        <w:rPr>
          <w:rFonts w:ascii="Aptos" w:hAnsi="Aptos" w:cstheme="minorHAnsi"/>
          <w:i/>
          <w:iCs/>
          <w:lang w:val="en-GB"/>
        </w:rPr>
        <w:t>59</w:t>
      </w:r>
      <w:r w:rsidRPr="00B129AA">
        <w:rPr>
          <w:rFonts w:ascii="Aptos" w:hAnsi="Aptos" w:cstheme="minorHAnsi"/>
          <w:lang w:val="en-GB"/>
        </w:rPr>
        <w:t>(2), 293–295. https://doi.org/10.1016/j.amepre.2020.01.009</w:t>
      </w:r>
    </w:p>
    <w:p w14:paraId="3CDC8C9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Becker-Weidman, A. (2006). Treatment for Children with Trauma-Attachment Disorders: Dyadic Developmental Psychotherapy. </w:t>
      </w:r>
      <w:r w:rsidRPr="00B129AA">
        <w:rPr>
          <w:rFonts w:ascii="Aptos" w:hAnsi="Aptos" w:cstheme="minorHAnsi"/>
          <w:i/>
          <w:iCs/>
          <w:lang w:val="en-GB"/>
        </w:rPr>
        <w:t>Child and Adolescent Social Work Journal</w:t>
      </w:r>
      <w:r w:rsidRPr="00B129AA">
        <w:rPr>
          <w:rFonts w:ascii="Aptos" w:hAnsi="Aptos" w:cstheme="minorHAnsi"/>
          <w:lang w:val="en-GB"/>
        </w:rPr>
        <w:t>, </w:t>
      </w:r>
      <w:r w:rsidRPr="00B129AA">
        <w:rPr>
          <w:rFonts w:ascii="Aptos" w:hAnsi="Aptos" w:cstheme="minorHAnsi"/>
          <w:i/>
          <w:iCs/>
          <w:lang w:val="en-GB"/>
        </w:rPr>
        <w:t>23</w:t>
      </w:r>
      <w:r w:rsidRPr="00B129AA">
        <w:rPr>
          <w:rFonts w:ascii="Aptos" w:hAnsi="Aptos" w:cstheme="minorHAnsi"/>
          <w:lang w:val="en-GB"/>
        </w:rPr>
        <w:t>(2), 147–171. https://doi.org/10.1007/s10560-005-0039-0</w:t>
      </w:r>
    </w:p>
    <w:p w14:paraId="7409334C"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Bellis, M. A., Hughes, K., Ford, K., Ramos Rodriguez, G., Sethi, D., &amp; Passmore, J. (2019). Life course health consequences and associated annual costs of adverse childhood experiences across Europe and North America: a systematic review and meta-analysis. </w:t>
      </w:r>
      <w:r w:rsidRPr="00B129AA">
        <w:rPr>
          <w:rFonts w:ascii="Aptos" w:hAnsi="Aptos" w:cstheme="minorHAnsi"/>
          <w:i/>
          <w:iCs/>
          <w:lang w:val="en-GB"/>
        </w:rPr>
        <w:t>The Lancet Public Health</w:t>
      </w:r>
      <w:r w:rsidRPr="00B129AA">
        <w:rPr>
          <w:rFonts w:ascii="Aptos" w:hAnsi="Aptos" w:cstheme="minorHAnsi"/>
          <w:lang w:val="en-GB"/>
        </w:rPr>
        <w:t>, </w:t>
      </w:r>
      <w:r w:rsidRPr="00B129AA">
        <w:rPr>
          <w:rFonts w:ascii="Aptos" w:hAnsi="Aptos" w:cstheme="minorHAnsi"/>
          <w:i/>
          <w:iCs/>
          <w:lang w:val="en-GB"/>
        </w:rPr>
        <w:t>4</w:t>
      </w:r>
      <w:r w:rsidRPr="00B129AA">
        <w:rPr>
          <w:rFonts w:ascii="Aptos" w:hAnsi="Aptos" w:cstheme="minorHAnsi"/>
          <w:lang w:val="en-GB"/>
        </w:rPr>
        <w:t>(10), e517–e528. https://doi.org/10.1016/s2468-2667(19)30145-8</w:t>
      </w:r>
    </w:p>
    <w:p w14:paraId="2001D349" w14:textId="77777777" w:rsidR="00B129AA" w:rsidRPr="00B129AA" w:rsidRDefault="00B129AA" w:rsidP="00B129AA">
      <w:pPr>
        <w:spacing w:before="120" w:after="120"/>
        <w:rPr>
          <w:rFonts w:ascii="Aptos" w:hAnsi="Aptos" w:cstheme="minorHAnsi"/>
          <w:lang w:val="en-GB"/>
        </w:rPr>
      </w:pPr>
      <w:proofErr w:type="spellStart"/>
      <w:r w:rsidRPr="00B129AA">
        <w:rPr>
          <w:rFonts w:ascii="Aptos" w:hAnsi="Aptos" w:cstheme="minorHAnsi"/>
          <w:lang w:val="en-GB"/>
        </w:rPr>
        <w:t>Biglan</w:t>
      </w:r>
      <w:proofErr w:type="spellEnd"/>
      <w:r w:rsidRPr="00B129AA">
        <w:rPr>
          <w:rFonts w:ascii="Aptos" w:hAnsi="Aptos" w:cstheme="minorHAnsi"/>
          <w:lang w:val="en-GB"/>
        </w:rPr>
        <w:t>, A., Van Ryzin, M. J., &amp; Hawkins, J. D. (2017). Evolving a More Nurturing Society to Prevent Adverse Childhood Experiences. </w:t>
      </w:r>
      <w:r w:rsidRPr="00B129AA">
        <w:rPr>
          <w:rFonts w:ascii="Aptos" w:hAnsi="Aptos" w:cstheme="minorHAnsi"/>
          <w:i/>
          <w:iCs/>
          <w:lang w:val="en-GB"/>
        </w:rPr>
        <w:t>Academic Pediatrics</w:t>
      </w:r>
      <w:r w:rsidRPr="00B129AA">
        <w:rPr>
          <w:rFonts w:ascii="Aptos" w:hAnsi="Aptos" w:cstheme="minorHAnsi"/>
          <w:lang w:val="en-GB"/>
        </w:rPr>
        <w:t>, </w:t>
      </w:r>
      <w:r w:rsidRPr="00B129AA">
        <w:rPr>
          <w:rFonts w:ascii="Aptos" w:hAnsi="Aptos" w:cstheme="minorHAnsi"/>
          <w:i/>
          <w:iCs/>
          <w:lang w:val="en-GB"/>
        </w:rPr>
        <w:t>17</w:t>
      </w:r>
      <w:r w:rsidRPr="00B129AA">
        <w:rPr>
          <w:rFonts w:ascii="Aptos" w:hAnsi="Aptos" w:cstheme="minorHAnsi"/>
          <w:lang w:val="en-GB"/>
        </w:rPr>
        <w:t>(7), S150–S157. https://doi.org/10.1016/j.acap.2017.04.002</w:t>
      </w:r>
    </w:p>
    <w:p w14:paraId="011367EC"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Blanden, J., &amp; Rabe, B. (2021). Childcare and Children’s Development: Features of Effective Programs. </w:t>
      </w:r>
      <w:r w:rsidRPr="00B129AA">
        <w:rPr>
          <w:rFonts w:ascii="Aptos" w:hAnsi="Aptos" w:cstheme="minorHAnsi"/>
          <w:i/>
          <w:iCs/>
          <w:lang w:val="en-GB"/>
        </w:rPr>
        <w:t>Oxford Research Encyclopedia of Economics and Finance</w:t>
      </w:r>
      <w:r w:rsidRPr="00B129AA">
        <w:rPr>
          <w:rFonts w:ascii="Aptos" w:hAnsi="Aptos" w:cstheme="minorHAnsi"/>
          <w:lang w:val="en-GB"/>
        </w:rPr>
        <w:t>. https://doi.org/10.1093/acrefore/9780190625979.013.662</w:t>
      </w:r>
    </w:p>
    <w:p w14:paraId="60867863"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Bowlby, J. (1969). </w:t>
      </w:r>
      <w:r w:rsidRPr="00B129AA">
        <w:rPr>
          <w:rFonts w:ascii="Aptos" w:hAnsi="Aptos" w:cstheme="minorHAnsi"/>
          <w:i/>
          <w:iCs/>
          <w:lang w:val="en-GB"/>
        </w:rPr>
        <w:t>Attachment and Loss</w:t>
      </w:r>
      <w:r w:rsidRPr="00B129AA">
        <w:rPr>
          <w:rFonts w:ascii="Aptos" w:hAnsi="Aptos" w:cstheme="minorHAnsi"/>
          <w:lang w:val="en-GB"/>
        </w:rPr>
        <w:t> (Vol. 1). New York Basic Books.</w:t>
      </w:r>
    </w:p>
    <w:p w14:paraId="21C55BE3"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Bride, B. E. (2007). Prevalence of Secondary Traumatic Stress among Social Workers. </w:t>
      </w:r>
      <w:r w:rsidRPr="00B129AA">
        <w:rPr>
          <w:rFonts w:ascii="Aptos" w:hAnsi="Aptos" w:cstheme="minorHAnsi"/>
          <w:i/>
          <w:iCs/>
          <w:lang w:val="en-GB"/>
        </w:rPr>
        <w:t>Social Work</w:t>
      </w:r>
      <w:r w:rsidRPr="00B129AA">
        <w:rPr>
          <w:rFonts w:ascii="Aptos" w:hAnsi="Aptos" w:cstheme="minorHAnsi"/>
          <w:lang w:val="en-GB"/>
        </w:rPr>
        <w:t>, </w:t>
      </w:r>
      <w:r w:rsidRPr="00B129AA">
        <w:rPr>
          <w:rFonts w:ascii="Aptos" w:hAnsi="Aptos" w:cstheme="minorHAnsi"/>
          <w:i/>
          <w:iCs/>
          <w:lang w:val="en-GB"/>
        </w:rPr>
        <w:t>52</w:t>
      </w:r>
      <w:r w:rsidRPr="00B129AA">
        <w:rPr>
          <w:rFonts w:ascii="Aptos" w:hAnsi="Aptos" w:cstheme="minorHAnsi"/>
          <w:lang w:val="en-GB"/>
        </w:rPr>
        <w:t>(1), 63–70. https://doi.org/10.1093/sw/52.1.63</w:t>
      </w:r>
    </w:p>
    <w:p w14:paraId="2B62E45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Burch, K., Coombes, L., Macey, E., &amp; </w:t>
      </w:r>
      <w:proofErr w:type="spellStart"/>
      <w:r w:rsidRPr="00B129AA">
        <w:rPr>
          <w:rFonts w:ascii="Aptos" w:hAnsi="Aptos" w:cstheme="minorHAnsi"/>
          <w:lang w:val="en-GB"/>
        </w:rPr>
        <w:t>Backinsell</w:t>
      </w:r>
      <w:proofErr w:type="spellEnd"/>
      <w:r w:rsidRPr="00B129AA">
        <w:rPr>
          <w:rFonts w:ascii="Aptos" w:hAnsi="Aptos" w:cstheme="minorHAnsi"/>
          <w:lang w:val="en-GB"/>
        </w:rPr>
        <w:t>, A. (2023). Dyadic Developmental Psychotherapy for children living with adoptive parents or special guardians: a longitudinal assessment of the impact on child and caregiver wellbeing outcomes. </w:t>
      </w:r>
      <w:r w:rsidRPr="00B129AA">
        <w:rPr>
          <w:rFonts w:ascii="Aptos" w:hAnsi="Aptos" w:cstheme="minorHAnsi"/>
          <w:i/>
          <w:iCs/>
          <w:lang w:val="en-GB"/>
        </w:rPr>
        <w:t>Developmental Child Welfare</w:t>
      </w:r>
      <w:r w:rsidRPr="00B129AA">
        <w:rPr>
          <w:rFonts w:ascii="Aptos" w:hAnsi="Aptos" w:cstheme="minorHAnsi"/>
          <w:lang w:val="en-GB"/>
        </w:rPr>
        <w:t>, </w:t>
      </w:r>
      <w:r w:rsidRPr="00B129AA">
        <w:rPr>
          <w:rFonts w:ascii="Aptos" w:hAnsi="Aptos" w:cstheme="minorHAnsi"/>
          <w:i/>
          <w:iCs/>
          <w:lang w:val="en-GB"/>
        </w:rPr>
        <w:t>5</w:t>
      </w:r>
      <w:r w:rsidRPr="00B129AA">
        <w:rPr>
          <w:rFonts w:ascii="Aptos" w:hAnsi="Aptos" w:cstheme="minorHAnsi"/>
          <w:lang w:val="en-GB"/>
        </w:rPr>
        <w:t>(2), 251610322311657. https://doi.org/10.1177/25161032231165757</w:t>
      </w:r>
    </w:p>
    <w:p w14:paraId="0BDDAA88"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Byun, S., </w:t>
      </w:r>
      <w:proofErr w:type="spellStart"/>
      <w:r w:rsidRPr="00B129AA">
        <w:rPr>
          <w:rFonts w:ascii="Aptos" w:hAnsi="Aptos" w:cstheme="minorHAnsi"/>
          <w:lang w:val="en-GB"/>
        </w:rPr>
        <w:t>Brumariu</w:t>
      </w:r>
      <w:proofErr w:type="spellEnd"/>
      <w:r w:rsidRPr="00B129AA">
        <w:rPr>
          <w:rFonts w:ascii="Aptos" w:hAnsi="Aptos" w:cstheme="minorHAnsi"/>
          <w:lang w:val="en-GB"/>
        </w:rPr>
        <w:t>, L. E., &amp; Lyons-Ruth, K. (2016). Disorganized attachment in young adulthood as a partial mediator of relations between severity of childhood abuse and dissociation. </w:t>
      </w:r>
      <w:r w:rsidRPr="00B129AA">
        <w:rPr>
          <w:rFonts w:ascii="Aptos" w:hAnsi="Aptos" w:cstheme="minorHAnsi"/>
          <w:i/>
          <w:iCs/>
          <w:lang w:val="en-GB"/>
        </w:rPr>
        <w:t>Journal of Trauma &amp; Dissociation</w:t>
      </w:r>
      <w:r w:rsidRPr="00B129AA">
        <w:rPr>
          <w:rFonts w:ascii="Aptos" w:hAnsi="Aptos" w:cstheme="minorHAnsi"/>
          <w:lang w:val="en-GB"/>
        </w:rPr>
        <w:t>, </w:t>
      </w:r>
      <w:r w:rsidRPr="00B129AA">
        <w:rPr>
          <w:rFonts w:ascii="Aptos" w:hAnsi="Aptos" w:cstheme="minorHAnsi"/>
          <w:i/>
          <w:iCs/>
          <w:lang w:val="en-GB"/>
        </w:rPr>
        <w:t>17</w:t>
      </w:r>
      <w:r w:rsidRPr="00B129AA">
        <w:rPr>
          <w:rFonts w:ascii="Aptos" w:hAnsi="Aptos" w:cstheme="minorHAnsi"/>
          <w:lang w:val="en-GB"/>
        </w:rPr>
        <w:t>(4), 460–479. https://doi.org/10.1080/15299732.2016.1141149</w:t>
      </w:r>
    </w:p>
    <w:p w14:paraId="51E3D23C"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Cassidy, J., &amp; Shaver, P. R. (2016). </w:t>
      </w:r>
      <w:r w:rsidRPr="00B129AA">
        <w:rPr>
          <w:rFonts w:ascii="Aptos" w:hAnsi="Aptos" w:cstheme="minorHAnsi"/>
          <w:i/>
          <w:iCs/>
          <w:lang w:val="en-GB"/>
        </w:rPr>
        <w:t>Handbook of Attachment</w:t>
      </w:r>
      <w:r w:rsidRPr="00B129AA">
        <w:rPr>
          <w:rFonts w:ascii="Aptos" w:hAnsi="Aptos" w:cstheme="minorHAnsi"/>
          <w:lang w:val="en-GB"/>
        </w:rPr>
        <w:t> (3rd ed., pp. 667–695). Guilford Publications.</w:t>
      </w:r>
    </w:p>
    <w:p w14:paraId="2C0535CB"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Chu, A. T., </w:t>
      </w:r>
      <w:proofErr w:type="spellStart"/>
      <w:r w:rsidRPr="00B129AA">
        <w:rPr>
          <w:rFonts w:ascii="Aptos" w:hAnsi="Aptos" w:cstheme="minorHAnsi"/>
          <w:lang w:val="en-GB"/>
        </w:rPr>
        <w:t>Ippen</w:t>
      </w:r>
      <w:proofErr w:type="spellEnd"/>
      <w:r w:rsidRPr="00B129AA">
        <w:rPr>
          <w:rFonts w:ascii="Aptos" w:hAnsi="Aptos" w:cstheme="minorHAnsi"/>
          <w:lang w:val="en-GB"/>
        </w:rPr>
        <w:t>, C. G., &amp; Lieberman, A. F. (2021). It’s All About the Relationship: The Role of Attachment in Child-Parent Psychotherapy. </w:t>
      </w:r>
      <w:r w:rsidRPr="00B129AA">
        <w:rPr>
          <w:rFonts w:ascii="Aptos" w:hAnsi="Aptos" w:cstheme="minorHAnsi"/>
          <w:i/>
          <w:iCs/>
          <w:lang w:val="en-GB"/>
        </w:rPr>
        <w:t>Research on Child and Adolescent Psychopathology</w:t>
      </w:r>
      <w:r w:rsidRPr="00B129AA">
        <w:rPr>
          <w:rFonts w:ascii="Aptos" w:hAnsi="Aptos" w:cstheme="minorHAnsi"/>
          <w:lang w:val="en-GB"/>
        </w:rPr>
        <w:t>, </w:t>
      </w:r>
      <w:r w:rsidRPr="00B129AA">
        <w:rPr>
          <w:rFonts w:ascii="Aptos" w:hAnsi="Aptos" w:cstheme="minorHAnsi"/>
          <w:i/>
          <w:iCs/>
          <w:lang w:val="en-GB"/>
        </w:rPr>
        <w:t>49</w:t>
      </w:r>
      <w:r w:rsidRPr="00B129AA">
        <w:rPr>
          <w:rFonts w:ascii="Aptos" w:hAnsi="Aptos" w:cstheme="minorHAnsi"/>
          <w:lang w:val="en-GB"/>
        </w:rPr>
        <w:t>. https://doi.org/10.1007/s10802-020-00741-5</w:t>
      </w:r>
    </w:p>
    <w:p w14:paraId="5EED7919"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Cieslak, R., Shoji, K., Douglas, A., Melville, E., </w:t>
      </w:r>
      <w:proofErr w:type="spellStart"/>
      <w:r w:rsidRPr="00B129AA">
        <w:rPr>
          <w:rFonts w:ascii="Aptos" w:hAnsi="Aptos" w:cstheme="minorHAnsi"/>
          <w:lang w:val="en-GB"/>
        </w:rPr>
        <w:t>Luszczynska</w:t>
      </w:r>
      <w:proofErr w:type="spellEnd"/>
      <w:r w:rsidRPr="00B129AA">
        <w:rPr>
          <w:rFonts w:ascii="Aptos" w:hAnsi="Aptos" w:cstheme="minorHAnsi"/>
          <w:lang w:val="en-GB"/>
        </w:rPr>
        <w:t>, A., &amp; Benight, C. C. (2014). A meta-analysis of the relationship between job burnout and secondary traumatic stress among workers with indirect exposure to trauma. </w:t>
      </w:r>
      <w:r w:rsidRPr="00B129AA">
        <w:rPr>
          <w:rFonts w:ascii="Aptos" w:hAnsi="Aptos" w:cstheme="minorHAnsi"/>
          <w:i/>
          <w:iCs/>
          <w:lang w:val="en-GB"/>
        </w:rPr>
        <w:t>Psychological Services</w:t>
      </w:r>
      <w:r w:rsidRPr="00B129AA">
        <w:rPr>
          <w:rFonts w:ascii="Aptos" w:hAnsi="Aptos" w:cstheme="minorHAnsi"/>
          <w:lang w:val="en-GB"/>
        </w:rPr>
        <w:t>, </w:t>
      </w:r>
      <w:r w:rsidRPr="00B129AA">
        <w:rPr>
          <w:rFonts w:ascii="Aptos" w:hAnsi="Aptos" w:cstheme="minorHAnsi"/>
          <w:i/>
          <w:iCs/>
          <w:lang w:val="en-GB"/>
        </w:rPr>
        <w:t>11</w:t>
      </w:r>
      <w:r w:rsidRPr="00B129AA">
        <w:rPr>
          <w:rFonts w:ascii="Aptos" w:hAnsi="Aptos" w:cstheme="minorHAnsi"/>
          <w:lang w:val="en-GB"/>
        </w:rPr>
        <w:t>(1), 75–86. https://doi.org/10.1037/a0033798</w:t>
      </w:r>
    </w:p>
    <w:p w14:paraId="574B9171" w14:textId="77777777" w:rsidR="00B129AA" w:rsidRPr="00B129AA" w:rsidRDefault="00B129AA" w:rsidP="00B129AA">
      <w:pPr>
        <w:spacing w:before="120" w:after="120"/>
        <w:rPr>
          <w:rFonts w:ascii="Aptos" w:hAnsi="Aptos" w:cstheme="minorHAnsi"/>
          <w:lang w:val="en-GB"/>
        </w:rPr>
      </w:pPr>
      <w:proofErr w:type="spellStart"/>
      <w:r w:rsidRPr="00B129AA">
        <w:rPr>
          <w:rFonts w:ascii="Aptos" w:hAnsi="Aptos" w:cstheme="minorHAnsi"/>
          <w:lang w:val="en-GB"/>
        </w:rPr>
        <w:t>Clarici</w:t>
      </w:r>
      <w:proofErr w:type="spellEnd"/>
      <w:r w:rsidRPr="00B129AA">
        <w:rPr>
          <w:rFonts w:ascii="Aptos" w:hAnsi="Aptos" w:cstheme="minorHAnsi"/>
          <w:lang w:val="en-GB"/>
        </w:rPr>
        <w:t xml:space="preserve">, A., Matteo Bulfon, Radin, Y., &amp; Jaak Panksepp. (2024). Neuromodulation of safety and surprise in the early stages of infant development: affective homeostatic regulation in </w:t>
      </w:r>
      <w:r w:rsidRPr="00B129AA">
        <w:rPr>
          <w:rFonts w:ascii="Aptos" w:hAnsi="Aptos" w:cstheme="minorHAnsi"/>
          <w:lang w:val="en-GB"/>
        </w:rPr>
        <w:lastRenderedPageBreak/>
        <w:t>bodily and mental functions. </w:t>
      </w:r>
      <w:r w:rsidRPr="00B129AA">
        <w:rPr>
          <w:rFonts w:ascii="Aptos" w:hAnsi="Aptos" w:cstheme="minorHAnsi"/>
          <w:i/>
          <w:iCs/>
          <w:lang w:val="en-GB"/>
        </w:rPr>
        <w:t>Frontiers in Psychology</w:t>
      </w:r>
      <w:r w:rsidRPr="00B129AA">
        <w:rPr>
          <w:rFonts w:ascii="Aptos" w:hAnsi="Aptos" w:cstheme="minorHAnsi"/>
          <w:lang w:val="en-GB"/>
        </w:rPr>
        <w:t>, </w:t>
      </w:r>
      <w:r w:rsidRPr="00B129AA">
        <w:rPr>
          <w:rFonts w:ascii="Aptos" w:hAnsi="Aptos" w:cstheme="minorHAnsi"/>
          <w:i/>
          <w:iCs/>
          <w:lang w:val="en-GB"/>
        </w:rPr>
        <w:t>15</w:t>
      </w:r>
      <w:r w:rsidRPr="00B129AA">
        <w:rPr>
          <w:rFonts w:ascii="Aptos" w:hAnsi="Aptos" w:cstheme="minorHAnsi"/>
          <w:lang w:val="en-GB"/>
        </w:rPr>
        <w:t>. https://doi.org/10.3389/fpsyg.2024.1395247</w:t>
      </w:r>
    </w:p>
    <w:p w14:paraId="09178255"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Cleary, E., Curran, D., Dyer, K., Simms, J., &amp; Hanna, D. (2023). Contributing factors to secondary traumatic stress and vicarious posttraumatic growth in therapists. </w:t>
      </w:r>
      <w:r w:rsidRPr="00B129AA">
        <w:rPr>
          <w:rFonts w:ascii="Aptos" w:hAnsi="Aptos" w:cstheme="minorHAnsi"/>
          <w:i/>
          <w:iCs/>
          <w:lang w:val="en-GB"/>
        </w:rPr>
        <w:t>Journal of Traumatic Stress</w:t>
      </w:r>
      <w:r w:rsidRPr="00B129AA">
        <w:rPr>
          <w:rFonts w:ascii="Aptos" w:hAnsi="Aptos" w:cstheme="minorHAnsi"/>
          <w:lang w:val="en-GB"/>
        </w:rPr>
        <w:t>, </w:t>
      </w:r>
      <w:r w:rsidRPr="00B129AA">
        <w:rPr>
          <w:rFonts w:ascii="Aptos" w:hAnsi="Aptos" w:cstheme="minorHAnsi"/>
          <w:i/>
          <w:iCs/>
          <w:lang w:val="en-GB"/>
        </w:rPr>
        <w:t>37</w:t>
      </w:r>
      <w:r w:rsidRPr="00B129AA">
        <w:rPr>
          <w:rFonts w:ascii="Aptos" w:hAnsi="Aptos" w:cstheme="minorHAnsi"/>
          <w:lang w:val="en-GB"/>
        </w:rPr>
        <w:t>(1), 103–112. https://doi.org/10.1002/jts.22995</w:t>
      </w:r>
    </w:p>
    <w:p w14:paraId="65EFA808"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Clery, P., Rowe, A., </w:t>
      </w:r>
      <w:proofErr w:type="spellStart"/>
      <w:r w:rsidRPr="00B129AA">
        <w:rPr>
          <w:rFonts w:ascii="Aptos" w:hAnsi="Aptos" w:cstheme="minorHAnsi"/>
          <w:lang w:val="en-GB"/>
        </w:rPr>
        <w:t>Munafò</w:t>
      </w:r>
      <w:proofErr w:type="spellEnd"/>
      <w:r w:rsidRPr="00B129AA">
        <w:rPr>
          <w:rFonts w:ascii="Aptos" w:hAnsi="Aptos" w:cstheme="minorHAnsi"/>
          <w:lang w:val="en-GB"/>
        </w:rPr>
        <w:t>, M., &amp; Mahedy, L. (2021). Is attachment style in early childhood associated with mental health difficulties in late adolescence? </w:t>
      </w:r>
      <w:proofErr w:type="spellStart"/>
      <w:r w:rsidRPr="00B129AA">
        <w:rPr>
          <w:rFonts w:ascii="Aptos" w:hAnsi="Aptos" w:cstheme="minorHAnsi"/>
          <w:i/>
          <w:iCs/>
          <w:lang w:val="en-GB"/>
        </w:rPr>
        <w:t>BJPsych</w:t>
      </w:r>
      <w:proofErr w:type="spellEnd"/>
      <w:r w:rsidRPr="00B129AA">
        <w:rPr>
          <w:rFonts w:ascii="Aptos" w:hAnsi="Aptos" w:cstheme="minorHAnsi"/>
          <w:i/>
          <w:iCs/>
          <w:lang w:val="en-GB"/>
        </w:rPr>
        <w:t xml:space="preserve"> Open</w:t>
      </w:r>
      <w:r w:rsidRPr="00B129AA">
        <w:rPr>
          <w:rFonts w:ascii="Aptos" w:hAnsi="Aptos" w:cstheme="minorHAnsi"/>
          <w:lang w:val="en-GB"/>
        </w:rPr>
        <w:t>, </w:t>
      </w:r>
      <w:r w:rsidRPr="00B129AA">
        <w:rPr>
          <w:rFonts w:ascii="Aptos" w:hAnsi="Aptos" w:cstheme="minorHAnsi"/>
          <w:i/>
          <w:iCs/>
          <w:lang w:val="en-GB"/>
        </w:rPr>
        <w:t>7</w:t>
      </w:r>
      <w:r w:rsidRPr="00B129AA">
        <w:rPr>
          <w:rFonts w:ascii="Aptos" w:hAnsi="Aptos" w:cstheme="minorHAnsi"/>
          <w:lang w:val="en-GB"/>
        </w:rPr>
        <w:t>(S1), S15–S15. https://doi.org/10.1192/bjo.2021.98</w:t>
      </w:r>
    </w:p>
    <w:p w14:paraId="360E1ABE"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Cocker, F., &amp; Joss, N. (2016). Compassion Fatigue among healthcare, Emergency and Community Service workers: a Systematic Review. </w:t>
      </w:r>
      <w:r w:rsidRPr="00B129AA">
        <w:rPr>
          <w:rFonts w:ascii="Aptos" w:hAnsi="Aptos" w:cstheme="minorHAnsi"/>
          <w:i/>
          <w:iCs/>
          <w:lang w:val="en-GB"/>
        </w:rPr>
        <w:t>International Journal of Environmental Research and Public Health</w:t>
      </w:r>
      <w:r w:rsidRPr="00B129AA">
        <w:rPr>
          <w:rFonts w:ascii="Aptos" w:hAnsi="Aptos" w:cstheme="minorHAnsi"/>
          <w:lang w:val="en-GB"/>
        </w:rPr>
        <w:t>, </w:t>
      </w:r>
      <w:r w:rsidRPr="00B129AA">
        <w:rPr>
          <w:rFonts w:ascii="Aptos" w:hAnsi="Aptos" w:cstheme="minorHAnsi"/>
          <w:i/>
          <w:iCs/>
          <w:lang w:val="en-GB"/>
        </w:rPr>
        <w:t>13</w:t>
      </w:r>
      <w:r w:rsidRPr="00B129AA">
        <w:rPr>
          <w:rFonts w:ascii="Aptos" w:hAnsi="Aptos" w:cstheme="minorHAnsi"/>
          <w:lang w:val="en-GB"/>
        </w:rPr>
        <w:t>(6), 618. https://doi.org/10.3390/ijerph13060618</w:t>
      </w:r>
    </w:p>
    <w:p w14:paraId="5624AAB6"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Copperman, J. (2018). Everyday Parenting with Security and Love: Using PACE to Provide Foundations for Attachment Kim S. Golding. </w:t>
      </w:r>
      <w:r w:rsidRPr="00B129AA">
        <w:rPr>
          <w:rFonts w:ascii="Aptos" w:hAnsi="Aptos" w:cstheme="minorHAnsi"/>
          <w:i/>
          <w:iCs/>
          <w:lang w:val="en-GB"/>
        </w:rPr>
        <w:t>The British Journal of Social Work</w:t>
      </w:r>
      <w:r w:rsidRPr="00B129AA">
        <w:rPr>
          <w:rFonts w:ascii="Aptos" w:hAnsi="Aptos" w:cstheme="minorHAnsi"/>
          <w:lang w:val="en-GB"/>
        </w:rPr>
        <w:t>, </w:t>
      </w:r>
      <w:r w:rsidRPr="00B129AA">
        <w:rPr>
          <w:rFonts w:ascii="Aptos" w:hAnsi="Aptos" w:cstheme="minorHAnsi"/>
          <w:i/>
          <w:iCs/>
          <w:lang w:val="en-GB"/>
        </w:rPr>
        <w:t>48</w:t>
      </w:r>
      <w:r w:rsidRPr="00B129AA">
        <w:rPr>
          <w:rFonts w:ascii="Aptos" w:hAnsi="Aptos" w:cstheme="minorHAnsi"/>
          <w:lang w:val="en-GB"/>
        </w:rPr>
        <w:t>(8). https://doi.org/10.1093/bjsw/bcy005</w:t>
      </w:r>
    </w:p>
    <w:p w14:paraId="57B5F117"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Crouch, E., Jones, J., </w:t>
      </w:r>
      <w:proofErr w:type="spellStart"/>
      <w:r w:rsidRPr="00B129AA">
        <w:rPr>
          <w:rFonts w:ascii="Aptos" w:hAnsi="Aptos" w:cstheme="minorHAnsi"/>
          <w:lang w:val="en-GB"/>
        </w:rPr>
        <w:t>Strompolis</w:t>
      </w:r>
      <w:proofErr w:type="spellEnd"/>
      <w:r w:rsidRPr="00B129AA">
        <w:rPr>
          <w:rFonts w:ascii="Aptos" w:hAnsi="Aptos" w:cstheme="minorHAnsi"/>
          <w:lang w:val="en-GB"/>
        </w:rPr>
        <w:t>, M., &amp; Merrick, M. (2020). Examining the association between ACEs, childhood poverty and neglect, and physical and mental health: Data from two state samples. </w:t>
      </w:r>
      <w:r w:rsidRPr="00B129AA">
        <w:rPr>
          <w:rFonts w:ascii="Aptos" w:hAnsi="Aptos" w:cstheme="minorHAnsi"/>
          <w:i/>
          <w:iCs/>
          <w:lang w:val="en-GB"/>
        </w:rPr>
        <w:t>Children and Youth Services Review</w:t>
      </w:r>
      <w:r w:rsidRPr="00B129AA">
        <w:rPr>
          <w:rFonts w:ascii="Aptos" w:hAnsi="Aptos" w:cstheme="minorHAnsi"/>
          <w:lang w:val="en-GB"/>
        </w:rPr>
        <w:t>, </w:t>
      </w:r>
      <w:r w:rsidRPr="00B129AA">
        <w:rPr>
          <w:rFonts w:ascii="Aptos" w:hAnsi="Aptos" w:cstheme="minorHAnsi"/>
          <w:i/>
          <w:iCs/>
          <w:lang w:val="en-GB"/>
        </w:rPr>
        <w:t>116</w:t>
      </w:r>
      <w:r w:rsidRPr="00B129AA">
        <w:rPr>
          <w:rFonts w:ascii="Aptos" w:hAnsi="Aptos" w:cstheme="minorHAnsi"/>
          <w:lang w:val="en-GB"/>
        </w:rPr>
        <w:t>, 105155. https://doi.org/10.1016/j.childyouth.2020.105155</w:t>
      </w:r>
    </w:p>
    <w:p w14:paraId="79EEEB8C"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Cunha, L. F., Campos, R., &amp; Jorge, A. (2024). Event Extraction for Portuguese: A QA-driven Approach using ACE-2005. </w:t>
      </w:r>
      <w:proofErr w:type="spellStart"/>
      <w:r w:rsidRPr="00B129AA">
        <w:rPr>
          <w:rFonts w:ascii="Aptos" w:hAnsi="Aptos" w:cstheme="minorHAnsi"/>
          <w:i/>
          <w:iCs/>
          <w:lang w:val="en-GB"/>
        </w:rPr>
        <w:t>ArXiv</w:t>
      </w:r>
      <w:proofErr w:type="spellEnd"/>
      <w:r w:rsidRPr="00B129AA">
        <w:rPr>
          <w:rFonts w:ascii="Aptos" w:hAnsi="Aptos" w:cstheme="minorHAnsi"/>
          <w:i/>
          <w:iCs/>
          <w:lang w:val="en-GB"/>
        </w:rPr>
        <w:t xml:space="preserve"> (Cornell University)</w:t>
      </w:r>
      <w:r w:rsidRPr="00B129AA">
        <w:rPr>
          <w:rFonts w:ascii="Aptos" w:hAnsi="Aptos" w:cstheme="minorHAnsi"/>
          <w:lang w:val="en-GB"/>
        </w:rPr>
        <w:t>. https://doi.org/10.1007/9</w:t>
      </w:r>
    </w:p>
    <w:p w14:paraId="5DCF6526"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El Husseini, M., Skandrani, S., Sahab, L. T., </w:t>
      </w:r>
      <w:proofErr w:type="spellStart"/>
      <w:r w:rsidRPr="00B129AA">
        <w:rPr>
          <w:rFonts w:ascii="Aptos" w:hAnsi="Aptos" w:cstheme="minorHAnsi"/>
          <w:lang w:val="en-GB"/>
        </w:rPr>
        <w:t>Dozio</w:t>
      </w:r>
      <w:proofErr w:type="spellEnd"/>
      <w:r w:rsidRPr="00B129AA">
        <w:rPr>
          <w:rFonts w:ascii="Aptos" w:hAnsi="Aptos" w:cstheme="minorHAnsi"/>
          <w:lang w:val="en-GB"/>
        </w:rPr>
        <w:t>, E., &amp; Moro, M. R. (2016). Countertransference in Trauma Clinic: A Transitional Breach in the Therapists’ Identity. </w:t>
      </w:r>
      <w:r w:rsidRPr="00B129AA">
        <w:rPr>
          <w:rFonts w:ascii="Aptos" w:hAnsi="Aptos" w:cstheme="minorHAnsi"/>
          <w:i/>
          <w:iCs/>
          <w:lang w:val="en-GB"/>
        </w:rPr>
        <w:t>A Multidimensional Approach to Post-Traumatic Stress Disorder - from Theory to Practice</w:t>
      </w:r>
      <w:r w:rsidRPr="00B129AA">
        <w:rPr>
          <w:rFonts w:ascii="Aptos" w:hAnsi="Aptos" w:cstheme="minorHAnsi"/>
          <w:lang w:val="en-GB"/>
        </w:rPr>
        <w:t>. https://doi.org/10.5772/64842</w:t>
      </w:r>
    </w:p>
    <w:p w14:paraId="7868566A"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Fan, L., &amp; Kang, T. (2025). Early childhood trauma and its long-term impact on cognitive and emotional development: a systematic review and meta-analysis. </w:t>
      </w:r>
      <w:r w:rsidRPr="00B129AA">
        <w:rPr>
          <w:rFonts w:ascii="Aptos" w:hAnsi="Aptos" w:cstheme="minorHAnsi"/>
          <w:i/>
          <w:iCs/>
          <w:lang w:val="en-GB"/>
        </w:rPr>
        <w:t>PubMed</w:t>
      </w:r>
      <w:r w:rsidRPr="00B129AA">
        <w:rPr>
          <w:rFonts w:ascii="Aptos" w:hAnsi="Aptos" w:cstheme="minorHAnsi"/>
          <w:lang w:val="en-GB"/>
        </w:rPr>
        <w:t>, </w:t>
      </w:r>
      <w:r w:rsidRPr="00B129AA">
        <w:rPr>
          <w:rFonts w:ascii="Aptos" w:hAnsi="Aptos" w:cstheme="minorHAnsi"/>
          <w:i/>
          <w:iCs/>
          <w:lang w:val="en-GB"/>
        </w:rPr>
        <w:t>57</w:t>
      </w:r>
      <w:r w:rsidRPr="00B129AA">
        <w:rPr>
          <w:rFonts w:ascii="Aptos" w:hAnsi="Aptos" w:cstheme="minorHAnsi"/>
          <w:lang w:val="en-GB"/>
        </w:rPr>
        <w:t>(1), 2536199–2536199. https://doi.org/10.1080/07853890.2025.2536199</w:t>
      </w:r>
    </w:p>
    <w:p w14:paraId="55C82B2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Finch, K., Lawrence, D., Williams, M. O., Thompson, A. R., &amp; </w:t>
      </w:r>
      <w:proofErr w:type="spellStart"/>
      <w:r w:rsidRPr="00B129AA">
        <w:rPr>
          <w:rFonts w:ascii="Aptos" w:hAnsi="Aptos" w:cstheme="minorHAnsi"/>
          <w:lang w:val="en-GB"/>
        </w:rPr>
        <w:t>Hartwright</w:t>
      </w:r>
      <w:proofErr w:type="spellEnd"/>
      <w:r w:rsidRPr="00B129AA">
        <w:rPr>
          <w:rFonts w:ascii="Aptos" w:hAnsi="Aptos" w:cstheme="minorHAnsi"/>
          <w:lang w:val="en-GB"/>
        </w:rPr>
        <w:t>, C. (2024). Relationships between adverse childhood experiences, attachment, resilience, psychological distress and trauma among forensic mental health populations. </w:t>
      </w:r>
      <w:r w:rsidRPr="00B129AA">
        <w:rPr>
          <w:rFonts w:ascii="Aptos" w:hAnsi="Aptos" w:cstheme="minorHAnsi"/>
          <w:i/>
          <w:iCs/>
          <w:lang w:val="en-GB"/>
        </w:rPr>
        <w:t>The Journal of Forensic Psychiatry &amp; Psychology</w:t>
      </w:r>
      <w:r w:rsidRPr="00B129AA">
        <w:rPr>
          <w:rFonts w:ascii="Aptos" w:hAnsi="Aptos" w:cstheme="minorHAnsi"/>
          <w:lang w:val="en-GB"/>
        </w:rPr>
        <w:t>, </w:t>
      </w:r>
      <w:r w:rsidRPr="00B129AA">
        <w:rPr>
          <w:rFonts w:ascii="Aptos" w:hAnsi="Aptos" w:cstheme="minorHAnsi"/>
          <w:i/>
          <w:iCs/>
          <w:lang w:val="en-GB"/>
        </w:rPr>
        <w:t>35</w:t>
      </w:r>
      <w:r w:rsidRPr="00B129AA">
        <w:rPr>
          <w:rFonts w:ascii="Aptos" w:hAnsi="Aptos" w:cstheme="minorHAnsi"/>
          <w:lang w:val="en-GB"/>
        </w:rPr>
        <w:t>(5), 1–25. https://doi.org/10.1080/14789949.2024.2365149</w:t>
      </w:r>
    </w:p>
    <w:p w14:paraId="7B2B45F6" w14:textId="77777777" w:rsidR="00B129AA" w:rsidRPr="00B129AA" w:rsidRDefault="00B129AA" w:rsidP="00B129AA">
      <w:pPr>
        <w:spacing w:before="120" w:after="120"/>
        <w:rPr>
          <w:rFonts w:ascii="Aptos" w:hAnsi="Aptos" w:cstheme="minorHAnsi"/>
          <w:lang w:val="en-GB"/>
        </w:rPr>
      </w:pPr>
      <w:proofErr w:type="spellStart"/>
      <w:r w:rsidRPr="00B129AA">
        <w:rPr>
          <w:rFonts w:ascii="Aptos" w:hAnsi="Aptos" w:cstheme="minorHAnsi"/>
          <w:lang w:val="en-GB"/>
        </w:rPr>
        <w:t>Finkelhor</w:t>
      </w:r>
      <w:proofErr w:type="spellEnd"/>
      <w:r w:rsidRPr="00B129AA">
        <w:rPr>
          <w:rFonts w:ascii="Aptos" w:hAnsi="Aptos" w:cstheme="minorHAnsi"/>
          <w:lang w:val="en-GB"/>
        </w:rPr>
        <w:t>, D. (2018). Screening for adverse childhood experiences (ACEs): Cautions and suggestions. </w:t>
      </w:r>
      <w:r w:rsidRPr="00B129AA">
        <w:rPr>
          <w:rFonts w:ascii="Aptos" w:hAnsi="Aptos" w:cstheme="minorHAnsi"/>
          <w:i/>
          <w:iCs/>
          <w:lang w:val="en-GB"/>
        </w:rPr>
        <w:t>Child Abuse &amp; Neglect</w:t>
      </w:r>
      <w:r w:rsidRPr="00B129AA">
        <w:rPr>
          <w:rFonts w:ascii="Aptos" w:hAnsi="Aptos" w:cstheme="minorHAnsi"/>
          <w:lang w:val="en-GB"/>
        </w:rPr>
        <w:t>, </w:t>
      </w:r>
      <w:r w:rsidRPr="00B129AA">
        <w:rPr>
          <w:rFonts w:ascii="Aptos" w:hAnsi="Aptos" w:cstheme="minorHAnsi"/>
          <w:i/>
          <w:iCs/>
          <w:lang w:val="en-GB"/>
        </w:rPr>
        <w:t>85</w:t>
      </w:r>
      <w:r w:rsidRPr="00B129AA">
        <w:rPr>
          <w:rFonts w:ascii="Aptos" w:hAnsi="Aptos" w:cstheme="minorHAnsi"/>
          <w:lang w:val="en-GB"/>
        </w:rPr>
        <w:t>(1), 174–179. https://doi.org/10.1016/j.chiabu.2017.07.016</w:t>
      </w:r>
    </w:p>
    <w:p w14:paraId="4627D851"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Frost, N., Race, T., &amp; Abbott, S. (2015). </w:t>
      </w:r>
      <w:r w:rsidRPr="00B129AA">
        <w:rPr>
          <w:rFonts w:ascii="Aptos" w:hAnsi="Aptos" w:cstheme="minorHAnsi"/>
          <w:i/>
          <w:iCs/>
          <w:lang w:val="en-GB"/>
        </w:rPr>
        <w:t>Family Support: Prevention, Early Intervention and Early Help</w:t>
      </w:r>
      <w:r w:rsidRPr="00B129AA">
        <w:rPr>
          <w:rFonts w:ascii="Aptos" w:hAnsi="Aptos" w:cstheme="minorHAnsi"/>
          <w:lang w:val="en-GB"/>
        </w:rPr>
        <w:t>. Wiley.</w:t>
      </w:r>
    </w:p>
    <w:p w14:paraId="01A26F46"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lastRenderedPageBreak/>
        <w:t>Glassburn, S. L., Lay, K., &amp; Canada, M. (2025). The Lived Experience of Compassion Fatigue and Burnout in Social Workers. </w:t>
      </w:r>
      <w:r w:rsidRPr="00B129AA">
        <w:rPr>
          <w:rFonts w:ascii="Aptos" w:hAnsi="Aptos" w:cstheme="minorHAnsi"/>
          <w:i/>
          <w:iCs/>
          <w:lang w:val="en-GB"/>
        </w:rPr>
        <w:t>Advances in Social Work</w:t>
      </w:r>
      <w:r w:rsidRPr="00B129AA">
        <w:rPr>
          <w:rFonts w:ascii="Aptos" w:hAnsi="Aptos" w:cstheme="minorHAnsi"/>
          <w:lang w:val="en-GB"/>
        </w:rPr>
        <w:t>, </w:t>
      </w:r>
      <w:r w:rsidRPr="00B129AA">
        <w:rPr>
          <w:rFonts w:ascii="Aptos" w:hAnsi="Aptos" w:cstheme="minorHAnsi"/>
          <w:i/>
          <w:iCs/>
          <w:lang w:val="en-GB"/>
        </w:rPr>
        <w:t>25</w:t>
      </w:r>
      <w:r w:rsidRPr="00B129AA">
        <w:rPr>
          <w:rFonts w:ascii="Aptos" w:hAnsi="Aptos" w:cstheme="minorHAnsi"/>
          <w:lang w:val="en-GB"/>
        </w:rPr>
        <w:t>(1), 418–435. https://doi.org/10.18060/28019</w:t>
      </w:r>
    </w:p>
    <w:p w14:paraId="4F938DB8"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Gottlieb, M. (2021). The case for a cultural humility framework in social work practice. </w:t>
      </w:r>
      <w:r w:rsidRPr="00B129AA">
        <w:rPr>
          <w:rFonts w:ascii="Aptos" w:hAnsi="Aptos" w:cstheme="minorHAnsi"/>
          <w:i/>
          <w:iCs/>
          <w:lang w:val="en-GB"/>
        </w:rPr>
        <w:t>Journal of Ethnic &amp; Cultural Diversity in Social Work</w:t>
      </w:r>
      <w:r w:rsidRPr="00B129AA">
        <w:rPr>
          <w:rFonts w:ascii="Aptos" w:hAnsi="Aptos" w:cstheme="minorHAnsi"/>
          <w:lang w:val="en-GB"/>
        </w:rPr>
        <w:t>, </w:t>
      </w:r>
      <w:r w:rsidRPr="00B129AA">
        <w:rPr>
          <w:rFonts w:ascii="Aptos" w:hAnsi="Aptos" w:cstheme="minorHAnsi"/>
          <w:i/>
          <w:iCs/>
          <w:lang w:val="en-GB"/>
        </w:rPr>
        <w:t>30</w:t>
      </w:r>
      <w:r w:rsidRPr="00B129AA">
        <w:rPr>
          <w:rFonts w:ascii="Aptos" w:hAnsi="Aptos" w:cstheme="minorHAnsi"/>
          <w:lang w:val="en-GB"/>
        </w:rPr>
        <w:t>(6), 463–481. https://doi.org/10.1080/15313204.2020.1753615</w:t>
      </w:r>
    </w:p>
    <w:p w14:paraId="6AB0BC03"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Grant, L., Bostock, L., Kinman, G., Shephard, L., &amp; Tinarwo, S. (2025). </w:t>
      </w:r>
      <w:r w:rsidRPr="00B129AA">
        <w:rPr>
          <w:rFonts w:ascii="Aptos" w:hAnsi="Aptos" w:cstheme="minorHAnsi"/>
          <w:i/>
          <w:iCs/>
          <w:lang w:val="en-GB"/>
        </w:rPr>
        <w:t>Child and family social worker knowledge and skills Rapid evidence review April 2025</w:t>
      </w:r>
      <w:r w:rsidRPr="00B129AA">
        <w:rPr>
          <w:rFonts w:ascii="Aptos" w:hAnsi="Aptos" w:cstheme="minorHAnsi"/>
          <w:lang w:val="en-GB"/>
        </w:rPr>
        <w:t>. https://assets.publishing.service.gov.uk/media/6808da570324470d6a394efc/Child_and_family_social_worker_knowledge_and_skills.pdf</w:t>
      </w:r>
    </w:p>
    <w:p w14:paraId="1929A12C"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Hagan, M. J., Browne, D. T., Sulik, M., </w:t>
      </w:r>
      <w:proofErr w:type="spellStart"/>
      <w:r w:rsidRPr="00B129AA">
        <w:rPr>
          <w:rFonts w:ascii="Aptos" w:hAnsi="Aptos" w:cstheme="minorHAnsi"/>
          <w:lang w:val="en-GB"/>
        </w:rPr>
        <w:t>Ippen</w:t>
      </w:r>
      <w:proofErr w:type="spellEnd"/>
      <w:r w:rsidRPr="00B129AA">
        <w:rPr>
          <w:rFonts w:ascii="Aptos" w:hAnsi="Aptos" w:cstheme="minorHAnsi"/>
          <w:lang w:val="en-GB"/>
        </w:rPr>
        <w:t>, C. G., Bush, N., &amp; Lieberman, A. F. (2017). Parent and Child Trauma Symptoms During Child-Parent Psychotherapy: A Prospective Cohort Study of Dyadic Change. </w:t>
      </w:r>
      <w:r w:rsidRPr="00B129AA">
        <w:rPr>
          <w:rFonts w:ascii="Aptos" w:hAnsi="Aptos" w:cstheme="minorHAnsi"/>
          <w:i/>
          <w:iCs/>
          <w:lang w:val="en-GB"/>
        </w:rPr>
        <w:t>Journal of Traumatic Stress</w:t>
      </w:r>
      <w:r w:rsidRPr="00B129AA">
        <w:rPr>
          <w:rFonts w:ascii="Aptos" w:hAnsi="Aptos" w:cstheme="minorHAnsi"/>
          <w:lang w:val="en-GB"/>
        </w:rPr>
        <w:t>, </w:t>
      </w:r>
      <w:r w:rsidRPr="00B129AA">
        <w:rPr>
          <w:rFonts w:ascii="Aptos" w:hAnsi="Aptos" w:cstheme="minorHAnsi"/>
          <w:i/>
          <w:iCs/>
          <w:lang w:val="en-GB"/>
        </w:rPr>
        <w:t>30</w:t>
      </w:r>
      <w:r w:rsidRPr="00B129AA">
        <w:rPr>
          <w:rFonts w:ascii="Aptos" w:hAnsi="Aptos" w:cstheme="minorHAnsi"/>
          <w:lang w:val="en-GB"/>
        </w:rPr>
        <w:t>(6), 690–697. https://doi.org/10.1002/jts.22240</w:t>
      </w:r>
    </w:p>
    <w:p w14:paraId="6D18E5E8"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Hardcastle, K., Bellis, M. A., Ford, K., Hughes, K., Garner, J., &amp; Ramos Rodriguez, G. (2018). Measuring the relationships between adverse childhood experiences and educational and employment success in England and Wales: findings from a retrospective study. </w:t>
      </w:r>
      <w:r w:rsidRPr="00B129AA">
        <w:rPr>
          <w:rFonts w:ascii="Aptos" w:hAnsi="Aptos" w:cstheme="minorHAnsi"/>
          <w:i/>
          <w:iCs/>
          <w:lang w:val="en-GB"/>
        </w:rPr>
        <w:t>Public Health</w:t>
      </w:r>
      <w:r w:rsidRPr="00B129AA">
        <w:rPr>
          <w:rFonts w:ascii="Aptos" w:hAnsi="Aptos" w:cstheme="minorHAnsi"/>
          <w:lang w:val="en-GB"/>
        </w:rPr>
        <w:t>, </w:t>
      </w:r>
      <w:r w:rsidRPr="00B129AA">
        <w:rPr>
          <w:rFonts w:ascii="Aptos" w:hAnsi="Aptos" w:cstheme="minorHAnsi"/>
          <w:i/>
          <w:iCs/>
          <w:lang w:val="en-GB"/>
        </w:rPr>
        <w:t>165</w:t>
      </w:r>
      <w:r w:rsidRPr="00B129AA">
        <w:rPr>
          <w:rFonts w:ascii="Aptos" w:hAnsi="Aptos" w:cstheme="minorHAnsi"/>
          <w:lang w:val="en-GB"/>
        </w:rPr>
        <w:t>(165), 106–116.</w:t>
      </w:r>
    </w:p>
    <w:p w14:paraId="6F38D5B6"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Heffron, M. C., Reynolds, D., &amp; Talbot, B. (2016). REFLECTING TOGETHER: REFLECTIVE FUNCTIONING AS A FOCUS FOR DEEPENING GROUP SUPERVISION. </w:t>
      </w:r>
      <w:r w:rsidRPr="00B129AA">
        <w:rPr>
          <w:rFonts w:ascii="Aptos" w:hAnsi="Aptos" w:cstheme="minorHAnsi"/>
          <w:i/>
          <w:iCs/>
          <w:lang w:val="en-GB"/>
        </w:rPr>
        <w:t>Infant Mental Health Journal</w:t>
      </w:r>
      <w:r w:rsidRPr="00B129AA">
        <w:rPr>
          <w:rFonts w:ascii="Aptos" w:hAnsi="Aptos" w:cstheme="minorHAnsi"/>
          <w:lang w:val="en-GB"/>
        </w:rPr>
        <w:t>, </w:t>
      </w:r>
      <w:r w:rsidRPr="00B129AA">
        <w:rPr>
          <w:rFonts w:ascii="Aptos" w:hAnsi="Aptos" w:cstheme="minorHAnsi"/>
          <w:i/>
          <w:iCs/>
          <w:lang w:val="en-GB"/>
        </w:rPr>
        <w:t>37</w:t>
      </w:r>
      <w:r w:rsidRPr="00B129AA">
        <w:rPr>
          <w:rFonts w:ascii="Aptos" w:hAnsi="Aptos" w:cstheme="minorHAnsi"/>
          <w:lang w:val="en-GB"/>
        </w:rPr>
        <w:t>(6), 628–639. https://doi.org/10.1002/imhj.21608</w:t>
      </w:r>
    </w:p>
    <w:p w14:paraId="726B9EA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Herrero-Roldán, S., &amp; Martín-Rodríguez, A. (2025). Neglect and Neurodevelopment: A Narrative Review Understanding the Link Between Child Neglect and Executive Function Deficits. </w:t>
      </w:r>
      <w:r w:rsidRPr="00B129AA">
        <w:rPr>
          <w:rFonts w:ascii="Aptos" w:hAnsi="Aptos" w:cstheme="minorHAnsi"/>
          <w:i/>
          <w:iCs/>
          <w:lang w:val="en-GB"/>
        </w:rPr>
        <w:t>Biomedicines</w:t>
      </w:r>
      <w:r w:rsidRPr="00B129AA">
        <w:rPr>
          <w:rFonts w:ascii="Aptos" w:hAnsi="Aptos" w:cstheme="minorHAnsi"/>
          <w:lang w:val="en-GB"/>
        </w:rPr>
        <w:t>, </w:t>
      </w:r>
      <w:r w:rsidRPr="00B129AA">
        <w:rPr>
          <w:rFonts w:ascii="Aptos" w:hAnsi="Aptos" w:cstheme="minorHAnsi"/>
          <w:i/>
          <w:iCs/>
          <w:lang w:val="en-GB"/>
        </w:rPr>
        <w:t>13</w:t>
      </w:r>
      <w:r w:rsidRPr="00B129AA">
        <w:rPr>
          <w:rFonts w:ascii="Aptos" w:hAnsi="Aptos" w:cstheme="minorHAnsi"/>
          <w:lang w:val="en-GB"/>
        </w:rPr>
        <w:t>(7), 1565–1565. https://doi.org/10.3390/biomedicines13071565</w:t>
      </w:r>
    </w:p>
    <w:p w14:paraId="25B1558A"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Hughes, D. (2017). Dyadic Developmental Psychotherapy (DDP): An Attachment-focused Family Treatment for Developmental Trauma. </w:t>
      </w:r>
      <w:r w:rsidRPr="00B129AA">
        <w:rPr>
          <w:rFonts w:ascii="Aptos" w:hAnsi="Aptos" w:cstheme="minorHAnsi"/>
          <w:i/>
          <w:iCs/>
          <w:lang w:val="en-GB"/>
        </w:rPr>
        <w:t>Australian and New Zealand Journal of Family Therapy</w:t>
      </w:r>
      <w:r w:rsidRPr="00B129AA">
        <w:rPr>
          <w:rFonts w:ascii="Aptos" w:hAnsi="Aptos" w:cstheme="minorHAnsi"/>
          <w:lang w:val="en-GB"/>
        </w:rPr>
        <w:t>, </w:t>
      </w:r>
      <w:r w:rsidRPr="00B129AA">
        <w:rPr>
          <w:rFonts w:ascii="Aptos" w:hAnsi="Aptos" w:cstheme="minorHAnsi"/>
          <w:i/>
          <w:iCs/>
          <w:lang w:val="en-GB"/>
        </w:rPr>
        <w:t>38</w:t>
      </w:r>
      <w:r w:rsidRPr="00B129AA">
        <w:rPr>
          <w:rFonts w:ascii="Aptos" w:hAnsi="Aptos" w:cstheme="minorHAnsi"/>
          <w:lang w:val="en-GB"/>
        </w:rPr>
        <w:t>(4), 595–605. https://doi.org/10.1002/anzf.1273</w:t>
      </w:r>
    </w:p>
    <w:p w14:paraId="1F2B5AE3"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Hughes, D., Golding, K. S., &amp; Hudson, J. (2015). Dyadic Developmental Psychotherapy (DDP): the development of the theory, practice and research base. </w:t>
      </w:r>
      <w:r w:rsidRPr="00B129AA">
        <w:rPr>
          <w:rFonts w:ascii="Aptos" w:hAnsi="Aptos" w:cstheme="minorHAnsi"/>
          <w:i/>
          <w:iCs/>
          <w:lang w:val="en-GB"/>
        </w:rPr>
        <w:t>Adoption &amp; Fostering</w:t>
      </w:r>
      <w:r w:rsidRPr="00B129AA">
        <w:rPr>
          <w:rFonts w:ascii="Aptos" w:hAnsi="Aptos" w:cstheme="minorHAnsi"/>
          <w:lang w:val="en-GB"/>
        </w:rPr>
        <w:t>, </w:t>
      </w:r>
      <w:r w:rsidRPr="00B129AA">
        <w:rPr>
          <w:rFonts w:ascii="Aptos" w:hAnsi="Aptos" w:cstheme="minorHAnsi"/>
          <w:i/>
          <w:iCs/>
          <w:lang w:val="en-GB"/>
        </w:rPr>
        <w:t>39</w:t>
      </w:r>
      <w:r w:rsidRPr="00B129AA">
        <w:rPr>
          <w:rFonts w:ascii="Aptos" w:hAnsi="Aptos" w:cstheme="minorHAnsi"/>
          <w:lang w:val="en-GB"/>
        </w:rPr>
        <w:t>(4), 356–365. https://doi.org/10.1177/0308575915610943</w:t>
      </w:r>
    </w:p>
    <w:p w14:paraId="5D4A8271"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Hughes, K., Bellis, M. A., Hardcastle, K. A., Sethi, D., Butchart, A., </w:t>
      </w:r>
      <w:proofErr w:type="spellStart"/>
      <w:r w:rsidRPr="00B129AA">
        <w:rPr>
          <w:rFonts w:ascii="Aptos" w:hAnsi="Aptos" w:cstheme="minorHAnsi"/>
          <w:lang w:val="en-GB"/>
        </w:rPr>
        <w:t>Mikton</w:t>
      </w:r>
      <w:proofErr w:type="spellEnd"/>
      <w:r w:rsidRPr="00B129AA">
        <w:rPr>
          <w:rFonts w:ascii="Aptos" w:hAnsi="Aptos" w:cstheme="minorHAnsi"/>
          <w:lang w:val="en-GB"/>
        </w:rPr>
        <w:t>, C., Jones, L., &amp; Dunne, M. P. (2017). The effect of multiple adverse childhood experiences on health: a systematic review and meta-analysis. </w:t>
      </w:r>
      <w:r w:rsidRPr="00B129AA">
        <w:rPr>
          <w:rFonts w:ascii="Aptos" w:hAnsi="Aptos" w:cstheme="minorHAnsi"/>
          <w:i/>
          <w:iCs/>
          <w:lang w:val="en-GB"/>
        </w:rPr>
        <w:t>The Lancet Public Health</w:t>
      </w:r>
      <w:r w:rsidRPr="00B129AA">
        <w:rPr>
          <w:rFonts w:ascii="Aptos" w:hAnsi="Aptos" w:cstheme="minorHAnsi"/>
          <w:lang w:val="en-GB"/>
        </w:rPr>
        <w:t>, </w:t>
      </w:r>
      <w:r w:rsidRPr="00B129AA">
        <w:rPr>
          <w:rFonts w:ascii="Aptos" w:hAnsi="Aptos" w:cstheme="minorHAnsi"/>
          <w:i/>
          <w:iCs/>
          <w:lang w:val="en-GB"/>
        </w:rPr>
        <w:t>2</w:t>
      </w:r>
      <w:r w:rsidRPr="00B129AA">
        <w:rPr>
          <w:rFonts w:ascii="Aptos" w:hAnsi="Aptos" w:cstheme="minorHAnsi"/>
          <w:lang w:val="en-GB"/>
        </w:rPr>
        <w:t>(8), 356–366. https://www.thelancet.com/journals/lanpub/article/PIIS2468-2667(17)30118-4/fulltext</w:t>
      </w:r>
    </w:p>
    <w:p w14:paraId="0E7B09F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Kaçar-Başaran, S., &amp; </w:t>
      </w:r>
      <w:proofErr w:type="spellStart"/>
      <w:r w:rsidRPr="00B129AA">
        <w:rPr>
          <w:rFonts w:ascii="Aptos" w:hAnsi="Aptos" w:cstheme="minorHAnsi"/>
          <w:lang w:val="en-GB"/>
        </w:rPr>
        <w:t>Kızıltepe</w:t>
      </w:r>
      <w:proofErr w:type="spellEnd"/>
      <w:r w:rsidRPr="00B129AA">
        <w:rPr>
          <w:rFonts w:ascii="Aptos" w:hAnsi="Aptos" w:cstheme="minorHAnsi"/>
          <w:lang w:val="en-GB"/>
        </w:rPr>
        <w:t>, R. (2025). Associations of Childhood Maltreatment and Emotion Dysregulation with Internalizing and Externalizing Symptoms: A Transdiagnostic Model. </w:t>
      </w:r>
      <w:r w:rsidRPr="00B129AA">
        <w:rPr>
          <w:rFonts w:ascii="Aptos" w:hAnsi="Aptos" w:cstheme="minorHAnsi"/>
          <w:i/>
          <w:iCs/>
          <w:lang w:val="en-GB"/>
        </w:rPr>
        <w:t>Journal of Family Violence</w:t>
      </w:r>
      <w:r w:rsidRPr="00B129AA">
        <w:rPr>
          <w:rFonts w:ascii="Aptos" w:hAnsi="Aptos" w:cstheme="minorHAnsi"/>
          <w:lang w:val="en-GB"/>
        </w:rPr>
        <w:t>. https://doi.org/10.1007/s10896-025-00919-9</w:t>
      </w:r>
    </w:p>
    <w:p w14:paraId="2138EA58"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lastRenderedPageBreak/>
        <w:t xml:space="preserve">Kelly-Irving, M., &amp; </w:t>
      </w:r>
      <w:proofErr w:type="spellStart"/>
      <w:r w:rsidRPr="00B129AA">
        <w:rPr>
          <w:rFonts w:ascii="Aptos" w:hAnsi="Aptos" w:cstheme="minorHAnsi"/>
          <w:lang w:val="en-GB"/>
        </w:rPr>
        <w:t>Delpierre</w:t>
      </w:r>
      <w:proofErr w:type="spellEnd"/>
      <w:r w:rsidRPr="00B129AA">
        <w:rPr>
          <w:rFonts w:ascii="Aptos" w:hAnsi="Aptos" w:cstheme="minorHAnsi"/>
          <w:lang w:val="en-GB"/>
        </w:rPr>
        <w:t>, C. (2019). A Critique of the Adverse Childhood Experiences Framework in Epidemiology and Public Health: Uses and Misuses. </w:t>
      </w:r>
      <w:r w:rsidRPr="00B129AA">
        <w:rPr>
          <w:rFonts w:ascii="Aptos" w:hAnsi="Aptos" w:cstheme="minorHAnsi"/>
          <w:i/>
          <w:iCs/>
          <w:lang w:val="en-GB"/>
        </w:rPr>
        <w:t>Social Policy and Society</w:t>
      </w:r>
      <w:r w:rsidRPr="00B129AA">
        <w:rPr>
          <w:rFonts w:ascii="Aptos" w:hAnsi="Aptos" w:cstheme="minorHAnsi"/>
          <w:lang w:val="en-GB"/>
        </w:rPr>
        <w:t>, </w:t>
      </w:r>
      <w:r w:rsidRPr="00B129AA">
        <w:rPr>
          <w:rFonts w:ascii="Aptos" w:hAnsi="Aptos" w:cstheme="minorHAnsi"/>
          <w:i/>
          <w:iCs/>
          <w:lang w:val="en-GB"/>
        </w:rPr>
        <w:t>18</w:t>
      </w:r>
      <w:r w:rsidRPr="00B129AA">
        <w:rPr>
          <w:rFonts w:ascii="Aptos" w:hAnsi="Aptos" w:cstheme="minorHAnsi"/>
          <w:lang w:val="en-GB"/>
        </w:rPr>
        <w:t>(3), 445–456. https://doi.org/10.1017/s1474746419000101</w:t>
      </w:r>
    </w:p>
    <w:p w14:paraId="1F83079D"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Kerns, K. A., &amp; </w:t>
      </w:r>
      <w:proofErr w:type="spellStart"/>
      <w:r w:rsidRPr="00B129AA">
        <w:rPr>
          <w:rFonts w:ascii="Aptos" w:hAnsi="Aptos" w:cstheme="minorHAnsi"/>
          <w:lang w:val="en-GB"/>
        </w:rPr>
        <w:t>Brumariu</w:t>
      </w:r>
      <w:proofErr w:type="spellEnd"/>
      <w:r w:rsidRPr="00B129AA">
        <w:rPr>
          <w:rFonts w:ascii="Aptos" w:hAnsi="Aptos" w:cstheme="minorHAnsi"/>
          <w:lang w:val="en-GB"/>
        </w:rPr>
        <w:t>, L. E. (2014). Is insecure parent-child attachment a risk factor for the development of anxiety in childhood or adolescence? </w:t>
      </w:r>
      <w:r w:rsidRPr="00B129AA">
        <w:rPr>
          <w:rFonts w:ascii="Aptos" w:hAnsi="Aptos" w:cstheme="minorHAnsi"/>
          <w:i/>
          <w:iCs/>
          <w:lang w:val="en-GB"/>
        </w:rPr>
        <w:t>Child Development Perspectives</w:t>
      </w:r>
      <w:r w:rsidRPr="00B129AA">
        <w:rPr>
          <w:rFonts w:ascii="Aptos" w:hAnsi="Aptos" w:cstheme="minorHAnsi"/>
          <w:lang w:val="en-GB"/>
        </w:rPr>
        <w:t>, </w:t>
      </w:r>
      <w:r w:rsidRPr="00B129AA">
        <w:rPr>
          <w:rFonts w:ascii="Aptos" w:hAnsi="Aptos" w:cstheme="minorHAnsi"/>
          <w:i/>
          <w:iCs/>
          <w:lang w:val="en-GB"/>
        </w:rPr>
        <w:t>8</w:t>
      </w:r>
      <w:r w:rsidRPr="00B129AA">
        <w:rPr>
          <w:rFonts w:ascii="Aptos" w:hAnsi="Aptos" w:cstheme="minorHAnsi"/>
          <w:lang w:val="en-GB"/>
        </w:rPr>
        <w:t>(1), 12–17. https://doi.org/10.1111/cdep.12054</w:t>
      </w:r>
    </w:p>
    <w:p w14:paraId="00C7DD1E"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Khadka, C. (2022). The Evolution of Attachment Theory: From Bowlby to Modern Perspectives. </w:t>
      </w:r>
      <w:r w:rsidRPr="00B129AA">
        <w:rPr>
          <w:rFonts w:ascii="Aptos" w:hAnsi="Aptos" w:cstheme="minorHAnsi"/>
          <w:i/>
          <w:iCs/>
          <w:lang w:val="en-GB"/>
        </w:rPr>
        <w:t>TUTA Journal</w:t>
      </w:r>
      <w:r w:rsidRPr="00B129AA">
        <w:rPr>
          <w:rFonts w:ascii="Aptos" w:hAnsi="Aptos" w:cstheme="minorHAnsi"/>
          <w:lang w:val="en-GB"/>
        </w:rPr>
        <w:t>, </w:t>
      </w:r>
      <w:r w:rsidRPr="00B129AA">
        <w:rPr>
          <w:rFonts w:ascii="Aptos" w:hAnsi="Aptos" w:cstheme="minorHAnsi"/>
          <w:i/>
          <w:iCs/>
          <w:lang w:val="en-GB"/>
        </w:rPr>
        <w:t>10</w:t>
      </w:r>
      <w:r w:rsidRPr="00B129AA">
        <w:rPr>
          <w:rFonts w:ascii="Aptos" w:hAnsi="Aptos" w:cstheme="minorHAnsi"/>
          <w:lang w:val="en-GB"/>
        </w:rPr>
        <w:t>(1), 125–140. https://doi.org/10.3126/tutaj.v10i1.74328</w:t>
      </w:r>
    </w:p>
    <w:p w14:paraId="0E7A7B87"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Kinman, G. (2024). Work–life balance and wellbeing in academic employees. </w:t>
      </w:r>
      <w:r w:rsidRPr="00B129AA">
        <w:rPr>
          <w:rFonts w:ascii="Aptos" w:hAnsi="Aptos" w:cstheme="minorHAnsi"/>
          <w:i/>
          <w:iCs/>
          <w:lang w:val="en-GB"/>
        </w:rPr>
        <w:t xml:space="preserve">Edward Elgar Publishing </w:t>
      </w:r>
      <w:proofErr w:type="spellStart"/>
      <w:r w:rsidRPr="00B129AA">
        <w:rPr>
          <w:rFonts w:ascii="Aptos" w:hAnsi="Aptos" w:cstheme="minorHAnsi"/>
          <w:i/>
          <w:iCs/>
          <w:lang w:val="en-GB"/>
        </w:rPr>
        <w:t>EBooks</w:t>
      </w:r>
      <w:proofErr w:type="spellEnd"/>
      <w:r w:rsidRPr="00B129AA">
        <w:rPr>
          <w:rFonts w:ascii="Aptos" w:hAnsi="Aptos" w:cstheme="minorHAnsi"/>
          <w:lang w:val="en-GB"/>
        </w:rPr>
        <w:t>, 276–289. https://doi.org/10.4337/9781803925080.00024</w:t>
      </w:r>
    </w:p>
    <w:p w14:paraId="0BE1A34B"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Kinman, G., &amp; Grant, L. (2017). Building Resilience in Early-Career Social Workers: Evaluating a Multi-Modal Intervention. </w:t>
      </w:r>
      <w:r w:rsidRPr="00B129AA">
        <w:rPr>
          <w:rFonts w:ascii="Aptos" w:hAnsi="Aptos" w:cstheme="minorHAnsi"/>
          <w:i/>
          <w:iCs/>
          <w:lang w:val="en-GB"/>
        </w:rPr>
        <w:t>British Journal of Social Work</w:t>
      </w:r>
      <w:r w:rsidRPr="00B129AA">
        <w:rPr>
          <w:rFonts w:ascii="Aptos" w:hAnsi="Aptos" w:cstheme="minorHAnsi"/>
          <w:lang w:val="en-GB"/>
        </w:rPr>
        <w:t>, </w:t>
      </w:r>
      <w:r w:rsidRPr="00B129AA">
        <w:rPr>
          <w:rFonts w:ascii="Aptos" w:hAnsi="Aptos" w:cstheme="minorHAnsi"/>
          <w:i/>
          <w:iCs/>
          <w:lang w:val="en-GB"/>
        </w:rPr>
        <w:t>47</w:t>
      </w:r>
      <w:r w:rsidRPr="00B129AA">
        <w:rPr>
          <w:rFonts w:ascii="Aptos" w:hAnsi="Aptos" w:cstheme="minorHAnsi"/>
          <w:lang w:val="en-GB"/>
        </w:rPr>
        <w:t>(7), bcw164. https://doi.org/10.1093/bjsw/bcw164</w:t>
      </w:r>
    </w:p>
    <w:p w14:paraId="6A422A88"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Kira, I. A., </w:t>
      </w:r>
      <w:proofErr w:type="spellStart"/>
      <w:r w:rsidRPr="00B129AA">
        <w:rPr>
          <w:rFonts w:ascii="Aptos" w:hAnsi="Aptos" w:cstheme="minorHAnsi"/>
          <w:lang w:val="en-GB"/>
        </w:rPr>
        <w:t>Shuweikh</w:t>
      </w:r>
      <w:proofErr w:type="spellEnd"/>
      <w:r w:rsidRPr="00B129AA">
        <w:rPr>
          <w:rFonts w:ascii="Aptos" w:hAnsi="Aptos" w:cstheme="minorHAnsi"/>
          <w:lang w:val="en-GB"/>
        </w:rPr>
        <w:t xml:space="preserve">, H., Al-Huwailiah, A., El-wakeel, S. A., </w:t>
      </w:r>
      <w:proofErr w:type="spellStart"/>
      <w:r w:rsidRPr="00B129AA">
        <w:rPr>
          <w:rFonts w:ascii="Aptos" w:hAnsi="Aptos" w:cstheme="minorHAnsi"/>
          <w:lang w:val="en-GB"/>
        </w:rPr>
        <w:t>Waheep</w:t>
      </w:r>
      <w:proofErr w:type="spellEnd"/>
      <w:r w:rsidRPr="00B129AA">
        <w:rPr>
          <w:rFonts w:ascii="Aptos" w:hAnsi="Aptos" w:cstheme="minorHAnsi"/>
          <w:lang w:val="en-GB"/>
        </w:rPr>
        <w:t xml:space="preserve">, N. N., </w:t>
      </w:r>
      <w:proofErr w:type="spellStart"/>
      <w:r w:rsidRPr="00B129AA">
        <w:rPr>
          <w:rFonts w:ascii="Aptos" w:hAnsi="Aptos" w:cstheme="minorHAnsi"/>
          <w:lang w:val="en-GB"/>
        </w:rPr>
        <w:t>Ebada</w:t>
      </w:r>
      <w:proofErr w:type="spellEnd"/>
      <w:r w:rsidRPr="00B129AA">
        <w:rPr>
          <w:rFonts w:ascii="Aptos" w:hAnsi="Aptos" w:cstheme="minorHAnsi"/>
          <w:lang w:val="en-GB"/>
        </w:rPr>
        <w:t>, E. E., &amp; Ibrahim, E.-S. R. (2020). The direct and indirect impact of trauma types and cumulative stressors and traumas on executive functions. </w:t>
      </w:r>
      <w:r w:rsidRPr="00B129AA">
        <w:rPr>
          <w:rFonts w:ascii="Aptos" w:hAnsi="Aptos" w:cstheme="minorHAnsi"/>
          <w:i/>
          <w:iCs/>
          <w:lang w:val="en-GB"/>
        </w:rPr>
        <w:t>Applied Neuropsychology: Adult</w:t>
      </w:r>
      <w:r w:rsidRPr="00B129AA">
        <w:rPr>
          <w:rFonts w:ascii="Aptos" w:hAnsi="Aptos" w:cstheme="minorHAnsi"/>
          <w:lang w:val="en-GB"/>
        </w:rPr>
        <w:t>, </w:t>
      </w:r>
      <w:r w:rsidRPr="00B129AA">
        <w:rPr>
          <w:rFonts w:ascii="Aptos" w:hAnsi="Aptos" w:cstheme="minorHAnsi"/>
          <w:i/>
          <w:iCs/>
          <w:lang w:val="en-GB"/>
        </w:rPr>
        <w:t>29</w:t>
      </w:r>
      <w:r w:rsidRPr="00B129AA">
        <w:rPr>
          <w:rFonts w:ascii="Aptos" w:hAnsi="Aptos" w:cstheme="minorHAnsi"/>
          <w:lang w:val="en-GB"/>
        </w:rPr>
        <w:t>(5), 1–17. https://doi.org/10.1080/23279095.2020.1848835</w:t>
      </w:r>
    </w:p>
    <w:p w14:paraId="07668108"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Kostova, Z., &amp; </w:t>
      </w:r>
      <w:proofErr w:type="spellStart"/>
      <w:r w:rsidRPr="00B129AA">
        <w:rPr>
          <w:rFonts w:ascii="Aptos" w:hAnsi="Aptos" w:cstheme="minorHAnsi"/>
          <w:lang w:val="en-GB"/>
        </w:rPr>
        <w:t>Matanova</w:t>
      </w:r>
      <w:proofErr w:type="spellEnd"/>
      <w:r w:rsidRPr="00B129AA">
        <w:rPr>
          <w:rFonts w:ascii="Aptos" w:hAnsi="Aptos" w:cstheme="minorHAnsi"/>
          <w:lang w:val="en-GB"/>
        </w:rPr>
        <w:t>, V. L. (2024). Transgenerational trauma and attachment. </w:t>
      </w:r>
      <w:r w:rsidRPr="00B129AA">
        <w:rPr>
          <w:rFonts w:ascii="Aptos" w:hAnsi="Aptos" w:cstheme="minorHAnsi"/>
          <w:i/>
          <w:iCs/>
          <w:lang w:val="en-GB"/>
        </w:rPr>
        <w:t>Frontiers in Psychology</w:t>
      </w:r>
      <w:r w:rsidRPr="00B129AA">
        <w:rPr>
          <w:rFonts w:ascii="Aptos" w:hAnsi="Aptos" w:cstheme="minorHAnsi"/>
          <w:lang w:val="en-GB"/>
        </w:rPr>
        <w:t>, </w:t>
      </w:r>
      <w:r w:rsidRPr="00B129AA">
        <w:rPr>
          <w:rFonts w:ascii="Aptos" w:hAnsi="Aptos" w:cstheme="minorHAnsi"/>
          <w:i/>
          <w:iCs/>
          <w:lang w:val="en-GB"/>
        </w:rPr>
        <w:t>15</w:t>
      </w:r>
      <w:r w:rsidRPr="00B129AA">
        <w:rPr>
          <w:rFonts w:ascii="Aptos" w:hAnsi="Aptos" w:cstheme="minorHAnsi"/>
          <w:lang w:val="en-GB"/>
        </w:rPr>
        <w:t>. https://doi.org/10.3389/fpsyg.2024.1362561</w:t>
      </w:r>
    </w:p>
    <w:p w14:paraId="0270D4FF"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Lacey, R. E., &amp; Minnis, H. (2019). Practitioner Review: Twenty years of research with adverse childhood experience scores – Advantages, disadvantages and applications to practice. </w:t>
      </w:r>
      <w:r w:rsidRPr="00B129AA">
        <w:rPr>
          <w:rFonts w:ascii="Aptos" w:hAnsi="Aptos" w:cstheme="minorHAnsi"/>
          <w:i/>
          <w:iCs/>
          <w:lang w:val="en-GB"/>
        </w:rPr>
        <w:t>Journal of Child Psychology and Psychiatry</w:t>
      </w:r>
      <w:r w:rsidRPr="00B129AA">
        <w:rPr>
          <w:rFonts w:ascii="Aptos" w:hAnsi="Aptos" w:cstheme="minorHAnsi"/>
          <w:lang w:val="en-GB"/>
        </w:rPr>
        <w:t>, </w:t>
      </w:r>
      <w:r w:rsidRPr="00B129AA">
        <w:rPr>
          <w:rFonts w:ascii="Aptos" w:hAnsi="Aptos" w:cstheme="minorHAnsi"/>
          <w:i/>
          <w:iCs/>
          <w:lang w:val="en-GB"/>
        </w:rPr>
        <w:t>61</w:t>
      </w:r>
      <w:r w:rsidRPr="00B129AA">
        <w:rPr>
          <w:rFonts w:ascii="Aptos" w:hAnsi="Aptos" w:cstheme="minorHAnsi"/>
          <w:lang w:val="en-GB"/>
        </w:rPr>
        <w:t>(2), 116–130. https://doi.org/10.1111/jcpp.13135</w:t>
      </w:r>
    </w:p>
    <w:p w14:paraId="3DA7D9E2"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Lam, N., Fairweather, S., Lewer, D., Prescott, M., </w:t>
      </w:r>
      <w:proofErr w:type="spellStart"/>
      <w:r w:rsidRPr="00B129AA">
        <w:rPr>
          <w:rFonts w:ascii="Aptos" w:hAnsi="Aptos" w:cstheme="minorHAnsi"/>
          <w:lang w:val="en-GB"/>
        </w:rPr>
        <w:t>Undugoda</w:t>
      </w:r>
      <w:proofErr w:type="spellEnd"/>
      <w:r w:rsidRPr="00B129AA">
        <w:rPr>
          <w:rFonts w:ascii="Aptos" w:hAnsi="Aptos" w:cstheme="minorHAnsi"/>
          <w:lang w:val="en-GB"/>
        </w:rPr>
        <w:t>, P., Dickerson, J., Gilbody, S., &amp; Wadman, R. (2024). The association between adverse childhood experiences and mental health, behaviour, and educational performance in adolescence: A systematic scoping review. </w:t>
      </w:r>
      <w:r w:rsidRPr="00B129AA">
        <w:rPr>
          <w:rFonts w:ascii="Aptos" w:hAnsi="Aptos" w:cstheme="minorHAnsi"/>
          <w:i/>
          <w:iCs/>
          <w:lang w:val="en-GB"/>
        </w:rPr>
        <w:t>PLOS Mental Health</w:t>
      </w:r>
      <w:r w:rsidRPr="00B129AA">
        <w:rPr>
          <w:rFonts w:ascii="Aptos" w:hAnsi="Aptos" w:cstheme="minorHAnsi"/>
          <w:lang w:val="en-GB"/>
        </w:rPr>
        <w:t>, </w:t>
      </w:r>
      <w:r w:rsidRPr="00B129AA">
        <w:rPr>
          <w:rFonts w:ascii="Aptos" w:hAnsi="Aptos" w:cstheme="minorHAnsi"/>
          <w:i/>
          <w:iCs/>
          <w:lang w:val="en-GB"/>
        </w:rPr>
        <w:t>1</w:t>
      </w:r>
      <w:r w:rsidRPr="00B129AA">
        <w:rPr>
          <w:rFonts w:ascii="Aptos" w:hAnsi="Aptos" w:cstheme="minorHAnsi"/>
          <w:lang w:val="en-GB"/>
        </w:rPr>
        <w:t>(5), e0000165. https://doi.org/10.1371/journal.pmen.0000165</w:t>
      </w:r>
    </w:p>
    <w:p w14:paraId="6B5E832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Legare, C. H. (2019). The Development of Cumulative Cultural Learning. </w:t>
      </w:r>
      <w:r w:rsidRPr="00B129AA">
        <w:rPr>
          <w:rFonts w:ascii="Aptos" w:hAnsi="Aptos" w:cstheme="minorHAnsi"/>
          <w:i/>
          <w:iCs/>
          <w:lang w:val="en-GB"/>
        </w:rPr>
        <w:t>Annual Review of Developmental Psychology</w:t>
      </w:r>
      <w:r w:rsidRPr="00B129AA">
        <w:rPr>
          <w:rFonts w:ascii="Aptos" w:hAnsi="Aptos" w:cstheme="minorHAnsi"/>
          <w:lang w:val="en-GB"/>
        </w:rPr>
        <w:t>, </w:t>
      </w:r>
      <w:r w:rsidRPr="00B129AA">
        <w:rPr>
          <w:rFonts w:ascii="Aptos" w:hAnsi="Aptos" w:cstheme="minorHAnsi"/>
          <w:i/>
          <w:iCs/>
          <w:lang w:val="en-GB"/>
        </w:rPr>
        <w:t>1</w:t>
      </w:r>
      <w:r w:rsidRPr="00B129AA">
        <w:rPr>
          <w:rFonts w:ascii="Aptos" w:hAnsi="Aptos" w:cstheme="minorHAnsi"/>
          <w:lang w:val="en-GB"/>
        </w:rPr>
        <w:t>(1), 119–147. https://doi.org/10.1146/annurev-devpsych-121318-084848</w:t>
      </w:r>
    </w:p>
    <w:p w14:paraId="23D9532B"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Lekas, H.-M., Pahl, K., &amp; Fuller Lewis, C. (2020). Rethinking cultural competence: Shifting to cultural humility. </w:t>
      </w:r>
      <w:r w:rsidRPr="00B129AA">
        <w:rPr>
          <w:rFonts w:ascii="Aptos" w:hAnsi="Aptos" w:cstheme="minorHAnsi"/>
          <w:i/>
          <w:iCs/>
          <w:lang w:val="en-GB"/>
        </w:rPr>
        <w:t>Health Services Insights</w:t>
      </w:r>
      <w:r w:rsidRPr="00B129AA">
        <w:rPr>
          <w:rFonts w:ascii="Aptos" w:hAnsi="Aptos" w:cstheme="minorHAnsi"/>
          <w:lang w:val="en-GB"/>
        </w:rPr>
        <w:t>, </w:t>
      </w:r>
      <w:r w:rsidRPr="00B129AA">
        <w:rPr>
          <w:rFonts w:ascii="Aptos" w:hAnsi="Aptos" w:cstheme="minorHAnsi"/>
          <w:i/>
          <w:iCs/>
          <w:lang w:val="en-GB"/>
        </w:rPr>
        <w:t>13</w:t>
      </w:r>
      <w:r w:rsidRPr="00B129AA">
        <w:rPr>
          <w:rFonts w:ascii="Aptos" w:hAnsi="Aptos" w:cstheme="minorHAnsi"/>
          <w:lang w:val="en-GB"/>
        </w:rPr>
        <w:t>(13). https://doi.org/10.1177/1178632920970580</w:t>
      </w:r>
    </w:p>
    <w:p w14:paraId="63586BDD"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Lieberman, A. F., &amp; </w:t>
      </w:r>
      <w:proofErr w:type="spellStart"/>
      <w:r w:rsidRPr="00B129AA">
        <w:rPr>
          <w:rFonts w:ascii="Aptos" w:hAnsi="Aptos" w:cstheme="minorHAnsi"/>
          <w:lang w:val="en-GB"/>
        </w:rPr>
        <w:t>Ippen</w:t>
      </w:r>
      <w:proofErr w:type="spellEnd"/>
      <w:r w:rsidRPr="00B129AA">
        <w:rPr>
          <w:rFonts w:ascii="Aptos" w:hAnsi="Aptos" w:cstheme="minorHAnsi"/>
          <w:lang w:val="en-GB"/>
        </w:rPr>
        <w:t>, C. G. (2024). Engaging the child–parent relationship to treat early trauma: The challenge and promise of scaling with fidelity. </w:t>
      </w:r>
      <w:r w:rsidRPr="00B129AA">
        <w:rPr>
          <w:rFonts w:ascii="Aptos" w:hAnsi="Aptos" w:cstheme="minorHAnsi"/>
          <w:i/>
          <w:iCs/>
          <w:lang w:val="en-GB"/>
        </w:rPr>
        <w:t>Journal of Traumatic Stress</w:t>
      </w:r>
      <w:r w:rsidRPr="00B129AA">
        <w:rPr>
          <w:rFonts w:ascii="Aptos" w:hAnsi="Aptos" w:cstheme="minorHAnsi"/>
          <w:lang w:val="en-GB"/>
        </w:rPr>
        <w:t>, </w:t>
      </w:r>
      <w:r w:rsidRPr="00B129AA">
        <w:rPr>
          <w:rFonts w:ascii="Aptos" w:hAnsi="Aptos" w:cstheme="minorHAnsi"/>
          <w:i/>
          <w:iCs/>
          <w:lang w:val="en-GB"/>
        </w:rPr>
        <w:t>37</w:t>
      </w:r>
      <w:r w:rsidRPr="00B129AA">
        <w:rPr>
          <w:rFonts w:ascii="Aptos" w:hAnsi="Aptos" w:cstheme="minorHAnsi"/>
          <w:lang w:val="en-GB"/>
        </w:rPr>
        <w:t>(5), 784–789. https://doi.org/10.1002/jts.23077</w:t>
      </w:r>
    </w:p>
    <w:p w14:paraId="522EF5EB"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Mach, J. L., Cantos, A. L., Weber, E. N., &amp; </w:t>
      </w:r>
      <w:proofErr w:type="spellStart"/>
      <w:r w:rsidRPr="00B129AA">
        <w:rPr>
          <w:rFonts w:ascii="Aptos" w:hAnsi="Aptos" w:cstheme="minorHAnsi"/>
          <w:lang w:val="en-GB"/>
        </w:rPr>
        <w:t>Kosson</w:t>
      </w:r>
      <w:proofErr w:type="spellEnd"/>
      <w:r w:rsidRPr="00B129AA">
        <w:rPr>
          <w:rFonts w:ascii="Aptos" w:hAnsi="Aptos" w:cstheme="minorHAnsi"/>
          <w:lang w:val="en-GB"/>
        </w:rPr>
        <w:t>, D. S. (2017). The Impact of Perpetrator Characteristics on the Completion of a Partner Abuse Intervention Program. </w:t>
      </w:r>
      <w:r w:rsidRPr="00B129AA">
        <w:rPr>
          <w:rFonts w:ascii="Aptos" w:hAnsi="Aptos" w:cstheme="minorHAnsi"/>
          <w:i/>
          <w:iCs/>
          <w:lang w:val="en-GB"/>
        </w:rPr>
        <w:t xml:space="preserve">Journal of </w:t>
      </w:r>
      <w:r w:rsidRPr="00B129AA">
        <w:rPr>
          <w:rFonts w:ascii="Aptos" w:hAnsi="Aptos" w:cstheme="minorHAnsi"/>
          <w:i/>
          <w:iCs/>
          <w:lang w:val="en-GB"/>
        </w:rPr>
        <w:lastRenderedPageBreak/>
        <w:t>Interpersonal Violence</w:t>
      </w:r>
      <w:r w:rsidRPr="00B129AA">
        <w:rPr>
          <w:rFonts w:ascii="Aptos" w:hAnsi="Aptos" w:cstheme="minorHAnsi"/>
          <w:lang w:val="en-GB"/>
        </w:rPr>
        <w:t>, </w:t>
      </w:r>
      <w:r w:rsidRPr="00B129AA">
        <w:rPr>
          <w:rFonts w:ascii="Aptos" w:hAnsi="Aptos" w:cstheme="minorHAnsi"/>
          <w:i/>
          <w:iCs/>
          <w:lang w:val="en-GB"/>
        </w:rPr>
        <w:t>35</w:t>
      </w:r>
      <w:r w:rsidRPr="00B129AA">
        <w:rPr>
          <w:rFonts w:ascii="Aptos" w:hAnsi="Aptos" w:cstheme="minorHAnsi"/>
          <w:lang w:val="en-GB"/>
        </w:rPr>
        <w:t>(23-24), 5228–5254. https://doi.org/10.1177/0886260517719904</w:t>
      </w:r>
    </w:p>
    <w:p w14:paraId="6E9D2324" w14:textId="77777777" w:rsidR="00B129AA" w:rsidRPr="00B129AA" w:rsidRDefault="00B129AA" w:rsidP="00B129AA">
      <w:pPr>
        <w:spacing w:before="120" w:after="120"/>
        <w:rPr>
          <w:rFonts w:ascii="Aptos" w:hAnsi="Aptos" w:cstheme="minorHAnsi"/>
          <w:lang w:val="en-GB"/>
        </w:rPr>
      </w:pPr>
      <w:proofErr w:type="spellStart"/>
      <w:r w:rsidRPr="00B129AA">
        <w:rPr>
          <w:rFonts w:ascii="Aptos" w:hAnsi="Aptos" w:cstheme="minorHAnsi"/>
          <w:lang w:val="en-GB"/>
        </w:rPr>
        <w:t>Maçkalı</w:t>
      </w:r>
      <w:proofErr w:type="spellEnd"/>
      <w:r w:rsidRPr="00B129AA">
        <w:rPr>
          <w:rFonts w:ascii="Aptos" w:hAnsi="Aptos" w:cstheme="minorHAnsi"/>
          <w:lang w:val="en-GB"/>
        </w:rPr>
        <w:t xml:space="preserve">, Z., </w:t>
      </w:r>
      <w:proofErr w:type="spellStart"/>
      <w:r w:rsidRPr="00B129AA">
        <w:rPr>
          <w:rFonts w:ascii="Aptos" w:hAnsi="Aptos" w:cstheme="minorHAnsi"/>
          <w:lang w:val="en-GB"/>
        </w:rPr>
        <w:t>Gökdağ</w:t>
      </w:r>
      <w:proofErr w:type="spellEnd"/>
      <w:r w:rsidRPr="00B129AA">
        <w:rPr>
          <w:rFonts w:ascii="Aptos" w:hAnsi="Aptos" w:cstheme="minorHAnsi"/>
          <w:lang w:val="en-GB"/>
        </w:rPr>
        <w:t xml:space="preserve">, C., &amp; </w:t>
      </w:r>
      <w:proofErr w:type="spellStart"/>
      <w:r w:rsidRPr="00B129AA">
        <w:rPr>
          <w:rFonts w:ascii="Aptos" w:hAnsi="Aptos" w:cstheme="minorHAnsi"/>
          <w:lang w:val="en-GB"/>
        </w:rPr>
        <w:t>Toksoy</w:t>
      </w:r>
      <w:proofErr w:type="spellEnd"/>
      <w:r w:rsidRPr="00B129AA">
        <w:rPr>
          <w:rFonts w:ascii="Aptos" w:hAnsi="Aptos" w:cstheme="minorHAnsi"/>
          <w:lang w:val="en-GB"/>
        </w:rPr>
        <w:t>, Ş. E. (2025). The structural associations among childhood traumas, attachment dimensions, and relational needs. </w:t>
      </w:r>
      <w:r w:rsidRPr="00B129AA">
        <w:rPr>
          <w:rFonts w:ascii="Aptos" w:hAnsi="Aptos" w:cstheme="minorHAnsi"/>
          <w:i/>
          <w:iCs/>
          <w:lang w:val="en-GB"/>
        </w:rPr>
        <w:t>Current Psychology</w:t>
      </w:r>
      <w:r w:rsidRPr="00B129AA">
        <w:rPr>
          <w:rFonts w:ascii="Aptos" w:hAnsi="Aptos" w:cstheme="minorHAnsi"/>
          <w:lang w:val="en-GB"/>
        </w:rPr>
        <w:t>, </w:t>
      </w:r>
      <w:r w:rsidRPr="00B129AA">
        <w:rPr>
          <w:rFonts w:ascii="Aptos" w:hAnsi="Aptos" w:cstheme="minorHAnsi"/>
          <w:i/>
          <w:iCs/>
          <w:lang w:val="en-GB"/>
        </w:rPr>
        <w:t>44</w:t>
      </w:r>
      <w:r w:rsidRPr="00B129AA">
        <w:rPr>
          <w:rFonts w:ascii="Aptos" w:hAnsi="Aptos" w:cstheme="minorHAnsi"/>
          <w:lang w:val="en-GB"/>
        </w:rPr>
        <w:t>, 13367–13377. https://doi.org/10.1007/s12144-025-08070-w</w:t>
      </w:r>
    </w:p>
    <w:p w14:paraId="1D5A161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Martins, B., Tiago Taveira-Gomes, Gomes, J. C., Vidal-Alves, M. J., &amp; Magalhães, T. (2025). Adverse childhood experiences and health outcomes: a 20-year real-world study. </w:t>
      </w:r>
      <w:r w:rsidRPr="00B129AA">
        <w:rPr>
          <w:rFonts w:ascii="Aptos" w:hAnsi="Aptos" w:cstheme="minorHAnsi"/>
          <w:i/>
          <w:iCs/>
          <w:lang w:val="en-GB"/>
        </w:rPr>
        <w:t>Frontiers in Medicine</w:t>
      </w:r>
      <w:r w:rsidRPr="00B129AA">
        <w:rPr>
          <w:rFonts w:ascii="Aptos" w:hAnsi="Aptos" w:cstheme="minorHAnsi"/>
          <w:lang w:val="en-GB"/>
        </w:rPr>
        <w:t>, </w:t>
      </w:r>
      <w:r w:rsidRPr="00B129AA">
        <w:rPr>
          <w:rFonts w:ascii="Aptos" w:hAnsi="Aptos" w:cstheme="minorHAnsi"/>
          <w:i/>
          <w:iCs/>
          <w:lang w:val="en-GB"/>
        </w:rPr>
        <w:t>11</w:t>
      </w:r>
      <w:r w:rsidRPr="00B129AA">
        <w:rPr>
          <w:rFonts w:ascii="Aptos" w:hAnsi="Aptos" w:cstheme="minorHAnsi"/>
          <w:lang w:val="en-GB"/>
        </w:rPr>
        <w:t>. https://doi.org/10.3389/fmed.2024.1429137</w:t>
      </w:r>
    </w:p>
    <w:p w14:paraId="240D329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Masten, A. S. (2021). Resilience in Developmental Systems. </w:t>
      </w:r>
      <w:r w:rsidRPr="00B129AA">
        <w:rPr>
          <w:rFonts w:ascii="Aptos" w:hAnsi="Aptos" w:cstheme="minorHAnsi"/>
          <w:i/>
          <w:iCs/>
          <w:lang w:val="en-GB"/>
        </w:rPr>
        <w:t>Multisystemic Resilience</w:t>
      </w:r>
      <w:r w:rsidRPr="00B129AA">
        <w:rPr>
          <w:rFonts w:ascii="Aptos" w:hAnsi="Aptos" w:cstheme="minorHAnsi"/>
          <w:lang w:val="en-GB"/>
        </w:rPr>
        <w:t>, </w:t>
      </w:r>
      <w:r w:rsidRPr="00B129AA">
        <w:rPr>
          <w:rFonts w:ascii="Aptos" w:hAnsi="Aptos" w:cstheme="minorHAnsi"/>
          <w:i/>
          <w:iCs/>
          <w:lang w:val="en-GB"/>
        </w:rPr>
        <w:t>6</w:t>
      </w:r>
      <w:r w:rsidRPr="00B129AA">
        <w:rPr>
          <w:rFonts w:ascii="Aptos" w:hAnsi="Aptos" w:cstheme="minorHAnsi"/>
          <w:lang w:val="en-GB"/>
        </w:rPr>
        <w:t>, 113–134. https://doi.org/10.1093/oso/9780190095888.003.0007</w:t>
      </w:r>
    </w:p>
    <w:p w14:paraId="2959947B"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Maude, P., James, R., &amp; Searby, A. (2024). The use of Open Dialogue in Trauma Informed Care services for mental health consumers and their family networks: A scoping review. </w:t>
      </w:r>
      <w:r w:rsidRPr="00B129AA">
        <w:rPr>
          <w:rFonts w:ascii="Aptos" w:hAnsi="Aptos" w:cstheme="minorHAnsi"/>
          <w:i/>
          <w:iCs/>
          <w:lang w:val="en-GB"/>
        </w:rPr>
        <w:t>Journal of Psychiatric and Mental Health Nursing</w:t>
      </w:r>
      <w:r w:rsidRPr="00B129AA">
        <w:rPr>
          <w:rFonts w:ascii="Aptos" w:hAnsi="Aptos" w:cstheme="minorHAnsi"/>
          <w:lang w:val="en-GB"/>
        </w:rPr>
        <w:t>, </w:t>
      </w:r>
      <w:r w:rsidRPr="00B129AA">
        <w:rPr>
          <w:rFonts w:ascii="Aptos" w:hAnsi="Aptos" w:cstheme="minorHAnsi"/>
          <w:i/>
          <w:iCs/>
          <w:lang w:val="en-GB"/>
        </w:rPr>
        <w:t>31</w:t>
      </w:r>
      <w:r w:rsidRPr="00B129AA">
        <w:rPr>
          <w:rFonts w:ascii="Aptos" w:hAnsi="Aptos" w:cstheme="minorHAnsi"/>
          <w:lang w:val="en-GB"/>
        </w:rPr>
        <w:t>(4). https://doi.org/10.1111/jpm.13023</w:t>
      </w:r>
    </w:p>
    <w:p w14:paraId="6CA2082D"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McCrory, E. J., Gerin, M. I., &amp; </w:t>
      </w:r>
      <w:proofErr w:type="spellStart"/>
      <w:r w:rsidRPr="00B129AA">
        <w:rPr>
          <w:rFonts w:ascii="Aptos" w:hAnsi="Aptos" w:cstheme="minorHAnsi"/>
          <w:lang w:val="en-GB"/>
        </w:rPr>
        <w:t>Viding</w:t>
      </w:r>
      <w:proofErr w:type="spellEnd"/>
      <w:r w:rsidRPr="00B129AA">
        <w:rPr>
          <w:rFonts w:ascii="Aptos" w:hAnsi="Aptos" w:cstheme="minorHAnsi"/>
          <w:lang w:val="en-GB"/>
        </w:rPr>
        <w:t>, E. (2017). Annual Research Review: Childhood maltreatment, latent vulnerability and the shift to preventative psychiatry - the contribution of functional brain imaging. </w:t>
      </w:r>
      <w:r w:rsidRPr="00B129AA">
        <w:rPr>
          <w:rFonts w:ascii="Aptos" w:hAnsi="Aptos" w:cstheme="minorHAnsi"/>
          <w:i/>
          <w:iCs/>
          <w:lang w:val="en-GB"/>
        </w:rPr>
        <w:t>Journal of Child Psychology and Psychiatry</w:t>
      </w:r>
      <w:r w:rsidRPr="00B129AA">
        <w:rPr>
          <w:rFonts w:ascii="Aptos" w:hAnsi="Aptos" w:cstheme="minorHAnsi"/>
          <w:lang w:val="en-GB"/>
        </w:rPr>
        <w:t>, </w:t>
      </w:r>
      <w:r w:rsidRPr="00B129AA">
        <w:rPr>
          <w:rFonts w:ascii="Aptos" w:hAnsi="Aptos" w:cstheme="minorHAnsi"/>
          <w:i/>
          <w:iCs/>
          <w:lang w:val="en-GB"/>
        </w:rPr>
        <w:t>58</w:t>
      </w:r>
      <w:r w:rsidRPr="00B129AA">
        <w:rPr>
          <w:rFonts w:ascii="Aptos" w:hAnsi="Aptos" w:cstheme="minorHAnsi"/>
          <w:lang w:val="en-GB"/>
        </w:rPr>
        <w:t>(4), 338–357. https://doi.org/10.1111/jcpp.12713</w:t>
      </w:r>
    </w:p>
    <w:p w14:paraId="1F2089DB"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McLennan, J. D., MacMillan, H. L., &amp; Afifi, T. O. (2020). Questioning the use of adverse childhood experiences (ACEs) questionnaires. </w:t>
      </w:r>
      <w:r w:rsidRPr="00B129AA">
        <w:rPr>
          <w:rFonts w:ascii="Aptos" w:hAnsi="Aptos" w:cstheme="minorHAnsi"/>
          <w:i/>
          <w:iCs/>
          <w:lang w:val="en-GB"/>
        </w:rPr>
        <w:t>Child Abuse &amp; Neglect</w:t>
      </w:r>
      <w:r w:rsidRPr="00B129AA">
        <w:rPr>
          <w:rFonts w:ascii="Aptos" w:hAnsi="Aptos" w:cstheme="minorHAnsi"/>
          <w:lang w:val="en-GB"/>
        </w:rPr>
        <w:t>, </w:t>
      </w:r>
      <w:r w:rsidRPr="00B129AA">
        <w:rPr>
          <w:rFonts w:ascii="Aptos" w:hAnsi="Aptos" w:cstheme="minorHAnsi"/>
          <w:i/>
          <w:iCs/>
          <w:lang w:val="en-GB"/>
        </w:rPr>
        <w:t>101</w:t>
      </w:r>
      <w:r w:rsidRPr="00B129AA">
        <w:rPr>
          <w:rFonts w:ascii="Aptos" w:hAnsi="Aptos" w:cstheme="minorHAnsi"/>
          <w:lang w:val="en-GB"/>
        </w:rPr>
        <w:t>(101), 104331. https://doi.org/10.1016/j.chiabu.2019.104331</w:t>
      </w:r>
    </w:p>
    <w:p w14:paraId="3E55526D"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Morris, K. (2012). Thinking Family? The Complexities for Family Engagement in Care and Protection. </w:t>
      </w:r>
      <w:r w:rsidRPr="00B129AA">
        <w:rPr>
          <w:rFonts w:ascii="Aptos" w:hAnsi="Aptos" w:cstheme="minorHAnsi"/>
          <w:i/>
          <w:iCs/>
          <w:lang w:val="en-GB"/>
        </w:rPr>
        <w:t>British Journal of Social Work</w:t>
      </w:r>
      <w:r w:rsidRPr="00B129AA">
        <w:rPr>
          <w:rFonts w:ascii="Aptos" w:hAnsi="Aptos" w:cstheme="minorHAnsi"/>
          <w:lang w:val="en-GB"/>
        </w:rPr>
        <w:t>, </w:t>
      </w:r>
      <w:r w:rsidRPr="00B129AA">
        <w:rPr>
          <w:rFonts w:ascii="Aptos" w:hAnsi="Aptos" w:cstheme="minorHAnsi"/>
          <w:i/>
          <w:iCs/>
          <w:lang w:val="en-GB"/>
        </w:rPr>
        <w:t>42</w:t>
      </w:r>
      <w:r w:rsidRPr="00B129AA">
        <w:rPr>
          <w:rFonts w:ascii="Aptos" w:hAnsi="Aptos" w:cstheme="minorHAnsi"/>
          <w:lang w:val="en-GB"/>
        </w:rPr>
        <w:t>(5), 906–920. https://doi.org/10.1093/bjsw/bcr116</w:t>
      </w:r>
    </w:p>
    <w:p w14:paraId="6A47FE74"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Norlén, A., </w:t>
      </w:r>
      <w:proofErr w:type="spellStart"/>
      <w:r w:rsidRPr="00B129AA">
        <w:rPr>
          <w:rFonts w:ascii="Aptos" w:hAnsi="Aptos" w:cstheme="minorHAnsi"/>
          <w:lang w:val="en-GB"/>
        </w:rPr>
        <w:t>Thorén</w:t>
      </w:r>
      <w:proofErr w:type="spellEnd"/>
      <w:r w:rsidRPr="00B129AA">
        <w:rPr>
          <w:rFonts w:ascii="Aptos" w:hAnsi="Aptos" w:cstheme="minorHAnsi"/>
          <w:lang w:val="en-GB"/>
        </w:rPr>
        <w:t>, A., &amp; Almqvist, K. (2021). Implementing Child–Parent Psychotherapy (CPP) in Sweden: A Qualitative Study Exploring Experiences by Caregivers Taking Part of the Intervention with Their Child. </w:t>
      </w:r>
      <w:r w:rsidRPr="00B129AA">
        <w:rPr>
          <w:rFonts w:ascii="Aptos" w:hAnsi="Aptos" w:cstheme="minorHAnsi"/>
          <w:i/>
          <w:iCs/>
          <w:lang w:val="en-GB"/>
        </w:rPr>
        <w:t>Journal of Infant, Child, and Adolescent Psychotherapy</w:t>
      </w:r>
      <w:r w:rsidRPr="00B129AA">
        <w:rPr>
          <w:rFonts w:ascii="Aptos" w:hAnsi="Aptos" w:cstheme="minorHAnsi"/>
          <w:lang w:val="en-GB"/>
        </w:rPr>
        <w:t>, </w:t>
      </w:r>
      <w:r w:rsidRPr="00B129AA">
        <w:rPr>
          <w:rFonts w:ascii="Aptos" w:hAnsi="Aptos" w:cstheme="minorHAnsi"/>
          <w:i/>
          <w:iCs/>
          <w:lang w:val="en-GB"/>
        </w:rPr>
        <w:t>20</w:t>
      </w:r>
      <w:r w:rsidRPr="00B129AA">
        <w:rPr>
          <w:rFonts w:ascii="Aptos" w:hAnsi="Aptos" w:cstheme="minorHAnsi"/>
          <w:lang w:val="en-GB"/>
        </w:rPr>
        <w:t>(2), 1–17. https://doi.org/10.1080/15289168.2021.1925001</w:t>
      </w:r>
    </w:p>
    <w:p w14:paraId="66F9A6B1"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Oberg, G., Carroll, A., &amp; Macmahon, S. (2023). Compassion fatigue and secondary traumatic stress in teachers: How they contribute to burnout and how they are related to trauma-awareness. </w:t>
      </w:r>
      <w:r w:rsidRPr="00B129AA">
        <w:rPr>
          <w:rFonts w:ascii="Aptos" w:hAnsi="Aptos" w:cstheme="minorHAnsi"/>
          <w:i/>
          <w:iCs/>
          <w:lang w:val="en-GB"/>
        </w:rPr>
        <w:t>Frontiers in Education</w:t>
      </w:r>
      <w:r w:rsidRPr="00B129AA">
        <w:rPr>
          <w:rFonts w:ascii="Aptos" w:hAnsi="Aptos" w:cstheme="minorHAnsi"/>
          <w:lang w:val="en-GB"/>
        </w:rPr>
        <w:t>, </w:t>
      </w:r>
      <w:r w:rsidRPr="00B129AA">
        <w:rPr>
          <w:rFonts w:ascii="Aptos" w:hAnsi="Aptos" w:cstheme="minorHAnsi"/>
          <w:i/>
          <w:iCs/>
          <w:lang w:val="en-GB"/>
        </w:rPr>
        <w:t>8</w:t>
      </w:r>
      <w:r w:rsidRPr="00B129AA">
        <w:rPr>
          <w:rFonts w:ascii="Aptos" w:hAnsi="Aptos" w:cstheme="minorHAnsi"/>
          <w:lang w:val="en-GB"/>
        </w:rPr>
        <w:t>. https://doi.org/10.3389/feduc.2023.1128618</w:t>
      </w:r>
    </w:p>
    <w:p w14:paraId="127CCC7D"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Pat-Horenczyk, R., Cohen, S., Ziv, Y., </w:t>
      </w:r>
      <w:proofErr w:type="spellStart"/>
      <w:r w:rsidRPr="00B129AA">
        <w:rPr>
          <w:rFonts w:ascii="Aptos" w:hAnsi="Aptos" w:cstheme="minorHAnsi"/>
          <w:lang w:val="en-GB"/>
        </w:rPr>
        <w:t>Achituv</w:t>
      </w:r>
      <w:proofErr w:type="spellEnd"/>
      <w:r w:rsidRPr="00B129AA">
        <w:rPr>
          <w:rFonts w:ascii="Aptos" w:hAnsi="Aptos" w:cstheme="minorHAnsi"/>
          <w:lang w:val="en-GB"/>
        </w:rPr>
        <w:t>, M., Asulin-Peretz, L., Blanchard, T. R., Schiff, M., &amp; Brom, D. (2015). EMOTION REGULATION IN MOTHERS AND YOUNG CHILDREN FACED WITH TRAUMA. </w:t>
      </w:r>
      <w:r w:rsidRPr="00B129AA">
        <w:rPr>
          <w:rFonts w:ascii="Aptos" w:hAnsi="Aptos" w:cstheme="minorHAnsi"/>
          <w:i/>
          <w:iCs/>
          <w:lang w:val="en-GB"/>
        </w:rPr>
        <w:t>Infant Mental Health Journal</w:t>
      </w:r>
      <w:r w:rsidRPr="00B129AA">
        <w:rPr>
          <w:rFonts w:ascii="Aptos" w:hAnsi="Aptos" w:cstheme="minorHAnsi"/>
          <w:lang w:val="en-GB"/>
        </w:rPr>
        <w:t>, </w:t>
      </w:r>
      <w:r w:rsidRPr="00B129AA">
        <w:rPr>
          <w:rFonts w:ascii="Aptos" w:hAnsi="Aptos" w:cstheme="minorHAnsi"/>
          <w:i/>
          <w:iCs/>
          <w:lang w:val="en-GB"/>
        </w:rPr>
        <w:t>36</w:t>
      </w:r>
      <w:r w:rsidRPr="00B129AA">
        <w:rPr>
          <w:rFonts w:ascii="Aptos" w:hAnsi="Aptos" w:cstheme="minorHAnsi"/>
          <w:lang w:val="en-GB"/>
        </w:rPr>
        <w:t>(3), 337–348. https://doi.org/10.1002/imhj.21515</w:t>
      </w:r>
    </w:p>
    <w:p w14:paraId="58BD985F"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Ranjbar, N., Erb, M., Mohammad, O., &amp; Moreno, F. A. (2020). Trauma-informed care and cultural humility in the mental health care of people from minoritized communities. </w:t>
      </w:r>
      <w:r w:rsidRPr="00B129AA">
        <w:rPr>
          <w:rFonts w:ascii="Aptos" w:hAnsi="Aptos" w:cstheme="minorHAnsi"/>
          <w:i/>
          <w:iCs/>
          <w:lang w:val="en-GB"/>
        </w:rPr>
        <w:t>FOCUS</w:t>
      </w:r>
      <w:r w:rsidRPr="00B129AA">
        <w:rPr>
          <w:rFonts w:ascii="Aptos" w:hAnsi="Aptos" w:cstheme="minorHAnsi"/>
          <w:lang w:val="en-GB"/>
        </w:rPr>
        <w:t>, </w:t>
      </w:r>
      <w:r w:rsidRPr="00B129AA">
        <w:rPr>
          <w:rFonts w:ascii="Aptos" w:hAnsi="Aptos" w:cstheme="minorHAnsi"/>
          <w:i/>
          <w:iCs/>
          <w:lang w:val="en-GB"/>
        </w:rPr>
        <w:t>18</w:t>
      </w:r>
      <w:r w:rsidRPr="00B129AA">
        <w:rPr>
          <w:rFonts w:ascii="Aptos" w:hAnsi="Aptos" w:cstheme="minorHAnsi"/>
          <w:lang w:val="en-GB"/>
        </w:rPr>
        <w:t>(1), 8–15. https://doi.org/10.1176/appi.focus.20190027</w:t>
      </w:r>
    </w:p>
    <w:p w14:paraId="7C8B60DB"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lastRenderedPageBreak/>
        <w:t>Rossi, R., Jannini, T. B., Socci, V., Pacitti, F., Rossi, A., &amp; Di Lorenzo, G. (2025). Role of attachment style in the association between childhood adversities and non-suicidal self-injury among young adults: a multigroup structural equation study. </w:t>
      </w:r>
      <w:r w:rsidRPr="00B129AA">
        <w:rPr>
          <w:rFonts w:ascii="Aptos" w:hAnsi="Aptos" w:cstheme="minorHAnsi"/>
          <w:i/>
          <w:iCs/>
          <w:lang w:val="en-GB"/>
        </w:rPr>
        <w:t>General Psychiatry</w:t>
      </w:r>
      <w:r w:rsidRPr="00B129AA">
        <w:rPr>
          <w:rFonts w:ascii="Aptos" w:hAnsi="Aptos" w:cstheme="minorHAnsi"/>
          <w:lang w:val="en-GB"/>
        </w:rPr>
        <w:t>, </w:t>
      </w:r>
      <w:r w:rsidRPr="00B129AA">
        <w:rPr>
          <w:rFonts w:ascii="Aptos" w:hAnsi="Aptos" w:cstheme="minorHAnsi"/>
          <w:i/>
          <w:iCs/>
          <w:lang w:val="en-GB"/>
        </w:rPr>
        <w:t>38</w:t>
      </w:r>
      <w:r w:rsidRPr="00B129AA">
        <w:rPr>
          <w:rFonts w:ascii="Aptos" w:hAnsi="Aptos" w:cstheme="minorHAnsi"/>
          <w:lang w:val="en-GB"/>
        </w:rPr>
        <w:t>(2), e101277. https://doi.org/10.1136/gpsych-2023-101277</w:t>
      </w:r>
    </w:p>
    <w:p w14:paraId="0A0FA46D"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Schore, A. (2022). Right brain-to-right brain psychotherapy: recent scientific and clinical advances. </w:t>
      </w:r>
      <w:r w:rsidRPr="00B129AA">
        <w:rPr>
          <w:rFonts w:ascii="Aptos" w:hAnsi="Aptos" w:cstheme="minorHAnsi"/>
          <w:i/>
          <w:iCs/>
          <w:lang w:val="en-GB"/>
        </w:rPr>
        <w:t>Annals of General Psychiatry</w:t>
      </w:r>
      <w:r w:rsidRPr="00B129AA">
        <w:rPr>
          <w:rFonts w:ascii="Aptos" w:hAnsi="Aptos" w:cstheme="minorHAnsi"/>
          <w:lang w:val="en-GB"/>
        </w:rPr>
        <w:t>, </w:t>
      </w:r>
      <w:r w:rsidRPr="00B129AA">
        <w:rPr>
          <w:rFonts w:ascii="Aptos" w:hAnsi="Aptos" w:cstheme="minorHAnsi"/>
          <w:i/>
          <w:iCs/>
          <w:lang w:val="en-GB"/>
        </w:rPr>
        <w:t>21</w:t>
      </w:r>
      <w:r w:rsidRPr="00B129AA">
        <w:rPr>
          <w:rFonts w:ascii="Aptos" w:hAnsi="Aptos" w:cstheme="minorHAnsi"/>
          <w:lang w:val="en-GB"/>
        </w:rPr>
        <w:t>(1). https://doi.org/10.1186/s12991-022-00420-3</w:t>
      </w:r>
    </w:p>
    <w:p w14:paraId="1523AE9C"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Scottish Government . (2024). </w:t>
      </w:r>
      <w:r w:rsidRPr="00B129AA">
        <w:rPr>
          <w:rFonts w:ascii="Aptos" w:hAnsi="Aptos" w:cstheme="minorHAnsi"/>
          <w:i/>
          <w:iCs/>
          <w:lang w:val="en-GB"/>
        </w:rPr>
        <w:t>Adverse Childhood Experiences (ACEs) research</w:t>
      </w:r>
      <w:r w:rsidRPr="00B129AA">
        <w:rPr>
          <w:rFonts w:ascii="Aptos" w:hAnsi="Aptos" w:cstheme="minorHAnsi"/>
          <w:lang w:val="en-GB"/>
        </w:rPr>
        <w:t xml:space="preserve">. </w:t>
      </w:r>
      <w:proofErr w:type="spellStart"/>
      <w:r w:rsidRPr="00B129AA">
        <w:rPr>
          <w:rFonts w:ascii="Aptos" w:hAnsi="Aptos" w:cstheme="minorHAnsi"/>
          <w:lang w:val="en-GB"/>
        </w:rPr>
        <w:t>Www.gov.scot</w:t>
      </w:r>
      <w:proofErr w:type="spellEnd"/>
      <w:r w:rsidRPr="00B129AA">
        <w:rPr>
          <w:rFonts w:ascii="Aptos" w:hAnsi="Aptos" w:cstheme="minorHAnsi"/>
          <w:lang w:val="en-GB"/>
        </w:rPr>
        <w:t>. https://www.gov.scot/publications/psychological-trauma-and-adversity/pages/aces/</w:t>
      </w:r>
    </w:p>
    <w:p w14:paraId="14EE5551"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Simon, E., </w:t>
      </w:r>
      <w:proofErr w:type="spellStart"/>
      <w:r w:rsidRPr="00B129AA">
        <w:rPr>
          <w:rFonts w:ascii="Aptos" w:hAnsi="Aptos" w:cstheme="minorHAnsi"/>
          <w:lang w:val="en-GB"/>
        </w:rPr>
        <w:t>Raats</w:t>
      </w:r>
      <w:proofErr w:type="spellEnd"/>
      <w:r w:rsidRPr="00B129AA">
        <w:rPr>
          <w:rFonts w:ascii="Aptos" w:hAnsi="Aptos" w:cstheme="minorHAnsi"/>
          <w:lang w:val="en-GB"/>
        </w:rPr>
        <w:t>, M., &amp; Erens, B. (2024). Neglecting the impact of childhood neglect: A scoping review of the relation between child neglect and emotion regulation in adulthood. </w:t>
      </w:r>
      <w:r w:rsidRPr="00B129AA">
        <w:rPr>
          <w:rFonts w:ascii="Aptos" w:hAnsi="Aptos" w:cstheme="minorHAnsi"/>
          <w:i/>
          <w:iCs/>
          <w:lang w:val="en-GB"/>
        </w:rPr>
        <w:t>Child Abuse &amp; Neglect</w:t>
      </w:r>
      <w:r w:rsidRPr="00B129AA">
        <w:rPr>
          <w:rFonts w:ascii="Aptos" w:hAnsi="Aptos" w:cstheme="minorHAnsi"/>
          <w:lang w:val="en-GB"/>
        </w:rPr>
        <w:t>, </w:t>
      </w:r>
      <w:r w:rsidRPr="00B129AA">
        <w:rPr>
          <w:rFonts w:ascii="Aptos" w:hAnsi="Aptos" w:cstheme="minorHAnsi"/>
          <w:i/>
          <w:iCs/>
          <w:lang w:val="en-GB"/>
        </w:rPr>
        <w:t>153</w:t>
      </w:r>
      <w:r w:rsidRPr="00B129AA">
        <w:rPr>
          <w:rFonts w:ascii="Aptos" w:hAnsi="Aptos" w:cstheme="minorHAnsi"/>
          <w:lang w:val="en-GB"/>
        </w:rPr>
        <w:t>, 106802. https://doi.org/10.1016/j.chiabu.2024.106802</w:t>
      </w:r>
    </w:p>
    <w:p w14:paraId="164BB236"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Sodeke-Gregson, E. A., </w:t>
      </w:r>
      <w:proofErr w:type="spellStart"/>
      <w:r w:rsidRPr="00B129AA">
        <w:rPr>
          <w:rFonts w:ascii="Aptos" w:hAnsi="Aptos" w:cstheme="minorHAnsi"/>
          <w:lang w:val="en-GB"/>
        </w:rPr>
        <w:t>Holttum</w:t>
      </w:r>
      <w:proofErr w:type="spellEnd"/>
      <w:r w:rsidRPr="00B129AA">
        <w:rPr>
          <w:rFonts w:ascii="Aptos" w:hAnsi="Aptos" w:cstheme="minorHAnsi"/>
          <w:lang w:val="en-GB"/>
        </w:rPr>
        <w:t>, S., &amp; Billings, J. (2013). Compassion satisfaction, burnout, and secondary traumatic stress in UK therapists who work with adult trauma clients. </w:t>
      </w:r>
      <w:r w:rsidRPr="00B129AA">
        <w:rPr>
          <w:rFonts w:ascii="Aptos" w:hAnsi="Aptos" w:cstheme="minorHAnsi"/>
          <w:i/>
          <w:iCs/>
          <w:lang w:val="en-GB"/>
        </w:rPr>
        <w:t xml:space="preserve">European Journal of </w:t>
      </w:r>
      <w:proofErr w:type="spellStart"/>
      <w:r w:rsidRPr="00B129AA">
        <w:rPr>
          <w:rFonts w:ascii="Aptos" w:hAnsi="Aptos" w:cstheme="minorHAnsi"/>
          <w:i/>
          <w:iCs/>
          <w:lang w:val="en-GB"/>
        </w:rPr>
        <w:t>Psychotraumatology</w:t>
      </w:r>
      <w:proofErr w:type="spellEnd"/>
      <w:r w:rsidRPr="00B129AA">
        <w:rPr>
          <w:rFonts w:ascii="Aptos" w:hAnsi="Aptos" w:cstheme="minorHAnsi"/>
          <w:lang w:val="en-GB"/>
        </w:rPr>
        <w:t>, </w:t>
      </w:r>
      <w:r w:rsidRPr="00B129AA">
        <w:rPr>
          <w:rFonts w:ascii="Aptos" w:hAnsi="Aptos" w:cstheme="minorHAnsi"/>
          <w:i/>
          <w:iCs/>
          <w:lang w:val="en-GB"/>
        </w:rPr>
        <w:t>4</w:t>
      </w:r>
      <w:r w:rsidRPr="00B129AA">
        <w:rPr>
          <w:rFonts w:ascii="Aptos" w:hAnsi="Aptos" w:cstheme="minorHAnsi"/>
          <w:lang w:val="en-GB"/>
        </w:rPr>
        <w:t>(1), 21869. https://doi.org/10.3402/ejpt.v4i0.21869</w:t>
      </w:r>
    </w:p>
    <w:p w14:paraId="7100746A"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Sonnentag, S., &amp; Fritz, C. (2015). Recovery from Job stress: the stressor-detachment Model as an Integrative Framework. </w:t>
      </w:r>
      <w:r w:rsidRPr="00B129AA">
        <w:rPr>
          <w:rFonts w:ascii="Aptos" w:hAnsi="Aptos" w:cstheme="minorHAnsi"/>
          <w:i/>
          <w:iCs/>
          <w:lang w:val="en-GB"/>
        </w:rPr>
        <w:t>Journal of Organizational Behavior</w:t>
      </w:r>
      <w:r w:rsidRPr="00B129AA">
        <w:rPr>
          <w:rFonts w:ascii="Aptos" w:hAnsi="Aptos" w:cstheme="minorHAnsi"/>
          <w:lang w:val="en-GB"/>
        </w:rPr>
        <w:t>, </w:t>
      </w:r>
      <w:r w:rsidRPr="00B129AA">
        <w:rPr>
          <w:rFonts w:ascii="Aptos" w:hAnsi="Aptos" w:cstheme="minorHAnsi"/>
          <w:i/>
          <w:iCs/>
          <w:lang w:val="en-GB"/>
        </w:rPr>
        <w:t>36</w:t>
      </w:r>
      <w:r w:rsidRPr="00B129AA">
        <w:rPr>
          <w:rFonts w:ascii="Aptos" w:hAnsi="Aptos" w:cstheme="minorHAnsi"/>
          <w:lang w:val="en-GB"/>
        </w:rPr>
        <w:t>(S1), S72–S103. https://doi.org/10.1002/job.1924</w:t>
      </w:r>
    </w:p>
    <w:p w14:paraId="397F0C8E"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Sprang, G., Craig, C., &amp; Clark, J. (2011). Secondary Traumatic Stress and Burnout in Child Welfare Workers: A Comparative Analysis of Occupational Distress Across Professional Groups. </w:t>
      </w:r>
      <w:r w:rsidRPr="00B129AA">
        <w:rPr>
          <w:rFonts w:ascii="Aptos" w:hAnsi="Aptos" w:cstheme="minorHAnsi"/>
          <w:i/>
          <w:iCs/>
          <w:lang w:val="en-GB"/>
        </w:rPr>
        <w:t>Child Welfare</w:t>
      </w:r>
      <w:r w:rsidRPr="00B129AA">
        <w:rPr>
          <w:rFonts w:ascii="Aptos" w:hAnsi="Aptos" w:cstheme="minorHAnsi"/>
          <w:lang w:val="en-GB"/>
        </w:rPr>
        <w:t>, </w:t>
      </w:r>
      <w:r w:rsidRPr="00B129AA">
        <w:rPr>
          <w:rFonts w:ascii="Aptos" w:hAnsi="Aptos" w:cstheme="minorHAnsi"/>
          <w:i/>
          <w:iCs/>
          <w:lang w:val="en-GB"/>
        </w:rPr>
        <w:t>90</w:t>
      </w:r>
      <w:r w:rsidRPr="00B129AA">
        <w:rPr>
          <w:rFonts w:ascii="Aptos" w:hAnsi="Aptos" w:cstheme="minorHAnsi"/>
          <w:lang w:val="en-GB"/>
        </w:rPr>
        <w:t>(6), 149–168. https://www.jstor.org/stable/48625374</w:t>
      </w:r>
    </w:p>
    <w:p w14:paraId="5A117BC6"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Spruit, A., Goos, L., Weenink, N., Rodenburg, R., Niemeyer, H., </w:t>
      </w:r>
      <w:proofErr w:type="spellStart"/>
      <w:r w:rsidRPr="00B129AA">
        <w:rPr>
          <w:rFonts w:ascii="Aptos" w:hAnsi="Aptos" w:cstheme="minorHAnsi"/>
          <w:lang w:val="en-GB"/>
        </w:rPr>
        <w:t>Stams</w:t>
      </w:r>
      <w:proofErr w:type="spellEnd"/>
      <w:r w:rsidRPr="00B129AA">
        <w:rPr>
          <w:rFonts w:ascii="Aptos" w:hAnsi="Aptos" w:cstheme="minorHAnsi"/>
          <w:lang w:val="en-GB"/>
        </w:rPr>
        <w:t xml:space="preserve">, G. J., &amp; </w:t>
      </w:r>
      <w:proofErr w:type="spellStart"/>
      <w:r w:rsidRPr="00B129AA">
        <w:rPr>
          <w:rFonts w:ascii="Aptos" w:hAnsi="Aptos" w:cstheme="minorHAnsi"/>
          <w:lang w:val="en-GB"/>
        </w:rPr>
        <w:t>Colonnesi</w:t>
      </w:r>
      <w:proofErr w:type="spellEnd"/>
      <w:r w:rsidRPr="00B129AA">
        <w:rPr>
          <w:rFonts w:ascii="Aptos" w:hAnsi="Aptos" w:cstheme="minorHAnsi"/>
          <w:lang w:val="en-GB"/>
        </w:rPr>
        <w:t>, C. (2019). The Relation between Attachment and Depression in Children and Adolescents: a Multilevel Meta-Analysis. </w:t>
      </w:r>
      <w:r w:rsidRPr="00B129AA">
        <w:rPr>
          <w:rFonts w:ascii="Aptos" w:hAnsi="Aptos" w:cstheme="minorHAnsi"/>
          <w:i/>
          <w:iCs/>
          <w:lang w:val="en-GB"/>
        </w:rPr>
        <w:t>Clinical Child and Family Psychology Review</w:t>
      </w:r>
      <w:r w:rsidRPr="00B129AA">
        <w:rPr>
          <w:rFonts w:ascii="Aptos" w:hAnsi="Aptos" w:cstheme="minorHAnsi"/>
          <w:lang w:val="en-GB"/>
        </w:rPr>
        <w:t>, </w:t>
      </w:r>
      <w:r w:rsidRPr="00B129AA">
        <w:rPr>
          <w:rFonts w:ascii="Aptos" w:hAnsi="Aptos" w:cstheme="minorHAnsi"/>
          <w:i/>
          <w:iCs/>
          <w:lang w:val="en-GB"/>
        </w:rPr>
        <w:t>23</w:t>
      </w:r>
      <w:r w:rsidRPr="00B129AA">
        <w:rPr>
          <w:rFonts w:ascii="Aptos" w:hAnsi="Aptos" w:cstheme="minorHAnsi"/>
          <w:lang w:val="en-GB"/>
        </w:rPr>
        <w:t>(1), 54–69. https://doi.org/10.1007/s10567-019-00299-9</w:t>
      </w:r>
    </w:p>
    <w:p w14:paraId="6BC6531D"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Tang, Y.-Y., Hölzel, B. K., &amp; Posner, M. I. (2015). The neuroscience of mindfulness meditation. </w:t>
      </w:r>
      <w:r w:rsidRPr="00B129AA">
        <w:rPr>
          <w:rFonts w:ascii="Aptos" w:hAnsi="Aptos" w:cstheme="minorHAnsi"/>
          <w:i/>
          <w:iCs/>
          <w:lang w:val="en-GB"/>
        </w:rPr>
        <w:t>Nature Reviews Neuroscience</w:t>
      </w:r>
      <w:r w:rsidRPr="00B129AA">
        <w:rPr>
          <w:rFonts w:ascii="Aptos" w:hAnsi="Aptos" w:cstheme="minorHAnsi"/>
          <w:lang w:val="en-GB"/>
        </w:rPr>
        <w:t>, </w:t>
      </w:r>
      <w:r w:rsidRPr="00B129AA">
        <w:rPr>
          <w:rFonts w:ascii="Aptos" w:hAnsi="Aptos" w:cstheme="minorHAnsi"/>
          <w:i/>
          <w:iCs/>
          <w:lang w:val="en-GB"/>
        </w:rPr>
        <w:t>16</w:t>
      </w:r>
      <w:r w:rsidRPr="00B129AA">
        <w:rPr>
          <w:rFonts w:ascii="Aptos" w:hAnsi="Aptos" w:cstheme="minorHAnsi"/>
          <w:lang w:val="en-GB"/>
        </w:rPr>
        <w:t>(4), 213–225. https://doi.org/10.1038/nrn3916</w:t>
      </w:r>
    </w:p>
    <w:p w14:paraId="326F66DD"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Teicher, M. H., &amp; Samson, J. A. (2016). Annual research review: Enduring neurobiological effects of childhood abuse and neglect. </w:t>
      </w:r>
      <w:r w:rsidRPr="00B129AA">
        <w:rPr>
          <w:rFonts w:ascii="Aptos" w:hAnsi="Aptos" w:cstheme="minorHAnsi"/>
          <w:i/>
          <w:iCs/>
          <w:lang w:val="en-GB"/>
        </w:rPr>
        <w:t>Journal of Child Psychology and Psychiatry</w:t>
      </w:r>
      <w:r w:rsidRPr="00B129AA">
        <w:rPr>
          <w:rFonts w:ascii="Aptos" w:hAnsi="Aptos" w:cstheme="minorHAnsi"/>
          <w:lang w:val="en-GB"/>
        </w:rPr>
        <w:t>, </w:t>
      </w:r>
      <w:r w:rsidRPr="00B129AA">
        <w:rPr>
          <w:rFonts w:ascii="Aptos" w:hAnsi="Aptos" w:cstheme="minorHAnsi"/>
          <w:i/>
          <w:iCs/>
          <w:lang w:val="en-GB"/>
        </w:rPr>
        <w:t>57</w:t>
      </w:r>
      <w:r w:rsidRPr="00B129AA">
        <w:rPr>
          <w:rFonts w:ascii="Aptos" w:hAnsi="Aptos" w:cstheme="minorHAnsi"/>
          <w:lang w:val="en-GB"/>
        </w:rPr>
        <w:t>(3), 241–266. https://doi.org/10.1111/jcpp.12507</w:t>
      </w:r>
    </w:p>
    <w:p w14:paraId="76C9F257"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Teicher, M. H., Samson, J. A., Anderson, C. M., &amp; Ohashi, K. (2016). The effects of childhood maltreatment on brain structure, function and connectivity. </w:t>
      </w:r>
      <w:r w:rsidRPr="00B129AA">
        <w:rPr>
          <w:rFonts w:ascii="Aptos" w:hAnsi="Aptos" w:cstheme="minorHAnsi"/>
          <w:i/>
          <w:iCs/>
          <w:lang w:val="en-GB"/>
        </w:rPr>
        <w:t>Nature Reviews Neuroscience</w:t>
      </w:r>
      <w:r w:rsidRPr="00B129AA">
        <w:rPr>
          <w:rFonts w:ascii="Aptos" w:hAnsi="Aptos" w:cstheme="minorHAnsi"/>
          <w:lang w:val="en-GB"/>
        </w:rPr>
        <w:t>, </w:t>
      </w:r>
      <w:r w:rsidRPr="00B129AA">
        <w:rPr>
          <w:rFonts w:ascii="Aptos" w:hAnsi="Aptos" w:cstheme="minorHAnsi"/>
          <w:i/>
          <w:iCs/>
          <w:lang w:val="en-GB"/>
        </w:rPr>
        <w:t>17</w:t>
      </w:r>
      <w:r w:rsidRPr="00B129AA">
        <w:rPr>
          <w:rFonts w:ascii="Aptos" w:hAnsi="Aptos" w:cstheme="minorHAnsi"/>
          <w:lang w:val="en-GB"/>
        </w:rPr>
        <w:t>(10), 652–666. https://doi.org/10.1038/nrn.2016.111</w:t>
      </w:r>
    </w:p>
    <w:p w14:paraId="3C62ED70" w14:textId="77777777" w:rsidR="00B129AA" w:rsidRPr="00B129AA" w:rsidRDefault="00B129AA" w:rsidP="00B129AA">
      <w:pPr>
        <w:spacing w:before="120" w:after="120"/>
        <w:rPr>
          <w:rFonts w:ascii="Aptos" w:hAnsi="Aptos" w:cstheme="minorHAnsi"/>
          <w:lang w:val="en-GB"/>
        </w:rPr>
      </w:pPr>
      <w:proofErr w:type="spellStart"/>
      <w:r w:rsidRPr="00B129AA">
        <w:rPr>
          <w:rFonts w:ascii="Aptos" w:hAnsi="Aptos" w:cstheme="minorHAnsi"/>
          <w:lang w:val="en-GB"/>
        </w:rPr>
        <w:t>Tomoda</w:t>
      </w:r>
      <w:proofErr w:type="spellEnd"/>
      <w:r w:rsidRPr="00B129AA">
        <w:rPr>
          <w:rFonts w:ascii="Aptos" w:hAnsi="Aptos" w:cstheme="minorHAnsi"/>
          <w:lang w:val="en-GB"/>
        </w:rPr>
        <w:t xml:space="preserve">, A., Nishitani, S., Takiguchi, S., Fujisawa, T. X., Sugiyama, T., &amp; Teicher, M. H. (2024). The neurobiological effects of childhood maltreatment on brain structure, function, </w:t>
      </w:r>
      <w:r w:rsidRPr="00B129AA">
        <w:rPr>
          <w:rFonts w:ascii="Aptos" w:hAnsi="Aptos" w:cstheme="minorHAnsi"/>
          <w:lang w:val="en-GB"/>
        </w:rPr>
        <w:lastRenderedPageBreak/>
        <w:t>and attachment. </w:t>
      </w:r>
      <w:r w:rsidRPr="00B129AA">
        <w:rPr>
          <w:rFonts w:ascii="Aptos" w:hAnsi="Aptos" w:cstheme="minorHAnsi"/>
          <w:i/>
          <w:iCs/>
          <w:lang w:val="en-GB"/>
        </w:rPr>
        <w:t>European Archives of Psychiatry and Clinical Neuroscience</w:t>
      </w:r>
      <w:r w:rsidRPr="00B129AA">
        <w:rPr>
          <w:rFonts w:ascii="Aptos" w:hAnsi="Aptos" w:cstheme="minorHAnsi"/>
          <w:lang w:val="en-GB"/>
        </w:rPr>
        <w:t>. https://doi.org/10.1007/s00406-024-01779-y</w:t>
      </w:r>
    </w:p>
    <w:p w14:paraId="3A3BC904"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Varghese, R., Quiros, L., &amp; Berger, R. (2018). Reflective Practices for Engaging in Trauma-Informed Culturally Competent Supervision. </w:t>
      </w:r>
      <w:r w:rsidRPr="00B129AA">
        <w:rPr>
          <w:rFonts w:ascii="Aptos" w:hAnsi="Aptos" w:cstheme="minorHAnsi"/>
          <w:i/>
          <w:iCs/>
          <w:lang w:val="en-GB"/>
        </w:rPr>
        <w:t>Smith College Studies in Social Work</w:t>
      </w:r>
      <w:r w:rsidRPr="00B129AA">
        <w:rPr>
          <w:rFonts w:ascii="Aptos" w:hAnsi="Aptos" w:cstheme="minorHAnsi"/>
          <w:lang w:val="en-GB"/>
        </w:rPr>
        <w:t>, </w:t>
      </w:r>
      <w:r w:rsidRPr="00B129AA">
        <w:rPr>
          <w:rFonts w:ascii="Aptos" w:hAnsi="Aptos" w:cstheme="minorHAnsi"/>
          <w:i/>
          <w:iCs/>
          <w:lang w:val="en-GB"/>
        </w:rPr>
        <w:t>88</w:t>
      </w:r>
      <w:r w:rsidRPr="00B129AA">
        <w:rPr>
          <w:rFonts w:ascii="Aptos" w:hAnsi="Aptos" w:cstheme="minorHAnsi"/>
          <w:lang w:val="en-GB"/>
        </w:rPr>
        <w:t>(2), 135–151. https://doi.org/10.1080/00377317.2018.1439826</w:t>
      </w:r>
    </w:p>
    <w:p w14:paraId="229B647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Versitano, S., Tesson, S., Lee, C.-W., Linnell, S., &amp; Perkes, I. (2025). Art therapy with children and adolescents experiencing acute or severe mental health conditions: A systematic review. </w:t>
      </w:r>
      <w:r w:rsidRPr="00B129AA">
        <w:rPr>
          <w:rFonts w:ascii="Aptos" w:hAnsi="Aptos" w:cstheme="minorHAnsi"/>
          <w:i/>
          <w:iCs/>
          <w:lang w:val="en-GB"/>
        </w:rPr>
        <w:t>The Australian and New Zealand Journal of Psychiatry</w:t>
      </w:r>
      <w:r w:rsidRPr="00B129AA">
        <w:rPr>
          <w:rFonts w:ascii="Aptos" w:hAnsi="Aptos" w:cstheme="minorHAnsi"/>
          <w:lang w:val="en-GB"/>
        </w:rPr>
        <w:t>, </w:t>
      </w:r>
      <w:r w:rsidRPr="00B129AA">
        <w:rPr>
          <w:rFonts w:ascii="Aptos" w:hAnsi="Aptos" w:cstheme="minorHAnsi"/>
          <w:i/>
          <w:iCs/>
          <w:lang w:val="en-GB"/>
        </w:rPr>
        <w:t>59</w:t>
      </w:r>
      <w:r w:rsidRPr="00B129AA">
        <w:rPr>
          <w:rFonts w:ascii="Aptos" w:hAnsi="Aptos" w:cstheme="minorHAnsi"/>
          <w:lang w:val="en-GB"/>
        </w:rPr>
        <w:t>(10), 48674251361731. https://doi.org/10.1177/00048674251361731</w:t>
      </w:r>
    </w:p>
    <w:p w14:paraId="3E68E931" w14:textId="77777777" w:rsidR="00B129AA" w:rsidRPr="00B129AA" w:rsidRDefault="00B129AA" w:rsidP="00B129AA">
      <w:pPr>
        <w:spacing w:before="120" w:after="120"/>
        <w:rPr>
          <w:rFonts w:ascii="Aptos" w:hAnsi="Aptos" w:cstheme="minorHAnsi"/>
          <w:lang w:val="en-GB"/>
        </w:rPr>
      </w:pPr>
      <w:proofErr w:type="spellStart"/>
      <w:r w:rsidRPr="00B129AA">
        <w:rPr>
          <w:rFonts w:ascii="Aptos" w:hAnsi="Aptos" w:cstheme="minorHAnsi"/>
          <w:lang w:val="en-GB"/>
        </w:rPr>
        <w:t>Wagaman</w:t>
      </w:r>
      <w:proofErr w:type="spellEnd"/>
      <w:r w:rsidRPr="00B129AA">
        <w:rPr>
          <w:rFonts w:ascii="Aptos" w:hAnsi="Aptos" w:cstheme="minorHAnsi"/>
          <w:lang w:val="en-GB"/>
        </w:rPr>
        <w:t>, M. A., Geiger, J. M., Shockley, C., &amp; Segal, E. A. (2015). The Role of Empathy in Burnout, Compassion Satisfaction, and Secondary Traumatic Stress among Social Workers. </w:t>
      </w:r>
      <w:r w:rsidRPr="00B129AA">
        <w:rPr>
          <w:rFonts w:ascii="Aptos" w:hAnsi="Aptos" w:cstheme="minorHAnsi"/>
          <w:i/>
          <w:iCs/>
          <w:lang w:val="en-GB"/>
        </w:rPr>
        <w:t>Social Work</w:t>
      </w:r>
      <w:r w:rsidRPr="00B129AA">
        <w:rPr>
          <w:rFonts w:ascii="Aptos" w:hAnsi="Aptos" w:cstheme="minorHAnsi"/>
          <w:lang w:val="en-GB"/>
        </w:rPr>
        <w:t>, </w:t>
      </w:r>
      <w:r w:rsidRPr="00B129AA">
        <w:rPr>
          <w:rFonts w:ascii="Aptos" w:hAnsi="Aptos" w:cstheme="minorHAnsi"/>
          <w:i/>
          <w:iCs/>
          <w:lang w:val="en-GB"/>
        </w:rPr>
        <w:t>60</w:t>
      </w:r>
      <w:r w:rsidRPr="00B129AA">
        <w:rPr>
          <w:rFonts w:ascii="Aptos" w:hAnsi="Aptos" w:cstheme="minorHAnsi"/>
          <w:lang w:val="en-GB"/>
        </w:rPr>
        <w:t>(3), 201–209. https://www.jstor.org/stable/24881483</w:t>
      </w:r>
    </w:p>
    <w:p w14:paraId="59C6C1BC"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Webster, E. (2022). The Impact of Adverse Childhood Experiences on Health and Development in Young Children. </w:t>
      </w:r>
      <w:r w:rsidRPr="00B129AA">
        <w:rPr>
          <w:rFonts w:ascii="Aptos" w:hAnsi="Aptos" w:cstheme="minorHAnsi"/>
          <w:i/>
          <w:iCs/>
          <w:lang w:val="en-GB"/>
        </w:rPr>
        <w:t xml:space="preserve">Global </w:t>
      </w:r>
      <w:proofErr w:type="spellStart"/>
      <w:r w:rsidRPr="00B129AA">
        <w:rPr>
          <w:rFonts w:ascii="Aptos" w:hAnsi="Aptos" w:cstheme="minorHAnsi"/>
          <w:i/>
          <w:iCs/>
          <w:lang w:val="en-GB"/>
        </w:rPr>
        <w:t>Pediatric</w:t>
      </w:r>
      <w:proofErr w:type="spellEnd"/>
      <w:r w:rsidRPr="00B129AA">
        <w:rPr>
          <w:rFonts w:ascii="Aptos" w:hAnsi="Aptos" w:cstheme="minorHAnsi"/>
          <w:i/>
          <w:iCs/>
          <w:lang w:val="en-GB"/>
        </w:rPr>
        <w:t xml:space="preserve"> Health</w:t>
      </w:r>
      <w:r w:rsidRPr="00B129AA">
        <w:rPr>
          <w:rFonts w:ascii="Aptos" w:hAnsi="Aptos" w:cstheme="minorHAnsi"/>
          <w:lang w:val="en-GB"/>
        </w:rPr>
        <w:t>, </w:t>
      </w:r>
      <w:r w:rsidRPr="00B129AA">
        <w:rPr>
          <w:rFonts w:ascii="Aptos" w:hAnsi="Aptos" w:cstheme="minorHAnsi"/>
          <w:i/>
          <w:iCs/>
          <w:lang w:val="en-GB"/>
        </w:rPr>
        <w:t>9</w:t>
      </w:r>
      <w:r w:rsidRPr="00B129AA">
        <w:rPr>
          <w:rFonts w:ascii="Aptos" w:hAnsi="Aptos" w:cstheme="minorHAnsi"/>
          <w:lang w:val="en-GB"/>
        </w:rPr>
        <w:t>(9). https://doi.org/10.1177/2333794X221078708</w:t>
      </w:r>
    </w:p>
    <w:p w14:paraId="39032755" w14:textId="77777777" w:rsidR="00B129AA" w:rsidRPr="00B129AA" w:rsidRDefault="00B129AA" w:rsidP="00B129AA">
      <w:pPr>
        <w:spacing w:before="120" w:after="120"/>
        <w:rPr>
          <w:rFonts w:ascii="Aptos" w:hAnsi="Aptos" w:cstheme="minorHAnsi"/>
          <w:lang w:val="en-GB"/>
        </w:rPr>
      </w:pPr>
      <w:proofErr w:type="spellStart"/>
      <w:r w:rsidRPr="00B129AA">
        <w:rPr>
          <w:rFonts w:ascii="Aptos" w:hAnsi="Aptos" w:cstheme="minorHAnsi"/>
          <w:lang w:val="en-GB"/>
        </w:rPr>
        <w:t>Whittenbury</w:t>
      </w:r>
      <w:proofErr w:type="spellEnd"/>
      <w:r w:rsidRPr="00B129AA">
        <w:rPr>
          <w:rFonts w:ascii="Aptos" w:hAnsi="Aptos" w:cstheme="minorHAnsi"/>
          <w:lang w:val="en-GB"/>
        </w:rPr>
        <w:t>, K., Clark, S. L., Brooks, M., Murphy, T., Turner, M. J., &amp; Fawcett, H. (2025). Strengths for Helping Professionals Exposed to Secondary Trauma: A Scoping Review. </w:t>
      </w:r>
      <w:r w:rsidRPr="00B129AA">
        <w:rPr>
          <w:rFonts w:ascii="Aptos" w:hAnsi="Aptos" w:cstheme="minorHAnsi"/>
          <w:i/>
          <w:iCs/>
          <w:lang w:val="en-GB"/>
        </w:rPr>
        <w:t>Trauma Violence &amp; Abuse</w:t>
      </w:r>
      <w:r w:rsidRPr="00B129AA">
        <w:rPr>
          <w:rFonts w:ascii="Aptos" w:hAnsi="Aptos" w:cstheme="minorHAnsi"/>
          <w:lang w:val="en-GB"/>
        </w:rPr>
        <w:t>, </w:t>
      </w:r>
      <w:r w:rsidRPr="00B129AA">
        <w:rPr>
          <w:rFonts w:ascii="Aptos" w:hAnsi="Aptos" w:cstheme="minorHAnsi"/>
          <w:i/>
          <w:iCs/>
          <w:lang w:val="en-GB"/>
        </w:rPr>
        <w:t>26</w:t>
      </w:r>
      <w:r w:rsidRPr="00B129AA">
        <w:rPr>
          <w:rFonts w:ascii="Aptos" w:hAnsi="Aptos" w:cstheme="minorHAnsi"/>
          <w:lang w:val="en-GB"/>
        </w:rPr>
        <w:t>(2), 251–264. https://doi.org/10.1177/15248380241309371</w:t>
      </w:r>
    </w:p>
    <w:p w14:paraId="4908C025"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Wu, M., Fan, C., Zhao, X., Zhou, J., Liu, H., Li, H., Zhan, X., &amp; Jiang, Z. (2024). The Effects of Mindfulness-Based Stress Reduction in Mental and Physical Health: Is Mindful Breathing Key? </w:t>
      </w:r>
      <w:r w:rsidRPr="00B129AA">
        <w:rPr>
          <w:rFonts w:ascii="Aptos" w:hAnsi="Aptos" w:cstheme="minorHAnsi"/>
          <w:i/>
          <w:iCs/>
          <w:lang w:val="en-GB"/>
        </w:rPr>
        <w:t>Mindfulness</w:t>
      </w:r>
      <w:r w:rsidRPr="00B129AA">
        <w:rPr>
          <w:rFonts w:ascii="Aptos" w:hAnsi="Aptos" w:cstheme="minorHAnsi"/>
          <w:lang w:val="en-GB"/>
        </w:rPr>
        <w:t>, </w:t>
      </w:r>
      <w:r w:rsidRPr="00B129AA">
        <w:rPr>
          <w:rFonts w:ascii="Aptos" w:hAnsi="Aptos" w:cstheme="minorHAnsi"/>
          <w:i/>
          <w:iCs/>
          <w:lang w:val="en-GB"/>
        </w:rPr>
        <w:t>15</w:t>
      </w:r>
      <w:r w:rsidRPr="00B129AA">
        <w:rPr>
          <w:rFonts w:ascii="Aptos" w:hAnsi="Aptos" w:cstheme="minorHAnsi"/>
          <w:lang w:val="en-GB"/>
        </w:rPr>
        <w:t>. https://doi.org/10.1007/s12671-024-02456-w</w:t>
      </w:r>
    </w:p>
    <w:p w14:paraId="6320815E" w14:textId="77777777" w:rsidR="001E793B" w:rsidRDefault="001E793B" w:rsidP="00481042">
      <w:pPr>
        <w:spacing w:before="120" w:after="120"/>
        <w:rPr>
          <w:rFonts w:ascii="Aptos" w:hAnsi="Aptos" w:cstheme="minorHAnsi"/>
        </w:rPr>
      </w:pPr>
    </w:p>
    <w:p w14:paraId="06D030BB" w14:textId="77777777" w:rsidR="001E793B" w:rsidRDefault="001E793B" w:rsidP="00481042">
      <w:pPr>
        <w:spacing w:before="120" w:after="120"/>
        <w:rPr>
          <w:rFonts w:ascii="Aptos" w:hAnsi="Aptos" w:cstheme="minorHAnsi"/>
        </w:rPr>
      </w:pPr>
    </w:p>
    <w:p w14:paraId="62F85F28" w14:textId="77777777" w:rsidR="001E793B" w:rsidRDefault="001E793B" w:rsidP="00481042">
      <w:pPr>
        <w:spacing w:before="120" w:after="120"/>
        <w:rPr>
          <w:rFonts w:ascii="Aptos" w:hAnsi="Aptos" w:cstheme="minorHAnsi"/>
        </w:rPr>
      </w:pPr>
    </w:p>
    <w:p w14:paraId="34FA7137" w14:textId="77777777" w:rsidR="001E793B" w:rsidRDefault="001E793B" w:rsidP="00481042">
      <w:pPr>
        <w:spacing w:before="120" w:after="120"/>
        <w:rPr>
          <w:rFonts w:ascii="Aptos" w:hAnsi="Aptos" w:cstheme="minorHAnsi"/>
        </w:rPr>
      </w:pPr>
    </w:p>
    <w:p w14:paraId="5D418123" w14:textId="77777777" w:rsidR="001E793B" w:rsidRDefault="001E793B" w:rsidP="00481042">
      <w:pPr>
        <w:spacing w:before="120" w:after="120"/>
        <w:rPr>
          <w:rFonts w:ascii="Aptos" w:hAnsi="Aptos" w:cstheme="minorHAnsi"/>
        </w:rPr>
      </w:pPr>
    </w:p>
    <w:p w14:paraId="7520CC8C" w14:textId="77777777" w:rsidR="001E793B" w:rsidRDefault="001E793B" w:rsidP="00481042">
      <w:pPr>
        <w:spacing w:before="120" w:after="120"/>
        <w:rPr>
          <w:rFonts w:ascii="Aptos" w:hAnsi="Aptos" w:cstheme="minorHAnsi"/>
        </w:rPr>
      </w:pPr>
    </w:p>
    <w:p w14:paraId="60BB2CF1" w14:textId="77777777" w:rsidR="001E793B" w:rsidRDefault="001E793B" w:rsidP="00481042">
      <w:pPr>
        <w:spacing w:before="120" w:after="120"/>
        <w:rPr>
          <w:rFonts w:ascii="Aptos" w:hAnsi="Aptos" w:cstheme="minorHAnsi"/>
        </w:rPr>
      </w:pPr>
    </w:p>
    <w:p w14:paraId="377CAF71" w14:textId="77777777" w:rsidR="001E793B" w:rsidRDefault="001E793B" w:rsidP="00481042">
      <w:pPr>
        <w:spacing w:before="120" w:after="120"/>
        <w:rPr>
          <w:rFonts w:ascii="Aptos" w:hAnsi="Aptos" w:cstheme="minorHAnsi"/>
        </w:rPr>
      </w:pPr>
    </w:p>
    <w:p w14:paraId="0C289547" w14:textId="77777777" w:rsidR="001E793B" w:rsidRDefault="001E793B" w:rsidP="00481042">
      <w:pPr>
        <w:spacing w:before="120" w:after="120"/>
        <w:rPr>
          <w:rFonts w:ascii="Aptos" w:hAnsi="Aptos" w:cstheme="minorHAnsi"/>
        </w:rPr>
      </w:pPr>
    </w:p>
    <w:p w14:paraId="148AF590" w14:textId="77777777" w:rsidR="001E793B" w:rsidRDefault="001E793B" w:rsidP="00481042">
      <w:pPr>
        <w:spacing w:before="120" w:after="120"/>
        <w:rPr>
          <w:rFonts w:ascii="Aptos" w:hAnsi="Aptos" w:cstheme="minorHAnsi"/>
        </w:rPr>
      </w:pPr>
    </w:p>
    <w:p w14:paraId="11C50C4E" w14:textId="77777777" w:rsidR="001E793B" w:rsidRDefault="001E793B" w:rsidP="00481042">
      <w:pPr>
        <w:spacing w:before="120" w:after="120"/>
        <w:rPr>
          <w:rFonts w:ascii="Aptos" w:hAnsi="Aptos" w:cstheme="minorHAnsi"/>
        </w:rPr>
      </w:pPr>
    </w:p>
    <w:p w14:paraId="7AA0B3CC" w14:textId="77777777" w:rsidR="001E793B" w:rsidRPr="00423C25" w:rsidRDefault="001E793B" w:rsidP="00481042">
      <w:pPr>
        <w:spacing w:before="120" w:after="120"/>
        <w:rPr>
          <w:rFonts w:ascii="Aptos" w:hAnsi="Aptos" w:cstheme="minorHAnsi"/>
        </w:rPr>
      </w:pPr>
    </w:p>
    <w:sectPr w:rsidR="001E793B" w:rsidRPr="00423C25">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369A"/>
    <w:rsid w:val="00000B84"/>
    <w:rsid w:val="0000289A"/>
    <w:rsid w:val="0001576A"/>
    <w:rsid w:val="000206FF"/>
    <w:rsid w:val="00044437"/>
    <w:rsid w:val="00052911"/>
    <w:rsid w:val="00053307"/>
    <w:rsid w:val="000614B9"/>
    <w:rsid w:val="000927BE"/>
    <w:rsid w:val="00096144"/>
    <w:rsid w:val="000A0194"/>
    <w:rsid w:val="000A2D58"/>
    <w:rsid w:val="000A34EA"/>
    <w:rsid w:val="000A64E7"/>
    <w:rsid w:val="000C2EEF"/>
    <w:rsid w:val="000D3300"/>
    <w:rsid w:val="00115D9D"/>
    <w:rsid w:val="00130AE9"/>
    <w:rsid w:val="00133181"/>
    <w:rsid w:val="001332D8"/>
    <w:rsid w:val="00142F9C"/>
    <w:rsid w:val="0015049C"/>
    <w:rsid w:val="0017275F"/>
    <w:rsid w:val="00186AD5"/>
    <w:rsid w:val="00195CCC"/>
    <w:rsid w:val="001C5F81"/>
    <w:rsid w:val="001D2B43"/>
    <w:rsid w:val="001E1CF6"/>
    <w:rsid w:val="001E793B"/>
    <w:rsid w:val="00215270"/>
    <w:rsid w:val="00220C52"/>
    <w:rsid w:val="00235788"/>
    <w:rsid w:val="00240F5C"/>
    <w:rsid w:val="00244557"/>
    <w:rsid w:val="0025006B"/>
    <w:rsid w:val="002505AD"/>
    <w:rsid w:val="0025655E"/>
    <w:rsid w:val="002636BD"/>
    <w:rsid w:val="0026482E"/>
    <w:rsid w:val="00272114"/>
    <w:rsid w:val="0028744D"/>
    <w:rsid w:val="00294166"/>
    <w:rsid w:val="002C70F3"/>
    <w:rsid w:val="002D3BED"/>
    <w:rsid w:val="002E190E"/>
    <w:rsid w:val="003173AF"/>
    <w:rsid w:val="00320BE1"/>
    <w:rsid w:val="00326E99"/>
    <w:rsid w:val="003345A7"/>
    <w:rsid w:val="0035334F"/>
    <w:rsid w:val="00374349"/>
    <w:rsid w:val="00393609"/>
    <w:rsid w:val="003B6861"/>
    <w:rsid w:val="003C744D"/>
    <w:rsid w:val="003D22A0"/>
    <w:rsid w:val="003F0D30"/>
    <w:rsid w:val="00401C64"/>
    <w:rsid w:val="004051C8"/>
    <w:rsid w:val="00413161"/>
    <w:rsid w:val="00423C25"/>
    <w:rsid w:val="00425314"/>
    <w:rsid w:val="00437C3C"/>
    <w:rsid w:val="004425FF"/>
    <w:rsid w:val="00451CF2"/>
    <w:rsid w:val="00481042"/>
    <w:rsid w:val="004A6927"/>
    <w:rsid w:val="004B4FDB"/>
    <w:rsid w:val="004E0FE1"/>
    <w:rsid w:val="004E174E"/>
    <w:rsid w:val="00513BB2"/>
    <w:rsid w:val="00523932"/>
    <w:rsid w:val="00537849"/>
    <w:rsid w:val="00575BF7"/>
    <w:rsid w:val="005E7C86"/>
    <w:rsid w:val="006032EC"/>
    <w:rsid w:val="006101C3"/>
    <w:rsid w:val="00615EDD"/>
    <w:rsid w:val="00632B92"/>
    <w:rsid w:val="00633A18"/>
    <w:rsid w:val="00633F90"/>
    <w:rsid w:val="00644BDD"/>
    <w:rsid w:val="006702CA"/>
    <w:rsid w:val="00671848"/>
    <w:rsid w:val="00696277"/>
    <w:rsid w:val="00697379"/>
    <w:rsid w:val="006B3550"/>
    <w:rsid w:val="006B5702"/>
    <w:rsid w:val="006B7B68"/>
    <w:rsid w:val="006D522E"/>
    <w:rsid w:val="006D721D"/>
    <w:rsid w:val="006E437D"/>
    <w:rsid w:val="006F543F"/>
    <w:rsid w:val="007153F2"/>
    <w:rsid w:val="00737127"/>
    <w:rsid w:val="00761519"/>
    <w:rsid w:val="00764272"/>
    <w:rsid w:val="00783059"/>
    <w:rsid w:val="00795025"/>
    <w:rsid w:val="007A1002"/>
    <w:rsid w:val="007A7ADA"/>
    <w:rsid w:val="007B46CA"/>
    <w:rsid w:val="007B4795"/>
    <w:rsid w:val="007B55D6"/>
    <w:rsid w:val="007D7DF9"/>
    <w:rsid w:val="007F3AF5"/>
    <w:rsid w:val="0080369A"/>
    <w:rsid w:val="00807492"/>
    <w:rsid w:val="00817EA6"/>
    <w:rsid w:val="00821375"/>
    <w:rsid w:val="00822D27"/>
    <w:rsid w:val="0082744D"/>
    <w:rsid w:val="0089284A"/>
    <w:rsid w:val="008940CB"/>
    <w:rsid w:val="00894221"/>
    <w:rsid w:val="008B140C"/>
    <w:rsid w:val="008C058D"/>
    <w:rsid w:val="008C2EAF"/>
    <w:rsid w:val="008C2EF0"/>
    <w:rsid w:val="008C4B90"/>
    <w:rsid w:val="008C6AC4"/>
    <w:rsid w:val="008D5F74"/>
    <w:rsid w:val="008E05B4"/>
    <w:rsid w:val="008F1138"/>
    <w:rsid w:val="008F2ABD"/>
    <w:rsid w:val="0092222F"/>
    <w:rsid w:val="009318D7"/>
    <w:rsid w:val="00957FDF"/>
    <w:rsid w:val="00966397"/>
    <w:rsid w:val="009702B3"/>
    <w:rsid w:val="00974168"/>
    <w:rsid w:val="0098633F"/>
    <w:rsid w:val="009D467A"/>
    <w:rsid w:val="009E650D"/>
    <w:rsid w:val="009E7B2A"/>
    <w:rsid w:val="00A1075C"/>
    <w:rsid w:val="00A11A7A"/>
    <w:rsid w:val="00A2502C"/>
    <w:rsid w:val="00A51D67"/>
    <w:rsid w:val="00A71B51"/>
    <w:rsid w:val="00A843CD"/>
    <w:rsid w:val="00AA042C"/>
    <w:rsid w:val="00AF14D2"/>
    <w:rsid w:val="00B05412"/>
    <w:rsid w:val="00B129AA"/>
    <w:rsid w:val="00B539C0"/>
    <w:rsid w:val="00B63612"/>
    <w:rsid w:val="00B948FE"/>
    <w:rsid w:val="00BB5984"/>
    <w:rsid w:val="00BC1962"/>
    <w:rsid w:val="00BF305F"/>
    <w:rsid w:val="00BF625C"/>
    <w:rsid w:val="00C003F8"/>
    <w:rsid w:val="00C06789"/>
    <w:rsid w:val="00C071FB"/>
    <w:rsid w:val="00C30B13"/>
    <w:rsid w:val="00C47CBF"/>
    <w:rsid w:val="00C51031"/>
    <w:rsid w:val="00C61F8A"/>
    <w:rsid w:val="00CA4860"/>
    <w:rsid w:val="00CA4A60"/>
    <w:rsid w:val="00CC4BE6"/>
    <w:rsid w:val="00CE1AEE"/>
    <w:rsid w:val="00D2175D"/>
    <w:rsid w:val="00D44410"/>
    <w:rsid w:val="00D45D1A"/>
    <w:rsid w:val="00D7714F"/>
    <w:rsid w:val="00D8380E"/>
    <w:rsid w:val="00DC718C"/>
    <w:rsid w:val="00DF288F"/>
    <w:rsid w:val="00E03BFA"/>
    <w:rsid w:val="00E14B80"/>
    <w:rsid w:val="00E164C8"/>
    <w:rsid w:val="00E3323A"/>
    <w:rsid w:val="00E51BAD"/>
    <w:rsid w:val="00E55153"/>
    <w:rsid w:val="00E6354C"/>
    <w:rsid w:val="00EA34BA"/>
    <w:rsid w:val="00EE1C82"/>
    <w:rsid w:val="00F23290"/>
    <w:rsid w:val="00F30B33"/>
    <w:rsid w:val="00F32074"/>
    <w:rsid w:val="00F40972"/>
    <w:rsid w:val="00F51C4F"/>
    <w:rsid w:val="00F61A23"/>
    <w:rsid w:val="00F92275"/>
    <w:rsid w:val="00F934C0"/>
    <w:rsid w:val="00FC38C8"/>
    <w:rsid w:val="00FD1435"/>
    <w:rsid w:val="00FF3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BACD3"/>
  <w15:docId w15:val="{CA7FD1CE-FC5B-4363-B332-F03AECCCF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NormalWeb">
    <w:name w:val="Normal (Web)"/>
    <w:basedOn w:val="Normal"/>
    <w:uiPriority w:val="99"/>
    <w:semiHidden/>
    <w:unhideWhenUsed/>
    <w:rsid w:val="001E793B"/>
    <w:pPr>
      <w:spacing w:before="100" w:beforeAutospacing="1" w:after="100" w:afterAutospacing="1"/>
    </w:pPr>
    <w:rPr>
      <w:lang w:val="en-GB" w:eastAsia="en-GB"/>
    </w:rPr>
  </w:style>
  <w:style w:type="character" w:styleId="Hyperlink">
    <w:name w:val="Hyperlink"/>
    <w:basedOn w:val="DefaultParagraphFont"/>
    <w:uiPriority w:val="99"/>
    <w:unhideWhenUsed/>
    <w:rsid w:val="00272114"/>
    <w:rPr>
      <w:color w:val="0000FF" w:themeColor="hyperlink"/>
      <w:u w:val="single"/>
    </w:rPr>
  </w:style>
  <w:style w:type="character" w:styleId="UnresolvedMention">
    <w:name w:val="Unresolved Mention"/>
    <w:basedOn w:val="DefaultParagraphFont"/>
    <w:uiPriority w:val="99"/>
    <w:semiHidden/>
    <w:unhideWhenUsed/>
    <w:rsid w:val="002721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librarysearch.uwtsd.ac.uk/discovery/search?vid=44WHELF_UWTSD:44WHELF_UWTSD_VU1&amp;lang=en&amp;mode=advanced" TargetMode="External"/><Relationship Id="rId4" Type="http://schemas.openxmlformats.org/officeDocument/2006/relationships/hyperlink" Target="https://www.mybib.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23</Pages>
  <Words>7137</Words>
  <Characters>45252</Characters>
  <Application>Microsoft Office Word</Application>
  <DocSecurity>0</DocSecurity>
  <Lines>696</Lines>
  <Paragraphs>103</Paragraphs>
  <ScaleCrop>false</ScaleCrop>
  <Company/>
  <LinksUpToDate>false</LinksUpToDate>
  <CharactersWithSpaces>52286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Part One Amira</dc:title>
  <dc:creator>Chloe Thomas</dc:creator>
  <cp:lastModifiedBy>Chloe Thomas</cp:lastModifiedBy>
  <cp:revision>186</cp:revision>
  <dcterms:created xsi:type="dcterms:W3CDTF">2025-12-22T00:45:00Z</dcterms:created>
  <dcterms:modified xsi:type="dcterms:W3CDTF">2025-12-23T22:19:00Z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75e287b1-dc28-4f77-8440-46c65db8e52c</vt:lpwstr>
  </property>
</Properties>
</file>