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36207647"/>
        <w:docPartObj>
          <w:docPartGallery w:val="Cover Pages"/>
          <w:docPartUnique/>
        </w:docPartObj>
      </w:sdtPr>
      <w:sdtContent>
        <w:p w14:paraId="45C4121E" w14:textId="22D6C844" w:rsidR="00312A78" w:rsidRPr="00D76479" w:rsidRDefault="00D76479" w:rsidP="00D76479">
          <w:r w:rsidRPr="00200FF3">
            <w:rPr>
              <w:sz w:val="40"/>
              <w:szCs w:val="40"/>
            </w:rPr>
            <mc:AlternateContent>
              <mc:Choice Requires="wpg">
                <w:drawing>
                  <wp:anchor distT="0" distB="0" distL="114300" distR="114300" simplePos="0" relativeHeight="251659264" behindDoc="1" locked="0" layoutInCell="1" allowOverlap="1" wp14:anchorId="66C1D072" wp14:editId="34669C4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56874342" w14:textId="77777777" w:rsidR="00D76479" w:rsidRDefault="00D76479">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6C1D072"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56874342" w14:textId="77777777" w:rsidR="00D76479" w:rsidRDefault="00D76479">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200FF3">
            <w:rPr>
              <w:sz w:val="40"/>
              <w:szCs w:val="40"/>
            </w:rPr>
            <mc:AlternateContent>
              <mc:Choice Requires="wps">
                <w:drawing>
                  <wp:anchor distT="0" distB="0" distL="114300" distR="114300" simplePos="0" relativeHeight="251661312" behindDoc="0" locked="0" layoutInCell="1" allowOverlap="1" wp14:anchorId="5F85203C" wp14:editId="1132879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4F3A43" w14:textId="66E9D84E" w:rsidR="00D76479" w:rsidRDefault="00D76479">
                                <w:pPr>
                                  <w:pStyle w:val="NoSpacing"/>
                                  <w:rPr>
                                    <w:color w:val="4472C4" w:themeColor="accent1"/>
                                    <w:sz w:val="26"/>
                                    <w:szCs w:val="26"/>
                                  </w:rPr>
                                </w:pPr>
                                <w:sdt>
                                  <w:sdtPr>
                                    <w:rPr>
                                      <w:color w:val="4472C4"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200FF3">
                                      <w:rPr>
                                        <w:color w:val="4472C4" w:themeColor="accent1"/>
                                        <w:sz w:val="26"/>
                                        <w:szCs w:val="26"/>
                                      </w:rPr>
                                      <w:t xml:space="preserve">     </w:t>
                                    </w:r>
                                  </w:sdtContent>
                                </w:sdt>
                              </w:p>
                              <w:p w14:paraId="3D7AE58C" w14:textId="7002D3F2" w:rsidR="00D76479" w:rsidRDefault="00D76479">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F85203C"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1F4F3A43" w14:textId="66E9D84E" w:rsidR="00D76479" w:rsidRDefault="00D76479">
                          <w:pPr>
                            <w:pStyle w:val="NoSpacing"/>
                            <w:rPr>
                              <w:color w:val="4472C4" w:themeColor="accent1"/>
                              <w:sz w:val="26"/>
                              <w:szCs w:val="26"/>
                            </w:rPr>
                          </w:pPr>
                          <w:sdt>
                            <w:sdtPr>
                              <w:rPr>
                                <w:color w:val="4472C4" w:themeColor="accent1"/>
                                <w:sz w:val="26"/>
                                <w:szCs w:val="26"/>
                              </w:rPr>
                              <w:alias w:val="Author"/>
                              <w:tag w:val=""/>
                              <w:id w:val="-2041584766"/>
                              <w:showingPlcHdr/>
                              <w:dataBinding w:prefixMappings="xmlns:ns0='http://purl.org/dc/elements/1.1/' xmlns:ns1='http://schemas.openxmlformats.org/package/2006/metadata/core-properties' " w:xpath="/ns1:coreProperties[1]/ns0:creator[1]" w:storeItemID="{6C3C8BC8-F283-45AE-878A-BAB7291924A1}"/>
                              <w:text/>
                            </w:sdtPr>
                            <w:sdtContent>
                              <w:r w:rsidR="00200FF3">
                                <w:rPr>
                                  <w:color w:val="4472C4" w:themeColor="accent1"/>
                                  <w:sz w:val="26"/>
                                  <w:szCs w:val="26"/>
                                </w:rPr>
                                <w:t xml:space="preserve">     </w:t>
                              </w:r>
                            </w:sdtContent>
                          </w:sdt>
                        </w:p>
                        <w:p w14:paraId="3D7AE58C" w14:textId="7002D3F2" w:rsidR="00D76479" w:rsidRDefault="00D76479">
                          <w:pPr>
                            <w:pStyle w:val="NoSpacing"/>
                            <w:rPr>
                              <w:color w:val="595959" w:themeColor="text1" w:themeTint="A6"/>
                              <w:sz w:val="20"/>
                              <w:szCs w:val="20"/>
                            </w:rPr>
                          </w:pPr>
                        </w:p>
                      </w:txbxContent>
                    </v:textbox>
                    <w10:wrap anchorx="page" anchory="page"/>
                  </v:shape>
                </w:pict>
              </mc:Fallback>
            </mc:AlternateContent>
          </w:r>
          <w:r w:rsidRPr="00200FF3">
            <w:rPr>
              <w:sz w:val="40"/>
              <w:szCs w:val="40"/>
            </w:rPr>
            <mc:AlternateContent>
              <mc:Choice Requires="wps">
                <w:drawing>
                  <wp:anchor distT="0" distB="0" distL="114300" distR="114300" simplePos="0" relativeHeight="251660288" behindDoc="0" locked="0" layoutInCell="1" allowOverlap="1" wp14:anchorId="5A88BE57" wp14:editId="4AFAED9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164047914"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A46D7C" w14:textId="7A8AFA6D" w:rsidR="00D76479" w:rsidRDefault="00D7647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A88BE57" id="Text Box 30" o:spid="_x0000_s1056"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DA46D7C" w14:textId="7A8AFA6D" w:rsidR="00D76479" w:rsidRDefault="00D7647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r w:rsidR="00200FF3" w:rsidRPr="00200FF3">
            <w:rPr>
              <w:sz w:val="40"/>
              <w:szCs w:val="40"/>
            </w:rPr>
            <w:t>Module: LCHS4003 – Introduction to Health and Social</w:t>
          </w:r>
          <w:r w:rsidR="00200FF3">
            <w:t xml:space="preserve"> </w:t>
          </w:r>
          <w:r w:rsidR="00200FF3" w:rsidRPr="00200FF3">
            <w:rPr>
              <w:sz w:val="40"/>
              <w:szCs w:val="40"/>
            </w:rPr>
            <w:t>Care</w:t>
          </w:r>
          <w:r w:rsidR="00200FF3">
            <w:t xml:space="preserve"> </w:t>
          </w:r>
        </w:p>
      </w:sdtContent>
    </w:sdt>
    <w:p w14:paraId="7AFE701A" w14:textId="77777777" w:rsidR="00312A78" w:rsidRDefault="00312A78" w:rsidP="00312A78"/>
    <w:p w14:paraId="6DB9C7AB" w14:textId="77777777" w:rsidR="00312A78" w:rsidRDefault="00312A78" w:rsidP="00312A78">
      <w:pPr>
        <w:pBdr>
          <w:bottom w:val="single" w:sz="4" w:space="1" w:color="auto"/>
        </w:pBdr>
        <w:jc w:val="center"/>
        <w:rPr>
          <w:b/>
          <w:sz w:val="40"/>
          <w:szCs w:val="36"/>
        </w:rPr>
      </w:pPr>
    </w:p>
    <w:p w14:paraId="7A08D3B9" w14:textId="070C8AC0" w:rsidR="00312A78" w:rsidRDefault="00226B10" w:rsidP="00226B10">
      <w:pPr>
        <w:pBdr>
          <w:bottom w:val="single" w:sz="4" w:space="1" w:color="auto"/>
        </w:pBdr>
        <w:rPr>
          <w:b/>
          <w:sz w:val="40"/>
          <w:szCs w:val="36"/>
        </w:rPr>
      </w:pPr>
      <w:r>
        <w:rPr>
          <w:b/>
          <w:sz w:val="40"/>
          <w:szCs w:val="36"/>
        </w:rPr>
        <w:t xml:space="preserve">                    Case Study: Mr Ahmed </w:t>
      </w:r>
    </w:p>
    <w:p w14:paraId="343B2FBB" w14:textId="40E3C99B" w:rsidR="00D76479" w:rsidRDefault="00200FF3" w:rsidP="00200FF3">
      <w:pPr>
        <w:pBdr>
          <w:bottom w:val="single" w:sz="4" w:space="1" w:color="auto"/>
        </w:pBdr>
        <w:rPr>
          <w:b/>
          <w:sz w:val="40"/>
          <w:szCs w:val="36"/>
        </w:rPr>
      </w:pPr>
      <w:r>
        <w:rPr>
          <w:b/>
          <w:sz w:val="40"/>
          <w:szCs w:val="36"/>
        </w:rPr>
        <w:t xml:space="preserve">       Student Name: Nikita Nana Angelina Wilson</w:t>
      </w:r>
    </w:p>
    <w:p w14:paraId="0D9EDEB6" w14:textId="5F2189EA" w:rsidR="00200FF3" w:rsidRDefault="00200FF3" w:rsidP="00200FF3">
      <w:pPr>
        <w:pBdr>
          <w:bottom w:val="single" w:sz="4" w:space="1" w:color="auto"/>
        </w:pBdr>
        <w:rPr>
          <w:b/>
          <w:sz w:val="40"/>
          <w:szCs w:val="36"/>
        </w:rPr>
      </w:pPr>
      <w:r>
        <w:rPr>
          <w:b/>
          <w:sz w:val="40"/>
          <w:szCs w:val="36"/>
        </w:rPr>
        <w:t xml:space="preserve">          </w:t>
      </w:r>
      <w:r w:rsidR="00226B10">
        <w:rPr>
          <w:b/>
          <w:sz w:val="40"/>
          <w:szCs w:val="36"/>
        </w:rPr>
        <w:t xml:space="preserve">          </w:t>
      </w:r>
      <w:r>
        <w:rPr>
          <w:b/>
          <w:sz w:val="40"/>
          <w:szCs w:val="36"/>
        </w:rPr>
        <w:t xml:space="preserve"> Student ID:2506894</w:t>
      </w:r>
    </w:p>
    <w:p w14:paraId="5575DDDC" w14:textId="4B64039C" w:rsidR="00200FF3" w:rsidRDefault="00200FF3" w:rsidP="00200FF3">
      <w:pPr>
        <w:pBdr>
          <w:bottom w:val="single" w:sz="4" w:space="1" w:color="auto"/>
        </w:pBdr>
        <w:rPr>
          <w:b/>
          <w:sz w:val="40"/>
          <w:szCs w:val="36"/>
        </w:rPr>
      </w:pPr>
      <w:r>
        <w:rPr>
          <w:b/>
          <w:sz w:val="40"/>
          <w:szCs w:val="36"/>
        </w:rPr>
        <w:t xml:space="preserve">        </w:t>
      </w:r>
      <w:r w:rsidR="00226B10">
        <w:rPr>
          <w:b/>
          <w:sz w:val="40"/>
          <w:szCs w:val="36"/>
        </w:rPr>
        <w:t xml:space="preserve">            </w:t>
      </w:r>
      <w:r>
        <w:rPr>
          <w:b/>
          <w:sz w:val="40"/>
          <w:szCs w:val="36"/>
        </w:rPr>
        <w:t xml:space="preserve">Lecturer Name: Daniel Haruna </w:t>
      </w:r>
    </w:p>
    <w:p w14:paraId="4F624670" w14:textId="77777777" w:rsidR="00D76479" w:rsidRDefault="00D76479" w:rsidP="00312A78">
      <w:pPr>
        <w:pBdr>
          <w:bottom w:val="single" w:sz="4" w:space="1" w:color="auto"/>
        </w:pBdr>
        <w:jc w:val="center"/>
        <w:rPr>
          <w:b/>
          <w:sz w:val="40"/>
          <w:szCs w:val="36"/>
        </w:rPr>
      </w:pPr>
    </w:p>
    <w:p w14:paraId="76E77B4A" w14:textId="77777777" w:rsidR="00D76479" w:rsidRDefault="00D76479" w:rsidP="00312A78">
      <w:pPr>
        <w:pBdr>
          <w:bottom w:val="single" w:sz="4" w:space="1" w:color="auto"/>
        </w:pBdr>
        <w:jc w:val="center"/>
        <w:rPr>
          <w:b/>
          <w:sz w:val="40"/>
          <w:szCs w:val="36"/>
        </w:rPr>
      </w:pPr>
    </w:p>
    <w:p w14:paraId="0BAC7879" w14:textId="77777777" w:rsidR="00D76479" w:rsidRDefault="00D76479" w:rsidP="00312A78">
      <w:pPr>
        <w:pBdr>
          <w:bottom w:val="single" w:sz="4" w:space="1" w:color="auto"/>
        </w:pBdr>
        <w:jc w:val="center"/>
        <w:rPr>
          <w:b/>
          <w:sz w:val="40"/>
          <w:szCs w:val="36"/>
        </w:rPr>
      </w:pPr>
    </w:p>
    <w:p w14:paraId="0DC645F6" w14:textId="77777777" w:rsidR="00D76479" w:rsidRDefault="00D76479" w:rsidP="00312A78">
      <w:pPr>
        <w:pBdr>
          <w:bottom w:val="single" w:sz="4" w:space="1" w:color="auto"/>
        </w:pBdr>
        <w:jc w:val="center"/>
        <w:rPr>
          <w:b/>
          <w:sz w:val="40"/>
          <w:szCs w:val="36"/>
        </w:rPr>
      </w:pPr>
    </w:p>
    <w:p w14:paraId="02937F82" w14:textId="77777777" w:rsidR="00D76479" w:rsidRDefault="00D76479" w:rsidP="00312A78">
      <w:pPr>
        <w:pBdr>
          <w:bottom w:val="single" w:sz="4" w:space="1" w:color="auto"/>
        </w:pBdr>
        <w:jc w:val="center"/>
        <w:rPr>
          <w:b/>
          <w:sz w:val="40"/>
          <w:szCs w:val="36"/>
        </w:rPr>
      </w:pPr>
    </w:p>
    <w:p w14:paraId="69A2A807" w14:textId="2014F8B9" w:rsidR="00D76479" w:rsidRPr="00312A78" w:rsidRDefault="00312A78" w:rsidP="00D76479">
      <w:pPr>
        <w:pBdr>
          <w:bottom w:val="single" w:sz="4" w:space="1" w:color="auto"/>
        </w:pBdr>
        <w:jc w:val="center"/>
      </w:pPr>
      <w:r w:rsidRPr="00312A78">
        <w:rPr>
          <w:b/>
          <w:sz w:val="40"/>
          <w:szCs w:val="36"/>
        </w:rPr>
        <w:t xml:space="preserve">WRITTEN ASSIGNMENT </w:t>
      </w:r>
      <w:r w:rsidRPr="00312A78">
        <w:br w:type="page"/>
      </w:r>
    </w:p>
    <w:sdt>
      <w:sdtPr>
        <w:rPr>
          <w:b/>
          <w:bCs/>
          <w:sz w:val="28"/>
          <w:szCs w:val="24"/>
        </w:rPr>
        <w:id w:val="155976374"/>
        <w:docPartObj>
          <w:docPartGallery w:val="Table of Contents"/>
          <w:docPartUnique/>
        </w:docPartObj>
      </w:sdtPr>
      <w:sdtEndPr>
        <w:rPr>
          <w:sz w:val="22"/>
          <w:szCs w:val="20"/>
        </w:rPr>
      </w:sdtEndPr>
      <w:sdtContent>
        <w:p w14:paraId="02387D2E" w14:textId="5675EA33" w:rsidR="00312A78" w:rsidRPr="00312A78" w:rsidRDefault="00312A78" w:rsidP="00312A78">
          <w:pPr>
            <w:spacing w:before="0" w:beforeAutospacing="0" w:after="0" w:afterAutospacing="0"/>
            <w:jc w:val="center"/>
            <w:rPr>
              <w:b/>
              <w:bCs/>
              <w:sz w:val="28"/>
              <w:szCs w:val="24"/>
            </w:rPr>
          </w:pPr>
          <w:r w:rsidRPr="00312A78">
            <w:rPr>
              <w:b/>
              <w:bCs/>
              <w:sz w:val="28"/>
              <w:szCs w:val="24"/>
            </w:rPr>
            <w:t>Table of Contents</w:t>
          </w:r>
        </w:p>
        <w:p w14:paraId="541D294A" w14:textId="67EB5DBA" w:rsidR="00312A78" w:rsidRDefault="00312A78" w:rsidP="00312A78">
          <w:pPr>
            <w:pStyle w:val="TOC1"/>
            <w:tabs>
              <w:tab w:val="right" w:leader="dot" w:pos="9016"/>
            </w:tabs>
            <w:spacing w:before="0" w:beforeAutospacing="0" w:after="0" w:afterAutospacing="0"/>
          </w:pPr>
          <w:r>
            <w:fldChar w:fldCharType="begin"/>
          </w:r>
          <w:r>
            <w:instrText xml:space="preserve"> TOC \o "1-3" \h \z \u </w:instrText>
          </w:r>
          <w:r>
            <w:fldChar w:fldCharType="separate"/>
          </w:r>
          <w:hyperlink w:anchor="_Toc224208728" w:history="1">
            <w:r w:rsidRPr="0054065E">
              <w:rPr>
                <w:rStyle w:val="Hyperlink"/>
              </w:rPr>
              <w:t>1. Introduction</w:t>
            </w:r>
            <w:r>
              <w:rPr>
                <w:webHidden/>
              </w:rPr>
              <w:tab/>
            </w:r>
            <w:r>
              <w:rPr>
                <w:webHidden/>
              </w:rPr>
              <w:fldChar w:fldCharType="begin"/>
            </w:r>
            <w:r>
              <w:rPr>
                <w:webHidden/>
              </w:rPr>
              <w:instrText xml:space="preserve"> PAGEREF _Toc224208728 \h </w:instrText>
            </w:r>
            <w:r>
              <w:rPr>
                <w:webHidden/>
              </w:rPr>
            </w:r>
            <w:r>
              <w:rPr>
                <w:webHidden/>
              </w:rPr>
              <w:fldChar w:fldCharType="separate"/>
            </w:r>
            <w:r>
              <w:rPr>
                <w:webHidden/>
              </w:rPr>
              <w:t>2</w:t>
            </w:r>
            <w:r>
              <w:rPr>
                <w:webHidden/>
              </w:rPr>
              <w:fldChar w:fldCharType="end"/>
            </w:r>
          </w:hyperlink>
        </w:p>
        <w:p w14:paraId="7DC5CF93" w14:textId="43206453" w:rsidR="00312A78" w:rsidRDefault="00312A78" w:rsidP="00312A78">
          <w:pPr>
            <w:pStyle w:val="TOC1"/>
            <w:tabs>
              <w:tab w:val="right" w:leader="dot" w:pos="9016"/>
            </w:tabs>
            <w:spacing w:before="0" w:beforeAutospacing="0" w:after="0" w:afterAutospacing="0"/>
          </w:pPr>
          <w:hyperlink w:anchor="_Toc224208729" w:history="1">
            <w:r w:rsidRPr="0054065E">
              <w:rPr>
                <w:rStyle w:val="Hyperlink"/>
              </w:rPr>
              <w:t>2. Importance of effective communication</w:t>
            </w:r>
            <w:r>
              <w:rPr>
                <w:webHidden/>
              </w:rPr>
              <w:tab/>
            </w:r>
            <w:r>
              <w:rPr>
                <w:webHidden/>
              </w:rPr>
              <w:fldChar w:fldCharType="begin"/>
            </w:r>
            <w:r>
              <w:rPr>
                <w:webHidden/>
              </w:rPr>
              <w:instrText xml:space="preserve"> PAGEREF _Toc224208729 \h </w:instrText>
            </w:r>
            <w:r>
              <w:rPr>
                <w:webHidden/>
              </w:rPr>
            </w:r>
            <w:r>
              <w:rPr>
                <w:webHidden/>
              </w:rPr>
              <w:fldChar w:fldCharType="separate"/>
            </w:r>
            <w:r>
              <w:rPr>
                <w:webHidden/>
              </w:rPr>
              <w:t>2</w:t>
            </w:r>
            <w:r>
              <w:rPr>
                <w:webHidden/>
              </w:rPr>
              <w:fldChar w:fldCharType="end"/>
            </w:r>
          </w:hyperlink>
        </w:p>
        <w:p w14:paraId="28B9367C" w14:textId="6EFC4520" w:rsidR="00312A78" w:rsidRDefault="00312A78" w:rsidP="00312A78">
          <w:pPr>
            <w:pStyle w:val="TOC2"/>
            <w:tabs>
              <w:tab w:val="right" w:leader="dot" w:pos="9016"/>
            </w:tabs>
            <w:spacing w:before="0" w:beforeAutospacing="0" w:after="0" w:afterAutospacing="0"/>
          </w:pPr>
          <w:hyperlink w:anchor="_Toc224208730" w:history="1">
            <w:r w:rsidRPr="0054065E">
              <w:rPr>
                <w:rStyle w:val="Hyperlink"/>
              </w:rPr>
              <w:t>2.1 Ways of communicating with service user and their family members</w:t>
            </w:r>
            <w:r>
              <w:rPr>
                <w:webHidden/>
              </w:rPr>
              <w:tab/>
            </w:r>
            <w:r>
              <w:rPr>
                <w:webHidden/>
              </w:rPr>
              <w:fldChar w:fldCharType="begin"/>
            </w:r>
            <w:r>
              <w:rPr>
                <w:webHidden/>
              </w:rPr>
              <w:instrText xml:space="preserve"> PAGEREF _Toc224208730 \h </w:instrText>
            </w:r>
            <w:r>
              <w:rPr>
                <w:webHidden/>
              </w:rPr>
            </w:r>
            <w:r>
              <w:rPr>
                <w:webHidden/>
              </w:rPr>
              <w:fldChar w:fldCharType="separate"/>
            </w:r>
            <w:r>
              <w:rPr>
                <w:webHidden/>
              </w:rPr>
              <w:t>2</w:t>
            </w:r>
            <w:r>
              <w:rPr>
                <w:webHidden/>
              </w:rPr>
              <w:fldChar w:fldCharType="end"/>
            </w:r>
          </w:hyperlink>
        </w:p>
        <w:p w14:paraId="646C0517" w14:textId="6DEBDAD5" w:rsidR="00312A78" w:rsidRDefault="00312A78" w:rsidP="00312A78">
          <w:pPr>
            <w:pStyle w:val="TOC2"/>
            <w:tabs>
              <w:tab w:val="right" w:leader="dot" w:pos="9016"/>
            </w:tabs>
            <w:spacing w:before="0" w:beforeAutospacing="0" w:after="0" w:afterAutospacing="0"/>
          </w:pPr>
          <w:hyperlink w:anchor="_Toc224208731" w:history="1">
            <w:r w:rsidRPr="0054065E">
              <w:rPr>
                <w:rStyle w:val="Hyperlink"/>
              </w:rPr>
              <w:t>2.2 Core principles of the Equality Act 2010 and its relation with communication</w:t>
            </w:r>
            <w:r>
              <w:rPr>
                <w:webHidden/>
              </w:rPr>
              <w:tab/>
            </w:r>
            <w:r>
              <w:rPr>
                <w:webHidden/>
              </w:rPr>
              <w:fldChar w:fldCharType="begin"/>
            </w:r>
            <w:r>
              <w:rPr>
                <w:webHidden/>
              </w:rPr>
              <w:instrText xml:space="preserve"> PAGEREF _Toc224208731 \h </w:instrText>
            </w:r>
            <w:r>
              <w:rPr>
                <w:webHidden/>
              </w:rPr>
            </w:r>
            <w:r>
              <w:rPr>
                <w:webHidden/>
              </w:rPr>
              <w:fldChar w:fldCharType="separate"/>
            </w:r>
            <w:r>
              <w:rPr>
                <w:webHidden/>
              </w:rPr>
              <w:t>2</w:t>
            </w:r>
            <w:r>
              <w:rPr>
                <w:webHidden/>
              </w:rPr>
              <w:fldChar w:fldCharType="end"/>
            </w:r>
          </w:hyperlink>
        </w:p>
        <w:p w14:paraId="1F0C3F97" w14:textId="38B057E0" w:rsidR="00312A78" w:rsidRDefault="00312A78" w:rsidP="00312A78">
          <w:pPr>
            <w:pStyle w:val="TOC2"/>
            <w:tabs>
              <w:tab w:val="right" w:leader="dot" w:pos="9016"/>
            </w:tabs>
            <w:spacing w:before="0" w:beforeAutospacing="0" w:after="0" w:afterAutospacing="0"/>
          </w:pPr>
          <w:hyperlink w:anchor="_Toc224208732" w:history="1">
            <w:r w:rsidRPr="0054065E">
              <w:rPr>
                <w:rStyle w:val="Hyperlink"/>
              </w:rPr>
              <w:t>2.3 Explanation of the communication model</w:t>
            </w:r>
            <w:r>
              <w:rPr>
                <w:webHidden/>
              </w:rPr>
              <w:tab/>
            </w:r>
            <w:r>
              <w:rPr>
                <w:webHidden/>
              </w:rPr>
              <w:fldChar w:fldCharType="begin"/>
            </w:r>
            <w:r>
              <w:rPr>
                <w:webHidden/>
              </w:rPr>
              <w:instrText xml:space="preserve"> PAGEREF _Toc224208732 \h </w:instrText>
            </w:r>
            <w:r>
              <w:rPr>
                <w:webHidden/>
              </w:rPr>
            </w:r>
            <w:r>
              <w:rPr>
                <w:webHidden/>
              </w:rPr>
              <w:fldChar w:fldCharType="separate"/>
            </w:r>
            <w:r>
              <w:rPr>
                <w:webHidden/>
              </w:rPr>
              <w:t>3</w:t>
            </w:r>
            <w:r>
              <w:rPr>
                <w:webHidden/>
              </w:rPr>
              <w:fldChar w:fldCharType="end"/>
            </w:r>
          </w:hyperlink>
        </w:p>
        <w:p w14:paraId="33F03D7A" w14:textId="79276D4C" w:rsidR="00312A78" w:rsidRDefault="00312A78" w:rsidP="00312A78">
          <w:pPr>
            <w:pStyle w:val="TOC1"/>
            <w:tabs>
              <w:tab w:val="right" w:leader="dot" w:pos="9016"/>
            </w:tabs>
            <w:spacing w:before="0" w:beforeAutospacing="0" w:after="0" w:afterAutospacing="0"/>
          </w:pPr>
          <w:hyperlink w:anchor="_Toc224208733" w:history="1">
            <w:r w:rsidRPr="0054065E">
              <w:rPr>
                <w:rStyle w:val="Hyperlink"/>
              </w:rPr>
              <w:t>3. Importance of effective administrative skills within professional practice</w:t>
            </w:r>
            <w:r>
              <w:rPr>
                <w:webHidden/>
              </w:rPr>
              <w:tab/>
            </w:r>
            <w:r>
              <w:rPr>
                <w:webHidden/>
              </w:rPr>
              <w:fldChar w:fldCharType="begin"/>
            </w:r>
            <w:r>
              <w:rPr>
                <w:webHidden/>
              </w:rPr>
              <w:instrText xml:space="preserve"> PAGEREF _Toc224208733 \h </w:instrText>
            </w:r>
            <w:r>
              <w:rPr>
                <w:webHidden/>
              </w:rPr>
            </w:r>
            <w:r>
              <w:rPr>
                <w:webHidden/>
              </w:rPr>
              <w:fldChar w:fldCharType="separate"/>
            </w:r>
            <w:r>
              <w:rPr>
                <w:webHidden/>
              </w:rPr>
              <w:t>3</w:t>
            </w:r>
            <w:r>
              <w:rPr>
                <w:webHidden/>
              </w:rPr>
              <w:fldChar w:fldCharType="end"/>
            </w:r>
          </w:hyperlink>
        </w:p>
        <w:p w14:paraId="22733EF3" w14:textId="22EB03F2" w:rsidR="00312A78" w:rsidRDefault="00312A78" w:rsidP="00312A78">
          <w:pPr>
            <w:pStyle w:val="TOC2"/>
            <w:tabs>
              <w:tab w:val="right" w:leader="dot" w:pos="9016"/>
            </w:tabs>
            <w:spacing w:before="0" w:beforeAutospacing="0" w:after="0" w:afterAutospacing="0"/>
          </w:pPr>
          <w:hyperlink w:anchor="_Toc224208734" w:history="1">
            <w:r w:rsidR="00AE0597">
              <w:rPr>
                <w:rStyle w:val="Hyperlink"/>
              </w:rPr>
              <w:t>3.1 Record keeping and applying the principles of the Data Protection Act 2018</w:t>
            </w:r>
            <w:r w:rsidR="00AE0597">
              <w:rPr>
                <w:rStyle w:val="Hyperlink"/>
              </w:rPr>
              <w:tab/>
              <w:t>3</w:t>
            </w:r>
          </w:hyperlink>
        </w:p>
        <w:p w14:paraId="3A42AAA6" w14:textId="79151308" w:rsidR="00312A78" w:rsidRDefault="00312A78" w:rsidP="00312A78">
          <w:pPr>
            <w:pStyle w:val="TOC2"/>
            <w:tabs>
              <w:tab w:val="right" w:leader="dot" w:pos="9016"/>
            </w:tabs>
            <w:spacing w:before="0" w:beforeAutospacing="0" w:after="0" w:afterAutospacing="0"/>
          </w:pPr>
          <w:hyperlink w:anchor="_Toc224208735" w:history="1">
            <w:r w:rsidR="00AE0597">
              <w:rPr>
                <w:rStyle w:val="Hyperlink"/>
              </w:rPr>
              <w:t>3.2 Relevant legislation, policy frameworks that apply to the health and social care sector</w:t>
            </w:r>
            <w:r w:rsidR="00AE0597">
              <w:rPr>
                <w:rStyle w:val="Hyperlink"/>
              </w:rPr>
              <w:tab/>
              <w:t>4</w:t>
            </w:r>
          </w:hyperlink>
        </w:p>
        <w:p w14:paraId="2A9968E4" w14:textId="7B647D8B" w:rsidR="00312A78" w:rsidRDefault="00312A78" w:rsidP="00312A78">
          <w:pPr>
            <w:pStyle w:val="TOC1"/>
            <w:tabs>
              <w:tab w:val="right" w:leader="dot" w:pos="9016"/>
            </w:tabs>
            <w:spacing w:before="0" w:beforeAutospacing="0" w:after="0" w:afterAutospacing="0"/>
          </w:pPr>
          <w:hyperlink w:anchor="_Toc224208736" w:history="1">
            <w:r w:rsidR="00AE0597">
              <w:rPr>
                <w:rStyle w:val="Hyperlink"/>
              </w:rPr>
              <w:t>4. Importance of collaborative working in the case of the healthcare profession</w:t>
            </w:r>
            <w:r w:rsidR="00AE0597">
              <w:rPr>
                <w:rStyle w:val="Hyperlink"/>
              </w:rPr>
              <w:tab/>
              <w:t>5</w:t>
            </w:r>
          </w:hyperlink>
        </w:p>
        <w:p w14:paraId="5A59AA59" w14:textId="6779A2E9" w:rsidR="00312A78" w:rsidRDefault="00312A78" w:rsidP="00312A78">
          <w:pPr>
            <w:pStyle w:val="TOC2"/>
            <w:tabs>
              <w:tab w:val="right" w:leader="dot" w:pos="9016"/>
            </w:tabs>
            <w:spacing w:before="0" w:beforeAutospacing="0" w:after="0" w:afterAutospacing="0"/>
          </w:pPr>
          <w:hyperlink w:anchor="_Toc224208737" w:history="1">
            <w:r w:rsidRPr="0054065E">
              <w:rPr>
                <w:rStyle w:val="Hyperlink"/>
              </w:rPr>
              <w:t>4.1 Approaches used to foster effective collaboration</w:t>
            </w:r>
            <w:r>
              <w:rPr>
                <w:webHidden/>
              </w:rPr>
              <w:tab/>
            </w:r>
            <w:r>
              <w:rPr>
                <w:webHidden/>
              </w:rPr>
              <w:fldChar w:fldCharType="begin"/>
            </w:r>
            <w:r>
              <w:rPr>
                <w:webHidden/>
              </w:rPr>
              <w:instrText xml:space="preserve"> PAGEREF _Toc224208737 \h </w:instrText>
            </w:r>
            <w:r>
              <w:rPr>
                <w:webHidden/>
              </w:rPr>
            </w:r>
            <w:r>
              <w:rPr>
                <w:webHidden/>
              </w:rPr>
              <w:fldChar w:fldCharType="separate"/>
            </w:r>
            <w:r>
              <w:rPr>
                <w:webHidden/>
              </w:rPr>
              <w:t>5</w:t>
            </w:r>
            <w:r>
              <w:rPr>
                <w:webHidden/>
              </w:rPr>
              <w:fldChar w:fldCharType="end"/>
            </w:r>
          </w:hyperlink>
        </w:p>
        <w:p w14:paraId="3CE90906" w14:textId="7FEA674B" w:rsidR="00312A78" w:rsidRDefault="00312A78" w:rsidP="00312A78">
          <w:pPr>
            <w:pStyle w:val="TOC2"/>
            <w:tabs>
              <w:tab w:val="right" w:leader="dot" w:pos="9016"/>
            </w:tabs>
            <w:spacing w:before="0" w:beforeAutospacing="0" w:after="0" w:afterAutospacing="0"/>
          </w:pPr>
          <w:hyperlink w:anchor="_Toc224208738" w:history="1">
            <w:r w:rsidRPr="0054065E">
              <w:rPr>
                <w:rStyle w:val="Hyperlink"/>
              </w:rPr>
              <w:t>4.2 Strategies for addressing and overcoming common challenges</w:t>
            </w:r>
            <w:r>
              <w:rPr>
                <w:webHidden/>
              </w:rPr>
              <w:tab/>
            </w:r>
            <w:r>
              <w:rPr>
                <w:webHidden/>
              </w:rPr>
              <w:fldChar w:fldCharType="begin"/>
            </w:r>
            <w:r>
              <w:rPr>
                <w:webHidden/>
              </w:rPr>
              <w:instrText xml:space="preserve"> PAGEREF _Toc224208738 \h </w:instrText>
            </w:r>
            <w:r>
              <w:rPr>
                <w:webHidden/>
              </w:rPr>
            </w:r>
            <w:r>
              <w:rPr>
                <w:webHidden/>
              </w:rPr>
              <w:fldChar w:fldCharType="separate"/>
            </w:r>
            <w:r>
              <w:rPr>
                <w:webHidden/>
              </w:rPr>
              <w:t>5</w:t>
            </w:r>
            <w:r>
              <w:rPr>
                <w:webHidden/>
              </w:rPr>
              <w:fldChar w:fldCharType="end"/>
            </w:r>
          </w:hyperlink>
        </w:p>
        <w:p w14:paraId="530C0C36" w14:textId="630FE9F0" w:rsidR="00312A78" w:rsidRDefault="00312A78" w:rsidP="00312A78">
          <w:pPr>
            <w:pStyle w:val="TOC2"/>
            <w:tabs>
              <w:tab w:val="right" w:leader="dot" w:pos="9016"/>
            </w:tabs>
            <w:spacing w:before="0" w:beforeAutospacing="0" w:after="0" w:afterAutospacing="0"/>
          </w:pPr>
          <w:hyperlink w:anchor="_Toc224208739" w:history="1">
            <w:r w:rsidRPr="0054065E">
              <w:rPr>
                <w:rStyle w:val="Hyperlink"/>
              </w:rPr>
              <w:t>4.3 Multi-agency working</w:t>
            </w:r>
            <w:r>
              <w:rPr>
                <w:webHidden/>
              </w:rPr>
              <w:tab/>
            </w:r>
            <w:r>
              <w:rPr>
                <w:webHidden/>
              </w:rPr>
              <w:fldChar w:fldCharType="begin"/>
            </w:r>
            <w:r>
              <w:rPr>
                <w:webHidden/>
              </w:rPr>
              <w:instrText xml:space="preserve"> PAGEREF _Toc224208739 \h </w:instrText>
            </w:r>
            <w:r>
              <w:rPr>
                <w:webHidden/>
              </w:rPr>
            </w:r>
            <w:r>
              <w:rPr>
                <w:webHidden/>
              </w:rPr>
              <w:fldChar w:fldCharType="separate"/>
            </w:r>
            <w:r>
              <w:rPr>
                <w:webHidden/>
              </w:rPr>
              <w:t>5</w:t>
            </w:r>
            <w:r>
              <w:rPr>
                <w:webHidden/>
              </w:rPr>
              <w:fldChar w:fldCharType="end"/>
            </w:r>
          </w:hyperlink>
        </w:p>
        <w:p w14:paraId="103D5614" w14:textId="1AC83FE5" w:rsidR="00312A78" w:rsidRDefault="00312A78" w:rsidP="00312A78">
          <w:pPr>
            <w:pStyle w:val="TOC1"/>
            <w:tabs>
              <w:tab w:val="right" w:leader="dot" w:pos="9016"/>
            </w:tabs>
            <w:spacing w:before="0" w:beforeAutospacing="0" w:after="0" w:afterAutospacing="0"/>
          </w:pPr>
          <w:hyperlink w:anchor="_Toc224208740" w:history="1">
            <w:r w:rsidRPr="0054065E">
              <w:rPr>
                <w:rStyle w:val="Hyperlink"/>
              </w:rPr>
              <w:t>5. Conclusion</w:t>
            </w:r>
            <w:r>
              <w:rPr>
                <w:webHidden/>
              </w:rPr>
              <w:tab/>
            </w:r>
            <w:r>
              <w:rPr>
                <w:webHidden/>
              </w:rPr>
              <w:fldChar w:fldCharType="begin"/>
            </w:r>
            <w:r>
              <w:rPr>
                <w:webHidden/>
              </w:rPr>
              <w:instrText xml:space="preserve"> PAGEREF _Toc224208740 \h </w:instrText>
            </w:r>
            <w:r>
              <w:rPr>
                <w:webHidden/>
              </w:rPr>
            </w:r>
            <w:r>
              <w:rPr>
                <w:webHidden/>
              </w:rPr>
              <w:fldChar w:fldCharType="separate"/>
            </w:r>
            <w:r>
              <w:rPr>
                <w:webHidden/>
              </w:rPr>
              <w:t>6</w:t>
            </w:r>
            <w:r>
              <w:rPr>
                <w:webHidden/>
              </w:rPr>
              <w:fldChar w:fldCharType="end"/>
            </w:r>
          </w:hyperlink>
        </w:p>
        <w:p w14:paraId="1C1BE44E" w14:textId="573B7E03" w:rsidR="00312A78" w:rsidRDefault="00312A78" w:rsidP="00312A78">
          <w:pPr>
            <w:pStyle w:val="TOC1"/>
            <w:tabs>
              <w:tab w:val="right" w:leader="dot" w:pos="9016"/>
            </w:tabs>
            <w:spacing w:before="0" w:beforeAutospacing="0" w:after="0" w:afterAutospacing="0"/>
          </w:pPr>
          <w:hyperlink w:anchor="_Toc224208741" w:history="1">
            <w:r w:rsidRPr="0054065E">
              <w:rPr>
                <w:rStyle w:val="Hyperlink"/>
              </w:rPr>
              <w:t>References</w:t>
            </w:r>
            <w:r>
              <w:rPr>
                <w:webHidden/>
              </w:rPr>
              <w:tab/>
            </w:r>
            <w:r>
              <w:rPr>
                <w:webHidden/>
              </w:rPr>
              <w:fldChar w:fldCharType="begin"/>
            </w:r>
            <w:r>
              <w:rPr>
                <w:webHidden/>
              </w:rPr>
              <w:instrText xml:space="preserve"> PAGEREF _Toc224208741 \h </w:instrText>
            </w:r>
            <w:r>
              <w:rPr>
                <w:webHidden/>
              </w:rPr>
            </w:r>
            <w:r>
              <w:rPr>
                <w:webHidden/>
              </w:rPr>
              <w:fldChar w:fldCharType="separate"/>
            </w:r>
            <w:r>
              <w:rPr>
                <w:webHidden/>
              </w:rPr>
              <w:t>7</w:t>
            </w:r>
            <w:r>
              <w:rPr>
                <w:webHidden/>
              </w:rPr>
              <w:fldChar w:fldCharType="end"/>
            </w:r>
          </w:hyperlink>
        </w:p>
        <w:p w14:paraId="4C270E86" w14:textId="205E231E" w:rsidR="00312A78" w:rsidRDefault="00312A78" w:rsidP="00312A78">
          <w:pPr>
            <w:spacing w:before="0" w:beforeAutospacing="0" w:after="0" w:afterAutospacing="0"/>
          </w:pPr>
          <w:r>
            <w:rPr>
              <w:b/>
              <w:bCs/>
            </w:rPr>
            <w:fldChar w:fldCharType="end"/>
          </w:r>
        </w:p>
      </w:sdtContent>
    </w:sdt>
    <w:p w14:paraId="4BFDE374" w14:textId="660BA963" w:rsidR="00312A78" w:rsidRPr="00312A78" w:rsidRDefault="00312A78" w:rsidP="00312A78">
      <w:r w:rsidRPr="00312A78">
        <w:br w:type="page"/>
      </w:r>
    </w:p>
    <w:p w14:paraId="1A3EEFB6" w14:textId="77777777" w:rsidR="00312A78" w:rsidRPr="00312A78" w:rsidRDefault="00312A78" w:rsidP="00312A78">
      <w:pPr>
        <w:pStyle w:val="Heading1"/>
      </w:pPr>
      <w:bookmarkStart w:id="0" w:name="_Toc224208728"/>
      <w:r w:rsidRPr="00312A78">
        <w:lastRenderedPageBreak/>
        <w:t>1. Introduction</w:t>
      </w:r>
      <w:bookmarkEnd w:id="0"/>
      <w:r w:rsidRPr="00312A78">
        <w:t> </w:t>
      </w:r>
    </w:p>
    <w:p w14:paraId="7B7EC6D2" w14:textId="27C72F0B" w:rsidR="00312A78" w:rsidRPr="00312A78" w:rsidRDefault="00312A78" w:rsidP="00312A78">
      <w:r w:rsidRPr="00312A78">
        <w:t xml:space="preserve">Professional practice in the sphere of health and social care is impossible without the proper communication, proper administration and coordinated efforts of various professionals. These aspects promote person-centred standards of care provision, in addition to the context that individuals enjoy adequate provision across services. The situation of Mr Ahmed reveals the issues that surround the process of organising healthcare, domiciliary service provision and family intervention after discharge </w:t>
      </w:r>
      <w:r w:rsidR="00AE0597">
        <w:t>from</w:t>
      </w:r>
      <w:r w:rsidRPr="00312A78">
        <w:t xml:space="preserve"> the hospital </w:t>
      </w:r>
      <w:r w:rsidR="00AE0597">
        <w:t>following a</w:t>
      </w:r>
      <w:r w:rsidRPr="00312A78">
        <w:t xml:space="preserve"> stroke. This report evaluates the significance of good communication</w:t>
      </w:r>
      <w:r w:rsidR="00AE0597">
        <w:t>,</w:t>
      </w:r>
      <w:r w:rsidRPr="00312A78">
        <w:t xml:space="preserve"> especially in situations where there are language barriers between professionals and service users. It also </w:t>
      </w:r>
      <w:r w:rsidR="00AE0597">
        <w:t>delves</w:t>
      </w:r>
      <w:r w:rsidRPr="00312A78">
        <w:t xml:space="preserve"> into the provision of administrative skills such as proper </w:t>
      </w:r>
      <w:r w:rsidR="00AE0597">
        <w:t>record-keeping</w:t>
      </w:r>
      <w:r w:rsidRPr="00312A78">
        <w:t xml:space="preserve"> and control of information. Moreover, the report takes into focus the worth of multidisciplinary teamwork in the provision of safe and integrated care.</w:t>
      </w:r>
    </w:p>
    <w:p w14:paraId="499E5ED9" w14:textId="77777777" w:rsidR="00312A78" w:rsidRPr="00312A78" w:rsidRDefault="00312A78" w:rsidP="00312A78">
      <w:pPr>
        <w:pStyle w:val="Heading1"/>
      </w:pPr>
      <w:bookmarkStart w:id="1" w:name="_Toc224208729"/>
      <w:r w:rsidRPr="00312A78">
        <w:t>2. Importance of effective communication</w:t>
      </w:r>
      <w:bookmarkEnd w:id="1"/>
      <w:r w:rsidRPr="00312A78">
        <w:t> </w:t>
      </w:r>
    </w:p>
    <w:p w14:paraId="5BA98EB6" w14:textId="77777777" w:rsidR="00312A78" w:rsidRPr="00312A78" w:rsidRDefault="00312A78" w:rsidP="00312A78">
      <w:pPr>
        <w:pStyle w:val="Heading2"/>
      </w:pPr>
      <w:bookmarkStart w:id="2" w:name="_Toc224208730"/>
      <w:r w:rsidRPr="00312A78">
        <w:t>2.1 Ways of communicating with service user and their family members</w:t>
      </w:r>
      <w:bookmarkEnd w:id="2"/>
    </w:p>
    <w:p w14:paraId="12D4BAD4" w14:textId="4A9B5C65" w:rsidR="00312A78" w:rsidRPr="00312A78" w:rsidRDefault="00312A78" w:rsidP="00312A78">
      <w:r w:rsidRPr="00312A78">
        <w:t xml:space="preserve">The main forms of communication are a verbal explanation with the use of easy language terms, active listening, non-verbal communication, and language barriers through interpreters. Clarity is also supported using written materials and electronic messages (Gainey </w:t>
      </w:r>
      <w:r w:rsidRPr="00AE0597">
        <w:t>et al</w:t>
      </w:r>
      <w:r w:rsidRPr="00312A78">
        <w:rPr>
          <w:i/>
          <w:iCs/>
        </w:rPr>
        <w:t>.</w:t>
      </w:r>
      <w:r w:rsidRPr="00312A78">
        <w:t>, 2022). In the case of Mr Ahmed, his employees are expected to use plain English or language interpreters to communicate with him, and they should give a chance to his wife</w:t>
      </w:r>
      <w:r w:rsidR="00AE0597">
        <w:t>,</w:t>
      </w:r>
      <w:r w:rsidRPr="00312A78">
        <w:t xml:space="preserve"> but not to listen to his opinion. Professionals ought to update and lay clear plans with </w:t>
      </w:r>
      <w:r w:rsidR="00AE0597">
        <w:t>their</w:t>
      </w:r>
      <w:r w:rsidRPr="00312A78">
        <w:t xml:space="preserve"> wife at a convenient time, considering her as a communicator (Justin </w:t>
      </w:r>
      <w:r w:rsidRPr="00AE0597">
        <w:t>et al.,</w:t>
      </w:r>
      <w:r w:rsidRPr="00312A78">
        <w:t xml:space="preserve"> 2025).</w:t>
      </w:r>
    </w:p>
    <w:p w14:paraId="06102146" w14:textId="182D8FC1" w:rsidR="00312A78" w:rsidRPr="00312A78" w:rsidRDefault="00312A78" w:rsidP="00312A78">
      <w:pPr>
        <w:pStyle w:val="Heading2"/>
      </w:pPr>
      <w:bookmarkStart w:id="3" w:name="_Toc224208731"/>
      <w:r w:rsidRPr="00312A78">
        <w:t xml:space="preserve">2.2 Core principles of the Equality Act 2010 and </w:t>
      </w:r>
      <w:r w:rsidR="00AE0597">
        <w:t>their</w:t>
      </w:r>
      <w:r w:rsidRPr="00312A78">
        <w:t xml:space="preserve"> relation with communication</w:t>
      </w:r>
      <w:bookmarkEnd w:id="3"/>
      <w:r w:rsidRPr="00312A78">
        <w:t> </w:t>
      </w:r>
    </w:p>
    <w:p w14:paraId="33D92E22" w14:textId="59B155C0" w:rsidR="00312A78" w:rsidRPr="00312A78" w:rsidRDefault="00312A78" w:rsidP="00312A78">
      <w:r w:rsidRPr="00312A78">
        <w:t xml:space="preserve">Equality Act 2010 constitutes an important law in the United Kingdom that safeguards people against illegal discrimination, harassment </w:t>
      </w:r>
      <w:r w:rsidR="00AE0597">
        <w:t>and</w:t>
      </w:r>
      <w:r w:rsidRPr="00312A78">
        <w:t xml:space="preserve"> victimisation in service delivery</w:t>
      </w:r>
      <w:r w:rsidR="00AE0597">
        <w:t>,</w:t>
      </w:r>
      <w:r w:rsidRPr="00312A78">
        <w:t xml:space="preserve"> including healthcare</w:t>
      </w:r>
      <w:r w:rsidR="00AE0597">
        <w:t>,</w:t>
      </w:r>
      <w:r w:rsidRPr="00312A78">
        <w:t xml:space="preserve"> among other safeguarded qualities </w:t>
      </w:r>
      <w:r w:rsidR="00AE0597">
        <w:t>based on</w:t>
      </w:r>
      <w:r w:rsidRPr="00312A78">
        <w:t xml:space="preserve"> age, disability, race, religion, sex</w:t>
      </w:r>
      <w:r w:rsidR="00AE0597">
        <w:t>,</w:t>
      </w:r>
      <w:r w:rsidRPr="00312A78">
        <w:t xml:space="preserve"> among others (GOV.UK, 2026). In the planning and provision of care, healthcare services provided by the government should pay reasonable attention to eradicating discrimination, promoting equality of opportunities and proper relations. This obligation is termed the Public Sector Equality Duty. This can be applied in communication by ensuring that different needs </w:t>
      </w:r>
      <w:r w:rsidRPr="00312A78">
        <w:lastRenderedPageBreak/>
        <w:t>of people are anticipated and reasonable accommodation provided</w:t>
      </w:r>
      <w:r w:rsidR="00AE0597">
        <w:t>,</w:t>
      </w:r>
      <w:r w:rsidRPr="00312A78">
        <w:t xml:space="preserve"> such as availing information in formats that are readily understood, or availing interpreter assistance to ensure that disabled or minority people are not undermined in seeking health services (Ngondwe and Tefera, 2025). Equal opportunities Public bodies should also have the goals and evidence of adherence to equality responsibilities</w:t>
      </w:r>
      <w:r w:rsidR="00AE0597">
        <w:t>, as well</w:t>
      </w:r>
      <w:r w:rsidRPr="00312A78">
        <w:t xml:space="preserve"> as transparent reporting and organisational responsibility.</w:t>
      </w:r>
    </w:p>
    <w:p w14:paraId="2DCB8E91" w14:textId="77777777" w:rsidR="00312A78" w:rsidRPr="00312A78" w:rsidRDefault="00312A78" w:rsidP="00312A78">
      <w:pPr>
        <w:pStyle w:val="Heading2"/>
      </w:pPr>
      <w:bookmarkStart w:id="4" w:name="_Toc224208732"/>
      <w:r w:rsidRPr="00312A78">
        <w:t>2.3 Explanation of the communication model</w:t>
      </w:r>
      <w:bookmarkEnd w:id="4"/>
      <w:r w:rsidRPr="00312A78">
        <w:t> </w:t>
      </w:r>
    </w:p>
    <w:p w14:paraId="75291DB3" w14:textId="55757649" w:rsidR="00312A78" w:rsidRPr="00312A78" w:rsidRDefault="00312A78" w:rsidP="00312A78">
      <w:r w:rsidRPr="00312A78">
        <w:t xml:space="preserve">The adoption of the SBAR communication model will enable systematise and accurate organisation of information exchange between the practitioners involved in the treatment of Mr Ahmed. The situation component aims at explicitly establishing acute issues, which include the missed domiciliary visit and latent medication administration, so that rapid identification of risks can be realised (Newman </w:t>
      </w:r>
      <w:r w:rsidRPr="00AE0597">
        <w:t>et al.,</w:t>
      </w:r>
      <w:r w:rsidRPr="00312A78">
        <w:rPr>
          <w:i/>
          <w:iCs/>
        </w:rPr>
        <w:t xml:space="preserve"> </w:t>
      </w:r>
      <w:r w:rsidRPr="00312A78">
        <w:t xml:space="preserve">2022). Nevertheless, excessively short summaries of situations can leave out cultural and language issues </w:t>
      </w:r>
      <w:r w:rsidR="00AE0597">
        <w:t>in</w:t>
      </w:r>
      <w:r w:rsidRPr="00312A78">
        <w:t xml:space="preserve"> patient comprehension. Background stage facilitates that relevant context is exchanged, which includes stroke history, domiciliary support services and existing use of speech therapy, which enhance continuity of care. On the other hand, too much background information can overload the professionals and slow down the process when the situation demands a decision. The assessment element allows the practitioners to evaluate the clinical and protective implications </w:t>
      </w:r>
      <w:r w:rsidR="00AE0597">
        <w:t>of</w:t>
      </w:r>
      <w:r w:rsidRPr="00312A78">
        <w:t xml:space="preserve"> medication risks, difficulty in communication due to poor English language (Ho </w:t>
      </w:r>
      <w:r w:rsidRPr="00AE0597">
        <w:t>et al</w:t>
      </w:r>
      <w:r w:rsidRPr="00312A78">
        <w:rPr>
          <w:i/>
          <w:iCs/>
        </w:rPr>
        <w:t>.</w:t>
      </w:r>
      <w:r w:rsidRPr="00312A78">
        <w:t>, 2025). </w:t>
      </w:r>
    </w:p>
    <w:p w14:paraId="456551BD" w14:textId="77777777" w:rsidR="00312A78" w:rsidRPr="00312A78" w:rsidRDefault="00312A78" w:rsidP="00312A78">
      <w:pPr>
        <w:pStyle w:val="Heading1"/>
      </w:pPr>
      <w:bookmarkStart w:id="5" w:name="_Toc224208733"/>
      <w:r w:rsidRPr="00312A78">
        <w:t>3. Importance of effective administrative skills within professional practice</w:t>
      </w:r>
      <w:bookmarkEnd w:id="5"/>
      <w:r w:rsidRPr="00312A78">
        <w:t> </w:t>
      </w:r>
    </w:p>
    <w:p w14:paraId="5AFDA749" w14:textId="2059EFAD" w:rsidR="00312A78" w:rsidRPr="00312A78" w:rsidRDefault="00312A78" w:rsidP="00312A78">
      <w:pPr>
        <w:pStyle w:val="Heading2"/>
      </w:pPr>
      <w:bookmarkStart w:id="6" w:name="_Toc224208734"/>
      <w:r w:rsidRPr="00312A78">
        <w:t xml:space="preserve">3.1 Record keeping and applying the principles of </w:t>
      </w:r>
      <w:r w:rsidR="00AE0597">
        <w:t xml:space="preserve">the </w:t>
      </w:r>
      <w:r w:rsidRPr="00312A78">
        <w:t>Data Protection Act 2018</w:t>
      </w:r>
      <w:bookmarkEnd w:id="6"/>
    </w:p>
    <w:p w14:paraId="50077D60" w14:textId="139EF6E1" w:rsidR="00312A78" w:rsidRPr="00312A78" w:rsidRDefault="00312A78" w:rsidP="00312A78">
      <w:r w:rsidRPr="00312A78">
        <w:t xml:space="preserve">Effective decision-making, responsibility and continuity of the care pathway of Mr Ahmed are ensured by proper documentation. Responsible health workers are required to make sure that they maintain concise, precise, and accurate records of evaluation, medication, and visits to the home in compliance with the provisions of </w:t>
      </w:r>
      <w:r w:rsidR="00AE0597">
        <w:t xml:space="preserve">the </w:t>
      </w:r>
      <w:r w:rsidRPr="00312A78">
        <w:t xml:space="preserve">Data Protection Act 2018 (Care Quality Commission, 2022). The practice helps in the legal management of information and minimises clinical risks associated with poor documentation. Legal processing of personal data consists of the health organisations only obtaining the relevant information and only using such information to provide the legitimate care. The direction that was observed throughout the </w:t>
      </w:r>
      <w:r w:rsidRPr="00312A78">
        <w:lastRenderedPageBreak/>
        <w:t>National Health Service requires the use of secure storage, access control, and confidentiality whenever exchanging patient information (NHS, 2026). These prevent privacy and allow multidisciplinary care to be delivered in a coordinated manner.</w:t>
      </w:r>
    </w:p>
    <w:p w14:paraId="4A61AE41" w14:textId="3C3F7AB9" w:rsidR="00312A78" w:rsidRPr="00312A78" w:rsidRDefault="00312A78" w:rsidP="00312A78">
      <w:pPr>
        <w:pStyle w:val="Heading2"/>
      </w:pPr>
      <w:bookmarkStart w:id="7" w:name="_Toc224208735"/>
      <w:r w:rsidRPr="00312A78">
        <w:t>3.2 Relevant legislation</w:t>
      </w:r>
      <w:r w:rsidR="00AE0597">
        <w:t xml:space="preserve"> and</w:t>
      </w:r>
      <w:r w:rsidRPr="00312A78">
        <w:t xml:space="preserve"> policy frameworks that </w:t>
      </w:r>
      <w:r w:rsidR="00AE0597">
        <w:t>apply</w:t>
      </w:r>
      <w:r w:rsidRPr="00312A78">
        <w:t xml:space="preserve"> to </w:t>
      </w:r>
      <w:r w:rsidR="00AE0597">
        <w:t xml:space="preserve">the </w:t>
      </w:r>
      <w:r w:rsidRPr="00312A78">
        <w:t>health and social care sector</w:t>
      </w:r>
      <w:bookmarkEnd w:id="7"/>
      <w:r w:rsidRPr="00312A78">
        <w:t> </w:t>
      </w:r>
    </w:p>
    <w:p w14:paraId="2066E069" w14:textId="1DBFE8AC" w:rsidR="00312A78" w:rsidRPr="00312A78" w:rsidRDefault="00312A78" w:rsidP="00312A78">
      <w:r w:rsidRPr="00312A78">
        <w:t>The legal matters in the UK health and social care sector encompass legislation that specifies a legal responsibility and protection</w:t>
      </w:r>
      <w:r w:rsidR="00AE0597">
        <w:t>,</w:t>
      </w:r>
      <w:r w:rsidRPr="00312A78">
        <w:t xml:space="preserve"> and </w:t>
      </w:r>
      <w:r w:rsidR="00AE0597">
        <w:t xml:space="preserve">the </w:t>
      </w:r>
      <w:r w:rsidRPr="00312A78">
        <w:t>quality of services. The Health and Care Act 2022 codifies Integrated Care Systems (ICSs) to manage better collaboration with the NHS, local authorities and other providers to improve accountability and improve the quality of care (NHS England, 2022). Regulation and inspection of care services</w:t>
      </w:r>
      <w:r w:rsidR="00AE0597">
        <w:t>,</w:t>
      </w:r>
      <w:r w:rsidRPr="00312A78">
        <w:t xml:space="preserve"> including domiciliary care agencies</w:t>
      </w:r>
      <w:r w:rsidR="00AE0597">
        <w:t>,</w:t>
      </w:r>
      <w:r w:rsidRPr="00312A78">
        <w:t xml:space="preserve"> is a provision under the Care Standards Act of 2000. Other legislation includes </w:t>
      </w:r>
      <w:r w:rsidR="00AE0597">
        <w:t xml:space="preserve">the </w:t>
      </w:r>
      <w:r w:rsidRPr="00312A78">
        <w:t xml:space="preserve">Equality Act 2010 against discrimination and </w:t>
      </w:r>
      <w:r w:rsidR="00AE0597">
        <w:t xml:space="preserve">the </w:t>
      </w:r>
      <w:r w:rsidRPr="00312A78">
        <w:t xml:space="preserve">Data Protection Act 2018 against </w:t>
      </w:r>
      <w:r w:rsidR="00AE0597">
        <w:t xml:space="preserve">the </w:t>
      </w:r>
      <w:r w:rsidRPr="00312A78">
        <w:t>legitimate use of personal information (GOV.UK, 2026). The combination of these laws supports the provision of safe and legal care in both health and social care facilities. </w:t>
      </w:r>
    </w:p>
    <w:p w14:paraId="25BBEC18" w14:textId="4D719CCA" w:rsidR="00312A78" w:rsidRPr="00312A78" w:rsidRDefault="00312A78" w:rsidP="00312A78">
      <w:r w:rsidRPr="00312A78">
        <w:t xml:space="preserve">Standards and </w:t>
      </w:r>
      <w:r w:rsidR="00AE0597">
        <w:t>practices</w:t>
      </w:r>
      <w:r w:rsidRPr="00312A78">
        <w:t xml:space="preserve"> across the services are dictated by policy frameworks. </w:t>
      </w:r>
      <w:r w:rsidR="00AE0597">
        <w:t xml:space="preserve">The </w:t>
      </w:r>
      <w:r w:rsidRPr="00312A78">
        <w:t xml:space="preserve">UK Policy Framework of Health and Social Care Research presents ethical principles of high-quality research of patients and service users, which facilitates the evidence-based enhancement of care (Chiara Oyebode, 2023). The legal advice on </w:t>
      </w:r>
      <w:r w:rsidR="00AE0597">
        <w:t>ICS</w:t>
      </w:r>
      <w:r w:rsidRPr="00312A78">
        <w:t xml:space="preserve"> partners and communities in the decision-making process, which advances the combination of services in the health and care systems. Equality and accessible information would also be included in National frameworks as they would deliver responsive patient-focused delivery. </w:t>
      </w:r>
    </w:p>
    <w:p w14:paraId="355D274A" w14:textId="77777777" w:rsidR="00312A78" w:rsidRPr="00312A78" w:rsidRDefault="00312A78" w:rsidP="00312A78">
      <w:r w:rsidRPr="00312A78">
        <w:t>The Care Act 2014 influences the assessment, principles of eligibility and well-being in social care, requiring the local authorities to define the needs and enhance the independence (Department of Health and Social Care, 2026). The adult social care reforms and integration programmes are to enhance coordination between health and social care and enhance the outcomes of persons such as Mr Ahmed as a result of sharing the planning process and resources.</w:t>
      </w:r>
    </w:p>
    <w:p w14:paraId="51B9222A" w14:textId="54EEF169" w:rsidR="00312A78" w:rsidRPr="00312A78" w:rsidRDefault="00312A78" w:rsidP="00312A78">
      <w:pPr>
        <w:pStyle w:val="Heading1"/>
      </w:pPr>
      <w:bookmarkStart w:id="8" w:name="_Toc224208736"/>
      <w:r w:rsidRPr="00312A78">
        <w:lastRenderedPageBreak/>
        <w:t xml:space="preserve">4. Importance of collaborative working in the case of </w:t>
      </w:r>
      <w:r w:rsidR="00D76479">
        <w:t xml:space="preserve">the </w:t>
      </w:r>
      <w:r w:rsidRPr="00312A78">
        <w:t>healthcare profession</w:t>
      </w:r>
      <w:bookmarkEnd w:id="8"/>
    </w:p>
    <w:p w14:paraId="46608EC2" w14:textId="77777777" w:rsidR="00312A78" w:rsidRPr="00312A78" w:rsidRDefault="00312A78" w:rsidP="00312A78">
      <w:pPr>
        <w:pStyle w:val="Heading2"/>
      </w:pPr>
      <w:bookmarkStart w:id="9" w:name="_Toc224208737"/>
      <w:r w:rsidRPr="00312A78">
        <w:t>4.1 Approaches used to foster effective collaboration</w:t>
      </w:r>
      <w:bookmarkEnd w:id="9"/>
      <w:r w:rsidRPr="00312A78">
        <w:t> </w:t>
      </w:r>
    </w:p>
    <w:p w14:paraId="015178BB" w14:textId="77777777" w:rsidR="00312A78" w:rsidRPr="00312A78" w:rsidRDefault="00312A78" w:rsidP="00312A78">
      <w:r w:rsidRPr="00312A78">
        <w:t xml:space="preserve">The care of Mr Ahmed needs the collaboration between professionals to be effective, and this cannot be achieved without the structured interaction, shared decision making and shared care planning. Frequent multidisciplinary gatherings will enable the GP, district nurse, domiciliary care workers and speech and language therapist to review the progress that Mr Ahmed made after the stroke and revise the care intervention (Kotlega </w:t>
      </w:r>
      <w:r w:rsidRPr="00D76479">
        <w:t>et al.,</w:t>
      </w:r>
      <w:r w:rsidRPr="00312A78">
        <w:rPr>
          <w:i/>
          <w:iCs/>
        </w:rPr>
        <w:t xml:space="preserve"> </w:t>
      </w:r>
      <w:r w:rsidRPr="00312A78">
        <w:t xml:space="preserve">2025). Similar to the application of shared care records and care plans, one can record the medication schedule, blood pressure monitors, wound care visits, therapy progress, etc. Role clarification also helps in collaboration, as the district nurse needs to be in control of clinical follow- up, but the domiciliary care workers in the daily living tasks, along with the speech therapist in the communication and the improvement of swallowing (McBride </w:t>
      </w:r>
      <w:r w:rsidRPr="00D76479">
        <w:t>et al</w:t>
      </w:r>
      <w:r w:rsidRPr="00312A78">
        <w:rPr>
          <w:i/>
          <w:iCs/>
        </w:rPr>
        <w:t xml:space="preserve">., </w:t>
      </w:r>
      <w:r w:rsidRPr="00312A78">
        <w:t>2024).</w:t>
      </w:r>
    </w:p>
    <w:p w14:paraId="2D913FA7" w14:textId="77777777" w:rsidR="00312A78" w:rsidRPr="00312A78" w:rsidRDefault="00312A78" w:rsidP="00312A78">
      <w:pPr>
        <w:pStyle w:val="Heading2"/>
      </w:pPr>
      <w:bookmarkStart w:id="10" w:name="_Toc224208738"/>
      <w:r w:rsidRPr="00312A78">
        <w:t>4.2 Strategies for addressing and overcoming common challenges</w:t>
      </w:r>
      <w:bookmarkEnd w:id="10"/>
      <w:r w:rsidRPr="00312A78">
        <w:t> </w:t>
      </w:r>
    </w:p>
    <w:p w14:paraId="3843B978" w14:textId="25D29E1D" w:rsidR="00312A78" w:rsidRPr="00312A78" w:rsidRDefault="00312A78" w:rsidP="00312A78">
      <w:r w:rsidRPr="00312A78">
        <w:t xml:space="preserve">The communication breakdown between the agencies and the role coordination between the professionals are the common impediments </w:t>
      </w:r>
      <w:r w:rsidR="00D76479">
        <w:t>to</w:t>
      </w:r>
      <w:r w:rsidRPr="00312A78">
        <w:t xml:space="preserve"> the care of Mr Ahmed. The strategies are the employment of professional interpreters or language support in the form of bilingual communication to enhance interpretation during interaction in care. The use of shared care records and scheduling systems can guide professionals to keep track of the visits and medication administration regularly (Youn </w:t>
      </w:r>
      <w:r w:rsidRPr="00D76479">
        <w:t>et al</w:t>
      </w:r>
      <w:r w:rsidRPr="00312A78">
        <w:rPr>
          <w:i/>
          <w:iCs/>
        </w:rPr>
        <w:t xml:space="preserve">., </w:t>
      </w:r>
      <w:r w:rsidRPr="00312A78">
        <w:t>2022). </w:t>
      </w:r>
    </w:p>
    <w:p w14:paraId="192F00BB" w14:textId="77777777" w:rsidR="00312A78" w:rsidRPr="00312A78" w:rsidRDefault="00312A78" w:rsidP="00312A78">
      <w:pPr>
        <w:pStyle w:val="Heading2"/>
      </w:pPr>
      <w:bookmarkStart w:id="11" w:name="_Toc224208739"/>
      <w:r w:rsidRPr="00312A78">
        <w:t>4.3 Multi-agency working</w:t>
      </w:r>
      <w:bookmarkEnd w:id="11"/>
    </w:p>
    <w:p w14:paraId="3B3BD6B5" w14:textId="36E756B3" w:rsidR="00312A78" w:rsidRPr="00312A78" w:rsidRDefault="00312A78" w:rsidP="00312A78">
      <w:r w:rsidRPr="00312A78">
        <w:t>Frequent issues associated with working in multi-agency</w:t>
      </w:r>
      <w:r w:rsidR="00D76479">
        <w:t xml:space="preserve"> settings</w:t>
      </w:r>
      <w:r w:rsidRPr="00312A78">
        <w:t xml:space="preserve">, as Mr </w:t>
      </w:r>
      <w:r w:rsidR="00D76479">
        <w:t>Ahmed's</w:t>
      </w:r>
      <w:r w:rsidRPr="00312A78">
        <w:t xml:space="preserve"> case illustrates, are a lack of communication between the services, delays in sharing the information, and cultural or language barriers that may decrease the understanding of the patients. The missed domiciliary care visit is an indication of coordination challenges between the care agency and healthcare professionals (Khatri </w:t>
      </w:r>
      <w:r w:rsidRPr="00D76479">
        <w:t>et al.,</w:t>
      </w:r>
      <w:r w:rsidRPr="00312A78">
        <w:t xml:space="preserve"> 2023). It involves the implementation of shared communication channels of </w:t>
      </w:r>
      <w:r w:rsidR="00D76479">
        <w:t xml:space="preserve">a </w:t>
      </w:r>
      <w:r w:rsidRPr="00312A78">
        <w:t xml:space="preserve">multidisciplinary nature to </w:t>
      </w:r>
      <w:r w:rsidR="00D76479">
        <w:t>ensure</w:t>
      </w:r>
      <w:r w:rsidRPr="00312A78">
        <w:t xml:space="preserve"> that updates on visits, medication administration, and therapy sessions are pegged on the professionals. Through the application of interpreters and culturally sensitive ways of communication, Mr Ahmed will be assisted in participating in care talks (Cronin </w:t>
      </w:r>
      <w:r w:rsidRPr="00D76479">
        <w:t>et al</w:t>
      </w:r>
      <w:r w:rsidRPr="00312A78">
        <w:rPr>
          <w:i/>
          <w:iCs/>
        </w:rPr>
        <w:t>.</w:t>
      </w:r>
      <w:r w:rsidRPr="00312A78">
        <w:t>, 2025). </w:t>
      </w:r>
    </w:p>
    <w:p w14:paraId="01A8B041" w14:textId="77777777" w:rsidR="00312A78" w:rsidRPr="00312A78" w:rsidRDefault="00312A78" w:rsidP="00312A78">
      <w:pPr>
        <w:pStyle w:val="Heading1"/>
      </w:pPr>
      <w:bookmarkStart w:id="12" w:name="_Toc224208740"/>
      <w:r w:rsidRPr="00312A78">
        <w:lastRenderedPageBreak/>
        <w:t>5. Conclusion</w:t>
      </w:r>
      <w:bookmarkEnd w:id="12"/>
    </w:p>
    <w:p w14:paraId="686E2968" w14:textId="4FB98EE4" w:rsidR="00312A78" w:rsidRPr="00312A78" w:rsidRDefault="00312A78" w:rsidP="00312A78">
      <w:r w:rsidRPr="00312A78">
        <w:t xml:space="preserve">The report indicated the importance of effective communication, administrative competence and practise collaboration in aiding the care needs of Mr Ahmed. The strategies of communication were analysed so that Mr Ahmed and his wife are not left uninformed and disengaged in the decision-making process despite the language differences. Maintaining accurate record keeping and compliance with the data protection laws that safeguard the information about patients and facilitate continuity of care was also highlighted in the discussion as essential. Moreover, the report covered the importance of multidisciplinary interaction between the GP, district nurse, domiciliary care workers, and the speech and language therapist. Multi-agency working challenges strategies were viewed towards ensuring coordinated, safe, </w:t>
      </w:r>
      <w:r w:rsidR="00D76479">
        <w:t>and</w:t>
      </w:r>
      <w:r w:rsidRPr="00312A78">
        <w:t xml:space="preserve"> person-centred health and social care delivery.</w:t>
      </w:r>
    </w:p>
    <w:p w14:paraId="4CECC563" w14:textId="77777777" w:rsidR="00312A78" w:rsidRPr="00312A78" w:rsidRDefault="00312A78" w:rsidP="00312A78">
      <w:r w:rsidRPr="00312A78">
        <w:br w:type="page"/>
      </w:r>
    </w:p>
    <w:p w14:paraId="58032BF2" w14:textId="6056562E" w:rsidR="0018111A" w:rsidRPr="00312A78" w:rsidRDefault="00312A78" w:rsidP="00312A78">
      <w:pPr>
        <w:pStyle w:val="Heading1"/>
      </w:pPr>
      <w:bookmarkStart w:id="13" w:name="_Toc224208741"/>
      <w:r w:rsidRPr="00312A78">
        <w:lastRenderedPageBreak/>
        <w:t>References</w:t>
      </w:r>
      <w:bookmarkEnd w:id="13"/>
    </w:p>
    <w:p w14:paraId="67579329" w14:textId="77777777" w:rsidR="00312A78" w:rsidRPr="00312A78" w:rsidRDefault="00312A78" w:rsidP="00312A78">
      <w:r w:rsidRPr="00312A78">
        <w:t xml:space="preserve">Care Quality Commission (2022) </w:t>
      </w:r>
      <w:r w:rsidRPr="00312A78">
        <w:rPr>
          <w:i/>
          <w:iCs/>
        </w:rPr>
        <w:t>Check the way you handle personal information meets the right standards | Care Quality Commission</w:t>
      </w:r>
      <w:r w:rsidRPr="00312A78">
        <w:t xml:space="preserve">, </w:t>
      </w:r>
      <w:r w:rsidRPr="00312A78">
        <w:rPr>
          <w:i/>
          <w:iCs/>
        </w:rPr>
        <w:t>Care Quality Commission</w:t>
      </w:r>
      <w:r w:rsidRPr="00312A78">
        <w:t>. Available at: https://www.cqc.org.uk/guidance-providers/all-services/check-way-you-handle-personal-information-meets-right-standards-0 (Accessed: 12 March 2026).</w:t>
      </w:r>
    </w:p>
    <w:p w14:paraId="25B572FF" w14:textId="3F52E913" w:rsidR="00312A78" w:rsidRPr="00312A78" w:rsidRDefault="00312A78" w:rsidP="00312A78">
      <w:r w:rsidRPr="00312A78">
        <w:t xml:space="preserve">Chiara De Poli and Oyebode, J.R. (2023) ‘Research ethics and collaborative research in health and social care: Analysis of UK research ethics policies, scoping review of the literature, and focus group study’, </w:t>
      </w:r>
      <w:r w:rsidRPr="00312A78">
        <w:rPr>
          <w:i/>
          <w:iCs/>
        </w:rPr>
        <w:t>PLOS ONE</w:t>
      </w:r>
      <w:r w:rsidRPr="00312A78">
        <w:t xml:space="preserve">, 18(12), pp. </w:t>
      </w:r>
      <w:r w:rsidR="00D76479">
        <w:t>e0296223–e0296223</w:t>
      </w:r>
      <w:r w:rsidRPr="00312A78">
        <w:t>. Available at: https://doi.org/10.1371/journal.pone.0296223.</w:t>
      </w:r>
    </w:p>
    <w:p w14:paraId="3D097814" w14:textId="77777777" w:rsidR="00312A78" w:rsidRPr="00312A78" w:rsidRDefault="00312A78" w:rsidP="00312A78">
      <w:r w:rsidRPr="00312A78">
        <w:t xml:space="preserve">Cronin, A., Kelly, A., Wrona, M., O’Donnell, P., Hassan, A., Myles, T., Fallon, T. and MacFarlane, A. (2025) ‘The patient-safety implications of AI-based communication with migrants in general practice: a scoping review’, </w:t>
      </w:r>
      <w:r w:rsidRPr="00312A78">
        <w:rPr>
          <w:i/>
          <w:iCs/>
        </w:rPr>
        <w:t>BJGP Open</w:t>
      </w:r>
      <w:r w:rsidRPr="00312A78">
        <w:t>, p. BJGPO.2025.0107. Available at: https://doi.org/10.3399/bjgpo.2025.0107.</w:t>
      </w:r>
    </w:p>
    <w:p w14:paraId="2F507022" w14:textId="77777777" w:rsidR="00312A78" w:rsidRPr="00312A78" w:rsidRDefault="00312A78" w:rsidP="00312A78">
      <w:r w:rsidRPr="00312A78">
        <w:t xml:space="preserve">Department of Health and Social Care (2026) </w:t>
      </w:r>
      <w:r w:rsidRPr="00312A78">
        <w:rPr>
          <w:i/>
          <w:iCs/>
        </w:rPr>
        <w:t>Care Act Factsheets</w:t>
      </w:r>
      <w:r w:rsidRPr="00312A78">
        <w:t xml:space="preserve">, </w:t>
      </w:r>
      <w:r w:rsidRPr="00312A78">
        <w:rPr>
          <w:i/>
          <w:iCs/>
        </w:rPr>
        <w:t>GOV.UK</w:t>
      </w:r>
      <w:r w:rsidRPr="00312A78">
        <w:t>. Available at: https://www.gov.uk/government/publications/care-act-2014-part-1-factsheets/care-act-factsheets (Accessed: 12 March 2026).</w:t>
      </w:r>
    </w:p>
    <w:p w14:paraId="3BEA8C2A" w14:textId="2E580ACC" w:rsidR="00312A78" w:rsidRPr="00312A78" w:rsidRDefault="00312A78" w:rsidP="00312A78">
      <w:r w:rsidRPr="00312A78">
        <w:t xml:space="preserve">Gainey, K.M., Smith, J., McCaffery, K., Clifford, S. and Muscat, D.M. (2022) ‘What Author Instructions Do Health Journals Provide for Writing Plain Language Summaries? A Scoping Review’, </w:t>
      </w:r>
      <w:r w:rsidRPr="00312A78">
        <w:rPr>
          <w:i/>
          <w:iCs/>
        </w:rPr>
        <w:t xml:space="preserve">The Patient: </w:t>
      </w:r>
      <w:r w:rsidR="00D76479">
        <w:rPr>
          <w:i/>
          <w:iCs/>
        </w:rPr>
        <w:t>Patient-Centred</w:t>
      </w:r>
      <w:r w:rsidRPr="00312A78">
        <w:rPr>
          <w:i/>
          <w:iCs/>
        </w:rPr>
        <w:t xml:space="preserve"> Outcomes Research</w:t>
      </w:r>
      <w:r w:rsidRPr="00312A78">
        <w:t>, 16(1), pp. 31–42. Available at: https://doi.org/10.1007/s40271-022-00606-7.</w:t>
      </w:r>
    </w:p>
    <w:p w14:paraId="300FE97F" w14:textId="77777777" w:rsidR="00312A78" w:rsidRPr="00312A78" w:rsidRDefault="00312A78" w:rsidP="00312A78">
      <w:r w:rsidRPr="00312A78">
        <w:t xml:space="preserve">GOV.UK (2026) </w:t>
      </w:r>
      <w:r w:rsidRPr="00312A78">
        <w:rPr>
          <w:i/>
          <w:iCs/>
        </w:rPr>
        <w:t>Equality Act 2010</w:t>
      </w:r>
      <w:r w:rsidRPr="00312A78">
        <w:t xml:space="preserve">, </w:t>
      </w:r>
      <w:r w:rsidRPr="00312A78">
        <w:rPr>
          <w:i/>
          <w:iCs/>
        </w:rPr>
        <w:t>Legislation.gov.uk</w:t>
      </w:r>
      <w:r w:rsidRPr="00312A78">
        <w:t>. Gov.uk. Available at: https://www.legislation.gov.uk/ukpga/2010/15/contents (Accessed: 12 March 2026).</w:t>
      </w:r>
    </w:p>
    <w:p w14:paraId="6D7D767D" w14:textId="77777777" w:rsidR="00312A78" w:rsidRPr="00312A78" w:rsidRDefault="00312A78" w:rsidP="00312A78">
      <w:r w:rsidRPr="00312A78">
        <w:t xml:space="preserve">Ho, J.C.Y., Chai, H.H., Luo, B.W., Lo, E.C.M., Huang, M.Z. and Chu, C.H. (2025) ‘An Overview of Dentist–Patient Communication in Quality Dental Care’, </w:t>
      </w:r>
      <w:r w:rsidRPr="00312A78">
        <w:rPr>
          <w:i/>
          <w:iCs/>
        </w:rPr>
        <w:t>Dentistry Journal</w:t>
      </w:r>
      <w:r w:rsidRPr="00312A78">
        <w:t>, 13(1), p. 31. Available at: https://doi.org/10.3390/dj13010031.</w:t>
      </w:r>
    </w:p>
    <w:p w14:paraId="013792F3" w14:textId="77777777" w:rsidR="00312A78" w:rsidRPr="00312A78" w:rsidRDefault="00312A78" w:rsidP="00312A78">
      <w:r w:rsidRPr="00312A78">
        <w:t>Justin, P., Fournier, V., Naeyaert, A., Laroussi</w:t>
      </w:r>
      <w:r w:rsidRPr="00312A78">
        <w:rPr>
          <w:rFonts w:ascii="Cambria Math" w:hAnsi="Cambria Math" w:cs="Cambria Math"/>
        </w:rPr>
        <w:t>‐</w:t>
      </w:r>
      <w:r w:rsidRPr="00312A78">
        <w:t xml:space="preserve">Libeault, L., Duprez, C., Antoine, P. and Lamore, K. (2025) ‘Exploring Communication Dynamics Between Patients and Healthcare Providers in Oncology: A Systematic Review’, </w:t>
      </w:r>
      <w:r w:rsidRPr="00312A78">
        <w:rPr>
          <w:i/>
          <w:iCs/>
        </w:rPr>
        <w:t>Health Expectations</w:t>
      </w:r>
      <w:r w:rsidRPr="00312A78">
        <w:t>, 28(6). Available at: https://doi.org/10.1111/hex.70519.</w:t>
      </w:r>
    </w:p>
    <w:p w14:paraId="4C0D195E" w14:textId="77777777" w:rsidR="00312A78" w:rsidRPr="00312A78" w:rsidRDefault="00312A78" w:rsidP="00312A78">
      <w:r w:rsidRPr="00312A78">
        <w:lastRenderedPageBreak/>
        <w:t xml:space="preserve">Khatri, R., Endalamaw, A., Erku, D., Wolka, E., Nigatu, F., Zewdie, A. and Assefa, Y. (2023) ‘Continuity and care coordination of primary health care: A scoping review’, </w:t>
      </w:r>
      <w:r w:rsidRPr="00312A78">
        <w:rPr>
          <w:i/>
          <w:iCs/>
        </w:rPr>
        <w:t>BioMed Central Health Services Research</w:t>
      </w:r>
      <w:r w:rsidRPr="00312A78">
        <w:t>, 23(1), p. 750. Available at: https://doi.org/10.1186/s12913-023-09718-8.</w:t>
      </w:r>
    </w:p>
    <w:p w14:paraId="2D93019E" w14:textId="77777777" w:rsidR="00312A78" w:rsidRPr="00312A78" w:rsidRDefault="00312A78" w:rsidP="00312A78">
      <w:r w:rsidRPr="00312A78">
        <w:t xml:space="preserve">Kotlega, D., Kobus-Kotlega, K. and Szczuko, M. (2025a) ‘Narrative Review on Post-Stroke Outcomes Through Recognition of Frailty, Sarcopenia, and Palliative Care Needs’, </w:t>
      </w:r>
      <w:r w:rsidRPr="00312A78">
        <w:rPr>
          <w:i/>
          <w:iCs/>
        </w:rPr>
        <w:t>Healthcare</w:t>
      </w:r>
      <w:r w:rsidRPr="00312A78">
        <w:t>, 13(23), pp. 3011–3011. Available at: https://doi.org/10.3390/healthcare13233011.</w:t>
      </w:r>
    </w:p>
    <w:p w14:paraId="7BB1E0DD" w14:textId="77777777" w:rsidR="00312A78" w:rsidRPr="00312A78" w:rsidRDefault="00312A78" w:rsidP="00312A78">
      <w:r w:rsidRPr="00312A78">
        <w:t xml:space="preserve">Kotlega, D., Kobus-Kotlega, K. and Szczuko, M. (2025b) ‘Narrative Review on Post-Stroke Outcomes Through Recognition of Frailty, Sarcopenia, and Palliative Care Needs’, </w:t>
      </w:r>
      <w:r w:rsidRPr="00312A78">
        <w:rPr>
          <w:i/>
          <w:iCs/>
        </w:rPr>
        <w:t>Healthcare</w:t>
      </w:r>
      <w:r w:rsidRPr="00312A78">
        <w:t>, 13(23), pp. 3011–3011. Available at: https://doi.org/10.3390/healthcare13233011.</w:t>
      </w:r>
    </w:p>
    <w:p w14:paraId="720C6FA6" w14:textId="77777777" w:rsidR="00312A78" w:rsidRPr="00312A78" w:rsidRDefault="00312A78" w:rsidP="00312A78">
      <w:r w:rsidRPr="00312A78">
        <w:t xml:space="preserve">McBride, M., Kilgore, C. and Oozageer Gunowa, N. (2024) ‘The role of community and district nurses’, </w:t>
      </w:r>
      <w:r w:rsidRPr="00312A78">
        <w:rPr>
          <w:i/>
          <w:iCs/>
        </w:rPr>
        <w:t>Clinics in Integrated Care</w:t>
      </w:r>
      <w:r w:rsidRPr="00312A78">
        <w:t>, 27, p. 100231. Available at: https://doi.org/10.1016/j.intcar.2024.100231.</w:t>
      </w:r>
    </w:p>
    <w:p w14:paraId="62242CC3" w14:textId="77777777" w:rsidR="00312A78" w:rsidRPr="00312A78" w:rsidRDefault="00312A78" w:rsidP="00312A78">
      <w:r w:rsidRPr="00312A78">
        <w:t xml:space="preserve">Newman, C., Whitehead, P. and Thomson, M. (2022) ‘What are the common areas of risk and their characteristics found in intermediate care from an occupational therapy perspective? A scoping review’, </w:t>
      </w:r>
      <w:r w:rsidRPr="00312A78">
        <w:rPr>
          <w:i/>
          <w:iCs/>
        </w:rPr>
        <w:t>British Journal of Occupational Therapy</w:t>
      </w:r>
      <w:r w:rsidRPr="00312A78">
        <w:t>, 85(10), pp. 779–802. Available at: https://doi.org/10.1177/03080226221079233.</w:t>
      </w:r>
    </w:p>
    <w:p w14:paraId="20D61F9D" w14:textId="77777777" w:rsidR="00312A78" w:rsidRPr="00312A78" w:rsidRDefault="00312A78" w:rsidP="00312A78">
      <w:r w:rsidRPr="00312A78">
        <w:t xml:space="preserve">Ngondwe, P. and Tefera, G.M. (2025) ‘Barriers and Facilitators of Access to Healthcare Among Immigrants with Disabilities: A Qualitative Meta-Synthesis’, </w:t>
      </w:r>
      <w:r w:rsidRPr="00312A78">
        <w:rPr>
          <w:i/>
          <w:iCs/>
        </w:rPr>
        <w:t>Healthcare</w:t>
      </w:r>
      <w:r w:rsidRPr="00312A78">
        <w:t>, 13(3), p. 313. Available at: https://doi.org/10.3390/healthcare13030313.</w:t>
      </w:r>
    </w:p>
    <w:p w14:paraId="51879DA8" w14:textId="77777777" w:rsidR="00312A78" w:rsidRPr="00312A78" w:rsidRDefault="00312A78" w:rsidP="00312A78">
      <w:r w:rsidRPr="00312A78">
        <w:t xml:space="preserve">NHS (2026) </w:t>
      </w:r>
      <w:r w:rsidRPr="00312A78">
        <w:rPr>
          <w:i/>
          <w:iCs/>
        </w:rPr>
        <w:t>Systems holding personal confidential information - part 1</w:t>
      </w:r>
      <w:r w:rsidRPr="00312A78">
        <w:t xml:space="preserve">, </w:t>
      </w:r>
      <w:r w:rsidRPr="00312A78">
        <w:rPr>
          <w:i/>
          <w:iCs/>
        </w:rPr>
        <w:t>NHS Digital</w:t>
      </w:r>
      <w:r w:rsidRPr="00312A78">
        <w:t>. Available at: https://digital.nhs.uk/cyber-and-data-security/guidance-and-assurance/data-security-and-protection-toolkit-assessment-guides/guide-4-managing-data-access/systems-holding-personal-confidential-information-part-1 (Accessed: 12 March 2026).</w:t>
      </w:r>
    </w:p>
    <w:p w14:paraId="5AB804C8" w14:textId="2E5875EF" w:rsidR="00312A78" w:rsidRPr="00312A78" w:rsidRDefault="00312A78" w:rsidP="00312A78">
      <w:r w:rsidRPr="00312A78">
        <w:t>NHS England (2022)</w:t>
      </w:r>
      <w:r w:rsidR="00D76479">
        <w:t>.</w:t>
      </w:r>
      <w:r w:rsidRPr="00312A78">
        <w:t xml:space="preserve"> </w:t>
      </w:r>
      <w:r w:rsidRPr="00312A78">
        <w:rPr>
          <w:i/>
          <w:iCs/>
        </w:rPr>
        <w:t xml:space="preserve">What Are Integrated Care </w:t>
      </w:r>
      <w:r w:rsidR="00D76479">
        <w:rPr>
          <w:i/>
          <w:iCs/>
        </w:rPr>
        <w:t>Systems</w:t>
      </w:r>
      <w:r w:rsidRPr="00312A78">
        <w:rPr>
          <w:i/>
          <w:iCs/>
        </w:rPr>
        <w:t>?</w:t>
      </w:r>
      <w:r w:rsidRPr="00312A78">
        <w:t xml:space="preserve">, </w:t>
      </w:r>
      <w:r w:rsidRPr="00312A78">
        <w:rPr>
          <w:i/>
          <w:iCs/>
        </w:rPr>
        <w:t>NHS England</w:t>
      </w:r>
      <w:r w:rsidRPr="00312A78">
        <w:t>. Available at: https://www.england.nhs.uk/integratedcare/what-is-integrated-care/ (Accessed: 12 March 2026).</w:t>
      </w:r>
    </w:p>
    <w:p w14:paraId="6F27AC96" w14:textId="15CC3BD9" w:rsidR="00312A78" w:rsidRPr="00312A78" w:rsidRDefault="00312A78" w:rsidP="00312A78">
      <w:r w:rsidRPr="00312A78">
        <w:t xml:space="preserve">Youn, S., Geismar, H.N. and Pinedo, M. (2022) ‘Planning and scheduling in healthcare for better care coordination: Current understanding, trending topics, and future opportunities’, </w:t>
      </w:r>
      <w:r w:rsidRPr="00312A78">
        <w:rPr>
          <w:i/>
          <w:iCs/>
        </w:rPr>
        <w:lastRenderedPageBreak/>
        <w:t>Production and Operations Management</w:t>
      </w:r>
      <w:r w:rsidRPr="00312A78">
        <w:t>, 31(12), pp. 4407–4423. Available at: https://doi.org/10.1111/poms.13867.</w:t>
      </w:r>
    </w:p>
    <w:sectPr w:rsidR="00312A78" w:rsidRPr="00312A78" w:rsidSect="00312A78">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D25A88" w14:textId="77777777" w:rsidR="00084D04" w:rsidRDefault="00084D04" w:rsidP="00312A78">
      <w:pPr>
        <w:spacing w:before="0" w:after="0" w:line="240" w:lineRule="auto"/>
      </w:pPr>
      <w:r>
        <w:separator/>
      </w:r>
    </w:p>
  </w:endnote>
  <w:endnote w:type="continuationSeparator" w:id="0">
    <w:p w14:paraId="2814E996" w14:textId="77777777" w:rsidR="00084D04" w:rsidRDefault="00084D04" w:rsidP="00312A7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9179059"/>
      <w:docPartObj>
        <w:docPartGallery w:val="Page Numbers (Bottom of Page)"/>
        <w:docPartUnique/>
      </w:docPartObj>
    </w:sdtPr>
    <w:sdtEndPr>
      <w:rPr>
        <w:color w:val="7F7F7F" w:themeColor="background1" w:themeShade="7F"/>
        <w:spacing w:val="60"/>
      </w:rPr>
    </w:sdtEndPr>
    <w:sdtContent>
      <w:p w14:paraId="4B12934F" w14:textId="72671A07" w:rsidR="00312A78" w:rsidRDefault="00312A78">
        <w:pPr>
          <w:pStyle w:val="Footer"/>
          <w:pBdr>
            <w:top w:val="single" w:sz="4" w:space="1" w:color="D9D9D9" w:themeColor="background1" w:themeShade="D9"/>
          </w:pBdr>
          <w:jc w:val="right"/>
        </w:pPr>
        <w:r w:rsidRPr="00312A78">
          <w:rPr>
            <w:sz w:val="18"/>
            <w:szCs w:val="16"/>
          </w:rPr>
          <w:fldChar w:fldCharType="begin"/>
        </w:r>
        <w:r w:rsidRPr="00312A78">
          <w:rPr>
            <w:sz w:val="18"/>
            <w:szCs w:val="16"/>
          </w:rPr>
          <w:instrText>PAGE   \* MERGEFORMAT</w:instrText>
        </w:r>
        <w:r w:rsidRPr="00312A78">
          <w:rPr>
            <w:sz w:val="18"/>
            <w:szCs w:val="16"/>
          </w:rPr>
          <w:fldChar w:fldCharType="separate"/>
        </w:r>
        <w:r w:rsidRPr="00312A78">
          <w:rPr>
            <w:sz w:val="18"/>
            <w:szCs w:val="16"/>
          </w:rPr>
          <w:t>2</w:t>
        </w:r>
        <w:r w:rsidRPr="00312A78">
          <w:rPr>
            <w:sz w:val="18"/>
            <w:szCs w:val="16"/>
          </w:rPr>
          <w:fldChar w:fldCharType="end"/>
        </w:r>
        <w:r w:rsidRPr="00312A78">
          <w:rPr>
            <w:sz w:val="18"/>
            <w:szCs w:val="16"/>
          </w:rPr>
          <w:t xml:space="preserve"> | </w:t>
        </w:r>
        <w:r w:rsidRPr="00312A78">
          <w:rPr>
            <w:color w:val="7F7F7F" w:themeColor="background1" w:themeShade="7F"/>
            <w:spacing w:val="60"/>
            <w:sz w:val="18"/>
            <w:szCs w:val="16"/>
          </w:rPr>
          <w:t>Page</w:t>
        </w:r>
      </w:p>
    </w:sdtContent>
  </w:sdt>
  <w:p w14:paraId="5CC2FF9E" w14:textId="77777777" w:rsidR="00312A78" w:rsidRDefault="00312A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01C225" w14:textId="77777777" w:rsidR="00084D04" w:rsidRDefault="00084D04" w:rsidP="00312A78">
      <w:pPr>
        <w:spacing w:before="0" w:after="0" w:line="240" w:lineRule="auto"/>
      </w:pPr>
      <w:r>
        <w:separator/>
      </w:r>
    </w:p>
  </w:footnote>
  <w:footnote w:type="continuationSeparator" w:id="0">
    <w:p w14:paraId="52F18A31" w14:textId="77777777" w:rsidR="00084D04" w:rsidRDefault="00084D04" w:rsidP="00312A78">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A78"/>
    <w:rsid w:val="000435D6"/>
    <w:rsid w:val="00084D04"/>
    <w:rsid w:val="0018111A"/>
    <w:rsid w:val="001A644E"/>
    <w:rsid w:val="00200FF3"/>
    <w:rsid w:val="00226B10"/>
    <w:rsid w:val="00235BB8"/>
    <w:rsid w:val="002F2B27"/>
    <w:rsid w:val="00312A78"/>
    <w:rsid w:val="003131E9"/>
    <w:rsid w:val="00352234"/>
    <w:rsid w:val="004B5842"/>
    <w:rsid w:val="00550DF4"/>
    <w:rsid w:val="00553229"/>
    <w:rsid w:val="006E6F7B"/>
    <w:rsid w:val="008D5FD7"/>
    <w:rsid w:val="009078FD"/>
    <w:rsid w:val="009422F0"/>
    <w:rsid w:val="00964D51"/>
    <w:rsid w:val="009A3769"/>
    <w:rsid w:val="009B2B5E"/>
    <w:rsid w:val="009D3303"/>
    <w:rsid w:val="00A2635E"/>
    <w:rsid w:val="00A3178F"/>
    <w:rsid w:val="00AE0597"/>
    <w:rsid w:val="00B4311D"/>
    <w:rsid w:val="00B44D24"/>
    <w:rsid w:val="00BB7E3D"/>
    <w:rsid w:val="00C17D42"/>
    <w:rsid w:val="00C2067F"/>
    <w:rsid w:val="00C326D6"/>
    <w:rsid w:val="00CB53A3"/>
    <w:rsid w:val="00D76479"/>
    <w:rsid w:val="00DA3E7F"/>
    <w:rsid w:val="00DF2F48"/>
    <w:rsid w:val="00EF5246"/>
    <w:rsid w:val="00FD60B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A25CE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2A78"/>
    <w:rPr>
      <w:rFonts w:ascii="Arial" w:hAnsi="Arial" w:cs="Arial"/>
      <w:noProof/>
      <w:sz w:val="22"/>
      <w:szCs w:val="20"/>
    </w:rPr>
  </w:style>
  <w:style w:type="paragraph" w:styleId="Heading1">
    <w:name w:val="heading 1"/>
    <w:basedOn w:val="Normal"/>
    <w:next w:val="Normal"/>
    <w:link w:val="Heading1Char"/>
    <w:autoRedefine/>
    <w:uiPriority w:val="9"/>
    <w:qFormat/>
    <w:rsid w:val="00312A78"/>
    <w:pPr>
      <w:keepNext/>
      <w:keepLines/>
      <w:spacing w:before="120" w:after="120"/>
      <w:outlineLvl w:val="0"/>
    </w:pPr>
    <w:rPr>
      <w:b/>
      <w:color w:val="222222"/>
      <w:kern w:val="2"/>
      <w:sz w:val="28"/>
      <w:szCs w:val="40"/>
      <w:lang w:val="en-IN"/>
      <w14:ligatures w14:val="standardContextual"/>
    </w:rPr>
  </w:style>
  <w:style w:type="paragraph" w:styleId="Heading2">
    <w:name w:val="heading 2"/>
    <w:basedOn w:val="Normal"/>
    <w:next w:val="Normal"/>
    <w:link w:val="Heading2Char"/>
    <w:autoRedefine/>
    <w:uiPriority w:val="9"/>
    <w:unhideWhenUsed/>
    <w:qFormat/>
    <w:rsid w:val="00312A78"/>
    <w:pPr>
      <w:keepNext/>
      <w:keepLines/>
      <w:outlineLvl w:val="1"/>
    </w:pPr>
    <w:rPr>
      <w:b/>
      <w:sz w:val="26"/>
      <w:szCs w:val="32"/>
    </w:rPr>
  </w:style>
  <w:style w:type="paragraph" w:styleId="Heading3">
    <w:name w:val="heading 3"/>
    <w:basedOn w:val="Normal"/>
    <w:next w:val="Normal"/>
    <w:link w:val="Heading3Char"/>
    <w:uiPriority w:val="9"/>
    <w:semiHidden/>
    <w:unhideWhenUsed/>
    <w:qFormat/>
    <w:rsid w:val="00312A78"/>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12A7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12A7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12A7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12A7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12A78"/>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12A78"/>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2A78"/>
    <w:rPr>
      <w:rFonts w:ascii="Arial" w:hAnsi="Arial" w:cs="Arial"/>
      <w:b/>
      <w:noProof/>
      <w:color w:val="222222"/>
      <w:kern w:val="2"/>
      <w:sz w:val="28"/>
      <w:szCs w:val="40"/>
      <w:lang w:val="en-IN"/>
      <w14:ligatures w14:val="standardContextual"/>
    </w:rPr>
  </w:style>
  <w:style w:type="character" w:customStyle="1" w:styleId="Heading2Char">
    <w:name w:val="Heading 2 Char"/>
    <w:basedOn w:val="DefaultParagraphFont"/>
    <w:link w:val="Heading2"/>
    <w:uiPriority w:val="9"/>
    <w:rsid w:val="00312A78"/>
    <w:rPr>
      <w:rFonts w:ascii="Arial" w:hAnsi="Arial" w:cs="Arial"/>
      <w:b/>
      <w:noProof/>
      <w:sz w:val="26"/>
      <w:szCs w:val="32"/>
    </w:rPr>
  </w:style>
  <w:style w:type="paragraph" w:styleId="Title">
    <w:name w:val="Title"/>
    <w:basedOn w:val="Normal"/>
    <w:next w:val="Normal"/>
    <w:link w:val="TitleChar"/>
    <w:autoRedefine/>
    <w:uiPriority w:val="10"/>
    <w:qFormat/>
    <w:rsid w:val="00964D51"/>
    <w:pPr>
      <w:keepNext/>
      <w:keepLines/>
      <w:pBdr>
        <w:bottom w:val="single" w:sz="4" w:space="1" w:color="auto"/>
      </w:pBdr>
      <w:jc w:val="center"/>
    </w:pPr>
    <w:rPr>
      <w:b/>
      <w:caps/>
      <w:sz w:val="36"/>
      <w:szCs w:val="52"/>
    </w:rPr>
  </w:style>
  <w:style w:type="character" w:customStyle="1" w:styleId="TitleChar">
    <w:name w:val="Title Char"/>
    <w:basedOn w:val="DefaultParagraphFont"/>
    <w:link w:val="Title"/>
    <w:uiPriority w:val="10"/>
    <w:rsid w:val="00964D51"/>
    <w:rPr>
      <w:b/>
      <w:caps/>
      <w:color w:val="auto"/>
      <w:kern w:val="0"/>
      <w:sz w:val="36"/>
      <w:szCs w:val="52"/>
      <w:lang w:val="en" w:eastAsia="en-IN"/>
      <w14:ligatures w14:val="none"/>
    </w:rPr>
  </w:style>
  <w:style w:type="character" w:customStyle="1" w:styleId="Heading3Char">
    <w:name w:val="Heading 3 Char"/>
    <w:basedOn w:val="DefaultParagraphFont"/>
    <w:link w:val="Heading3"/>
    <w:uiPriority w:val="9"/>
    <w:semiHidden/>
    <w:rsid w:val="00312A78"/>
    <w:rPr>
      <w:rFonts w:asciiTheme="minorHAnsi" w:eastAsiaTheme="majorEastAsia" w:hAnsiTheme="minorHAnsi" w:cstheme="majorBidi"/>
      <w:noProof/>
      <w:color w:val="2F5496" w:themeColor="accent1" w:themeShade="BF"/>
      <w:sz w:val="28"/>
      <w:szCs w:val="28"/>
    </w:rPr>
  </w:style>
  <w:style w:type="character" w:customStyle="1" w:styleId="Heading4Char">
    <w:name w:val="Heading 4 Char"/>
    <w:basedOn w:val="DefaultParagraphFont"/>
    <w:link w:val="Heading4"/>
    <w:uiPriority w:val="9"/>
    <w:semiHidden/>
    <w:rsid w:val="00312A78"/>
    <w:rPr>
      <w:rFonts w:asciiTheme="minorHAnsi" w:eastAsiaTheme="majorEastAsia" w:hAnsiTheme="minorHAnsi" w:cstheme="majorBidi"/>
      <w:i/>
      <w:iCs/>
      <w:noProof/>
      <w:color w:val="2F5496" w:themeColor="accent1" w:themeShade="BF"/>
    </w:rPr>
  </w:style>
  <w:style w:type="character" w:customStyle="1" w:styleId="Heading5Char">
    <w:name w:val="Heading 5 Char"/>
    <w:basedOn w:val="DefaultParagraphFont"/>
    <w:link w:val="Heading5"/>
    <w:uiPriority w:val="9"/>
    <w:semiHidden/>
    <w:rsid w:val="00312A78"/>
    <w:rPr>
      <w:rFonts w:asciiTheme="minorHAnsi" w:eastAsiaTheme="majorEastAsia" w:hAnsiTheme="minorHAnsi" w:cstheme="majorBidi"/>
      <w:noProof/>
      <w:color w:val="2F5496" w:themeColor="accent1" w:themeShade="BF"/>
    </w:rPr>
  </w:style>
  <w:style w:type="character" w:customStyle="1" w:styleId="Heading6Char">
    <w:name w:val="Heading 6 Char"/>
    <w:basedOn w:val="DefaultParagraphFont"/>
    <w:link w:val="Heading6"/>
    <w:uiPriority w:val="9"/>
    <w:semiHidden/>
    <w:rsid w:val="00312A78"/>
    <w:rPr>
      <w:rFonts w:asciiTheme="minorHAnsi" w:eastAsiaTheme="majorEastAsia" w:hAnsiTheme="minorHAnsi" w:cstheme="majorBidi"/>
      <w:i/>
      <w:iCs/>
      <w:noProof/>
      <w:color w:val="595959" w:themeColor="text1" w:themeTint="A6"/>
    </w:rPr>
  </w:style>
  <w:style w:type="character" w:customStyle="1" w:styleId="Heading7Char">
    <w:name w:val="Heading 7 Char"/>
    <w:basedOn w:val="DefaultParagraphFont"/>
    <w:link w:val="Heading7"/>
    <w:uiPriority w:val="9"/>
    <w:semiHidden/>
    <w:rsid w:val="00312A78"/>
    <w:rPr>
      <w:rFonts w:asciiTheme="minorHAnsi" w:eastAsiaTheme="majorEastAsia" w:hAnsiTheme="minorHAnsi" w:cstheme="majorBidi"/>
      <w:noProof/>
      <w:color w:val="595959" w:themeColor="text1" w:themeTint="A6"/>
    </w:rPr>
  </w:style>
  <w:style w:type="character" w:customStyle="1" w:styleId="Heading8Char">
    <w:name w:val="Heading 8 Char"/>
    <w:basedOn w:val="DefaultParagraphFont"/>
    <w:link w:val="Heading8"/>
    <w:uiPriority w:val="9"/>
    <w:semiHidden/>
    <w:rsid w:val="00312A78"/>
    <w:rPr>
      <w:rFonts w:asciiTheme="minorHAnsi" w:eastAsiaTheme="majorEastAsia" w:hAnsiTheme="minorHAnsi" w:cstheme="majorBidi"/>
      <w:i/>
      <w:iCs/>
      <w:noProof/>
      <w:color w:val="272727" w:themeColor="text1" w:themeTint="D8"/>
    </w:rPr>
  </w:style>
  <w:style w:type="character" w:customStyle="1" w:styleId="Heading9Char">
    <w:name w:val="Heading 9 Char"/>
    <w:basedOn w:val="DefaultParagraphFont"/>
    <w:link w:val="Heading9"/>
    <w:uiPriority w:val="9"/>
    <w:semiHidden/>
    <w:rsid w:val="00312A78"/>
    <w:rPr>
      <w:rFonts w:asciiTheme="minorHAnsi" w:eastAsiaTheme="majorEastAsia" w:hAnsiTheme="minorHAnsi" w:cstheme="majorBidi"/>
      <w:noProof/>
      <w:color w:val="272727" w:themeColor="text1" w:themeTint="D8"/>
    </w:rPr>
  </w:style>
  <w:style w:type="paragraph" w:styleId="Subtitle">
    <w:name w:val="Subtitle"/>
    <w:basedOn w:val="Normal"/>
    <w:next w:val="Normal"/>
    <w:link w:val="SubtitleChar"/>
    <w:uiPriority w:val="11"/>
    <w:qFormat/>
    <w:rsid w:val="00312A7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2A78"/>
    <w:rPr>
      <w:rFonts w:asciiTheme="minorHAnsi" w:eastAsiaTheme="majorEastAsia" w:hAnsiTheme="minorHAnsi" w:cstheme="majorBidi"/>
      <w:noProof/>
      <w:color w:val="595959" w:themeColor="text1" w:themeTint="A6"/>
      <w:spacing w:val="15"/>
      <w:sz w:val="28"/>
      <w:szCs w:val="28"/>
    </w:rPr>
  </w:style>
  <w:style w:type="paragraph" w:styleId="Quote">
    <w:name w:val="Quote"/>
    <w:basedOn w:val="Normal"/>
    <w:next w:val="Normal"/>
    <w:link w:val="QuoteChar"/>
    <w:uiPriority w:val="29"/>
    <w:qFormat/>
    <w:rsid w:val="00312A7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12A78"/>
    <w:rPr>
      <w:i/>
      <w:iCs/>
      <w:noProof/>
      <w:color w:val="404040" w:themeColor="text1" w:themeTint="BF"/>
    </w:rPr>
  </w:style>
  <w:style w:type="paragraph" w:styleId="ListParagraph">
    <w:name w:val="List Paragraph"/>
    <w:basedOn w:val="Normal"/>
    <w:uiPriority w:val="34"/>
    <w:qFormat/>
    <w:rsid w:val="00312A78"/>
    <w:pPr>
      <w:ind w:left="720"/>
      <w:contextualSpacing/>
    </w:pPr>
  </w:style>
  <w:style w:type="character" w:styleId="IntenseEmphasis">
    <w:name w:val="Intense Emphasis"/>
    <w:basedOn w:val="DefaultParagraphFont"/>
    <w:uiPriority w:val="21"/>
    <w:qFormat/>
    <w:rsid w:val="00312A78"/>
    <w:rPr>
      <w:i/>
      <w:iCs/>
      <w:color w:val="2F5496" w:themeColor="accent1" w:themeShade="BF"/>
    </w:rPr>
  </w:style>
  <w:style w:type="paragraph" w:styleId="IntenseQuote">
    <w:name w:val="Intense Quote"/>
    <w:basedOn w:val="Normal"/>
    <w:next w:val="Normal"/>
    <w:link w:val="IntenseQuoteChar"/>
    <w:uiPriority w:val="30"/>
    <w:qFormat/>
    <w:rsid w:val="00312A7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12A78"/>
    <w:rPr>
      <w:i/>
      <w:iCs/>
      <w:noProof/>
      <w:color w:val="2F5496" w:themeColor="accent1" w:themeShade="BF"/>
    </w:rPr>
  </w:style>
  <w:style w:type="character" w:styleId="IntenseReference">
    <w:name w:val="Intense Reference"/>
    <w:basedOn w:val="DefaultParagraphFont"/>
    <w:uiPriority w:val="32"/>
    <w:qFormat/>
    <w:rsid w:val="00312A78"/>
    <w:rPr>
      <w:b/>
      <w:bCs/>
      <w:smallCaps/>
      <w:color w:val="2F5496" w:themeColor="accent1" w:themeShade="BF"/>
      <w:spacing w:val="5"/>
    </w:rPr>
  </w:style>
  <w:style w:type="paragraph" w:styleId="Header">
    <w:name w:val="header"/>
    <w:basedOn w:val="Normal"/>
    <w:link w:val="HeaderChar"/>
    <w:uiPriority w:val="99"/>
    <w:unhideWhenUsed/>
    <w:rsid w:val="00312A7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12A78"/>
    <w:rPr>
      <w:rFonts w:ascii="Arial" w:hAnsi="Arial" w:cs="Arial"/>
      <w:noProof/>
      <w:sz w:val="22"/>
      <w:szCs w:val="20"/>
    </w:rPr>
  </w:style>
  <w:style w:type="paragraph" w:styleId="Footer">
    <w:name w:val="footer"/>
    <w:basedOn w:val="Normal"/>
    <w:link w:val="FooterChar"/>
    <w:uiPriority w:val="99"/>
    <w:unhideWhenUsed/>
    <w:rsid w:val="00312A7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12A78"/>
    <w:rPr>
      <w:rFonts w:ascii="Arial" w:hAnsi="Arial" w:cs="Arial"/>
      <w:noProof/>
      <w:sz w:val="22"/>
      <w:szCs w:val="20"/>
    </w:rPr>
  </w:style>
  <w:style w:type="paragraph" w:styleId="TOCHeading">
    <w:name w:val="TOC Heading"/>
    <w:basedOn w:val="Heading1"/>
    <w:next w:val="Normal"/>
    <w:uiPriority w:val="39"/>
    <w:unhideWhenUsed/>
    <w:qFormat/>
    <w:rsid w:val="00312A78"/>
    <w:pPr>
      <w:spacing w:before="240" w:beforeAutospacing="0" w:after="0" w:afterAutospacing="0" w:line="259" w:lineRule="auto"/>
      <w:jc w:val="left"/>
      <w:outlineLvl w:val="9"/>
    </w:pPr>
    <w:rPr>
      <w:rFonts w:asciiTheme="majorHAnsi" w:eastAsiaTheme="majorEastAsia" w:hAnsiTheme="majorHAnsi" w:cstheme="majorBidi"/>
      <w:b w:val="0"/>
      <w:noProof w:val="0"/>
      <w:color w:val="2F5496" w:themeColor="accent1" w:themeShade="BF"/>
      <w:kern w:val="0"/>
      <w:sz w:val="32"/>
      <w:szCs w:val="32"/>
      <w:lang w:val="en-GB" w:eastAsia="en-GB"/>
      <w14:ligatures w14:val="none"/>
    </w:rPr>
  </w:style>
  <w:style w:type="paragraph" w:styleId="TOC1">
    <w:name w:val="toc 1"/>
    <w:basedOn w:val="Normal"/>
    <w:next w:val="Normal"/>
    <w:autoRedefine/>
    <w:uiPriority w:val="39"/>
    <w:unhideWhenUsed/>
    <w:rsid w:val="00312A78"/>
  </w:style>
  <w:style w:type="paragraph" w:styleId="TOC2">
    <w:name w:val="toc 2"/>
    <w:basedOn w:val="Normal"/>
    <w:next w:val="Normal"/>
    <w:autoRedefine/>
    <w:uiPriority w:val="39"/>
    <w:unhideWhenUsed/>
    <w:rsid w:val="00312A78"/>
    <w:pPr>
      <w:ind w:left="220"/>
    </w:pPr>
  </w:style>
  <w:style w:type="character" w:styleId="Hyperlink">
    <w:name w:val="Hyperlink"/>
    <w:basedOn w:val="DefaultParagraphFont"/>
    <w:uiPriority w:val="99"/>
    <w:unhideWhenUsed/>
    <w:rsid w:val="00312A78"/>
    <w:rPr>
      <w:color w:val="0563C1" w:themeColor="hyperlink"/>
      <w:u w:val="single"/>
    </w:rPr>
  </w:style>
  <w:style w:type="paragraph" w:styleId="NoSpacing">
    <w:name w:val="No Spacing"/>
    <w:link w:val="NoSpacingChar"/>
    <w:uiPriority w:val="1"/>
    <w:qFormat/>
    <w:rsid w:val="00D76479"/>
    <w:pPr>
      <w:spacing w:before="0" w:beforeAutospacing="0" w:after="0" w:afterAutospacing="0" w:line="240" w:lineRule="auto"/>
      <w:jc w:val="left"/>
    </w:pPr>
    <w:rPr>
      <w:rFonts w:asciiTheme="minorHAnsi" w:eastAsiaTheme="minorEastAsia" w:hAnsiTheme="minorHAnsi"/>
      <w:sz w:val="22"/>
      <w:lang w:eastAsia="en-GB"/>
    </w:rPr>
  </w:style>
  <w:style w:type="character" w:customStyle="1" w:styleId="NoSpacingChar">
    <w:name w:val="No Spacing Char"/>
    <w:basedOn w:val="DefaultParagraphFont"/>
    <w:link w:val="NoSpacing"/>
    <w:uiPriority w:val="1"/>
    <w:rsid w:val="00D76479"/>
    <w:rPr>
      <w:rFonts w:asciiTheme="minorHAnsi" w:eastAsiaTheme="minorEastAsia" w:hAnsiTheme="minorHAnsi"/>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B5B3F8-CE9C-4A61-A91E-9EE7737F15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2512</Words>
  <Characters>14322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2026-03-24T09:42:00Z</dcterms:created>
  <dcterms:modified xsi:type="dcterms:W3CDTF">2026-03-24T09:43:00Z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926ee81d-03c1-4d7d-876e-b1133a321880</vt:lpwstr>
  </property>
</Properties>
</file>