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61F29FFF"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 xml:space="preserve">Assessment Component </w:t>
      </w:r>
      <w:r w:rsidR="000F28AC">
        <w:rPr>
          <w:rFonts w:ascii="Times New Roman" w:hAnsi="Times New Roman"/>
          <w:b/>
          <w:bCs/>
          <w:sz w:val="32"/>
          <w:szCs w:val="32"/>
        </w:rPr>
        <w:t>2</w:t>
      </w:r>
    </w:p>
    <w:p w14:paraId="7ACE318B" w14:textId="74FA6117" w:rsidR="001B55CA" w:rsidRDefault="00D46920" w:rsidP="001B55CA">
      <w:pPr>
        <w:spacing w:line="360" w:lineRule="auto"/>
        <w:rPr>
          <w:rStyle w:val="Strong"/>
          <w:rFonts w:ascii="Segoe UI" w:hAnsi="Segoe UI" w:cs="Segoe UI"/>
          <w:color w:val="1D2125"/>
          <w:sz w:val="36"/>
          <w:szCs w:val="36"/>
          <w:shd w:val="clear" w:color="auto" w:fill="FFFFFF"/>
        </w:rPr>
      </w:pPr>
      <w:r>
        <w:rPr>
          <w:noProof/>
        </w:rPr>
        <w:drawing>
          <wp:anchor distT="0" distB="0" distL="114300" distR="114300" simplePos="0" relativeHeight="251658240" behindDoc="0" locked="0" layoutInCell="1" allowOverlap="1" wp14:anchorId="7B112E65" wp14:editId="09FAC8EA">
            <wp:simplePos x="0" y="0"/>
            <wp:positionH relativeFrom="column">
              <wp:align>left</wp:align>
            </wp:positionH>
            <wp:positionV relativeFrom="paragraph">
              <wp:align>top</wp:align>
            </wp:positionV>
            <wp:extent cx="3345180" cy="1343660"/>
            <wp:effectExtent l="0" t="0" r="7620" b="8890"/>
            <wp:wrapSquare wrapText="bothSides"/>
            <wp:docPr id="1" name="Picture 1" descr="UWTSD logo | Discover Dylan Thomas">
              <a:extLst xmlns:a="http://schemas.openxmlformats.org/drawingml/2006/main">
                <a:ext uri="{FF2B5EF4-FFF2-40B4-BE49-F238E27FC236}">
                  <a16:creationId xmlns:a16="http://schemas.microsoft.com/office/drawing/2014/main" id="{A3F300E9-4DFE-4836-88FA-918D18985CDE}"/>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anchor>
        </w:drawing>
      </w:r>
      <w:r w:rsidR="00FF46D0">
        <w:rPr>
          <w:rStyle w:val="Strong"/>
          <w:rFonts w:ascii="Segoe UI" w:hAnsi="Segoe UI" w:cs="Segoe UI"/>
          <w:color w:val="1D2125"/>
          <w:sz w:val="36"/>
          <w:szCs w:val="36"/>
          <w:shd w:val="clear" w:color="auto" w:fill="FFFFFF"/>
        </w:rPr>
        <w:br w:type="textWrapping" w:clear="all"/>
      </w:r>
    </w:p>
    <w:p w14:paraId="454A5F46" w14:textId="75733384" w:rsidR="00D46920" w:rsidRPr="001B55CA" w:rsidRDefault="0037732B" w:rsidP="001B55CA">
      <w:pPr>
        <w:spacing w:line="360" w:lineRule="auto"/>
        <w:rPr>
          <w:rStyle w:val="Strong"/>
          <w:b w:val="0"/>
          <w:bCs w:val="0"/>
        </w:rPr>
      </w:pPr>
      <w:r>
        <w:rPr>
          <w:rStyle w:val="Strong"/>
          <w:rFonts w:ascii="Segoe UI" w:hAnsi="Segoe UI" w:cs="Segoe UI"/>
          <w:color w:val="1D2125"/>
          <w:sz w:val="36"/>
          <w:szCs w:val="36"/>
          <w:shd w:val="clear" w:color="auto" w:fill="FFFFFF"/>
        </w:rPr>
        <w:t>Changemakers</w:t>
      </w:r>
      <w:r w:rsidR="00D46920">
        <w:rPr>
          <w:rStyle w:val="Strong"/>
          <w:rFonts w:ascii="Segoe UI" w:hAnsi="Segoe UI" w:cs="Segoe UI"/>
          <w:color w:val="1D2125"/>
          <w:sz w:val="36"/>
          <w:szCs w:val="36"/>
          <w:shd w:val="clear" w:color="auto" w:fill="FFFFFF"/>
        </w:rPr>
        <w:t>: Creativity and Value Creation</w:t>
      </w:r>
      <w:r w:rsidR="00871EA6">
        <w:rPr>
          <w:rStyle w:val="Strong"/>
          <w:rFonts w:ascii="Segoe UI" w:hAnsi="Segoe UI" w:cs="Segoe UI"/>
          <w:color w:val="1D2125"/>
          <w:sz w:val="36"/>
          <w:szCs w:val="36"/>
          <w:shd w:val="clear" w:color="auto" w:fill="FFFFFF"/>
        </w:rPr>
        <w:t xml:space="preserve"> </w:t>
      </w:r>
      <w:r w:rsidR="00503969">
        <w:rPr>
          <w:rStyle w:val="Strong"/>
          <w:rFonts w:ascii="Segoe UI" w:hAnsi="Segoe UI" w:cs="Segoe UI"/>
          <w:color w:val="1D2125"/>
          <w:sz w:val="36"/>
          <w:szCs w:val="36"/>
          <w:shd w:val="clear" w:color="auto" w:fill="FFFFFF"/>
        </w:rPr>
        <w:t>2</w:t>
      </w:r>
      <w:r w:rsidR="00C2256A">
        <w:rPr>
          <w:rStyle w:val="Strong"/>
          <w:rFonts w:ascii="Segoe UI" w:hAnsi="Segoe UI" w:cs="Segoe UI"/>
          <w:color w:val="1D2125"/>
          <w:sz w:val="36"/>
          <w:szCs w:val="36"/>
          <w:shd w:val="clear" w:color="auto" w:fill="FFFFFF"/>
        </w:rPr>
        <w:t xml:space="preserve"> </w:t>
      </w:r>
      <w:r w:rsidR="001929D9">
        <w:rPr>
          <w:rStyle w:val="Strong"/>
          <w:rFonts w:ascii="Segoe UI" w:hAnsi="Segoe UI" w:cs="Segoe UI"/>
          <w:color w:val="1D2125"/>
          <w:sz w:val="36"/>
          <w:szCs w:val="36"/>
          <w:shd w:val="clear" w:color="auto" w:fill="FFFFFF"/>
        </w:rPr>
        <w:t>PARTS, A</w:t>
      </w:r>
      <w:r w:rsidR="00A44C8B">
        <w:rPr>
          <w:rStyle w:val="Strong"/>
          <w:rFonts w:ascii="Segoe UI" w:hAnsi="Segoe UI" w:cs="Segoe UI"/>
          <w:color w:val="1D2125"/>
          <w:sz w:val="36"/>
          <w:szCs w:val="36"/>
          <w:shd w:val="clear" w:color="auto" w:fill="FFFFFF"/>
        </w:rPr>
        <w:t xml:space="preserve"> poster </w:t>
      </w:r>
      <w:r w:rsidR="00411FD8">
        <w:rPr>
          <w:rStyle w:val="Strong"/>
          <w:rFonts w:ascii="Segoe UI" w:hAnsi="Segoe UI" w:cs="Segoe UI"/>
          <w:color w:val="1D2125"/>
          <w:sz w:val="36"/>
          <w:szCs w:val="36"/>
          <w:shd w:val="clear" w:color="auto" w:fill="FFFFFF"/>
        </w:rPr>
        <w:t>and A PITCH</w:t>
      </w:r>
    </w:p>
    <w:p w14:paraId="0D7EA3D7" w14:textId="675175C5" w:rsidR="00D46920" w:rsidRDefault="00D46920" w:rsidP="001B55CA">
      <w:pPr>
        <w:spacing w:line="360" w:lineRule="auto"/>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r w:rsidR="001B55CA">
        <w:rPr>
          <w:rStyle w:val="Strong"/>
          <w:rFonts w:ascii="Arial" w:hAnsi="Arial" w:cs="Arial"/>
          <w:color w:val="1D2125"/>
          <w:sz w:val="36"/>
          <w:szCs w:val="36"/>
        </w:rPr>
        <w:t xml:space="preserve"> </w:t>
      </w:r>
    </w:p>
    <w:p w14:paraId="58EAA200" w14:textId="646231B1" w:rsidR="00D46920" w:rsidRPr="009A1720" w:rsidRDefault="009A17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Programme: BSc</w:t>
      </w:r>
      <w:r w:rsidR="00CD3C03">
        <w:rPr>
          <w:rFonts w:ascii="Arial" w:hAnsi="Arial" w:cs="Arial"/>
          <w:b/>
          <w:bCs/>
          <w:color w:val="000000"/>
          <w:sz w:val="32"/>
          <w:szCs w:val="32"/>
        </w:rPr>
        <w:t xml:space="preserve"> Hea</w:t>
      </w:r>
      <w:r>
        <w:rPr>
          <w:rFonts w:ascii="Arial" w:hAnsi="Arial" w:cs="Arial"/>
          <w:b/>
          <w:bCs/>
          <w:color w:val="000000"/>
          <w:sz w:val="32"/>
          <w:szCs w:val="32"/>
        </w:rPr>
        <w:t xml:space="preserve">lth and Social care  </w:t>
      </w:r>
    </w:p>
    <w:p w14:paraId="3C55ACB9" w14:textId="271AB6B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Student </w:t>
      </w:r>
      <w:r w:rsidR="009A1720">
        <w:rPr>
          <w:rStyle w:val="Strong"/>
          <w:rFonts w:ascii="Arial" w:hAnsi="Arial" w:cs="Arial"/>
          <w:color w:val="1D2125"/>
          <w:sz w:val="32"/>
          <w:szCs w:val="32"/>
        </w:rPr>
        <w:t xml:space="preserve">name: Regina Bempah Owusu </w:t>
      </w:r>
    </w:p>
    <w:p w14:paraId="3DCFFD10" w14:textId="0EDB23B4" w:rsidR="00D46920" w:rsidRDefault="00CD3C03"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w:t>
      </w:r>
      <w:r w:rsidR="00D46920">
        <w:rPr>
          <w:rStyle w:val="Strong"/>
          <w:rFonts w:ascii="Arial" w:hAnsi="Arial" w:cs="Arial"/>
          <w:color w:val="1D2125"/>
          <w:sz w:val="32"/>
          <w:szCs w:val="32"/>
        </w:rPr>
        <w:t xml:space="preserve"> number:</w:t>
      </w:r>
      <w:r>
        <w:rPr>
          <w:rStyle w:val="Strong"/>
          <w:rFonts w:ascii="Arial" w:hAnsi="Arial" w:cs="Arial"/>
          <w:color w:val="1D2125"/>
          <w:sz w:val="32"/>
          <w:szCs w:val="32"/>
        </w:rPr>
        <w:t xml:space="preserve">   </w:t>
      </w:r>
      <w:r w:rsidR="009A1720">
        <w:rPr>
          <w:rStyle w:val="Strong"/>
          <w:rFonts w:ascii="Arial" w:hAnsi="Arial" w:cs="Arial"/>
          <w:color w:val="1D2125"/>
          <w:sz w:val="32"/>
          <w:szCs w:val="32"/>
        </w:rPr>
        <w:t>2427848</w:t>
      </w:r>
      <w:r>
        <w:rPr>
          <w:rStyle w:val="Strong"/>
          <w:rFonts w:ascii="Arial" w:hAnsi="Arial" w:cs="Arial"/>
          <w:color w:val="1D2125"/>
          <w:sz w:val="32"/>
          <w:szCs w:val="32"/>
        </w:rPr>
        <w:t xml:space="preserve"> </w:t>
      </w:r>
      <w:r w:rsidR="009F7033">
        <w:rPr>
          <w:rStyle w:val="Strong"/>
          <w:rFonts w:ascii="Arial" w:hAnsi="Arial" w:cs="Arial"/>
          <w:color w:val="1D2125"/>
          <w:sz w:val="32"/>
          <w:szCs w:val="32"/>
        </w:rPr>
        <w:t xml:space="preserve">  </w:t>
      </w:r>
    </w:p>
    <w:p w14:paraId="42F83419" w14:textId="47FD12C2" w:rsidR="009F7033" w:rsidRDefault="009F7033"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 Name: </w:t>
      </w:r>
      <w:r w:rsidR="00914DA2">
        <w:rPr>
          <w:rStyle w:val="Strong"/>
          <w:rFonts w:ascii="Arial" w:hAnsi="Arial" w:cs="Arial"/>
          <w:color w:val="1D2125"/>
          <w:sz w:val="32"/>
          <w:szCs w:val="32"/>
        </w:rPr>
        <w:t>Caroline Salami</w:t>
      </w:r>
      <w:r>
        <w:rPr>
          <w:rStyle w:val="Strong"/>
          <w:rFonts w:ascii="Arial" w:hAnsi="Arial" w:cs="Arial"/>
          <w:color w:val="1D2125"/>
          <w:sz w:val="32"/>
          <w:szCs w:val="32"/>
        </w:rPr>
        <w:t xml:space="preserve"> </w:t>
      </w:r>
    </w:p>
    <w:p w14:paraId="3AEAB69F" w14:textId="77777777" w:rsidR="009F7033" w:rsidRDefault="00CD3C03" w:rsidP="00D46920">
      <w:pPr>
        <w:spacing w:line="360" w:lineRule="auto"/>
        <w:rPr>
          <w:rStyle w:val="Strong"/>
          <w:rFonts w:ascii="Arial" w:hAnsi="Arial" w:cs="Arial"/>
          <w:i/>
          <w:iCs/>
          <w:color w:val="1D2125"/>
          <w:sz w:val="32"/>
          <w:szCs w:val="32"/>
        </w:rPr>
      </w:pPr>
      <w:r w:rsidRPr="004A3130">
        <w:rPr>
          <w:rStyle w:val="Strong"/>
          <w:rFonts w:ascii="Arial" w:hAnsi="Arial" w:cs="Arial"/>
          <w:i/>
          <w:iCs/>
          <w:color w:val="1D2125"/>
          <w:sz w:val="32"/>
          <w:szCs w:val="32"/>
        </w:rPr>
        <w:t>Module code</w:t>
      </w:r>
      <w:r w:rsidR="009A1720" w:rsidRPr="004A3130">
        <w:rPr>
          <w:rStyle w:val="Strong"/>
          <w:rFonts w:ascii="Arial" w:hAnsi="Arial" w:cs="Arial"/>
          <w:i/>
          <w:iCs/>
          <w:color w:val="1D2125"/>
          <w:sz w:val="32"/>
          <w:szCs w:val="32"/>
        </w:rPr>
        <w:t xml:space="preserve"> BMHP501</w:t>
      </w:r>
      <w:r w:rsidR="00DA1C3E">
        <w:rPr>
          <w:rStyle w:val="Strong"/>
          <w:rFonts w:ascii="Arial" w:hAnsi="Arial" w:cs="Arial"/>
          <w:i/>
          <w:iCs/>
          <w:color w:val="1D2125"/>
          <w:sz w:val="32"/>
          <w:szCs w:val="32"/>
        </w:rPr>
        <w:t>4</w:t>
      </w:r>
      <w:r w:rsidR="009F7033">
        <w:rPr>
          <w:rStyle w:val="Strong"/>
          <w:rFonts w:ascii="Arial" w:hAnsi="Arial" w:cs="Arial"/>
          <w:i/>
          <w:iCs/>
          <w:color w:val="1D2125"/>
          <w:sz w:val="32"/>
          <w:szCs w:val="32"/>
        </w:rPr>
        <w:t xml:space="preserve">  </w:t>
      </w:r>
    </w:p>
    <w:p w14:paraId="19A312EE" w14:textId="4EC059A8" w:rsidR="00CD3E9C" w:rsidRDefault="009F7033" w:rsidP="00D46920">
      <w:pPr>
        <w:spacing w:line="360" w:lineRule="auto"/>
        <w:rPr>
          <w:rStyle w:val="Strong"/>
          <w:rFonts w:ascii="Arial" w:hAnsi="Arial" w:cs="Arial"/>
          <w:i/>
          <w:iCs/>
          <w:color w:val="1D2125"/>
          <w:sz w:val="32"/>
          <w:szCs w:val="32"/>
        </w:rPr>
      </w:pPr>
      <w:r>
        <w:rPr>
          <w:rStyle w:val="Strong"/>
          <w:rFonts w:ascii="Arial" w:hAnsi="Arial" w:cs="Arial"/>
          <w:i/>
          <w:iCs/>
          <w:color w:val="1D2125"/>
          <w:sz w:val="32"/>
          <w:szCs w:val="32"/>
        </w:rPr>
        <w:t>Component</w:t>
      </w:r>
      <w:r w:rsidR="00902713">
        <w:rPr>
          <w:rStyle w:val="Strong"/>
          <w:rFonts w:ascii="Arial" w:hAnsi="Arial" w:cs="Arial"/>
          <w:i/>
          <w:iCs/>
          <w:color w:val="1D2125"/>
          <w:sz w:val="32"/>
          <w:szCs w:val="32"/>
        </w:rPr>
        <w:t xml:space="preserve"> </w:t>
      </w:r>
      <w:r w:rsidR="00914DA2">
        <w:rPr>
          <w:rStyle w:val="Strong"/>
          <w:rFonts w:ascii="Arial" w:hAnsi="Arial" w:cs="Arial"/>
          <w:i/>
          <w:iCs/>
          <w:color w:val="1D2125"/>
          <w:sz w:val="32"/>
          <w:szCs w:val="32"/>
        </w:rPr>
        <w:t xml:space="preserve">2: Assignment Reports </w:t>
      </w:r>
    </w:p>
    <w:p w14:paraId="04434D23" w14:textId="6C82F9C8" w:rsidR="00901987" w:rsidRDefault="00901987" w:rsidP="009F7033">
      <w:pPr>
        <w:spacing w:after="0" w:line="240" w:lineRule="auto"/>
        <w:rPr>
          <w:rFonts w:ascii="Segoe UI" w:hAnsi="Segoe UI" w:cs="Segoe UI"/>
          <w:color w:val="242424"/>
          <w:sz w:val="23"/>
          <w:szCs w:val="23"/>
          <w:shd w:val="clear" w:color="auto" w:fill="FFFFFF"/>
        </w:rPr>
      </w:pPr>
    </w:p>
    <w:p w14:paraId="4CB13E5D" w14:textId="77777777" w:rsidR="00871EA6" w:rsidRDefault="004C1F99" w:rsidP="004C1F99">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shd w:val="clear" w:color="auto" w:fill="FFFFFF"/>
        </w:rPr>
        <w:t>.</w:t>
      </w:r>
      <w:r>
        <w:rPr>
          <w:rFonts w:ascii="Segoe UI" w:hAnsi="Segoe UI" w:cs="Segoe UI"/>
          <w:color w:val="242424"/>
          <w:sz w:val="23"/>
          <w:szCs w:val="23"/>
        </w:rPr>
        <w:br/>
      </w:r>
      <w:r>
        <w:rPr>
          <w:rFonts w:ascii="Segoe UI" w:hAnsi="Segoe UI" w:cs="Segoe UI"/>
          <w:color w:val="242424"/>
          <w:sz w:val="23"/>
          <w:szCs w:val="23"/>
          <w:shd w:val="clear" w:color="auto" w:fill="FFFFFF"/>
        </w:rPr>
        <w:t>​Introduction</w:t>
      </w:r>
      <w:r w:rsidR="00871EA6">
        <w:rPr>
          <w:rFonts w:ascii="Segoe UI" w:hAnsi="Segoe UI" w:cs="Segoe UI"/>
          <w:color w:val="242424"/>
          <w:sz w:val="23"/>
          <w:szCs w:val="23"/>
          <w:shd w:val="clear" w:color="auto" w:fill="FFFFFF"/>
        </w:rPr>
        <w:t xml:space="preserve">  </w:t>
      </w:r>
    </w:p>
    <w:p w14:paraId="4EF3A6F2" w14:textId="0272412D" w:rsidR="00871EA6" w:rsidRDefault="004C1F99" w:rsidP="004C1F99">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shd w:val="clear" w:color="auto" w:fill="FFFFFF"/>
        </w:rPr>
        <w:t xml:space="preserve"> </w:t>
      </w:r>
      <w:r w:rsidR="00871EA6">
        <w:rPr>
          <w:rFonts w:ascii="Segoe UI" w:hAnsi="Segoe UI" w:cs="Segoe UI"/>
          <w:color w:val="242424"/>
          <w:sz w:val="23"/>
          <w:szCs w:val="23"/>
          <w:shd w:val="clear" w:color="auto" w:fill="FFFFFF"/>
        </w:rPr>
        <w:t xml:space="preserve">     </w:t>
      </w:r>
      <w:r>
        <w:rPr>
          <w:rFonts w:ascii="Segoe UI" w:hAnsi="Segoe UI" w:cs="Segoe UI"/>
          <w:color w:val="242424"/>
          <w:sz w:val="23"/>
          <w:szCs w:val="23"/>
        </w:rPr>
        <w:br/>
      </w:r>
      <w:r>
        <w:rPr>
          <w:rFonts w:ascii="Segoe UI" w:hAnsi="Segoe UI" w:cs="Segoe UI"/>
          <w:color w:val="242424"/>
          <w:sz w:val="23"/>
          <w:szCs w:val="23"/>
          <w:shd w:val="clear" w:color="auto" w:fill="FFFFFF"/>
        </w:rPr>
        <w:t>​The modern health and social care landscape is characterized by increasing complexity, where patient journeys frequently span multiple, often disconnected, organizational silos. The "Home-First" Discharge Navigation system is a proposed digital innovation designed to address these structural inefficiencies by bridging the communication gap between acute emergency department (ED) teams and community-based Health Visitors.</w:t>
      </w:r>
      <w:r>
        <w:rPr>
          <w:rFonts w:ascii="Segoe UI" w:hAnsi="Segoe UI" w:cs="Segoe UI"/>
          <w:color w:val="242424"/>
          <w:sz w:val="23"/>
          <w:szCs w:val="23"/>
        </w:rPr>
        <w:br/>
      </w:r>
      <w:r>
        <w:rPr>
          <w:rFonts w:ascii="Segoe UI" w:hAnsi="Segoe UI" w:cs="Segoe UI"/>
          <w:color w:val="242424"/>
          <w:sz w:val="23"/>
          <w:szCs w:val="23"/>
          <w:shd w:val="clear" w:color="auto" w:fill="FFFFFF"/>
        </w:rPr>
        <w:lastRenderedPageBreak/>
        <w:t>​Currently, fragmented information sharing during discharge planning acts as a systemic bottleneck, contributing to ED overcrowding and compromising the safety of vulnerable service users. When communication fails, the continuity of care is broken, leaving families at risk during the critical period following hospital discharge. This innovation introduces a real-time, multi-agency data-sharing interface that facilitates proactive transition planning. By integrating systems thinking, the platform moves beyond linear, reactive care models</w:t>
      </w:r>
      <w:r w:rsidR="00A00EB7">
        <w:rPr>
          <w:rFonts w:ascii="Segoe UI" w:hAnsi="Segoe UI" w:cs="Segoe UI"/>
          <w:color w:val="242424"/>
          <w:sz w:val="23"/>
          <w:szCs w:val="23"/>
          <w:shd w:val="clear" w:color="auto" w:fill="FFFFFF"/>
        </w:rPr>
        <w:t xml:space="preserve"> as a result </w:t>
      </w:r>
      <w:r>
        <w:rPr>
          <w:rFonts w:ascii="Segoe UI" w:hAnsi="Segoe UI" w:cs="Segoe UI"/>
          <w:color w:val="242424"/>
          <w:sz w:val="23"/>
          <w:szCs w:val="23"/>
          <w:shd w:val="clear" w:color="auto" w:fill="FFFFFF"/>
        </w:rPr>
        <w:t>to a network-based approach where information flows seamlessly across sectors.</w:t>
      </w:r>
      <w:r>
        <w:rPr>
          <w:rFonts w:ascii="Segoe UI" w:hAnsi="Segoe UI" w:cs="Segoe UI"/>
          <w:color w:val="242424"/>
          <w:sz w:val="23"/>
          <w:szCs w:val="23"/>
        </w:rPr>
        <w:br/>
      </w:r>
      <w:r>
        <w:rPr>
          <w:rFonts w:ascii="Segoe UI" w:hAnsi="Segoe UI" w:cs="Segoe UI"/>
          <w:color w:val="242424"/>
          <w:sz w:val="23"/>
          <w:szCs w:val="23"/>
          <w:shd w:val="clear" w:color="auto" w:fill="FFFFFF"/>
        </w:rPr>
        <w:t xml:space="preserve">​The primary purpose of this innovation is to ensure that early identification of risks becomes standard practice, </w:t>
      </w:r>
      <w:r w:rsidR="00A068CB">
        <w:rPr>
          <w:rFonts w:ascii="Segoe UI" w:hAnsi="Segoe UI" w:cs="Segoe UI"/>
          <w:color w:val="242424"/>
          <w:sz w:val="23"/>
          <w:szCs w:val="23"/>
          <w:shd w:val="clear" w:color="auto" w:fill="FFFFFF"/>
        </w:rPr>
        <w:t xml:space="preserve">additional </w:t>
      </w:r>
      <w:r>
        <w:rPr>
          <w:rFonts w:ascii="Segoe UI" w:hAnsi="Segoe UI" w:cs="Segoe UI"/>
          <w:color w:val="242424"/>
          <w:sz w:val="23"/>
          <w:szCs w:val="23"/>
          <w:shd w:val="clear" w:color="auto" w:fill="FFFFFF"/>
        </w:rPr>
        <w:t xml:space="preserve">allowing for consistent follow-up and timely support. By enhancing multi-agency collaboration, this strategy not only improves clinical outcomes but also actively promotes the "common good" by protecting the most vulnerable populations in our </w:t>
      </w:r>
      <w:r w:rsidR="004D394A">
        <w:rPr>
          <w:rFonts w:ascii="Segoe UI" w:hAnsi="Segoe UI" w:cs="Segoe UI"/>
          <w:color w:val="242424"/>
          <w:sz w:val="23"/>
          <w:szCs w:val="23"/>
          <w:shd w:val="clear" w:color="auto" w:fill="FFFFFF"/>
        </w:rPr>
        <w:t xml:space="preserve">society </w:t>
      </w:r>
      <w:r w:rsidR="00BC725E">
        <w:rPr>
          <w:rFonts w:ascii="Segoe UI" w:hAnsi="Segoe UI" w:cs="Segoe UI"/>
          <w:color w:val="242424"/>
          <w:sz w:val="23"/>
          <w:szCs w:val="23"/>
          <w:shd w:val="clear" w:color="auto" w:fill="FFFFFF"/>
        </w:rPr>
        <w:t xml:space="preserve">Well </w:t>
      </w:r>
      <w:r>
        <w:rPr>
          <w:rFonts w:ascii="Segoe UI" w:hAnsi="Segoe UI" w:cs="Segoe UI"/>
          <w:color w:val="242424"/>
          <w:sz w:val="23"/>
          <w:szCs w:val="23"/>
          <w:shd w:val="clear" w:color="auto" w:fill="FFFFFF"/>
        </w:rPr>
        <w:t xml:space="preserve">represents a paradigm shift from crisis-driven intervention toward a sustainable, preventative model of care that enhances both professional collaboration and service user outcomes. Ultimately, this proposal argues that by digitizing the handover process, we can cultivate a more resilient, responsive health landscape that prioritizes the patient experience and fosters </w:t>
      </w:r>
      <w:r w:rsidR="00871EA6">
        <w:rPr>
          <w:rFonts w:ascii="Segoe UI" w:hAnsi="Segoe UI" w:cs="Segoe UI"/>
          <w:color w:val="242424"/>
          <w:sz w:val="23"/>
          <w:szCs w:val="23"/>
          <w:shd w:val="clear" w:color="auto" w:fill="FFFFFF"/>
        </w:rPr>
        <w:t xml:space="preserve">  </w:t>
      </w:r>
    </w:p>
    <w:p w14:paraId="370C10F4" w14:textId="77777777" w:rsidR="00871EA6" w:rsidRDefault="004C1F99" w:rsidP="004C1F99">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shd w:val="clear" w:color="auto" w:fill="FFFFFF"/>
        </w:rPr>
        <w:t>trust in integrated care frameworks.</w:t>
      </w:r>
      <w:r w:rsidR="00871EA6">
        <w:rPr>
          <w:rFonts w:ascii="Segoe UI" w:hAnsi="Segoe UI" w:cs="Segoe UI"/>
          <w:color w:val="242424"/>
          <w:sz w:val="23"/>
          <w:szCs w:val="23"/>
          <w:shd w:val="clear" w:color="auto" w:fill="FFFFFF"/>
        </w:rPr>
        <w:t xml:space="preserve">  </w:t>
      </w:r>
    </w:p>
    <w:p w14:paraId="6A7CCEA1" w14:textId="6B27651A" w:rsidR="00871EA6" w:rsidRDefault="004C1F99" w:rsidP="004C1F99">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rPr>
        <w:br/>
      </w:r>
      <w:r>
        <w:rPr>
          <w:rFonts w:ascii="Segoe UI" w:hAnsi="Segoe UI" w:cs="Segoe UI"/>
          <w:color w:val="242424"/>
          <w:sz w:val="23"/>
          <w:szCs w:val="23"/>
          <w:shd w:val="clear" w:color="auto" w:fill="FFFFFF"/>
        </w:rPr>
        <w:t xml:space="preserve">​Background </w:t>
      </w:r>
      <w:r>
        <w:rPr>
          <w:rFonts w:ascii="Segoe UI" w:hAnsi="Segoe UI" w:cs="Segoe UI"/>
          <w:color w:val="242424"/>
          <w:sz w:val="23"/>
          <w:szCs w:val="23"/>
        </w:rPr>
        <w:br/>
      </w:r>
      <w:r>
        <w:rPr>
          <w:rFonts w:ascii="Segoe UI" w:hAnsi="Segoe UI" w:cs="Segoe UI"/>
          <w:color w:val="242424"/>
          <w:sz w:val="23"/>
          <w:szCs w:val="23"/>
          <w:shd w:val="clear" w:color="auto" w:fill="FFFFFF"/>
        </w:rPr>
        <w:t>​The current crisis in emergency department (ED) operations is not merely a localized issue; it is a manifestation of deeper "systemic blockages" within the healthcare infrastructure. Statistical evidence consistently identifies ED overcrowding as a critical indicator of wider system dysfunction, forcing professionals into reactive, crisis-management workflows rather than the proactive, preventative care models advocated by modern health policy. When discharge pathways are not aligned, patients face delays, increased morbidity, and the risk of readmission, creating a "revolving door" phenomenon that strains acute resources and diminishes the quality of care provided to the most vulnerable.</w:t>
      </w:r>
      <w:r>
        <w:rPr>
          <w:rFonts w:ascii="Segoe UI" w:hAnsi="Segoe UI" w:cs="Segoe UI"/>
          <w:color w:val="242424"/>
          <w:sz w:val="23"/>
          <w:szCs w:val="23"/>
        </w:rPr>
        <w:br/>
      </w:r>
      <w:r>
        <w:rPr>
          <w:rFonts w:ascii="Segoe UI" w:hAnsi="Segoe UI" w:cs="Segoe UI"/>
          <w:color w:val="242424"/>
          <w:sz w:val="23"/>
          <w:szCs w:val="23"/>
          <w:shd w:val="clear" w:color="auto" w:fill="FFFFFF"/>
        </w:rPr>
        <w:t>​The NHS Long Term Plan emphasizes the vital necessity of integrated care systems to improve patient outcomes and alleviate pressure on acute services, yet operational barriers continue to hinder effective cross-sector communication. Historically, the absence of standardized, multi-agency data-sharing frameworks has resulted in fragmented care. This fragmentation disproportionately impacts families who rely on consistent support from community health services, such as Health Visitors, who are often unaware of an emergency admission until it is too late to intervene effectively.</w:t>
      </w:r>
      <w:r>
        <w:rPr>
          <w:rFonts w:ascii="Segoe UI" w:hAnsi="Segoe UI" w:cs="Segoe UI"/>
          <w:color w:val="242424"/>
          <w:sz w:val="23"/>
          <w:szCs w:val="23"/>
        </w:rPr>
        <w:br/>
      </w:r>
      <w:r>
        <w:rPr>
          <w:rFonts w:ascii="Segoe UI" w:hAnsi="Segoe UI" w:cs="Segoe UI"/>
          <w:color w:val="242424"/>
          <w:sz w:val="23"/>
          <w:szCs w:val="23"/>
          <w:shd w:val="clear" w:color="auto" w:fill="FFFFFF"/>
        </w:rPr>
        <w:t xml:space="preserve">​Furthermore, the Care Act 2014 establishes a statutory duty for local authorities and health partners to cooperate to promote the individual well-being of service users. Despite this legal mandate, the transition from acute hospital settings to community-based support remains a significant operational gap. In practice, professional silos often prevent the seamless transfer of vital patient data, leading to a loss of continuity that is detrimental to both the patient and the system. Addressing these operational interdependencies is not merely an administrative requirement; it is a fundamental </w:t>
      </w:r>
      <w:r>
        <w:rPr>
          <w:rFonts w:ascii="Segoe UI" w:hAnsi="Segoe UI" w:cs="Segoe UI"/>
          <w:color w:val="242424"/>
          <w:sz w:val="23"/>
          <w:szCs w:val="23"/>
          <w:shd w:val="clear" w:color="auto" w:fill="FFFFFF"/>
        </w:rPr>
        <w:lastRenderedPageBreak/>
        <w:t>safeguarding necessity.</w:t>
      </w:r>
      <w:r>
        <w:rPr>
          <w:rFonts w:ascii="Segoe UI" w:hAnsi="Segoe UI" w:cs="Segoe UI"/>
          <w:color w:val="242424"/>
          <w:sz w:val="23"/>
          <w:szCs w:val="23"/>
        </w:rPr>
        <w:br/>
      </w:r>
      <w:r>
        <w:rPr>
          <w:rFonts w:ascii="Segoe UI" w:hAnsi="Segoe UI" w:cs="Segoe UI"/>
          <w:color w:val="242424"/>
          <w:sz w:val="23"/>
          <w:szCs w:val="23"/>
          <w:shd w:val="clear" w:color="auto" w:fill="FFFFFF"/>
        </w:rPr>
        <w:t>​The implementation of the Health and Care Act 2022 further highlights the urgency of this issue, mandating collaboration through Integrated Care Systems (ICS) to provide holistic, person-</w:t>
      </w:r>
      <w:r w:rsidR="00871EA6">
        <w:rPr>
          <w:rFonts w:ascii="Segoe UI" w:hAnsi="Segoe UI" w:cs="Segoe UI"/>
          <w:color w:val="242424"/>
          <w:sz w:val="23"/>
          <w:szCs w:val="23"/>
          <w:shd w:val="clear" w:color="auto" w:fill="FFFFFF"/>
        </w:rPr>
        <w:t>cantered</w:t>
      </w:r>
      <w:r>
        <w:rPr>
          <w:rFonts w:ascii="Segoe UI" w:hAnsi="Segoe UI" w:cs="Segoe UI"/>
          <w:color w:val="242424"/>
          <w:sz w:val="23"/>
          <w:szCs w:val="23"/>
          <w:shd w:val="clear" w:color="auto" w:fill="FFFFFF"/>
        </w:rPr>
        <w:t xml:space="preserve"> care. However, without the right digital tools to facilitate this cooperation, these policy mandates often fail to translate into tangible, frontline improvements. By utilizing evidence-based practice and systems-thinking principles, this innovation seeks to resolve these identified systemic failures. It aims to shift the focus from individual, isolated episodes of care to a continuous, supportive network, ensuring that the transition from hospital to home is managed with the same level of expertise and concern as the acute treatment itself.</w:t>
      </w:r>
      <w:r w:rsidR="00871EA6">
        <w:rPr>
          <w:rFonts w:ascii="Segoe UI" w:hAnsi="Segoe UI" w:cs="Segoe UI"/>
          <w:color w:val="242424"/>
          <w:sz w:val="23"/>
          <w:szCs w:val="23"/>
          <w:shd w:val="clear" w:color="auto" w:fill="FFFFFF"/>
        </w:rPr>
        <w:t xml:space="preserve">    </w:t>
      </w:r>
    </w:p>
    <w:p w14:paraId="38AE047A" w14:textId="319E8FF3" w:rsidR="00871EA6" w:rsidRDefault="004C1F99" w:rsidP="004C1F99">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rPr>
        <w:br/>
      </w:r>
      <w:r>
        <w:rPr>
          <w:rFonts w:ascii="Segoe UI" w:hAnsi="Segoe UI" w:cs="Segoe UI"/>
          <w:color w:val="242424"/>
          <w:sz w:val="23"/>
          <w:szCs w:val="23"/>
          <w:shd w:val="clear" w:color="auto" w:fill="FFFFFF"/>
        </w:rPr>
        <w:t xml:space="preserve">​Innovation Description </w:t>
      </w:r>
      <w:r>
        <w:rPr>
          <w:rFonts w:ascii="Segoe UI" w:hAnsi="Segoe UI" w:cs="Segoe UI"/>
          <w:color w:val="242424"/>
          <w:sz w:val="23"/>
          <w:szCs w:val="23"/>
        </w:rPr>
        <w:br/>
      </w:r>
      <w:r>
        <w:rPr>
          <w:rFonts w:ascii="Segoe UI" w:hAnsi="Segoe UI" w:cs="Segoe UI"/>
          <w:color w:val="242424"/>
          <w:sz w:val="23"/>
          <w:szCs w:val="23"/>
          <w:shd w:val="clear" w:color="auto" w:fill="FFFFFF"/>
        </w:rPr>
        <w:t>​The proposed "Home-First" Discharge Navigation system is an interoperable digital interface designed to create a live, secure communication bridge between acute ED clinicians and community-based Health Visitors. Unlike current fragmented processes that rely on manual phone calls, faxed summaries, or delayed electronic alerts—all of which are prone to human error and inefficiency—this platform provides real-time, bidirectional visibility into the patient’s discharge pathway.</w:t>
      </w:r>
      <w:r>
        <w:rPr>
          <w:rFonts w:ascii="Segoe UI" w:hAnsi="Segoe UI" w:cs="Segoe UI"/>
          <w:color w:val="242424"/>
          <w:sz w:val="23"/>
          <w:szCs w:val="23"/>
        </w:rPr>
        <w:br/>
      </w:r>
      <w:r>
        <w:rPr>
          <w:rFonts w:ascii="Segoe UI" w:hAnsi="Segoe UI" w:cs="Segoe UI"/>
          <w:color w:val="242424"/>
          <w:sz w:val="23"/>
          <w:szCs w:val="23"/>
          <w:shd w:val="clear" w:color="auto" w:fill="FFFFFF"/>
        </w:rPr>
        <w:t>​The innovation is distinctly "new" in its application of systems thinking to the transition phase, specifically designed to trigger automatic multi-agency alerts when a vulnerable patient—identified by pre-set clinical or social risk criteria—is admitted to the ED. This automation removes the reliance on overworked staff remembering to update disparate systems. As soon as a patient is flagged, the Health Visitor receives an instant, secure notification, enabling them to begin proactive home-visit scheduling and support service alignment before the patient is even medically cleared for discharge. This ensures that the community support network is mobilized in tandem with the hospital, preventing the "information vacuum" that occurs between acute and community settings.</w:t>
      </w:r>
      <w:r>
        <w:rPr>
          <w:rFonts w:ascii="Segoe UI" w:hAnsi="Segoe UI" w:cs="Segoe UI"/>
          <w:color w:val="242424"/>
          <w:sz w:val="23"/>
          <w:szCs w:val="23"/>
        </w:rPr>
        <w:br/>
      </w:r>
      <w:r>
        <w:rPr>
          <w:rFonts w:ascii="Segoe UI" w:hAnsi="Segoe UI" w:cs="Segoe UI"/>
          <w:color w:val="242424"/>
          <w:sz w:val="23"/>
          <w:szCs w:val="23"/>
          <w:shd w:val="clear" w:color="auto" w:fill="FFFFFF"/>
        </w:rPr>
        <w:t>​This system is superior to existing models because it transforms the handover from a static, end-of-process document into a dynamic, ongoing interaction. The platform integrates directly with existing electronic health records (EHRs), ensuring that the burden of redundant data entry does not detract from time spent on patient care. Furthermore, by formalizing the handover of responsibility, this innovation mitigates the risk of readmissions—a key goal in current discharge pathway guidance.</w:t>
      </w:r>
      <w:r>
        <w:rPr>
          <w:rFonts w:ascii="Segoe UI" w:hAnsi="Segoe UI" w:cs="Segoe UI"/>
          <w:color w:val="242424"/>
          <w:sz w:val="23"/>
          <w:szCs w:val="23"/>
        </w:rPr>
        <w:br/>
      </w:r>
      <w:r>
        <w:rPr>
          <w:rFonts w:ascii="Segoe UI" w:hAnsi="Segoe UI" w:cs="Segoe UI"/>
          <w:color w:val="242424"/>
          <w:sz w:val="23"/>
          <w:szCs w:val="23"/>
          <w:shd w:val="clear" w:color="auto" w:fill="FFFFFF"/>
        </w:rPr>
        <w:t xml:space="preserve">​From a systems-thinking perspective, this innovation recognizes that the ED is not an island; it is one node in a larger care network. By providing the Health Visitor with data-driven insights into the acute environment, the system allows for more effective resource allocation. For example, if a Health Visitor knows a family is currently facing an acute crisis, they can prioritize that visit over routine checks, ensuring that interventions are targeted where they are needed most. The platform also includes a feedback loop where community-based outcomes can be reported back to the hospital, allowing for a cycle of continuous learning and improvement. This strategy represents a significant shift from reactive, siloed working toward an agile, networked approach to health and social care delivery, ultimately enhancing the professional autonomy and impact of the Health </w:t>
      </w:r>
      <w:r>
        <w:rPr>
          <w:rFonts w:ascii="Segoe UI" w:hAnsi="Segoe UI" w:cs="Segoe UI"/>
          <w:color w:val="242424"/>
          <w:sz w:val="23"/>
          <w:szCs w:val="23"/>
          <w:shd w:val="clear" w:color="auto" w:fill="FFFFFF"/>
        </w:rPr>
        <w:lastRenderedPageBreak/>
        <w:t>Visitor in the modern NHS environment.</w:t>
      </w:r>
      <w:r w:rsidR="00871EA6">
        <w:rPr>
          <w:rFonts w:ascii="Segoe UI" w:hAnsi="Segoe UI" w:cs="Segoe UI"/>
          <w:color w:val="242424"/>
          <w:sz w:val="23"/>
          <w:szCs w:val="23"/>
          <w:shd w:val="clear" w:color="auto" w:fill="FFFFFF"/>
        </w:rPr>
        <w:t xml:space="preserve">     </w:t>
      </w:r>
      <w:r w:rsidR="00931255">
        <w:rPr>
          <w:rFonts w:ascii="Segoe UI" w:hAnsi="Segoe UI" w:cs="Segoe UI"/>
          <w:color w:val="242424"/>
          <w:sz w:val="23"/>
          <w:szCs w:val="23"/>
          <w:shd w:val="clear" w:color="auto" w:fill="FFFFFF"/>
        </w:rPr>
        <w:t xml:space="preserve"> </w:t>
      </w:r>
      <w:r>
        <w:rPr>
          <w:rFonts w:ascii="Segoe UI" w:hAnsi="Segoe UI" w:cs="Segoe UI"/>
          <w:color w:val="242424"/>
          <w:sz w:val="23"/>
          <w:szCs w:val="23"/>
        </w:rPr>
        <w:br/>
      </w:r>
      <w:r>
        <w:rPr>
          <w:rFonts w:ascii="Segoe UI" w:hAnsi="Segoe UI" w:cs="Segoe UI"/>
          <w:color w:val="242424"/>
          <w:sz w:val="23"/>
          <w:szCs w:val="23"/>
          <w:shd w:val="clear" w:color="auto" w:fill="FFFFFF"/>
        </w:rPr>
        <w:t xml:space="preserve">​Impact on Health and Social Care </w:t>
      </w:r>
      <w:r w:rsidR="00871EA6">
        <w:rPr>
          <w:rFonts w:ascii="Segoe UI" w:hAnsi="Segoe UI" w:cs="Segoe UI"/>
          <w:color w:val="242424"/>
          <w:sz w:val="23"/>
          <w:szCs w:val="23"/>
          <w:shd w:val="clear" w:color="auto" w:fill="FFFFFF"/>
        </w:rPr>
        <w:t xml:space="preserve"> </w:t>
      </w:r>
      <w:r>
        <w:rPr>
          <w:rFonts w:ascii="Segoe UI" w:hAnsi="Segoe UI" w:cs="Segoe UI"/>
          <w:color w:val="242424"/>
          <w:sz w:val="23"/>
          <w:szCs w:val="23"/>
        </w:rPr>
        <w:br/>
      </w:r>
      <w:r>
        <w:rPr>
          <w:rFonts w:ascii="Segoe UI" w:hAnsi="Segoe UI" w:cs="Segoe UI"/>
          <w:color w:val="242424"/>
          <w:sz w:val="23"/>
          <w:szCs w:val="23"/>
          <w:shd w:val="clear" w:color="auto" w:fill="FFFFFF"/>
        </w:rPr>
        <w:t>​The "Home-First" Discharge Navigation system exerts a transformative impact on health and social care by ensuring that vulnerable individuals—specifically those within marginalized populations, such as BAME communities, disabled service users, and those in lower socio-economic brackets—receive equitable access to post-acute support. By enabling Health Visitors to intervene immediately following an ED visit, the innovation prevents the fragmentation of care that so often results in health inequalities and avoidable readmissions.</w:t>
      </w:r>
      <w:r>
        <w:rPr>
          <w:rFonts w:ascii="Segoe UI" w:hAnsi="Segoe UI" w:cs="Segoe UI"/>
          <w:color w:val="242424"/>
          <w:sz w:val="23"/>
          <w:szCs w:val="23"/>
        </w:rPr>
        <w:br/>
      </w:r>
      <w:r>
        <w:rPr>
          <w:rFonts w:ascii="Segoe UI" w:hAnsi="Segoe UI" w:cs="Segoe UI"/>
          <w:color w:val="242424"/>
          <w:sz w:val="23"/>
          <w:szCs w:val="23"/>
          <w:shd w:val="clear" w:color="auto" w:fill="FFFFFF"/>
        </w:rPr>
        <w:t>​This proactive approach enhances the quality of care by ensuring that safeguarding risks are identified early and addressed within the patient’s home environment, rather than waiting for a crisis to return the patient to the ED. This is essential for protecting the dignity of service users, who are often overwhelmed by the transition from hospital to home. When the support system is ready and informed, the service user experiences a smoother, more supportive journey that empowers them to manage their health more effectively.</w:t>
      </w:r>
      <w:r>
        <w:rPr>
          <w:rFonts w:ascii="Segoe UI" w:hAnsi="Segoe UI" w:cs="Segoe UI"/>
          <w:color w:val="242424"/>
          <w:sz w:val="23"/>
          <w:szCs w:val="23"/>
        </w:rPr>
        <w:br/>
      </w:r>
      <w:r>
        <w:rPr>
          <w:rFonts w:ascii="Segoe UI" w:hAnsi="Segoe UI" w:cs="Segoe UI"/>
          <w:color w:val="242424"/>
          <w:sz w:val="23"/>
          <w:szCs w:val="23"/>
          <w:shd w:val="clear" w:color="auto" w:fill="FFFFFF"/>
        </w:rPr>
        <w:t>​Furthermore, this system serves the "common good" by reducing the severe operational burden currently faced by emergency departments. By streamlining discharge processes, the innovation helps alleviate the overcrowding that plagues many hospitals, allowing clinical staff to focus their expertise on acute patient needs rather than administrative troubleshooting. This has a positive, ripple effect on the workforce; it provides critical support to frontline staff—including nurses, doctors, and social workers—by reducing the burnout and moral injury caused by navigating a broken system. When professionals can clearly see the impact of their handovers, job satisfaction improves, which is vital for staff retention and long-term service sustainability.</w:t>
      </w:r>
      <w:r>
        <w:rPr>
          <w:rFonts w:ascii="Segoe UI" w:hAnsi="Segoe UI" w:cs="Segoe UI"/>
          <w:color w:val="242424"/>
          <w:sz w:val="23"/>
          <w:szCs w:val="23"/>
        </w:rPr>
        <w:br/>
      </w:r>
      <w:r>
        <w:rPr>
          <w:rFonts w:ascii="Segoe UI" w:hAnsi="Segoe UI" w:cs="Segoe UI"/>
          <w:color w:val="242424"/>
          <w:sz w:val="23"/>
          <w:szCs w:val="23"/>
          <w:shd w:val="clear" w:color="auto" w:fill="FFFFFF"/>
        </w:rPr>
        <w:t>​The integration of community-based insights into the acute setting also improves the efficacy of health interventions. Because Health Visitors hold deep, long-term relationships with the families they support, their input can prevent unnecessary medical procedures that might have been avoided if the underlying social determinants were understood at the point of discharge. Ultimately, this system creates a more resilient health network where information flows seamlessly across sectors, ensuring that no population group is left behind. This contributes to a fairer, more efficient system that upholds the principles of equity, dignity, and collective responsibility in care delivery. By making the system more intelligent and responsive, we are not just saving money or time; we are actively improving the human experience of care and fostering a culture of health and resilience that benefits everyone in society.</w:t>
      </w:r>
      <w:r w:rsidR="00871EA6">
        <w:rPr>
          <w:rFonts w:ascii="Segoe UI" w:hAnsi="Segoe UI" w:cs="Segoe UI"/>
          <w:color w:val="242424"/>
          <w:sz w:val="23"/>
          <w:szCs w:val="23"/>
          <w:shd w:val="clear" w:color="auto" w:fill="FFFFFF"/>
        </w:rPr>
        <w:t xml:space="preserve"> </w:t>
      </w:r>
    </w:p>
    <w:p w14:paraId="7DE291A7" w14:textId="4F4F84FF" w:rsidR="00871EA6" w:rsidRDefault="004C1F99" w:rsidP="004C1F99">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rPr>
        <w:br/>
      </w:r>
      <w:r>
        <w:rPr>
          <w:rFonts w:ascii="Segoe UI" w:hAnsi="Segoe UI" w:cs="Segoe UI"/>
          <w:color w:val="242424"/>
          <w:sz w:val="23"/>
          <w:szCs w:val="23"/>
          <w:shd w:val="clear" w:color="auto" w:fill="FFFFFF"/>
        </w:rPr>
        <w:t xml:space="preserve">​Public and Stakeholder Involvement </w:t>
      </w:r>
      <w:r w:rsidR="00871EA6">
        <w:rPr>
          <w:rFonts w:ascii="Segoe UI" w:hAnsi="Segoe UI" w:cs="Segoe UI"/>
          <w:color w:val="242424"/>
          <w:sz w:val="23"/>
          <w:szCs w:val="23"/>
          <w:shd w:val="clear" w:color="auto" w:fill="FFFFFF"/>
        </w:rPr>
        <w:t xml:space="preserve">  </w:t>
      </w:r>
      <w:r>
        <w:rPr>
          <w:rFonts w:ascii="Segoe UI" w:hAnsi="Segoe UI" w:cs="Segoe UI"/>
          <w:color w:val="242424"/>
          <w:sz w:val="23"/>
          <w:szCs w:val="23"/>
        </w:rPr>
        <w:br/>
      </w:r>
      <w:r>
        <w:rPr>
          <w:rFonts w:ascii="Segoe UI" w:hAnsi="Segoe UI" w:cs="Segoe UI"/>
          <w:color w:val="242424"/>
          <w:sz w:val="23"/>
          <w:szCs w:val="23"/>
          <w:shd w:val="clear" w:color="auto" w:fill="FFFFFF"/>
        </w:rPr>
        <w:t xml:space="preserve">​Successful implementation of the "Home-First" system requires a co-production approach, ensuring service users and frontline professionals remain central to its design. Adopting a model of Participatory Action Research (PAR), public engagement will be facilitated through focus groups and feedback surveys, specifically targeting vulnerable families to identify the lived-experience barriers to accessing discharge support. By </w:t>
      </w:r>
      <w:r>
        <w:rPr>
          <w:rFonts w:ascii="Segoe UI" w:hAnsi="Segoe UI" w:cs="Segoe UI"/>
          <w:color w:val="242424"/>
          <w:sz w:val="23"/>
          <w:szCs w:val="23"/>
          <w:shd w:val="clear" w:color="auto" w:fill="FFFFFF"/>
        </w:rPr>
        <w:lastRenderedPageBreak/>
        <w:t>involving these groups from the onset, we ensure that the platform’s user interface is not only functional but also inclusive, accessible, and responsive to the diverse linguistic, cultural, and digital needs of the population.</w:t>
      </w:r>
      <w:r>
        <w:rPr>
          <w:rFonts w:ascii="Segoe UI" w:hAnsi="Segoe UI" w:cs="Segoe UI"/>
          <w:color w:val="242424"/>
          <w:sz w:val="23"/>
          <w:szCs w:val="23"/>
        </w:rPr>
        <w:br/>
      </w:r>
      <w:r>
        <w:rPr>
          <w:rFonts w:ascii="Segoe UI" w:hAnsi="Segoe UI" w:cs="Segoe UI"/>
          <w:color w:val="242424"/>
          <w:sz w:val="23"/>
          <w:szCs w:val="23"/>
          <w:shd w:val="clear" w:color="auto" w:fill="FFFFFF"/>
        </w:rPr>
        <w:t>​Furthermore, stakeholder workshops will unite Health Visitors, ED clinical staff, and social care teams to co-create the digital notification protocols. This multi-professional collaboration is essential for ensuring that the tool meets the practical, real-world requirements of those on the frontlines. Often, digital health innovations fail because they are designed in a top-down manner that does not account for the messy reality of clinical work; by giving staff a voice in the design, we foster institutional "buy-in" and ensure the software enhances, rather than interrupts, their workflows.</w:t>
      </w:r>
      <w:r>
        <w:rPr>
          <w:rFonts w:ascii="Segoe UI" w:hAnsi="Segoe UI" w:cs="Segoe UI"/>
          <w:color w:val="242424"/>
          <w:sz w:val="23"/>
          <w:szCs w:val="23"/>
        </w:rPr>
        <w:br/>
      </w:r>
      <w:r>
        <w:rPr>
          <w:rFonts w:ascii="Segoe UI" w:hAnsi="Segoe UI" w:cs="Segoe UI"/>
          <w:color w:val="242424"/>
          <w:sz w:val="23"/>
          <w:szCs w:val="23"/>
          <w:shd w:val="clear" w:color="auto" w:fill="FFFFFF"/>
        </w:rPr>
        <w:t>​Finally, establishing an advocacy panel—comprised of service users, carers, and community representatives—will provide ongoing governance for the system. This panel will monitor the innovation to ensure it maintains its commitment to the common good and remains transparent in its data-sharing practices. This commitment to "Working in partnership with people and communities" ensures the innovation remains grounded in the needs of the individuals it was designed to serve, securing public trust in the transition to more digital health services.</w:t>
      </w:r>
      <w:r w:rsidR="00871EA6">
        <w:rPr>
          <w:rFonts w:ascii="Segoe UI" w:hAnsi="Segoe UI" w:cs="Segoe UI"/>
          <w:color w:val="242424"/>
          <w:sz w:val="23"/>
          <w:szCs w:val="23"/>
          <w:shd w:val="clear" w:color="auto" w:fill="FFFFFF"/>
        </w:rPr>
        <w:t xml:space="preserve">  </w:t>
      </w:r>
    </w:p>
    <w:p w14:paraId="75CD7F54" w14:textId="77777777" w:rsidR="00E17FA7" w:rsidRDefault="004C1F99" w:rsidP="00CA3694">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rPr>
        <w:br/>
      </w:r>
      <w:r>
        <w:rPr>
          <w:rFonts w:ascii="Segoe UI" w:hAnsi="Segoe UI" w:cs="Segoe UI"/>
          <w:color w:val="242424"/>
          <w:sz w:val="23"/>
          <w:szCs w:val="23"/>
          <w:shd w:val="clear" w:color="auto" w:fill="FFFFFF"/>
        </w:rPr>
        <w:t xml:space="preserve">​Policies and Professional Links </w:t>
      </w:r>
      <w:r w:rsidR="00871EA6">
        <w:rPr>
          <w:rFonts w:ascii="Segoe UI" w:hAnsi="Segoe UI" w:cs="Segoe UI"/>
          <w:color w:val="242424"/>
          <w:sz w:val="23"/>
          <w:szCs w:val="23"/>
          <w:shd w:val="clear" w:color="auto" w:fill="FFFFFF"/>
        </w:rPr>
        <w:t xml:space="preserve"> </w:t>
      </w:r>
      <w:r>
        <w:rPr>
          <w:rFonts w:ascii="Segoe UI" w:hAnsi="Segoe UI" w:cs="Segoe UI"/>
          <w:color w:val="242424"/>
          <w:sz w:val="23"/>
          <w:szCs w:val="23"/>
        </w:rPr>
        <w:br/>
      </w:r>
      <w:r>
        <w:rPr>
          <w:rFonts w:ascii="Segoe UI" w:hAnsi="Segoe UI" w:cs="Segoe UI"/>
          <w:color w:val="242424"/>
          <w:sz w:val="23"/>
          <w:szCs w:val="23"/>
          <w:shd w:val="clear" w:color="auto" w:fill="FFFFFF"/>
        </w:rPr>
        <w:t>​This innovation is strictly underpinned by the Care Act 2014, which establishes a statutory duty for NHS bodies and local authorities to cooperate, share information, and integrate care. The Health and Care Act 2022 further reinforces this by mandating collaboration through Integrated Care Systems (ICS), ensuring that transition planning is person-</w:t>
      </w:r>
      <w:proofErr w:type="spellStart"/>
      <w:r>
        <w:rPr>
          <w:rFonts w:ascii="Segoe UI" w:hAnsi="Segoe UI" w:cs="Segoe UI"/>
          <w:color w:val="242424"/>
          <w:sz w:val="23"/>
          <w:szCs w:val="23"/>
          <w:shd w:val="clear" w:color="auto" w:fill="FFFFFF"/>
        </w:rPr>
        <w:t>centered</w:t>
      </w:r>
      <w:proofErr w:type="spellEnd"/>
      <w:r>
        <w:rPr>
          <w:rFonts w:ascii="Segoe UI" w:hAnsi="Segoe UI" w:cs="Segoe UI"/>
          <w:color w:val="242424"/>
          <w:sz w:val="23"/>
          <w:szCs w:val="23"/>
          <w:shd w:val="clear" w:color="auto" w:fill="FFFFFF"/>
        </w:rPr>
        <w:t xml:space="preserve"> and inclusive of carers.</w:t>
      </w:r>
      <w:r>
        <w:rPr>
          <w:rFonts w:ascii="Segoe UI" w:hAnsi="Segoe UI" w:cs="Segoe UI"/>
          <w:color w:val="242424"/>
          <w:sz w:val="23"/>
          <w:szCs w:val="23"/>
        </w:rPr>
        <w:br/>
      </w:r>
      <w:r>
        <w:rPr>
          <w:rFonts w:ascii="Segoe UI" w:hAnsi="Segoe UI" w:cs="Segoe UI"/>
          <w:color w:val="242424"/>
          <w:sz w:val="23"/>
          <w:szCs w:val="23"/>
          <w:shd w:val="clear" w:color="auto" w:fill="FFFFFF"/>
        </w:rPr>
        <w:t>​By aligning with these frameworks, the "Home-First" platform leverages existing professional roles—specifically Health Visitors, social workers, and ED clinicians—to bridge the historical divide between acute and community settings. Furthermore, the project adheres to the Equality Act 2010 by ensuring service accessibility and non-discriminatory care delivery, particularly for groups who might otherwise face digital exclusion. These links ensure that the innovation is not only operationally viable but also legally grounded, fostering a sustainable network of GP practices, voluntary organizations, and multidisciplinary teams. This compliance with statutory guidance ensures that the project remains a legitimate, scalable, and safe addition to the regional health and social care strategy, providing a clear structure for professional accountability and clinical safety while promoting the collaborative spirit required by modern health legislation.</w:t>
      </w:r>
      <w:r w:rsidR="00E17FA7">
        <w:rPr>
          <w:rFonts w:ascii="Segoe UI" w:hAnsi="Segoe UI" w:cs="Segoe UI"/>
          <w:color w:val="242424"/>
          <w:sz w:val="23"/>
          <w:szCs w:val="23"/>
          <w:shd w:val="clear" w:color="auto" w:fill="FFFFFF"/>
        </w:rPr>
        <w:t xml:space="preserve">       </w:t>
      </w:r>
    </w:p>
    <w:p w14:paraId="35665E82" w14:textId="77777777" w:rsidR="00E17FA7" w:rsidRDefault="00E17FA7" w:rsidP="00CA3694">
      <w:pPr>
        <w:spacing w:after="0" w:line="240" w:lineRule="auto"/>
        <w:rPr>
          <w:rFonts w:ascii="Segoe UI" w:hAnsi="Segoe UI" w:cs="Segoe UI"/>
          <w:color w:val="242424"/>
          <w:sz w:val="23"/>
          <w:szCs w:val="23"/>
          <w:shd w:val="clear" w:color="auto" w:fill="FFFFFF"/>
        </w:rPr>
      </w:pPr>
    </w:p>
    <w:p w14:paraId="60E51E61" w14:textId="77777777" w:rsidR="00E17FA7" w:rsidRDefault="00E17FA7" w:rsidP="00CA3694">
      <w:pPr>
        <w:spacing w:after="0" w:line="240" w:lineRule="auto"/>
        <w:rPr>
          <w:rFonts w:ascii="Segoe UI" w:hAnsi="Segoe UI" w:cs="Segoe UI"/>
          <w:color w:val="242424"/>
          <w:sz w:val="23"/>
          <w:szCs w:val="23"/>
          <w:shd w:val="clear" w:color="auto" w:fill="FFFFFF"/>
        </w:rPr>
      </w:pPr>
    </w:p>
    <w:p w14:paraId="227FED46" w14:textId="706FC857" w:rsidR="00E17FA7" w:rsidRDefault="00361662" w:rsidP="00CA3694">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shd w:val="clear" w:color="auto" w:fill="FFFFFF"/>
        </w:rPr>
        <w:t xml:space="preserve">Conduction </w:t>
      </w:r>
    </w:p>
    <w:p w14:paraId="78478E72" w14:textId="7977C6E7" w:rsidR="00E17FA7" w:rsidRPr="00E17FA7" w:rsidRDefault="00D63A02" w:rsidP="00E17FA7">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shd w:val="clear" w:color="auto" w:fill="FFFFFF"/>
        </w:rPr>
        <w:t>Images</w:t>
      </w:r>
      <w:r w:rsidR="00AF130E">
        <w:rPr>
          <w:rFonts w:ascii="Segoe UI" w:hAnsi="Segoe UI" w:cs="Segoe UI"/>
          <w:color w:val="242424"/>
          <w:sz w:val="23"/>
          <w:szCs w:val="23"/>
          <w:shd w:val="clear" w:color="auto" w:fill="FFFFFF"/>
        </w:rPr>
        <w:t xml:space="preserve">  </w:t>
      </w:r>
      <w:r w:rsidR="00A701AF">
        <w:rPr>
          <w:rFonts w:ascii="Segoe UI" w:hAnsi="Segoe UI" w:cs="Segoe UI"/>
          <w:color w:val="242424"/>
          <w:sz w:val="23"/>
          <w:szCs w:val="23"/>
          <w:shd w:val="clear" w:color="auto" w:fill="FFFFFF"/>
        </w:rPr>
        <w:t xml:space="preserve">Insert </w:t>
      </w:r>
      <w:r w:rsidR="00E17FA7" w:rsidRPr="00E17FA7">
        <w:rPr>
          <w:rFonts w:ascii="Segoe UI" w:hAnsi="Segoe UI" w:cs="Segoe UI"/>
          <w:color w:val="242424"/>
          <w:sz w:val="23"/>
          <w:szCs w:val="23"/>
          <w:shd w:val="clear" w:color="auto" w:fill="FFFFFF"/>
        </w:rPr>
        <w:t xml:space="preserve">: Four types of value created — </w:t>
      </w:r>
      <w:r w:rsidR="00E17FA7" w:rsidRPr="00E17FA7">
        <w:rPr>
          <w:rFonts w:ascii="Segoe UI Emoji" w:hAnsi="Segoe UI Emoji" w:cs="Segoe UI Emoji"/>
          <w:color w:val="242424"/>
          <w:sz w:val="23"/>
          <w:szCs w:val="23"/>
          <w:shd w:val="clear" w:color="auto" w:fill="FFFFFF"/>
        </w:rPr>
        <w:t>❤️</w:t>
      </w:r>
      <w:r w:rsidR="00E17FA7" w:rsidRPr="00E17FA7">
        <w:rPr>
          <w:rFonts w:ascii="Segoe UI" w:hAnsi="Segoe UI" w:cs="Segoe UI"/>
          <w:color w:val="242424"/>
          <w:sz w:val="23"/>
          <w:szCs w:val="23"/>
          <w:shd w:val="clear" w:color="auto" w:fill="FFFFFF"/>
        </w:rPr>
        <w:t xml:space="preserve"> Clinical · </w:t>
      </w:r>
      <w:r w:rsidR="00E17FA7" w:rsidRPr="00E17FA7">
        <w:rPr>
          <w:rFonts w:ascii="Segoe UI Emoji" w:hAnsi="Segoe UI Emoji" w:cs="Segoe UI Emoji"/>
          <w:color w:val="242424"/>
          <w:sz w:val="23"/>
          <w:szCs w:val="23"/>
          <w:shd w:val="clear" w:color="auto" w:fill="FFFFFF"/>
        </w:rPr>
        <w:t>🤝</w:t>
      </w:r>
      <w:r w:rsidR="00E17FA7" w:rsidRPr="00E17FA7">
        <w:rPr>
          <w:rFonts w:ascii="Segoe UI" w:hAnsi="Segoe UI" w:cs="Segoe UI"/>
          <w:color w:val="242424"/>
          <w:sz w:val="23"/>
          <w:szCs w:val="23"/>
          <w:shd w:val="clear" w:color="auto" w:fill="FFFFFF"/>
        </w:rPr>
        <w:t xml:space="preserve"> Social · </w:t>
      </w:r>
      <w:r w:rsidR="00E17FA7" w:rsidRPr="00E17FA7">
        <w:rPr>
          <w:rFonts w:ascii="Segoe UI Emoji" w:hAnsi="Segoe UI Emoji" w:cs="Segoe UI Emoji"/>
          <w:color w:val="242424"/>
          <w:sz w:val="23"/>
          <w:szCs w:val="23"/>
          <w:shd w:val="clear" w:color="auto" w:fill="FFFFFF"/>
        </w:rPr>
        <w:t>💰</w:t>
      </w:r>
      <w:r w:rsidR="00E17FA7" w:rsidRPr="00E17FA7">
        <w:rPr>
          <w:rFonts w:ascii="Segoe UI" w:hAnsi="Segoe UI" w:cs="Segoe UI"/>
          <w:color w:val="242424"/>
          <w:sz w:val="23"/>
          <w:szCs w:val="23"/>
          <w:shd w:val="clear" w:color="auto" w:fill="FFFFFF"/>
        </w:rPr>
        <w:t xml:space="preserve"> Economic · </w:t>
      </w:r>
      <w:r w:rsidR="00E17FA7" w:rsidRPr="00E17FA7">
        <w:rPr>
          <w:rFonts w:ascii="Segoe UI Emoji" w:hAnsi="Segoe UI Emoji" w:cs="Segoe UI Emoji"/>
          <w:color w:val="242424"/>
          <w:sz w:val="23"/>
          <w:szCs w:val="23"/>
          <w:shd w:val="clear" w:color="auto" w:fill="FFFFFF"/>
        </w:rPr>
        <w:t>⭐</w:t>
      </w:r>
      <w:r w:rsidR="00E17FA7" w:rsidRPr="00E17FA7">
        <w:rPr>
          <w:rFonts w:ascii="Segoe UI" w:hAnsi="Segoe UI" w:cs="Segoe UI"/>
          <w:color w:val="242424"/>
          <w:sz w:val="23"/>
          <w:szCs w:val="23"/>
          <w:shd w:val="clear" w:color="auto" w:fill="FFFFFF"/>
        </w:rPr>
        <w:t xml:space="preserve"> Professional — all defined with stakeholders.</w:t>
      </w:r>
    </w:p>
    <w:p w14:paraId="6C30A013" w14:textId="77777777" w:rsidR="00E17FA7" w:rsidRPr="00E17FA7" w:rsidRDefault="00E17FA7" w:rsidP="00E17FA7">
      <w:pPr>
        <w:spacing w:after="0" w:line="240" w:lineRule="auto"/>
        <w:rPr>
          <w:rFonts w:ascii="Segoe UI" w:hAnsi="Segoe UI" w:cs="Segoe UI"/>
          <w:color w:val="242424"/>
          <w:sz w:val="23"/>
          <w:szCs w:val="23"/>
          <w:shd w:val="clear" w:color="auto" w:fill="FFFFFF"/>
        </w:rPr>
      </w:pPr>
      <w:r w:rsidRPr="00E17FA7">
        <w:rPr>
          <w:rFonts w:ascii="Segoe UI" w:hAnsi="Segoe UI" w:cs="Segoe UI"/>
          <w:color w:val="242424"/>
          <w:sz w:val="23"/>
          <w:szCs w:val="23"/>
          <w:shd w:val="clear" w:color="auto" w:fill="FFFFFF"/>
        </w:rPr>
        <w:lastRenderedPageBreak/>
        <w:t>When creativity is rooted in inclusive design, shared purpose, genuine collaboration across professions, and real involvement from the people served, care evolves from a series of disconnected appointments into a seamless, supportive experience.</w:t>
      </w:r>
    </w:p>
    <w:p w14:paraId="3E553AA4" w14:textId="18E0B94B" w:rsidR="00144FD3" w:rsidRPr="00CA3694" w:rsidRDefault="00E17FA7" w:rsidP="00CA3694">
      <w:pPr>
        <w:spacing w:after="0" w:line="240" w:lineRule="auto"/>
        <w:rPr>
          <w:rFonts w:ascii="Segoe UI" w:hAnsi="Segoe UI" w:cs="Segoe UI"/>
          <w:color w:val="242424"/>
          <w:sz w:val="23"/>
          <w:szCs w:val="23"/>
          <w:shd w:val="clear" w:color="auto" w:fill="FFFFFF"/>
        </w:rPr>
      </w:pPr>
      <w:r w:rsidRPr="00E17FA7">
        <w:rPr>
          <w:rFonts w:ascii="Segoe UI Emoji" w:hAnsi="Segoe UI Emoji" w:cs="Segoe UI Emoji"/>
          <w:color w:val="242424"/>
          <w:sz w:val="23"/>
          <w:szCs w:val="23"/>
          <w:shd w:val="clear" w:color="auto" w:fill="FFFFFF"/>
        </w:rPr>
        <w:t>✨</w:t>
      </w:r>
      <w:r w:rsidRPr="00E17FA7">
        <w:rPr>
          <w:rFonts w:ascii="Segoe UI" w:hAnsi="Segoe UI" w:cs="Segoe UI"/>
          <w:color w:val="242424"/>
          <w:sz w:val="23"/>
          <w:szCs w:val="23"/>
          <w:shd w:val="clear" w:color="auto" w:fill="FFFFFF"/>
        </w:rPr>
        <w:t xml:space="preserve"> THAT IS THE TRUE VALUE OF INNOVATION — NOT JUST DOING THINGS DIFFERENTLY, BUT LISTENING, WORKING TOGETHER, AND MAKING LIFE BETTER FOR THE PEOPLE WE SER</w:t>
      </w:r>
      <w:r w:rsidR="00A00FCD">
        <w:rPr>
          <w:rFonts w:ascii="Segoe UI" w:hAnsi="Segoe UI" w:cs="Segoe UI"/>
          <w:color w:val="242424"/>
          <w:sz w:val="23"/>
          <w:szCs w:val="23"/>
          <w:shd w:val="clear" w:color="auto" w:fill="FFFFFF"/>
        </w:rPr>
        <w:t>V</w:t>
      </w:r>
      <w:r w:rsidR="004B705F">
        <w:rPr>
          <w:rFonts w:ascii="Segoe UI" w:hAnsi="Segoe UI" w:cs="Segoe UI"/>
          <w:color w:val="242424"/>
          <w:sz w:val="23"/>
          <w:szCs w:val="23"/>
          <w:shd w:val="clear" w:color="auto" w:fill="FFFFFF"/>
        </w:rPr>
        <w:t xml:space="preserve">ICES </w:t>
      </w:r>
      <w:r w:rsidR="004C1F99">
        <w:rPr>
          <w:rFonts w:ascii="Segoe UI" w:hAnsi="Segoe UI" w:cs="Segoe UI"/>
          <w:color w:val="242424"/>
          <w:sz w:val="23"/>
          <w:szCs w:val="23"/>
        </w:rPr>
        <w:br/>
      </w:r>
      <w:r w:rsidR="004C1F99">
        <w:rPr>
          <w:rFonts w:ascii="Segoe UI" w:hAnsi="Segoe UI" w:cs="Segoe UI"/>
          <w:color w:val="242424"/>
          <w:sz w:val="23"/>
          <w:szCs w:val="23"/>
          <w:shd w:val="clear" w:color="auto" w:fill="FFFFFF"/>
        </w:rPr>
        <w:t>​The "Home-First" Discharge Navigation system offers a vital, evidence-based solution to the systemic barriers currently compromising emergency department efficiency and patient safety. By fostering real-time, multi-agency communication, this innovation bridges the critical gap between acute and community care, directly supporting the wellbeing of our most vulnerable service users. Its implementation is both practical and sustainable, aligning with current NHS policy to create a more integrated, responsive landscape. Ultimately, this innovation transforms fragmented, siloed transitions into seamless, patient-cantered journeys, ensuring the common good remains at the heart of professional practice and long-term public health strategy. </w:t>
      </w:r>
      <w:r w:rsidR="00270260" w:rsidRPr="00270260">
        <w:rPr>
          <w:rFonts w:ascii="Segoe UI" w:hAnsi="Segoe UI" w:cs="Segoe UI"/>
          <w:color w:val="242424"/>
          <w:sz w:val="23"/>
          <w:szCs w:val="23"/>
        </w:rPr>
        <w:br/>
      </w:r>
      <w:r w:rsidR="00270260" w:rsidRPr="00270260">
        <w:rPr>
          <w:rFonts w:ascii="Segoe UI" w:hAnsi="Segoe UI" w:cs="Segoe UI"/>
          <w:color w:val="242424"/>
          <w:sz w:val="23"/>
          <w:szCs w:val="23"/>
          <w:shd w:val="clear" w:color="auto" w:fill="FFFFFF"/>
        </w:rPr>
        <w:t>​</w:t>
      </w:r>
      <w:r w:rsidR="005774EE">
        <w:rPr>
          <w:rFonts w:ascii="Segoe UI" w:hAnsi="Segoe UI" w:cs="Segoe UI"/>
          <w:color w:val="242424"/>
          <w:sz w:val="23"/>
          <w:szCs w:val="23"/>
          <w:shd w:val="clear" w:color="auto" w:fill="FFFFFF"/>
        </w:rPr>
        <w:t xml:space="preserve">    </w:t>
      </w:r>
      <w:r w:rsidR="00144FD3" w:rsidRPr="00144FD3">
        <w:rPr>
          <w:rFonts w:ascii="inherit" w:eastAsia="Times New Roman" w:hAnsi="inherit" w:cs="Segoe UI"/>
          <w:color w:val="242424"/>
          <w:kern w:val="0"/>
          <w:sz w:val="23"/>
          <w:szCs w:val="23"/>
          <w:lang w:eastAsia="en-GB"/>
        </w:rPr>
        <w:br/>
        <w:t>​References (Harvard Style)</w:t>
      </w:r>
      <w:r w:rsidR="00144FD3" w:rsidRPr="00144FD3">
        <w:rPr>
          <w:rFonts w:ascii="inherit" w:eastAsia="Times New Roman" w:hAnsi="inherit" w:cs="Segoe UI"/>
          <w:color w:val="242424"/>
          <w:kern w:val="0"/>
          <w:sz w:val="23"/>
          <w:szCs w:val="23"/>
          <w:lang w:eastAsia="en-GB"/>
        </w:rPr>
        <w:br/>
        <w:t>​Care Quality Commission (2020) The Care Act and the 'easements' to it. Available at: </w:t>
      </w:r>
      <w:hyperlink r:id="rId11" w:tgtFrame="_blank" w:tooltip="Original URL: https://www.cqc.org.uk/guidance-providers/adult-social-care/care-act-easements-it.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https://www.cqc.org.uk/guidance-providers/adult-social-care/care-act-easements-it</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w:t>
      </w:r>
      <w:hyperlink r:id="rId12" w:tgtFrame="_blank" w:tooltip="Original URL: http://gov.uk/.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GOV.UK</w:t>
        </w:r>
      </w:hyperlink>
      <w:r w:rsidR="00144FD3" w:rsidRPr="00144FD3">
        <w:rPr>
          <w:rFonts w:ascii="inherit" w:eastAsia="Times New Roman" w:hAnsi="inherit" w:cs="Segoe UI"/>
          <w:color w:val="242424"/>
          <w:kern w:val="0"/>
          <w:sz w:val="23"/>
          <w:szCs w:val="23"/>
          <w:lang w:eastAsia="en-GB"/>
        </w:rPr>
        <w:t> (2026) Hospital discharge and community support guidance. Available at: </w:t>
      </w:r>
      <w:hyperlink r:id="rId13" w:tgtFrame="_blank" w:tooltip="Original URL: https://www.gov.uk/government/publications/hospital-discharge-and-community-support-guidance/hospital-discharge-and-community-support-guidance.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https://www.gov.uk/government/publications/hospital-discharge-and-community-support-guidance/hospital-discharge-and-community-support-guidance</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​Health Tech News (2026) 'NHSE model discharge pathway indicates actions and measures of performance on timely discharge', HTN, 10 July. Available at: </w:t>
      </w:r>
      <w:hyperlink r:id="rId14" w:tgtFrame="_blank" w:tooltip="Original URL: https://htn.co.uk/2026/07/10/nhse-model-discharge-pathway-indicates-actions-and-measures-of-performance-on-timely-discharge/.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https://htn.co.uk/2026/07/10/nhse-model-discharge-pathway-indicates-actions-and-measures-of-performance-on-timely-discharge/</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​LLR Safeguarding Adults (2026) 2.5 Integration, Cooperation and Partnerships. Available at: </w:t>
      </w:r>
      <w:hyperlink r:id="rId15" w:tgtFrame="_blank" w:tooltip="Original URL: https://www.llradultsafeguarding.co.uk/integration-cooperation-and-partnerships/.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https://www.llradultsafeguarding.co.uk/integration-cooperation-and-partnerships/</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​NHS England (2021) Integrated Care Systems: design framework. Available at: </w:t>
      </w:r>
      <w:hyperlink r:id="rId16" w:tgtFrame="_blank" w:tooltip="Original URL: https://www.england.nhs.uk/wp-content/uploads/2021/06/B0642-ics-design-framework-june-2021.pdf.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https://www.england.nhs.uk/wp-content/uploads/2021/06/B0642-ics-design-framework-june-2021.pdf</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​NHS England (2022) Working in partnership with people and communities: Statutory guidance. Available at: </w:t>
      </w:r>
      <w:hyperlink r:id="rId17" w:tgtFrame="_blank" w:tooltip="Original URL: https://www.england.nhs.uk/long-read/working-in-partnership-with-people-and-communities-statutory-guidance/.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https://www.england.nhs.uk/long-read/working-in-partnership-with-people-and-communities-statutory-guidance/</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​PwC (2025) The Health and Care Act 2022. Available at: </w:t>
      </w:r>
      <w:hyperlink r:id="rId18" w:tgtFrame="_blank" w:tooltip="Original URL: https://catalystgrp.co.uk/wp-content/uploads/2025/12/The-Health-and-Care-Act-2022-2.pdf.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https://catalystgrp.co.uk/wp-content/uploads/2025/12/The-Health-and-Care-Act-2022-2.pdf</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​Worcestershire Acute Hospitals NHS Trust (2026) Inpatient Discharge Policy. Available at: </w:t>
      </w:r>
      <w:hyperlink r:id="rId19" w:tgtFrame="_blank" w:tooltip="Original URL: https://apps.worcsacute.nhs.uk/KeyDocumentPortal/Home/DownloadFile/3603.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https://apps.worcsacute.nhs.uk/KeyDocumentPortal/Home/DownloadFile/3603</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​Zhu, A. et al. (2021) '</w:t>
      </w:r>
      <w:proofErr w:type="spellStart"/>
      <w:r w:rsidR="00144FD3" w:rsidRPr="00144FD3">
        <w:rPr>
          <w:rFonts w:ascii="inherit" w:eastAsia="Times New Roman" w:hAnsi="inherit" w:cs="Segoe UI"/>
          <w:color w:val="242424"/>
          <w:kern w:val="0"/>
          <w:sz w:val="23"/>
          <w:szCs w:val="23"/>
          <w:lang w:eastAsia="en-GB"/>
        </w:rPr>
        <w:t>MyEDCare</w:t>
      </w:r>
      <w:proofErr w:type="spellEnd"/>
      <w:r w:rsidR="00144FD3" w:rsidRPr="00144FD3">
        <w:rPr>
          <w:rFonts w:ascii="inherit" w:eastAsia="Times New Roman" w:hAnsi="inherit" w:cs="Segoe UI"/>
          <w:color w:val="242424"/>
          <w:kern w:val="0"/>
          <w:sz w:val="23"/>
          <w:szCs w:val="23"/>
          <w:lang w:eastAsia="en-GB"/>
        </w:rPr>
        <w:t>: Evaluation of a Smartphone-Based Emergency Department Discharge Process', Journal of Medical Internet Research, 8(4). Available at: </w:t>
      </w:r>
      <w:hyperlink r:id="rId20" w:tgtFrame="_blank" w:tooltip="Original URL: https://pmc.ncbi.nlm.nih.gov/articles/PMC8081590/.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https://pmc.ncbi.nlm.nih.gov/articles/PMC8081590/</w:t>
        </w:r>
      </w:hyperlink>
      <w:r w:rsidR="00144FD3" w:rsidRPr="00144FD3">
        <w:rPr>
          <w:rFonts w:ascii="inherit" w:eastAsia="Times New Roman" w:hAnsi="inherit" w:cs="Segoe UI"/>
          <w:color w:val="242424"/>
          <w:kern w:val="0"/>
          <w:sz w:val="23"/>
          <w:szCs w:val="23"/>
          <w:lang w:eastAsia="en-GB"/>
        </w:rPr>
        <w:t> (Accessed: 11 July 2026).</w:t>
      </w:r>
      <w:r w:rsidR="00144FD3" w:rsidRPr="00144FD3">
        <w:rPr>
          <w:rFonts w:ascii="inherit" w:eastAsia="Times New Roman" w:hAnsi="inherit" w:cs="Segoe UI"/>
          <w:color w:val="242424"/>
          <w:kern w:val="0"/>
          <w:sz w:val="23"/>
          <w:szCs w:val="23"/>
          <w:lang w:eastAsia="en-GB"/>
        </w:rPr>
        <w:br/>
        <w:t xml:space="preserve">​Zhu, A. et al. (2023) 'Implementing Electronic Discharge Communication Tools in </w:t>
      </w:r>
      <w:proofErr w:type="spellStart"/>
      <w:r w:rsidR="00144FD3" w:rsidRPr="00144FD3">
        <w:rPr>
          <w:rFonts w:ascii="inherit" w:eastAsia="Times New Roman" w:hAnsi="inherit" w:cs="Segoe UI"/>
          <w:color w:val="242424"/>
          <w:kern w:val="0"/>
          <w:sz w:val="23"/>
          <w:szCs w:val="23"/>
          <w:lang w:eastAsia="en-GB"/>
        </w:rPr>
        <w:t>Pediatric</w:t>
      </w:r>
      <w:proofErr w:type="spellEnd"/>
      <w:r w:rsidR="00144FD3" w:rsidRPr="00144FD3">
        <w:rPr>
          <w:rFonts w:ascii="inherit" w:eastAsia="Times New Roman" w:hAnsi="inherit" w:cs="Segoe UI"/>
          <w:color w:val="242424"/>
          <w:kern w:val="0"/>
          <w:sz w:val="23"/>
          <w:szCs w:val="23"/>
          <w:lang w:eastAsia="en-GB"/>
        </w:rPr>
        <w:t xml:space="preserve"> </w:t>
      </w:r>
      <w:r w:rsidR="00144FD3" w:rsidRPr="00144FD3">
        <w:rPr>
          <w:rFonts w:ascii="inherit" w:eastAsia="Times New Roman" w:hAnsi="inherit" w:cs="Segoe UI"/>
          <w:color w:val="242424"/>
          <w:kern w:val="0"/>
          <w:sz w:val="23"/>
          <w:szCs w:val="23"/>
          <w:lang w:eastAsia="en-GB"/>
        </w:rPr>
        <w:lastRenderedPageBreak/>
        <w:t>Emergency Departments', PMC, 10(6). Available at: </w:t>
      </w:r>
      <w:hyperlink r:id="rId21" w:tgtFrame="_blank" w:tooltip="Original URL: https://pmc.ncbi.nlm.nih.gov/articles/PMC10600642/. Click or tap if you trust this link." w:history="1">
        <w:r w:rsidR="00144FD3" w:rsidRPr="00144FD3">
          <w:rPr>
            <w:rFonts w:ascii="inherit" w:eastAsia="Times New Roman" w:hAnsi="inherit" w:cs="Segoe UI"/>
            <w:color w:val="0000FF"/>
            <w:kern w:val="0"/>
            <w:sz w:val="23"/>
            <w:szCs w:val="23"/>
            <w:u w:val="single"/>
            <w:bdr w:val="none" w:sz="0" w:space="0" w:color="auto" w:frame="1"/>
            <w:lang w:eastAsia="en-GB"/>
          </w:rPr>
          <w:t>https://pmc.ncbi.nlm.nih.gov/articles/PMC10600642/</w:t>
        </w:r>
      </w:hyperlink>
      <w:r w:rsidR="00144FD3" w:rsidRPr="00144FD3">
        <w:rPr>
          <w:rFonts w:ascii="inherit" w:eastAsia="Times New Roman" w:hAnsi="inherit" w:cs="Segoe UI"/>
          <w:color w:val="242424"/>
          <w:kern w:val="0"/>
          <w:sz w:val="23"/>
          <w:szCs w:val="23"/>
          <w:lang w:eastAsia="en-GB"/>
        </w:rPr>
        <w:t> (Accessed: 11 July 2026). </w:t>
      </w:r>
    </w:p>
    <w:p w14:paraId="20AEA1F2" w14:textId="66B789D5" w:rsidR="00144FD3" w:rsidRDefault="00144FD3" w:rsidP="00DA1C3E">
      <w:pPr>
        <w:spacing w:line="360" w:lineRule="auto"/>
        <w:rPr>
          <w:rFonts w:ascii="Times New Roman" w:hAnsi="Times New Roman"/>
          <w:b/>
          <w:bCs/>
          <w:sz w:val="32"/>
          <w:szCs w:val="32"/>
        </w:rPr>
      </w:pPr>
    </w:p>
    <w:p w14:paraId="6841C481" w14:textId="59EAEA0B" w:rsidR="00144FD3" w:rsidRDefault="00144FD3" w:rsidP="00DA1C3E">
      <w:pPr>
        <w:spacing w:line="360" w:lineRule="auto"/>
        <w:rPr>
          <w:rFonts w:ascii="Times New Roman" w:hAnsi="Times New Roman"/>
          <w:b/>
          <w:bCs/>
          <w:sz w:val="32"/>
          <w:szCs w:val="32"/>
        </w:rPr>
      </w:pPr>
    </w:p>
    <w:p w14:paraId="468010B6" w14:textId="24217FE4" w:rsidR="00DD2526" w:rsidRDefault="00DD2526" w:rsidP="00DA1C3E">
      <w:pPr>
        <w:spacing w:line="360" w:lineRule="auto"/>
        <w:rPr>
          <w:rFonts w:ascii="Times New Roman" w:hAnsi="Times New Roman"/>
          <w:b/>
          <w:sz w:val="32"/>
          <w:szCs w:val="32"/>
        </w:rPr>
      </w:pPr>
    </w:p>
    <w:p w14:paraId="7382CAB3" w14:textId="343403C7" w:rsidR="00D46920" w:rsidDel="00DA1C3E" w:rsidRDefault="00D46920">
      <w:pPr>
        <w:spacing w:line="360" w:lineRule="auto"/>
        <w:rPr>
          <w:rFonts w:ascii="Times New Roman" w:hAnsi="Times New Roman"/>
          <w:b/>
          <w:sz w:val="32"/>
          <w:szCs w:val="32"/>
        </w:rPr>
      </w:pPr>
    </w:p>
    <w:p w14:paraId="76461D58" w14:textId="77777777" w:rsidR="00D46920" w:rsidRDefault="00D46920" w:rsidP="00DA1C3E">
      <w:pPr>
        <w:spacing w:line="360" w:lineRule="auto"/>
        <w:rPr>
          <w:rFonts w:ascii="Times New Roman" w:hAnsi="Times New Roman"/>
          <w:b/>
          <w:bCs/>
          <w:sz w:val="32"/>
          <w:szCs w:val="32"/>
        </w:rPr>
      </w:pPr>
    </w:p>
    <w:sectPr w:rsidR="00D4692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B4120" w14:textId="77777777" w:rsidR="001A0662" w:rsidRDefault="001A0662" w:rsidP="000230D2">
      <w:pPr>
        <w:spacing w:after="0" w:line="240" w:lineRule="auto"/>
      </w:pPr>
      <w:r>
        <w:separator/>
      </w:r>
    </w:p>
  </w:endnote>
  <w:endnote w:type="continuationSeparator" w:id="0">
    <w:p w14:paraId="69D73A6B" w14:textId="77777777" w:rsidR="001A0662" w:rsidRDefault="001A0662" w:rsidP="0002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Emoji">
    <w:panose1 w:val="020B0502040204020203"/>
    <w:charset w:val="00"/>
    <w:family w:val="swiss"/>
    <w:pitch w:val="variable"/>
    <w:sig w:usb0="00000003" w:usb1="02000000" w:usb2="08000000" w:usb3="00000000" w:csb0="00000001" w:csb1="00000000"/>
  </w:font>
  <w:font w:name="inherit">
    <w:altName w:val="Cambria"/>
    <w:charset w:val="00"/>
    <w:family w:val="roman"/>
    <w:notTrueType/>
    <w:pitch w:val="default"/>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9C2FC7" w14:paraId="318E7478" w14:textId="77777777" w:rsidTr="669C2FC7">
      <w:trPr>
        <w:trHeight w:val="300"/>
      </w:trPr>
      <w:tc>
        <w:tcPr>
          <w:tcW w:w="3005" w:type="dxa"/>
        </w:tcPr>
        <w:p w14:paraId="453FA15F" w14:textId="66486667" w:rsidR="669C2FC7" w:rsidRDefault="669C2FC7" w:rsidP="669C2FC7">
          <w:pPr>
            <w:ind w:left="-115"/>
          </w:pPr>
        </w:p>
      </w:tc>
      <w:tc>
        <w:tcPr>
          <w:tcW w:w="3005" w:type="dxa"/>
        </w:tcPr>
        <w:p w14:paraId="62D044E9" w14:textId="75F4E1D1" w:rsidR="669C2FC7" w:rsidRDefault="669C2FC7" w:rsidP="669C2FC7">
          <w:pPr>
            <w:jc w:val="center"/>
          </w:pPr>
        </w:p>
      </w:tc>
      <w:tc>
        <w:tcPr>
          <w:tcW w:w="3005" w:type="dxa"/>
        </w:tcPr>
        <w:p w14:paraId="2A8D188E" w14:textId="5FE1EE61" w:rsidR="669C2FC7" w:rsidRDefault="669C2FC7" w:rsidP="669C2FC7">
          <w:pPr>
            <w:ind w:right="-115"/>
            <w:jc w:val="right"/>
          </w:pPr>
        </w:p>
      </w:tc>
    </w:tr>
  </w:tbl>
  <w:p w14:paraId="5D11D316" w14:textId="5A8A5181" w:rsidR="000230D2" w:rsidRDefault="000230D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37DBE" w14:textId="77777777" w:rsidR="001A0662" w:rsidRDefault="001A0662" w:rsidP="000230D2">
      <w:pPr>
        <w:spacing w:after="0" w:line="240" w:lineRule="auto"/>
      </w:pPr>
      <w:r>
        <w:separator/>
      </w:r>
    </w:p>
  </w:footnote>
  <w:footnote w:type="continuationSeparator" w:id="0">
    <w:p w14:paraId="7573109D" w14:textId="77777777" w:rsidR="001A0662" w:rsidRDefault="001A0662" w:rsidP="000230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9C2FC7" w14:paraId="748282AC" w14:textId="77777777" w:rsidTr="669C2FC7">
      <w:trPr>
        <w:trHeight w:val="300"/>
      </w:trPr>
      <w:tc>
        <w:tcPr>
          <w:tcW w:w="3005" w:type="dxa"/>
        </w:tcPr>
        <w:p w14:paraId="506295B4" w14:textId="7AD32BBD" w:rsidR="669C2FC7" w:rsidRDefault="669C2FC7" w:rsidP="669C2FC7">
          <w:pPr>
            <w:ind w:left="-115"/>
          </w:pPr>
        </w:p>
      </w:tc>
      <w:tc>
        <w:tcPr>
          <w:tcW w:w="3005" w:type="dxa"/>
        </w:tcPr>
        <w:p w14:paraId="6FECD9C9" w14:textId="12D7F69D" w:rsidR="669C2FC7" w:rsidRDefault="669C2FC7" w:rsidP="669C2FC7">
          <w:pPr>
            <w:jc w:val="center"/>
          </w:pPr>
        </w:p>
      </w:tc>
      <w:tc>
        <w:tcPr>
          <w:tcW w:w="3005" w:type="dxa"/>
        </w:tcPr>
        <w:p w14:paraId="3BAC3413" w14:textId="0CD9433C" w:rsidR="669C2FC7" w:rsidRDefault="669C2FC7" w:rsidP="669C2FC7">
          <w:pPr>
            <w:ind w:right="-115"/>
            <w:jc w:val="right"/>
          </w:pPr>
        </w:p>
      </w:tc>
    </w:tr>
  </w:tbl>
  <w:p w14:paraId="30206EC4" w14:textId="64FD4317" w:rsidR="000230D2" w:rsidRDefault="000230D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17827"/>
    <w:multiLevelType w:val="hybridMultilevel"/>
    <w:tmpl w:val="890E8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64D811"/>
    <w:multiLevelType w:val="hybridMultilevel"/>
    <w:tmpl w:val="FFFFFFFF"/>
    <w:lvl w:ilvl="0" w:tplc="DCF2B478">
      <w:start w:val="1"/>
      <w:numFmt w:val="decimal"/>
      <w:lvlText w:val="%1."/>
      <w:lvlJc w:val="left"/>
      <w:pPr>
        <w:ind w:left="720" w:hanging="360"/>
      </w:pPr>
    </w:lvl>
    <w:lvl w:ilvl="1" w:tplc="0D4C775A">
      <w:start w:val="1"/>
      <w:numFmt w:val="lowerLetter"/>
      <w:lvlText w:val="%2."/>
      <w:lvlJc w:val="left"/>
      <w:pPr>
        <w:ind w:left="1440" w:hanging="360"/>
      </w:pPr>
    </w:lvl>
    <w:lvl w:ilvl="2" w:tplc="3C86673C">
      <w:start w:val="1"/>
      <w:numFmt w:val="lowerRoman"/>
      <w:lvlText w:val="%3."/>
      <w:lvlJc w:val="right"/>
      <w:pPr>
        <w:ind w:left="2160" w:hanging="180"/>
      </w:pPr>
    </w:lvl>
    <w:lvl w:ilvl="3" w:tplc="FAD0899C">
      <w:start w:val="1"/>
      <w:numFmt w:val="decimal"/>
      <w:lvlText w:val="%4."/>
      <w:lvlJc w:val="left"/>
      <w:pPr>
        <w:ind w:left="2880" w:hanging="360"/>
      </w:pPr>
    </w:lvl>
    <w:lvl w:ilvl="4" w:tplc="C2EA2086">
      <w:start w:val="1"/>
      <w:numFmt w:val="lowerLetter"/>
      <w:lvlText w:val="%5."/>
      <w:lvlJc w:val="left"/>
      <w:pPr>
        <w:ind w:left="3600" w:hanging="360"/>
      </w:pPr>
    </w:lvl>
    <w:lvl w:ilvl="5" w:tplc="07A6C858">
      <w:start w:val="1"/>
      <w:numFmt w:val="lowerRoman"/>
      <w:lvlText w:val="%6."/>
      <w:lvlJc w:val="right"/>
      <w:pPr>
        <w:ind w:left="4320" w:hanging="180"/>
      </w:pPr>
    </w:lvl>
    <w:lvl w:ilvl="6" w:tplc="7C180CDA">
      <w:start w:val="1"/>
      <w:numFmt w:val="decimal"/>
      <w:lvlText w:val="%7."/>
      <w:lvlJc w:val="left"/>
      <w:pPr>
        <w:ind w:left="5040" w:hanging="360"/>
      </w:pPr>
    </w:lvl>
    <w:lvl w:ilvl="7" w:tplc="53F41096">
      <w:start w:val="1"/>
      <w:numFmt w:val="lowerLetter"/>
      <w:lvlText w:val="%8."/>
      <w:lvlJc w:val="left"/>
      <w:pPr>
        <w:ind w:left="5760" w:hanging="360"/>
      </w:pPr>
    </w:lvl>
    <w:lvl w:ilvl="8" w:tplc="8F5E7634">
      <w:start w:val="1"/>
      <w:numFmt w:val="lowerRoman"/>
      <w:lvlText w:val="%9."/>
      <w:lvlJc w:val="right"/>
      <w:pPr>
        <w:ind w:left="6480" w:hanging="180"/>
      </w:p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D8792C"/>
    <w:multiLevelType w:val="hybridMultilevel"/>
    <w:tmpl w:val="AE2AF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476408">
    <w:abstractNumId w:val="15"/>
  </w:num>
  <w:num w:numId="2" w16cid:durableId="1191258451">
    <w:abstractNumId w:val="3"/>
  </w:num>
  <w:num w:numId="3" w16cid:durableId="1218783713">
    <w:abstractNumId w:val="9"/>
  </w:num>
  <w:num w:numId="4" w16cid:durableId="1342471444">
    <w:abstractNumId w:val="7"/>
  </w:num>
  <w:num w:numId="5" w16cid:durableId="1457792697">
    <w:abstractNumId w:val="10"/>
  </w:num>
  <w:num w:numId="6" w16cid:durableId="1518612884">
    <w:abstractNumId w:val="11"/>
  </w:num>
  <w:num w:numId="7" w16cid:durableId="1622766073">
    <w:abstractNumId w:val="5"/>
  </w:num>
  <w:num w:numId="8" w16cid:durableId="2060398449">
    <w:abstractNumId w:val="2"/>
  </w:num>
  <w:num w:numId="9" w16cid:durableId="2142140862">
    <w:abstractNumId w:val="14"/>
  </w:num>
  <w:num w:numId="10" w16cid:durableId="228422474">
    <w:abstractNumId w:val="6"/>
  </w:num>
  <w:num w:numId="11" w16cid:durableId="521866105">
    <w:abstractNumId w:val="0"/>
  </w:num>
  <w:num w:numId="12" w16cid:durableId="521866661">
    <w:abstractNumId w:val="8"/>
  </w:num>
  <w:num w:numId="13" w16cid:durableId="78447588">
    <w:abstractNumId w:val="13"/>
  </w:num>
  <w:num w:numId="14" w16cid:durableId="1485077583">
    <w:abstractNumId w:val="4"/>
  </w:num>
  <w:num w:numId="15" w16cid:durableId="209653490">
    <w:abstractNumId w:val="1"/>
  </w:num>
  <w:num w:numId="16" w16cid:durableId="5049000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6F5A"/>
    <w:rsid w:val="0000766B"/>
    <w:rsid w:val="00010765"/>
    <w:rsid w:val="00013EB0"/>
    <w:rsid w:val="000213E1"/>
    <w:rsid w:val="00021D7A"/>
    <w:rsid w:val="00022535"/>
    <w:rsid w:val="000230D2"/>
    <w:rsid w:val="00025615"/>
    <w:rsid w:val="000258EF"/>
    <w:rsid w:val="000264DD"/>
    <w:rsid w:val="00027AC3"/>
    <w:rsid w:val="00027ECE"/>
    <w:rsid w:val="00031BA4"/>
    <w:rsid w:val="00033A88"/>
    <w:rsid w:val="000501B1"/>
    <w:rsid w:val="00051AC6"/>
    <w:rsid w:val="0005424B"/>
    <w:rsid w:val="000572E7"/>
    <w:rsid w:val="00060C83"/>
    <w:rsid w:val="00065DBD"/>
    <w:rsid w:val="00075357"/>
    <w:rsid w:val="00077998"/>
    <w:rsid w:val="000812B9"/>
    <w:rsid w:val="00091E7C"/>
    <w:rsid w:val="00092517"/>
    <w:rsid w:val="00092B36"/>
    <w:rsid w:val="00095588"/>
    <w:rsid w:val="00097466"/>
    <w:rsid w:val="000A1B17"/>
    <w:rsid w:val="000A1FC1"/>
    <w:rsid w:val="000A2B6D"/>
    <w:rsid w:val="000A3051"/>
    <w:rsid w:val="000A75B1"/>
    <w:rsid w:val="000B14DD"/>
    <w:rsid w:val="000B1AFC"/>
    <w:rsid w:val="000B24C4"/>
    <w:rsid w:val="000B4D40"/>
    <w:rsid w:val="000B61DE"/>
    <w:rsid w:val="000B7875"/>
    <w:rsid w:val="000C1685"/>
    <w:rsid w:val="000C2B19"/>
    <w:rsid w:val="000C2F26"/>
    <w:rsid w:val="000C4D0C"/>
    <w:rsid w:val="000D67BD"/>
    <w:rsid w:val="000E5AD6"/>
    <w:rsid w:val="000F28AC"/>
    <w:rsid w:val="00100189"/>
    <w:rsid w:val="001010EC"/>
    <w:rsid w:val="00102E35"/>
    <w:rsid w:val="00114199"/>
    <w:rsid w:val="0012169C"/>
    <w:rsid w:val="00123A3B"/>
    <w:rsid w:val="00123D46"/>
    <w:rsid w:val="00124B9F"/>
    <w:rsid w:val="00126059"/>
    <w:rsid w:val="001323C6"/>
    <w:rsid w:val="001331E6"/>
    <w:rsid w:val="001408D4"/>
    <w:rsid w:val="00142E41"/>
    <w:rsid w:val="00144148"/>
    <w:rsid w:val="00144FD3"/>
    <w:rsid w:val="00146452"/>
    <w:rsid w:val="001515B8"/>
    <w:rsid w:val="00151806"/>
    <w:rsid w:val="001602A9"/>
    <w:rsid w:val="00164879"/>
    <w:rsid w:val="00167C59"/>
    <w:rsid w:val="001751B5"/>
    <w:rsid w:val="00177AD0"/>
    <w:rsid w:val="00183A24"/>
    <w:rsid w:val="00184900"/>
    <w:rsid w:val="00191362"/>
    <w:rsid w:val="001929D9"/>
    <w:rsid w:val="00197922"/>
    <w:rsid w:val="001A0289"/>
    <w:rsid w:val="001A0662"/>
    <w:rsid w:val="001B2007"/>
    <w:rsid w:val="001B4C6D"/>
    <w:rsid w:val="001B55CA"/>
    <w:rsid w:val="001C50AC"/>
    <w:rsid w:val="001C681D"/>
    <w:rsid w:val="001E06BB"/>
    <w:rsid w:val="001F0FA1"/>
    <w:rsid w:val="001F5AE2"/>
    <w:rsid w:val="001F6C99"/>
    <w:rsid w:val="001F74E2"/>
    <w:rsid w:val="001F7504"/>
    <w:rsid w:val="001F7E76"/>
    <w:rsid w:val="00202E66"/>
    <w:rsid w:val="00205F6A"/>
    <w:rsid w:val="00206A8B"/>
    <w:rsid w:val="00206C80"/>
    <w:rsid w:val="002109DC"/>
    <w:rsid w:val="002170B1"/>
    <w:rsid w:val="002208FE"/>
    <w:rsid w:val="00226238"/>
    <w:rsid w:val="002457C1"/>
    <w:rsid w:val="00250087"/>
    <w:rsid w:val="00255597"/>
    <w:rsid w:val="002605C7"/>
    <w:rsid w:val="002671F3"/>
    <w:rsid w:val="00270260"/>
    <w:rsid w:val="00270D2F"/>
    <w:rsid w:val="00272095"/>
    <w:rsid w:val="00272255"/>
    <w:rsid w:val="002747A6"/>
    <w:rsid w:val="002768D0"/>
    <w:rsid w:val="00297174"/>
    <w:rsid w:val="002A0F13"/>
    <w:rsid w:val="002B0B7F"/>
    <w:rsid w:val="002B792A"/>
    <w:rsid w:val="002C17F4"/>
    <w:rsid w:val="002C2E1C"/>
    <w:rsid w:val="002D7BFD"/>
    <w:rsid w:val="002E1927"/>
    <w:rsid w:val="002E2FDC"/>
    <w:rsid w:val="002E30BE"/>
    <w:rsid w:val="002E31C0"/>
    <w:rsid w:val="002E34B8"/>
    <w:rsid w:val="002E6D4D"/>
    <w:rsid w:val="002E7377"/>
    <w:rsid w:val="002E7839"/>
    <w:rsid w:val="002E7FED"/>
    <w:rsid w:val="002F2D03"/>
    <w:rsid w:val="002F311C"/>
    <w:rsid w:val="002F7134"/>
    <w:rsid w:val="00307896"/>
    <w:rsid w:val="00310011"/>
    <w:rsid w:val="00310319"/>
    <w:rsid w:val="0031507D"/>
    <w:rsid w:val="003167C2"/>
    <w:rsid w:val="00316F80"/>
    <w:rsid w:val="00320157"/>
    <w:rsid w:val="003211E4"/>
    <w:rsid w:val="00321B06"/>
    <w:rsid w:val="00321C64"/>
    <w:rsid w:val="003240A8"/>
    <w:rsid w:val="00325884"/>
    <w:rsid w:val="00326780"/>
    <w:rsid w:val="00326BB8"/>
    <w:rsid w:val="003323C3"/>
    <w:rsid w:val="003366AA"/>
    <w:rsid w:val="00337FC7"/>
    <w:rsid w:val="00340485"/>
    <w:rsid w:val="00343483"/>
    <w:rsid w:val="0034478D"/>
    <w:rsid w:val="00350A5D"/>
    <w:rsid w:val="00351DD9"/>
    <w:rsid w:val="0035235D"/>
    <w:rsid w:val="003542D7"/>
    <w:rsid w:val="00354ACD"/>
    <w:rsid w:val="00361662"/>
    <w:rsid w:val="00361B0A"/>
    <w:rsid w:val="003673FF"/>
    <w:rsid w:val="003729B4"/>
    <w:rsid w:val="003734B8"/>
    <w:rsid w:val="00374285"/>
    <w:rsid w:val="0037732B"/>
    <w:rsid w:val="00377E52"/>
    <w:rsid w:val="003912A3"/>
    <w:rsid w:val="003A3989"/>
    <w:rsid w:val="003A421D"/>
    <w:rsid w:val="003A532D"/>
    <w:rsid w:val="003B31A9"/>
    <w:rsid w:val="003C098A"/>
    <w:rsid w:val="003C21FF"/>
    <w:rsid w:val="003C32D9"/>
    <w:rsid w:val="003C3A06"/>
    <w:rsid w:val="003D0A57"/>
    <w:rsid w:val="003D2A2A"/>
    <w:rsid w:val="003D3667"/>
    <w:rsid w:val="003D3D28"/>
    <w:rsid w:val="003D7DB8"/>
    <w:rsid w:val="003E6ACA"/>
    <w:rsid w:val="003F05EF"/>
    <w:rsid w:val="003F07D4"/>
    <w:rsid w:val="003F424F"/>
    <w:rsid w:val="003F47C8"/>
    <w:rsid w:val="00400D02"/>
    <w:rsid w:val="00401981"/>
    <w:rsid w:val="0040228D"/>
    <w:rsid w:val="004030C7"/>
    <w:rsid w:val="00403693"/>
    <w:rsid w:val="00405ABE"/>
    <w:rsid w:val="00411FD8"/>
    <w:rsid w:val="00412108"/>
    <w:rsid w:val="004178C1"/>
    <w:rsid w:val="0042012D"/>
    <w:rsid w:val="0042478D"/>
    <w:rsid w:val="00427CCF"/>
    <w:rsid w:val="004411CF"/>
    <w:rsid w:val="0044199B"/>
    <w:rsid w:val="00443A47"/>
    <w:rsid w:val="004446FE"/>
    <w:rsid w:val="004551B1"/>
    <w:rsid w:val="0046219A"/>
    <w:rsid w:val="00465D3D"/>
    <w:rsid w:val="004714A0"/>
    <w:rsid w:val="004723D2"/>
    <w:rsid w:val="00480899"/>
    <w:rsid w:val="004846EE"/>
    <w:rsid w:val="004856E8"/>
    <w:rsid w:val="00490388"/>
    <w:rsid w:val="004919A5"/>
    <w:rsid w:val="00492856"/>
    <w:rsid w:val="00494374"/>
    <w:rsid w:val="0049637F"/>
    <w:rsid w:val="00497782"/>
    <w:rsid w:val="004A0875"/>
    <w:rsid w:val="004A3130"/>
    <w:rsid w:val="004A359F"/>
    <w:rsid w:val="004A4B16"/>
    <w:rsid w:val="004A5515"/>
    <w:rsid w:val="004B705F"/>
    <w:rsid w:val="004C1CB6"/>
    <w:rsid w:val="004C1F99"/>
    <w:rsid w:val="004D0333"/>
    <w:rsid w:val="004D292E"/>
    <w:rsid w:val="004D394A"/>
    <w:rsid w:val="004D5AAD"/>
    <w:rsid w:val="004E0B45"/>
    <w:rsid w:val="004E0C76"/>
    <w:rsid w:val="004E3721"/>
    <w:rsid w:val="004E7285"/>
    <w:rsid w:val="004F0525"/>
    <w:rsid w:val="004F1D09"/>
    <w:rsid w:val="004F788A"/>
    <w:rsid w:val="00503969"/>
    <w:rsid w:val="00503B80"/>
    <w:rsid w:val="005103D8"/>
    <w:rsid w:val="00510CCF"/>
    <w:rsid w:val="0051352B"/>
    <w:rsid w:val="0051548A"/>
    <w:rsid w:val="00527375"/>
    <w:rsid w:val="005305F8"/>
    <w:rsid w:val="00531622"/>
    <w:rsid w:val="005344B3"/>
    <w:rsid w:val="005379A4"/>
    <w:rsid w:val="0054072E"/>
    <w:rsid w:val="00555718"/>
    <w:rsid w:val="00557E50"/>
    <w:rsid w:val="00557FA5"/>
    <w:rsid w:val="005643F4"/>
    <w:rsid w:val="00565779"/>
    <w:rsid w:val="00566EED"/>
    <w:rsid w:val="0057056D"/>
    <w:rsid w:val="005725E8"/>
    <w:rsid w:val="00573F5D"/>
    <w:rsid w:val="005774EE"/>
    <w:rsid w:val="00584924"/>
    <w:rsid w:val="00584CB0"/>
    <w:rsid w:val="00584DF7"/>
    <w:rsid w:val="005858B7"/>
    <w:rsid w:val="00593D51"/>
    <w:rsid w:val="00594E1E"/>
    <w:rsid w:val="00596E2A"/>
    <w:rsid w:val="005C0A9D"/>
    <w:rsid w:val="005C27DA"/>
    <w:rsid w:val="005C28E8"/>
    <w:rsid w:val="005C4C7A"/>
    <w:rsid w:val="005D3EF9"/>
    <w:rsid w:val="005E2621"/>
    <w:rsid w:val="005E347D"/>
    <w:rsid w:val="005E4E4F"/>
    <w:rsid w:val="005E75B5"/>
    <w:rsid w:val="005F0AAF"/>
    <w:rsid w:val="005F1E87"/>
    <w:rsid w:val="006011C1"/>
    <w:rsid w:val="00601A83"/>
    <w:rsid w:val="00603766"/>
    <w:rsid w:val="00604C43"/>
    <w:rsid w:val="00607606"/>
    <w:rsid w:val="00607873"/>
    <w:rsid w:val="00612933"/>
    <w:rsid w:val="006130E4"/>
    <w:rsid w:val="00613A44"/>
    <w:rsid w:val="00614FF2"/>
    <w:rsid w:val="00621A5F"/>
    <w:rsid w:val="0062370A"/>
    <w:rsid w:val="006253CC"/>
    <w:rsid w:val="006347CA"/>
    <w:rsid w:val="00634FB9"/>
    <w:rsid w:val="00636F82"/>
    <w:rsid w:val="00637E20"/>
    <w:rsid w:val="00641DA6"/>
    <w:rsid w:val="00646527"/>
    <w:rsid w:val="006510F3"/>
    <w:rsid w:val="00652EB3"/>
    <w:rsid w:val="00655E28"/>
    <w:rsid w:val="0066031B"/>
    <w:rsid w:val="00666A9A"/>
    <w:rsid w:val="00671B1A"/>
    <w:rsid w:val="00674FE4"/>
    <w:rsid w:val="0067768E"/>
    <w:rsid w:val="0068256D"/>
    <w:rsid w:val="00687839"/>
    <w:rsid w:val="0069182B"/>
    <w:rsid w:val="006920F7"/>
    <w:rsid w:val="00692BB9"/>
    <w:rsid w:val="00694BD5"/>
    <w:rsid w:val="006955AC"/>
    <w:rsid w:val="00695919"/>
    <w:rsid w:val="00695EAC"/>
    <w:rsid w:val="00697943"/>
    <w:rsid w:val="006A3394"/>
    <w:rsid w:val="006A4003"/>
    <w:rsid w:val="006A414F"/>
    <w:rsid w:val="006A4BF2"/>
    <w:rsid w:val="006A76C2"/>
    <w:rsid w:val="006B0BF7"/>
    <w:rsid w:val="006B43F8"/>
    <w:rsid w:val="006B5FA9"/>
    <w:rsid w:val="006E3BE5"/>
    <w:rsid w:val="006E61B5"/>
    <w:rsid w:val="006E6648"/>
    <w:rsid w:val="006F1DF0"/>
    <w:rsid w:val="006F33F2"/>
    <w:rsid w:val="006F557B"/>
    <w:rsid w:val="006F5A4F"/>
    <w:rsid w:val="006F6B9C"/>
    <w:rsid w:val="00701E13"/>
    <w:rsid w:val="00703064"/>
    <w:rsid w:val="00703893"/>
    <w:rsid w:val="00712472"/>
    <w:rsid w:val="007144EE"/>
    <w:rsid w:val="00721743"/>
    <w:rsid w:val="00722D75"/>
    <w:rsid w:val="00724909"/>
    <w:rsid w:val="00726244"/>
    <w:rsid w:val="00737365"/>
    <w:rsid w:val="0074056B"/>
    <w:rsid w:val="00740EFD"/>
    <w:rsid w:val="007472D0"/>
    <w:rsid w:val="00751347"/>
    <w:rsid w:val="0075135C"/>
    <w:rsid w:val="00751942"/>
    <w:rsid w:val="00752CA6"/>
    <w:rsid w:val="00753F69"/>
    <w:rsid w:val="00754A31"/>
    <w:rsid w:val="00757144"/>
    <w:rsid w:val="00761312"/>
    <w:rsid w:val="00763916"/>
    <w:rsid w:val="00765B26"/>
    <w:rsid w:val="00771353"/>
    <w:rsid w:val="007729EE"/>
    <w:rsid w:val="00774453"/>
    <w:rsid w:val="00777C8A"/>
    <w:rsid w:val="00783AC7"/>
    <w:rsid w:val="00784796"/>
    <w:rsid w:val="00790CDA"/>
    <w:rsid w:val="00790F85"/>
    <w:rsid w:val="00794D87"/>
    <w:rsid w:val="00795B12"/>
    <w:rsid w:val="007A06EA"/>
    <w:rsid w:val="007B4EFC"/>
    <w:rsid w:val="007B6E8C"/>
    <w:rsid w:val="007C14BB"/>
    <w:rsid w:val="007C5193"/>
    <w:rsid w:val="007C5A49"/>
    <w:rsid w:val="007D0B41"/>
    <w:rsid w:val="007D4C44"/>
    <w:rsid w:val="007D7AAF"/>
    <w:rsid w:val="007E3085"/>
    <w:rsid w:val="007E7787"/>
    <w:rsid w:val="007E79BD"/>
    <w:rsid w:val="007F599D"/>
    <w:rsid w:val="007F60C2"/>
    <w:rsid w:val="00800F3F"/>
    <w:rsid w:val="008014D2"/>
    <w:rsid w:val="00804E06"/>
    <w:rsid w:val="00807C0F"/>
    <w:rsid w:val="008138B5"/>
    <w:rsid w:val="00816528"/>
    <w:rsid w:val="008170AD"/>
    <w:rsid w:val="008214D7"/>
    <w:rsid w:val="00822F44"/>
    <w:rsid w:val="008316A7"/>
    <w:rsid w:val="00841E82"/>
    <w:rsid w:val="00851F81"/>
    <w:rsid w:val="00855E81"/>
    <w:rsid w:val="00857230"/>
    <w:rsid w:val="0086276A"/>
    <w:rsid w:val="00871EA6"/>
    <w:rsid w:val="00881384"/>
    <w:rsid w:val="00881FFB"/>
    <w:rsid w:val="00883C42"/>
    <w:rsid w:val="008840CB"/>
    <w:rsid w:val="00887204"/>
    <w:rsid w:val="0088720B"/>
    <w:rsid w:val="008917E1"/>
    <w:rsid w:val="00893AAE"/>
    <w:rsid w:val="00895D67"/>
    <w:rsid w:val="00897CEC"/>
    <w:rsid w:val="008A30AD"/>
    <w:rsid w:val="008A51D3"/>
    <w:rsid w:val="008B249D"/>
    <w:rsid w:val="008B2B95"/>
    <w:rsid w:val="008B5D18"/>
    <w:rsid w:val="008C155D"/>
    <w:rsid w:val="008D2287"/>
    <w:rsid w:val="008D55D4"/>
    <w:rsid w:val="008D690A"/>
    <w:rsid w:val="008E550C"/>
    <w:rsid w:val="008E5DBE"/>
    <w:rsid w:val="008F59C4"/>
    <w:rsid w:val="008F76CB"/>
    <w:rsid w:val="00900163"/>
    <w:rsid w:val="00901987"/>
    <w:rsid w:val="00902713"/>
    <w:rsid w:val="00914DA2"/>
    <w:rsid w:val="00926F84"/>
    <w:rsid w:val="00927810"/>
    <w:rsid w:val="00930B8A"/>
    <w:rsid w:val="00931255"/>
    <w:rsid w:val="00931858"/>
    <w:rsid w:val="00933518"/>
    <w:rsid w:val="0093424D"/>
    <w:rsid w:val="009353D8"/>
    <w:rsid w:val="00935704"/>
    <w:rsid w:val="00937307"/>
    <w:rsid w:val="00940A3A"/>
    <w:rsid w:val="009410FB"/>
    <w:rsid w:val="009426BB"/>
    <w:rsid w:val="009478B9"/>
    <w:rsid w:val="0095228B"/>
    <w:rsid w:val="0095752F"/>
    <w:rsid w:val="009607A8"/>
    <w:rsid w:val="00966955"/>
    <w:rsid w:val="00967343"/>
    <w:rsid w:val="009673BE"/>
    <w:rsid w:val="00970FAD"/>
    <w:rsid w:val="00972962"/>
    <w:rsid w:val="009800EC"/>
    <w:rsid w:val="0098083C"/>
    <w:rsid w:val="00993443"/>
    <w:rsid w:val="009A1720"/>
    <w:rsid w:val="009A1C52"/>
    <w:rsid w:val="009A31A1"/>
    <w:rsid w:val="009A42D2"/>
    <w:rsid w:val="009D26AB"/>
    <w:rsid w:val="009D3AF7"/>
    <w:rsid w:val="009D66DF"/>
    <w:rsid w:val="009E63E5"/>
    <w:rsid w:val="009E7062"/>
    <w:rsid w:val="009E7EF3"/>
    <w:rsid w:val="009F1768"/>
    <w:rsid w:val="009F2A46"/>
    <w:rsid w:val="009F60A1"/>
    <w:rsid w:val="009F7033"/>
    <w:rsid w:val="00A00EB7"/>
    <w:rsid w:val="00A00FCD"/>
    <w:rsid w:val="00A068CB"/>
    <w:rsid w:val="00A07DB1"/>
    <w:rsid w:val="00A165F2"/>
    <w:rsid w:val="00A20A97"/>
    <w:rsid w:val="00A31E3C"/>
    <w:rsid w:val="00A3463B"/>
    <w:rsid w:val="00A44C8B"/>
    <w:rsid w:val="00A5087A"/>
    <w:rsid w:val="00A5349A"/>
    <w:rsid w:val="00A6056E"/>
    <w:rsid w:val="00A6228D"/>
    <w:rsid w:val="00A62676"/>
    <w:rsid w:val="00A701AF"/>
    <w:rsid w:val="00A72150"/>
    <w:rsid w:val="00A75F10"/>
    <w:rsid w:val="00A81F46"/>
    <w:rsid w:val="00A85AF8"/>
    <w:rsid w:val="00A86896"/>
    <w:rsid w:val="00A90677"/>
    <w:rsid w:val="00A95085"/>
    <w:rsid w:val="00A95F44"/>
    <w:rsid w:val="00AA01A4"/>
    <w:rsid w:val="00AA0848"/>
    <w:rsid w:val="00AA1E74"/>
    <w:rsid w:val="00AB2CCB"/>
    <w:rsid w:val="00AB52E0"/>
    <w:rsid w:val="00AB6A86"/>
    <w:rsid w:val="00AB7C91"/>
    <w:rsid w:val="00AC0732"/>
    <w:rsid w:val="00AC3AFF"/>
    <w:rsid w:val="00AC3C3C"/>
    <w:rsid w:val="00AE38D5"/>
    <w:rsid w:val="00AF0F09"/>
    <w:rsid w:val="00AF130E"/>
    <w:rsid w:val="00AF56D6"/>
    <w:rsid w:val="00B047C0"/>
    <w:rsid w:val="00B04CD9"/>
    <w:rsid w:val="00B11CF0"/>
    <w:rsid w:val="00B151D1"/>
    <w:rsid w:val="00B17796"/>
    <w:rsid w:val="00B22B55"/>
    <w:rsid w:val="00B24CC4"/>
    <w:rsid w:val="00B272B8"/>
    <w:rsid w:val="00B335F7"/>
    <w:rsid w:val="00B33811"/>
    <w:rsid w:val="00B41CB0"/>
    <w:rsid w:val="00B44499"/>
    <w:rsid w:val="00B47BD7"/>
    <w:rsid w:val="00B51157"/>
    <w:rsid w:val="00B5264C"/>
    <w:rsid w:val="00B5367C"/>
    <w:rsid w:val="00B60899"/>
    <w:rsid w:val="00B6576E"/>
    <w:rsid w:val="00B72F86"/>
    <w:rsid w:val="00B73BC5"/>
    <w:rsid w:val="00B74013"/>
    <w:rsid w:val="00B77F5B"/>
    <w:rsid w:val="00B82480"/>
    <w:rsid w:val="00B82E27"/>
    <w:rsid w:val="00B836F1"/>
    <w:rsid w:val="00B86290"/>
    <w:rsid w:val="00B86BA1"/>
    <w:rsid w:val="00B90EBB"/>
    <w:rsid w:val="00B9110A"/>
    <w:rsid w:val="00BA11D4"/>
    <w:rsid w:val="00BA549E"/>
    <w:rsid w:val="00BA7658"/>
    <w:rsid w:val="00BB2C34"/>
    <w:rsid w:val="00BB4AA7"/>
    <w:rsid w:val="00BB7145"/>
    <w:rsid w:val="00BB7611"/>
    <w:rsid w:val="00BC15AA"/>
    <w:rsid w:val="00BC1859"/>
    <w:rsid w:val="00BC725E"/>
    <w:rsid w:val="00BC78FD"/>
    <w:rsid w:val="00BD2282"/>
    <w:rsid w:val="00BE0088"/>
    <w:rsid w:val="00BE1249"/>
    <w:rsid w:val="00BE38C0"/>
    <w:rsid w:val="00BE7776"/>
    <w:rsid w:val="00BE7B20"/>
    <w:rsid w:val="00BF167F"/>
    <w:rsid w:val="00BF384B"/>
    <w:rsid w:val="00BF3F5F"/>
    <w:rsid w:val="00C068F0"/>
    <w:rsid w:val="00C13FA8"/>
    <w:rsid w:val="00C16BD9"/>
    <w:rsid w:val="00C17306"/>
    <w:rsid w:val="00C174B7"/>
    <w:rsid w:val="00C2256A"/>
    <w:rsid w:val="00C23515"/>
    <w:rsid w:val="00C26F02"/>
    <w:rsid w:val="00C27B3A"/>
    <w:rsid w:val="00C40B07"/>
    <w:rsid w:val="00C42FFD"/>
    <w:rsid w:val="00C4359D"/>
    <w:rsid w:val="00C445C2"/>
    <w:rsid w:val="00C46CA2"/>
    <w:rsid w:val="00C50AF1"/>
    <w:rsid w:val="00C51572"/>
    <w:rsid w:val="00C55569"/>
    <w:rsid w:val="00C6246E"/>
    <w:rsid w:val="00C671A8"/>
    <w:rsid w:val="00C71E2E"/>
    <w:rsid w:val="00C7765B"/>
    <w:rsid w:val="00C77CEA"/>
    <w:rsid w:val="00C80781"/>
    <w:rsid w:val="00C81FE3"/>
    <w:rsid w:val="00C84492"/>
    <w:rsid w:val="00C844AB"/>
    <w:rsid w:val="00C8533A"/>
    <w:rsid w:val="00C90014"/>
    <w:rsid w:val="00C90C36"/>
    <w:rsid w:val="00C919ED"/>
    <w:rsid w:val="00C957E8"/>
    <w:rsid w:val="00CA1015"/>
    <w:rsid w:val="00CA1A48"/>
    <w:rsid w:val="00CA3694"/>
    <w:rsid w:val="00CB0BBD"/>
    <w:rsid w:val="00CB41EE"/>
    <w:rsid w:val="00CD0A97"/>
    <w:rsid w:val="00CD3C03"/>
    <w:rsid w:val="00CD3E9C"/>
    <w:rsid w:val="00CD465C"/>
    <w:rsid w:val="00CE04D6"/>
    <w:rsid w:val="00CE2321"/>
    <w:rsid w:val="00CE2AF4"/>
    <w:rsid w:val="00D04252"/>
    <w:rsid w:val="00D07E41"/>
    <w:rsid w:val="00D1303A"/>
    <w:rsid w:val="00D15092"/>
    <w:rsid w:val="00D15D9C"/>
    <w:rsid w:val="00D22F95"/>
    <w:rsid w:val="00D25AE0"/>
    <w:rsid w:val="00D30745"/>
    <w:rsid w:val="00D31C02"/>
    <w:rsid w:val="00D3709D"/>
    <w:rsid w:val="00D404F5"/>
    <w:rsid w:val="00D439E0"/>
    <w:rsid w:val="00D43B0C"/>
    <w:rsid w:val="00D46920"/>
    <w:rsid w:val="00D472C0"/>
    <w:rsid w:val="00D5033F"/>
    <w:rsid w:val="00D55B39"/>
    <w:rsid w:val="00D55D6E"/>
    <w:rsid w:val="00D63A02"/>
    <w:rsid w:val="00D7557A"/>
    <w:rsid w:val="00D80FB1"/>
    <w:rsid w:val="00D8158B"/>
    <w:rsid w:val="00D85CA6"/>
    <w:rsid w:val="00D87DFF"/>
    <w:rsid w:val="00D962B3"/>
    <w:rsid w:val="00DA15EE"/>
    <w:rsid w:val="00DA1920"/>
    <w:rsid w:val="00DA1C3E"/>
    <w:rsid w:val="00DB07D0"/>
    <w:rsid w:val="00DB1542"/>
    <w:rsid w:val="00DB35EC"/>
    <w:rsid w:val="00DC56C5"/>
    <w:rsid w:val="00DC5884"/>
    <w:rsid w:val="00DC639A"/>
    <w:rsid w:val="00DD2526"/>
    <w:rsid w:val="00DD38A8"/>
    <w:rsid w:val="00DD451B"/>
    <w:rsid w:val="00DD54F0"/>
    <w:rsid w:val="00DD5762"/>
    <w:rsid w:val="00DE0807"/>
    <w:rsid w:val="00DE4F7C"/>
    <w:rsid w:val="00DE78A1"/>
    <w:rsid w:val="00DF0F7D"/>
    <w:rsid w:val="00E00F61"/>
    <w:rsid w:val="00E0416E"/>
    <w:rsid w:val="00E160D9"/>
    <w:rsid w:val="00E163AA"/>
    <w:rsid w:val="00E17FA7"/>
    <w:rsid w:val="00E228E9"/>
    <w:rsid w:val="00E3652F"/>
    <w:rsid w:val="00E43A29"/>
    <w:rsid w:val="00E461DF"/>
    <w:rsid w:val="00E462BC"/>
    <w:rsid w:val="00E5609C"/>
    <w:rsid w:val="00E56970"/>
    <w:rsid w:val="00E614FC"/>
    <w:rsid w:val="00E729DA"/>
    <w:rsid w:val="00E737D9"/>
    <w:rsid w:val="00E82191"/>
    <w:rsid w:val="00E8240D"/>
    <w:rsid w:val="00E831D8"/>
    <w:rsid w:val="00E83528"/>
    <w:rsid w:val="00E867B8"/>
    <w:rsid w:val="00E949E8"/>
    <w:rsid w:val="00EA545E"/>
    <w:rsid w:val="00EA5605"/>
    <w:rsid w:val="00EA6F08"/>
    <w:rsid w:val="00EB442A"/>
    <w:rsid w:val="00ED0AE9"/>
    <w:rsid w:val="00ED66CB"/>
    <w:rsid w:val="00EE199A"/>
    <w:rsid w:val="00EE759C"/>
    <w:rsid w:val="00EF220D"/>
    <w:rsid w:val="00EF38F4"/>
    <w:rsid w:val="00F01B84"/>
    <w:rsid w:val="00F028A6"/>
    <w:rsid w:val="00F034D0"/>
    <w:rsid w:val="00F042A1"/>
    <w:rsid w:val="00F064F8"/>
    <w:rsid w:val="00F06F94"/>
    <w:rsid w:val="00F10022"/>
    <w:rsid w:val="00F121BE"/>
    <w:rsid w:val="00F23FF6"/>
    <w:rsid w:val="00F30B61"/>
    <w:rsid w:val="00F332BD"/>
    <w:rsid w:val="00F34215"/>
    <w:rsid w:val="00F34719"/>
    <w:rsid w:val="00F35C93"/>
    <w:rsid w:val="00F375F1"/>
    <w:rsid w:val="00F53680"/>
    <w:rsid w:val="00F55431"/>
    <w:rsid w:val="00F618E6"/>
    <w:rsid w:val="00F6712F"/>
    <w:rsid w:val="00F74538"/>
    <w:rsid w:val="00F7629E"/>
    <w:rsid w:val="00F771F3"/>
    <w:rsid w:val="00F77A30"/>
    <w:rsid w:val="00F800E9"/>
    <w:rsid w:val="00F824C1"/>
    <w:rsid w:val="00F9069A"/>
    <w:rsid w:val="00F92512"/>
    <w:rsid w:val="00F95A2B"/>
    <w:rsid w:val="00FA3C6A"/>
    <w:rsid w:val="00FA725C"/>
    <w:rsid w:val="00FA7859"/>
    <w:rsid w:val="00FB35BF"/>
    <w:rsid w:val="00FB47AE"/>
    <w:rsid w:val="00FB5A81"/>
    <w:rsid w:val="00FC5683"/>
    <w:rsid w:val="00FC7481"/>
    <w:rsid w:val="00FD1D8A"/>
    <w:rsid w:val="00FD2F89"/>
    <w:rsid w:val="00FD3219"/>
    <w:rsid w:val="00FE3FB7"/>
    <w:rsid w:val="00FF1F91"/>
    <w:rsid w:val="00FF2972"/>
    <w:rsid w:val="00FF3B53"/>
    <w:rsid w:val="00FF3BD2"/>
    <w:rsid w:val="00FF46D0"/>
    <w:rsid w:val="014048B5"/>
    <w:rsid w:val="01822B97"/>
    <w:rsid w:val="01D2661D"/>
    <w:rsid w:val="01F2DCDD"/>
    <w:rsid w:val="028642F5"/>
    <w:rsid w:val="0297929D"/>
    <w:rsid w:val="02C112C9"/>
    <w:rsid w:val="02EE9606"/>
    <w:rsid w:val="02FFE110"/>
    <w:rsid w:val="034768C8"/>
    <w:rsid w:val="036F8796"/>
    <w:rsid w:val="03D834A6"/>
    <w:rsid w:val="0402FD6A"/>
    <w:rsid w:val="04652FFF"/>
    <w:rsid w:val="046A9BB2"/>
    <w:rsid w:val="0470F4B4"/>
    <w:rsid w:val="04AE5AD1"/>
    <w:rsid w:val="05558B98"/>
    <w:rsid w:val="05825711"/>
    <w:rsid w:val="05A89BD2"/>
    <w:rsid w:val="05B8FA4A"/>
    <w:rsid w:val="05D60A4C"/>
    <w:rsid w:val="0655A987"/>
    <w:rsid w:val="06FCAA94"/>
    <w:rsid w:val="07083DE0"/>
    <w:rsid w:val="0732A606"/>
    <w:rsid w:val="07EA04CE"/>
    <w:rsid w:val="08036922"/>
    <w:rsid w:val="088E1555"/>
    <w:rsid w:val="0916FB67"/>
    <w:rsid w:val="09585080"/>
    <w:rsid w:val="095BC968"/>
    <w:rsid w:val="09E04A0B"/>
    <w:rsid w:val="0ADE69D9"/>
    <w:rsid w:val="0B98EDF9"/>
    <w:rsid w:val="0BAE48AF"/>
    <w:rsid w:val="0BEBA6DB"/>
    <w:rsid w:val="0D11ABD2"/>
    <w:rsid w:val="0D480374"/>
    <w:rsid w:val="0D860DD7"/>
    <w:rsid w:val="0D88F6E9"/>
    <w:rsid w:val="0D8D80DD"/>
    <w:rsid w:val="0D952A17"/>
    <w:rsid w:val="0DFD0315"/>
    <w:rsid w:val="0E600E35"/>
    <w:rsid w:val="0F14DBBC"/>
    <w:rsid w:val="0F27A138"/>
    <w:rsid w:val="0F6D7420"/>
    <w:rsid w:val="0FA12007"/>
    <w:rsid w:val="10BA8F2A"/>
    <w:rsid w:val="10C2E2F8"/>
    <w:rsid w:val="10D8589D"/>
    <w:rsid w:val="1126957D"/>
    <w:rsid w:val="1161A3D2"/>
    <w:rsid w:val="121D73DE"/>
    <w:rsid w:val="12872364"/>
    <w:rsid w:val="13D58F09"/>
    <w:rsid w:val="1474ED94"/>
    <w:rsid w:val="14A302C2"/>
    <w:rsid w:val="14BCB51F"/>
    <w:rsid w:val="14CC7D76"/>
    <w:rsid w:val="14E83513"/>
    <w:rsid w:val="14E93585"/>
    <w:rsid w:val="152BA6D7"/>
    <w:rsid w:val="158ED024"/>
    <w:rsid w:val="15E023A1"/>
    <w:rsid w:val="16643C08"/>
    <w:rsid w:val="16A07556"/>
    <w:rsid w:val="16F3CCDA"/>
    <w:rsid w:val="175A43F4"/>
    <w:rsid w:val="17BC939D"/>
    <w:rsid w:val="18664783"/>
    <w:rsid w:val="18A05778"/>
    <w:rsid w:val="18ACAA0D"/>
    <w:rsid w:val="18AF515C"/>
    <w:rsid w:val="18B295C2"/>
    <w:rsid w:val="18CB2585"/>
    <w:rsid w:val="1933F8E3"/>
    <w:rsid w:val="19725444"/>
    <w:rsid w:val="19C79E0C"/>
    <w:rsid w:val="1A2E5D5D"/>
    <w:rsid w:val="1A772CEB"/>
    <w:rsid w:val="1A79E1E5"/>
    <w:rsid w:val="1B400517"/>
    <w:rsid w:val="1C22E9F1"/>
    <w:rsid w:val="1D39181C"/>
    <w:rsid w:val="1D8F1B0D"/>
    <w:rsid w:val="1DA80754"/>
    <w:rsid w:val="1E93975E"/>
    <w:rsid w:val="1EAC1748"/>
    <w:rsid w:val="1F239604"/>
    <w:rsid w:val="1FB124F0"/>
    <w:rsid w:val="20607F63"/>
    <w:rsid w:val="20AE2A33"/>
    <w:rsid w:val="20D5587D"/>
    <w:rsid w:val="2112B170"/>
    <w:rsid w:val="212E5359"/>
    <w:rsid w:val="22128746"/>
    <w:rsid w:val="223FECDD"/>
    <w:rsid w:val="224D1722"/>
    <w:rsid w:val="22FB8DC3"/>
    <w:rsid w:val="23F8A69A"/>
    <w:rsid w:val="2404802B"/>
    <w:rsid w:val="2485B4D9"/>
    <w:rsid w:val="24D2A631"/>
    <w:rsid w:val="24E1F83E"/>
    <w:rsid w:val="24FD265F"/>
    <w:rsid w:val="250A97A2"/>
    <w:rsid w:val="2526194B"/>
    <w:rsid w:val="2567436A"/>
    <w:rsid w:val="25B76217"/>
    <w:rsid w:val="25CD3FE8"/>
    <w:rsid w:val="2648471C"/>
    <w:rsid w:val="264B56D1"/>
    <w:rsid w:val="26BA92F4"/>
    <w:rsid w:val="276F0E30"/>
    <w:rsid w:val="281C4602"/>
    <w:rsid w:val="2894F79D"/>
    <w:rsid w:val="28DE1392"/>
    <w:rsid w:val="28F49ADC"/>
    <w:rsid w:val="28F87B28"/>
    <w:rsid w:val="2A399D52"/>
    <w:rsid w:val="2A4709F0"/>
    <w:rsid w:val="2A517B6F"/>
    <w:rsid w:val="2A73587E"/>
    <w:rsid w:val="2ABF4753"/>
    <w:rsid w:val="2AD0BB75"/>
    <w:rsid w:val="2C3BB675"/>
    <w:rsid w:val="2CD5E2AD"/>
    <w:rsid w:val="2D0C0F80"/>
    <w:rsid w:val="2D2A0276"/>
    <w:rsid w:val="2D526DFB"/>
    <w:rsid w:val="2D864511"/>
    <w:rsid w:val="2DF76570"/>
    <w:rsid w:val="2E3FCBAB"/>
    <w:rsid w:val="2ED31263"/>
    <w:rsid w:val="2F200583"/>
    <w:rsid w:val="2F910532"/>
    <w:rsid w:val="2FF97AC2"/>
    <w:rsid w:val="301396A0"/>
    <w:rsid w:val="30164BC5"/>
    <w:rsid w:val="3055453C"/>
    <w:rsid w:val="306D80B1"/>
    <w:rsid w:val="30A9D151"/>
    <w:rsid w:val="31741FD8"/>
    <w:rsid w:val="3269BA21"/>
    <w:rsid w:val="328FD1FE"/>
    <w:rsid w:val="33658BD9"/>
    <w:rsid w:val="33ED4340"/>
    <w:rsid w:val="340AF5F3"/>
    <w:rsid w:val="347E9797"/>
    <w:rsid w:val="3583FC68"/>
    <w:rsid w:val="358DDDBC"/>
    <w:rsid w:val="36E07556"/>
    <w:rsid w:val="36E56B2E"/>
    <w:rsid w:val="372EEF4D"/>
    <w:rsid w:val="3746EEEC"/>
    <w:rsid w:val="37933902"/>
    <w:rsid w:val="37D46E6F"/>
    <w:rsid w:val="37D88634"/>
    <w:rsid w:val="389F005E"/>
    <w:rsid w:val="38B92A65"/>
    <w:rsid w:val="38E45F7C"/>
    <w:rsid w:val="39185C82"/>
    <w:rsid w:val="39E522A0"/>
    <w:rsid w:val="3A1E598E"/>
    <w:rsid w:val="3A337160"/>
    <w:rsid w:val="3A9142ED"/>
    <w:rsid w:val="3AF20947"/>
    <w:rsid w:val="3B07AB30"/>
    <w:rsid w:val="3B352B57"/>
    <w:rsid w:val="3B3C4837"/>
    <w:rsid w:val="3B3FB176"/>
    <w:rsid w:val="3BDF91AB"/>
    <w:rsid w:val="3C3971DB"/>
    <w:rsid w:val="3C4FCC80"/>
    <w:rsid w:val="3C528BB8"/>
    <w:rsid w:val="3C67DF0C"/>
    <w:rsid w:val="3C8EEA8C"/>
    <w:rsid w:val="3D08C051"/>
    <w:rsid w:val="3D0EB0F5"/>
    <w:rsid w:val="3D24B5FB"/>
    <w:rsid w:val="3D481E23"/>
    <w:rsid w:val="3D776640"/>
    <w:rsid w:val="3D8F174F"/>
    <w:rsid w:val="3DD457DE"/>
    <w:rsid w:val="3DDE0B50"/>
    <w:rsid w:val="3E63B6C8"/>
    <w:rsid w:val="3EA18ADF"/>
    <w:rsid w:val="3F5F959C"/>
    <w:rsid w:val="3F91B15A"/>
    <w:rsid w:val="3FFF3E63"/>
    <w:rsid w:val="400BC56A"/>
    <w:rsid w:val="40256FD1"/>
    <w:rsid w:val="414299C5"/>
    <w:rsid w:val="42C6341F"/>
    <w:rsid w:val="431A0FFE"/>
    <w:rsid w:val="43E66DF5"/>
    <w:rsid w:val="43FA988B"/>
    <w:rsid w:val="442EAF74"/>
    <w:rsid w:val="44472B24"/>
    <w:rsid w:val="449BD585"/>
    <w:rsid w:val="4508E9E4"/>
    <w:rsid w:val="45213FCD"/>
    <w:rsid w:val="454A95AC"/>
    <w:rsid w:val="45AB2775"/>
    <w:rsid w:val="467B51F9"/>
    <w:rsid w:val="472AAFD1"/>
    <w:rsid w:val="4731D77E"/>
    <w:rsid w:val="4746625B"/>
    <w:rsid w:val="47E466E0"/>
    <w:rsid w:val="47FF23F7"/>
    <w:rsid w:val="4857A85F"/>
    <w:rsid w:val="49BC1C8D"/>
    <w:rsid w:val="49DAC319"/>
    <w:rsid w:val="4B596AA0"/>
    <w:rsid w:val="4B92F505"/>
    <w:rsid w:val="4BB49738"/>
    <w:rsid w:val="4BD31DAB"/>
    <w:rsid w:val="4C83AAED"/>
    <w:rsid w:val="4D3D0251"/>
    <w:rsid w:val="4D988AE3"/>
    <w:rsid w:val="4DC9EB37"/>
    <w:rsid w:val="4DF85E02"/>
    <w:rsid w:val="4E0761FD"/>
    <w:rsid w:val="4E56337D"/>
    <w:rsid w:val="4ED2A2E4"/>
    <w:rsid w:val="4F28EC36"/>
    <w:rsid w:val="4F50D630"/>
    <w:rsid w:val="4FC5553E"/>
    <w:rsid w:val="509C23B4"/>
    <w:rsid w:val="51039D14"/>
    <w:rsid w:val="51708FDB"/>
    <w:rsid w:val="51781A6B"/>
    <w:rsid w:val="51B37A57"/>
    <w:rsid w:val="5242ED7E"/>
    <w:rsid w:val="52AA390F"/>
    <w:rsid w:val="52FD953D"/>
    <w:rsid w:val="536D84C8"/>
    <w:rsid w:val="5377B3CB"/>
    <w:rsid w:val="5447AD05"/>
    <w:rsid w:val="5471FD81"/>
    <w:rsid w:val="548F5FE6"/>
    <w:rsid w:val="54922F1D"/>
    <w:rsid w:val="549C096F"/>
    <w:rsid w:val="54AC5760"/>
    <w:rsid w:val="552F351E"/>
    <w:rsid w:val="553DA06C"/>
    <w:rsid w:val="55DE6C61"/>
    <w:rsid w:val="5640A65D"/>
    <w:rsid w:val="56530643"/>
    <w:rsid w:val="565872B1"/>
    <w:rsid w:val="569B0EE9"/>
    <w:rsid w:val="5745546D"/>
    <w:rsid w:val="587F0AC4"/>
    <w:rsid w:val="589E1478"/>
    <w:rsid w:val="58A4CF4F"/>
    <w:rsid w:val="590BBB1A"/>
    <w:rsid w:val="5944FF16"/>
    <w:rsid w:val="5AC1E27C"/>
    <w:rsid w:val="5BBCACFE"/>
    <w:rsid w:val="5C155046"/>
    <w:rsid w:val="5C1FED04"/>
    <w:rsid w:val="5C7CD594"/>
    <w:rsid w:val="5CA29659"/>
    <w:rsid w:val="5CEDF111"/>
    <w:rsid w:val="5D32DB53"/>
    <w:rsid w:val="5DCE34FD"/>
    <w:rsid w:val="5E4E83CB"/>
    <w:rsid w:val="5E9EA24B"/>
    <w:rsid w:val="5EA71875"/>
    <w:rsid w:val="5F037A2A"/>
    <w:rsid w:val="5F38E2AE"/>
    <w:rsid w:val="5F41851A"/>
    <w:rsid w:val="5FC92FBA"/>
    <w:rsid w:val="60120295"/>
    <w:rsid w:val="6036F4B2"/>
    <w:rsid w:val="605815B3"/>
    <w:rsid w:val="60A373E1"/>
    <w:rsid w:val="60B058E3"/>
    <w:rsid w:val="60B12608"/>
    <w:rsid w:val="60D2041A"/>
    <w:rsid w:val="60EAAFBB"/>
    <w:rsid w:val="610A215C"/>
    <w:rsid w:val="61676B10"/>
    <w:rsid w:val="6186AA93"/>
    <w:rsid w:val="61CB54D2"/>
    <w:rsid w:val="620BBE57"/>
    <w:rsid w:val="6287FE61"/>
    <w:rsid w:val="62C7236D"/>
    <w:rsid w:val="6304F5B1"/>
    <w:rsid w:val="630AB822"/>
    <w:rsid w:val="63532FB2"/>
    <w:rsid w:val="635EFEAE"/>
    <w:rsid w:val="63866A28"/>
    <w:rsid w:val="63CBE026"/>
    <w:rsid w:val="63F11B32"/>
    <w:rsid w:val="63F98A12"/>
    <w:rsid w:val="641E700C"/>
    <w:rsid w:val="648EF969"/>
    <w:rsid w:val="6496907F"/>
    <w:rsid w:val="64F87F41"/>
    <w:rsid w:val="655F6999"/>
    <w:rsid w:val="6591CBF1"/>
    <w:rsid w:val="6598DAF0"/>
    <w:rsid w:val="65AC921F"/>
    <w:rsid w:val="65D0BEBD"/>
    <w:rsid w:val="65DE460F"/>
    <w:rsid w:val="663A94F5"/>
    <w:rsid w:val="66419277"/>
    <w:rsid w:val="669C2FC7"/>
    <w:rsid w:val="66E3F99A"/>
    <w:rsid w:val="67F1B7E1"/>
    <w:rsid w:val="685E835E"/>
    <w:rsid w:val="68E54E48"/>
    <w:rsid w:val="696310A0"/>
    <w:rsid w:val="69AB8663"/>
    <w:rsid w:val="69EF3A64"/>
    <w:rsid w:val="6A0DB398"/>
    <w:rsid w:val="6A133F0D"/>
    <w:rsid w:val="6ABFEB20"/>
    <w:rsid w:val="6AFA5E7F"/>
    <w:rsid w:val="6B02A4B7"/>
    <w:rsid w:val="6B4E8BCF"/>
    <w:rsid w:val="6BA5BA16"/>
    <w:rsid w:val="6BD8FD0E"/>
    <w:rsid w:val="6BDAF5C4"/>
    <w:rsid w:val="6BE8E7F6"/>
    <w:rsid w:val="6C091641"/>
    <w:rsid w:val="6C6A4160"/>
    <w:rsid w:val="6CA48767"/>
    <w:rsid w:val="6CC38818"/>
    <w:rsid w:val="6E15E2BF"/>
    <w:rsid w:val="6EFCEBFC"/>
    <w:rsid w:val="6F04BF92"/>
    <w:rsid w:val="6F0868D8"/>
    <w:rsid w:val="6F561CD9"/>
    <w:rsid w:val="6FC59CF0"/>
    <w:rsid w:val="7007FA82"/>
    <w:rsid w:val="70485235"/>
    <w:rsid w:val="706750A7"/>
    <w:rsid w:val="7157A245"/>
    <w:rsid w:val="717D81F6"/>
    <w:rsid w:val="72356823"/>
    <w:rsid w:val="723F6197"/>
    <w:rsid w:val="7290D9C8"/>
    <w:rsid w:val="730B65B0"/>
    <w:rsid w:val="7328C612"/>
    <w:rsid w:val="737D5B21"/>
    <w:rsid w:val="73925833"/>
    <w:rsid w:val="73F8ED4E"/>
    <w:rsid w:val="746BF8DD"/>
    <w:rsid w:val="7520EE3F"/>
    <w:rsid w:val="75489EF1"/>
    <w:rsid w:val="7609AA6F"/>
    <w:rsid w:val="76654F18"/>
    <w:rsid w:val="76670CFE"/>
    <w:rsid w:val="77036A06"/>
    <w:rsid w:val="770BB157"/>
    <w:rsid w:val="771B0780"/>
    <w:rsid w:val="7758E384"/>
    <w:rsid w:val="77AFA0C2"/>
    <w:rsid w:val="77B30B84"/>
    <w:rsid w:val="77B6BE67"/>
    <w:rsid w:val="77C2C6F0"/>
    <w:rsid w:val="78B96B4B"/>
    <w:rsid w:val="7917E754"/>
    <w:rsid w:val="79A2982D"/>
    <w:rsid w:val="79B7BB81"/>
    <w:rsid w:val="7A0991B8"/>
    <w:rsid w:val="7A0B880D"/>
    <w:rsid w:val="7A1D8DDD"/>
    <w:rsid w:val="7A1E8336"/>
    <w:rsid w:val="7AD5DAC7"/>
    <w:rsid w:val="7B7DDE6A"/>
    <w:rsid w:val="7B851C4C"/>
    <w:rsid w:val="7B993B65"/>
    <w:rsid w:val="7BE58175"/>
    <w:rsid w:val="7C0327B5"/>
    <w:rsid w:val="7C509A96"/>
    <w:rsid w:val="7C553824"/>
    <w:rsid w:val="7C62EBC0"/>
    <w:rsid w:val="7CA871AE"/>
    <w:rsid w:val="7CD5A961"/>
    <w:rsid w:val="7D702F96"/>
    <w:rsid w:val="7D8E1E12"/>
    <w:rsid w:val="7D9EB392"/>
    <w:rsid w:val="7DF08A20"/>
    <w:rsid w:val="7E456F72"/>
    <w:rsid w:val="7E9CF29E"/>
    <w:rsid w:val="7EE13DAD"/>
    <w:rsid w:val="7F318B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9B061ED5-5E2F-49BA-91FF-70CEF3CAA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Revision">
    <w:name w:val="Revision"/>
    <w:hidden/>
    <w:uiPriority w:val="99"/>
    <w:semiHidden/>
    <w:rsid w:val="00740EFD"/>
    <w:pPr>
      <w:spacing w:after="0" w:line="240" w:lineRule="auto"/>
    </w:pPr>
    <w:rPr>
      <w:rFonts w:ascii="Aptos" w:eastAsia="Aptos" w:hAnsi="Aptos" w:cs="Times New Roman"/>
      <w14:ligatures w14:val="none"/>
    </w:rPr>
  </w:style>
  <w:style w:type="character" w:styleId="Hyperlink">
    <w:name w:val="Hyperlink"/>
    <w:basedOn w:val="DefaultParagraphFont"/>
    <w:uiPriority w:val="99"/>
    <w:unhideWhenUsed/>
    <w:rsid w:val="002E34B8"/>
    <w:rPr>
      <w:color w:val="467886"/>
      <w:u w:val="single"/>
    </w:rPr>
  </w:style>
  <w:style w:type="paragraph" w:styleId="Header">
    <w:name w:val="header"/>
    <w:basedOn w:val="Normal"/>
    <w:link w:val="HeaderChar"/>
    <w:uiPriority w:val="99"/>
    <w:semiHidden/>
    <w:unhideWhenUsed/>
    <w:rsid w:val="00AE38D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E4F7C"/>
    <w:rPr>
      <w:rFonts w:ascii="Aptos" w:eastAsia="Aptos" w:hAnsi="Aptos" w:cs="Times New Roman"/>
      <w14:ligatures w14:val="none"/>
    </w:rPr>
  </w:style>
  <w:style w:type="paragraph" w:styleId="Footer">
    <w:name w:val="footer"/>
    <w:basedOn w:val="Normal"/>
    <w:link w:val="FooterChar"/>
    <w:uiPriority w:val="99"/>
    <w:semiHidden/>
    <w:unhideWhenUsed/>
    <w:rsid w:val="00AE38D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E4F7C"/>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yperlink" Target="https://eur01.safelinks.protection.outlook.com/?url=https%3A%2F%2Fwww.gov.uk%2Fgovernment%2Fpublications%2Fhospital-discharge-and-community-support-guidance%2Fhospital-discharge-and-community-support-guidance&amp;data=05%7C02%7C2427848%40student.uwtsd.ac.uk%7C4466fb7aff3447fff79808dee048e178%7C4e0f11f9046e45059cb8db2152311e21%7C0%7C0%7C639194801250374587%7CUnknown%7CTWFpbGZsb3d8eyJFbXB0eU1hcGkiOnRydWUsIlYiOiIwLjAuMDAwMCIsIlAiOiJXaW4zMiIsIkFOIjoiTWFpbCIsIldUIjoyfQ%3D%3D%7C0%7C%7C%7C&amp;sdata=H%2FYfEMoIr5PKr%2FkH5wRvXG0cfB8Yf5qRXVb0hWIA2yc%3D&amp;reserved=0" TargetMode="External" /><Relationship Id="rId18" Type="http://schemas.openxmlformats.org/officeDocument/2006/relationships/hyperlink" Target="https://eur01.safelinks.protection.outlook.com/?url=https%3A%2F%2Fcatalystgrp.co.uk%2Fwp-content%2Fuploads%2F2025%2F12%2FThe-Health-and-Care-Act-2022-2.pdf&amp;data=05%7C02%7C2427848%40student.uwtsd.ac.uk%7C4466fb7aff3447fff79808dee048e178%7C4e0f11f9046e45059cb8db2152311e21%7C0%7C0%7C639194801250422335%7CUnknown%7CTWFpbGZsb3d8eyJFbXB0eU1hcGkiOnRydWUsIlYiOiIwLjAuMDAwMCIsIlAiOiJXaW4zMiIsIkFOIjoiTWFpbCIsIldUIjoyfQ%3D%3D%7C0%7C%7C%7C&amp;sdata=ieyoH5VfZKO%2B4o%2FGsfCz0DLUYN7FXSw%2BaHgfyWQe8ak%3D&amp;reserved=0" TargetMode="External" /><Relationship Id="rId3" Type="http://schemas.openxmlformats.org/officeDocument/2006/relationships/customXml" Target="../customXml/item3.xml" /><Relationship Id="rId21" Type="http://schemas.openxmlformats.org/officeDocument/2006/relationships/hyperlink" Target="https://eur01.safelinks.protection.outlook.com/?url=https%3A%2F%2Fpmc.ncbi.nlm.nih.gov%2Farticles%2FPMC10600642%2F&amp;data=05%7C02%7C2427848%40student.uwtsd.ac.uk%7C4466fb7aff3447fff79808dee048e178%7C4e0f11f9046e45059cb8db2152311e21%7C0%7C0%7C639194801250449823%7CUnknown%7CTWFpbGZsb3d8eyJFbXB0eU1hcGkiOnRydWUsIlYiOiIwLjAuMDAwMCIsIlAiOiJXaW4zMiIsIkFOIjoiTWFpbCIsIldUIjoyfQ%3D%3D%7C0%7C%7C%7C&amp;sdata=x0KyB%2BRdXWk8SvGj1twteJHi4Ors5ulaesGCNA7lW1U%3D&amp;reserved=0" TargetMode="External" /><Relationship Id="rId7" Type="http://schemas.openxmlformats.org/officeDocument/2006/relationships/webSettings" Target="webSettings.xml" /><Relationship Id="rId12" Type="http://schemas.openxmlformats.org/officeDocument/2006/relationships/hyperlink" Target="https://eur01.safelinks.protection.outlook.com/?url=http%3A%2F%2Fgov.uk%2F&amp;data=05%7C02%7C2427848%40student.uwtsd.ac.uk%7C4466fb7aff3447fff79808dee048e178%7C4e0f11f9046e45059cb8db2152311e21%7C0%7C0%7C639194801250364648%7CUnknown%7CTWFpbGZsb3d8eyJFbXB0eU1hcGkiOnRydWUsIlYiOiIwLjAuMDAwMCIsIlAiOiJXaW4zMiIsIkFOIjoiTWFpbCIsIldUIjoyfQ%3D%3D%7C0%7C%7C%7C&amp;sdata=wfgWsdZUUUdphMdmw7wqXJuZw%2FMR00bs9w193F9SUUk%3D&amp;reserved=0" TargetMode="External" /><Relationship Id="rId17" Type="http://schemas.openxmlformats.org/officeDocument/2006/relationships/hyperlink" Target="https://eur01.safelinks.protection.outlook.com/?url=https%3A%2F%2Fwww.england.nhs.uk%2Flong-read%2Fworking-in-partnership-with-people-and-communities-statutory-guidance%2F&amp;data=05%7C02%7C2427848%40student.uwtsd.ac.uk%7C4466fb7aff3447fff79808dee048e178%7C4e0f11f9046e45059cb8db2152311e21%7C0%7C0%7C639194801250412696%7CUnknown%7CTWFpbGZsb3d8eyJFbXB0eU1hcGkiOnRydWUsIlYiOiIwLjAuMDAwMCIsIlAiOiJXaW4zMiIsIkFOIjoiTWFpbCIsIldUIjoyfQ%3D%3D%7C0%7C%7C%7C&amp;sdata=5bJsjATAQSuIB%2F3HmlaFUZ3RY%2BOXBpGcVxvUIO7ajMo%3D&amp;reserved=0" TargetMode="External" /><Relationship Id="rId25"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hyperlink" Target="https://eur01.safelinks.protection.outlook.com/?url=https%3A%2F%2Fwww.england.nhs.uk%2Fwp-content%2Fuploads%2F2021%2F06%2FB0642-ics-design-framework-june-2021.pdf&amp;data=05%7C02%7C2427848%40student.uwtsd.ac.uk%7C4466fb7aff3447fff79808dee048e178%7C4e0f11f9046e45059cb8db2152311e21%7C0%7C0%7C639194801250402591%7CUnknown%7CTWFpbGZsb3d8eyJFbXB0eU1hcGkiOnRydWUsIlYiOiIwLjAuMDAwMCIsIlAiOiJXaW4zMiIsIkFOIjoiTWFpbCIsIldUIjoyfQ%3D%3D%7C0%7C%7C%7C&amp;sdata=2nBWLURY2pdmilNgbvHIo4TewNeyQHlGnoAOh3AKhQI%3D&amp;reserved=0" TargetMode="External" /><Relationship Id="rId20" Type="http://schemas.openxmlformats.org/officeDocument/2006/relationships/hyperlink" Target="https://eur01.safelinks.protection.outlook.com/?url=https%3A%2F%2Fpmc.ncbi.nlm.nih.gov%2Farticles%2FPMC8081590%2F&amp;data=05%7C02%7C2427848%40student.uwtsd.ac.uk%7C4466fb7aff3447fff79808dee048e178%7C4e0f11f9046e45059cb8db2152311e21%7C0%7C0%7C639194801250440264%7CUnknown%7CTWFpbGZsb3d8eyJFbXB0eU1hcGkiOnRydWUsIlYiOiIwLjAuMDAwMCIsIlAiOiJXaW4zMiIsIkFOIjoiTWFpbCIsIldUIjoyfQ%3D%3D%7C0%7C%7C%7C&amp;sdata=T7SvKbZUrJbFurM15RH1%2BJ2Eh71TowFVpALNQ8W7nRs%3D&amp;reserved=0" TargetMode="Externa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eur01.safelinks.protection.outlook.com/?url=https%3A%2F%2Fwww.cqc.org.uk%2Fguidance-providers%2Fadult-social-care%2Fcare-act-easements-it&amp;data=05%7C02%7C2427848%40student.uwtsd.ac.uk%7C4466fb7aff3447fff79808dee048e178%7C4e0f11f9046e45059cb8db2152311e21%7C0%7C0%7C639194801250346386%7CUnknown%7CTWFpbGZsb3d8eyJFbXB0eU1hcGkiOnRydWUsIlYiOiIwLjAuMDAwMCIsIlAiOiJXaW4zMiIsIkFOIjoiTWFpbCIsIldUIjoyfQ%3D%3D%7C0%7C%7C%7C&amp;sdata=O5y8YoI5sE1Cg5Ni01X%2FVj%2BwWyGuzLkWC7hebX%2B81XU%3D&amp;reserved=0" TargetMode="External" /><Relationship Id="rId24" Type="http://schemas.openxmlformats.org/officeDocument/2006/relationships/fontTable" Target="fontTable.xml" /><Relationship Id="rId5" Type="http://schemas.openxmlformats.org/officeDocument/2006/relationships/styles" Target="styles.xml" /><Relationship Id="rId15" Type="http://schemas.openxmlformats.org/officeDocument/2006/relationships/hyperlink" Target="https://eur01.safelinks.protection.outlook.com/?url=https%3A%2F%2Fwww.llradultsafeguarding.co.uk%2Fintegration-cooperation-and-partnerships%2F&amp;data=05%7C02%7C2427848%40student.uwtsd.ac.uk%7C4466fb7aff3447fff79808dee048e178%7C4e0f11f9046e45059cb8db2152311e21%7C0%7C0%7C639194801250393097%7CUnknown%7CTWFpbGZsb3d8eyJFbXB0eU1hcGkiOnRydWUsIlYiOiIwLjAuMDAwMCIsIlAiOiJXaW4zMiIsIkFOIjoiTWFpbCIsIldUIjoyfQ%3D%3D%7C0%7C%7C%7C&amp;sdata=H7Gh8vLM7FjlxgfbXgGrWrcumtMlyEslGybf9h4p3Sc%3D&amp;reserved=0" TargetMode="External" /><Relationship Id="rId23" Type="http://schemas.openxmlformats.org/officeDocument/2006/relationships/footer" Target="footer1.xml" /><Relationship Id="rId10" Type="http://schemas.openxmlformats.org/officeDocument/2006/relationships/image" Target="media/image1.jpeg" /><Relationship Id="rId19" Type="http://schemas.openxmlformats.org/officeDocument/2006/relationships/hyperlink" Target="https://eur01.safelinks.protection.outlook.com/?url=https%3A%2F%2Fapps.worcsacute.nhs.uk%2FKeyDocumentPortal%2FHome%2FDownloadFile%2F3603&amp;data=05%7C02%7C2427848%40student.uwtsd.ac.uk%7C4466fb7aff3447fff79808dee048e178%7C4e0f11f9046e45059cb8db2152311e21%7C0%7C0%7C639194801250431444%7CUnknown%7CTWFpbGZsb3d8eyJFbXB0eU1hcGkiOnRydWUsIlYiOiIwLjAuMDAwMCIsIlAiOiJXaW4zMiIsIkFOIjoiTWFpbCIsIldUIjoyfQ%3D%3D%7C0%7C%7C%7C&amp;sdata=sn6DBVha94QqW%2BgBOZ746MqWYnIpXVaGQRgN9114yMY%3D&amp;reserved=0" TargetMode="Externa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hyperlink" Target="https://eur01.safelinks.protection.outlook.com/?url=https%3A%2F%2Fhtn.co.uk%2F2026%2F07%2F10%2Fnhse-model-discharge-pathway-indicates-actions-and-measures-of-performance-on-timely-discharge%2F&amp;data=05%7C02%7C2427848%40student.uwtsd.ac.uk%7C4466fb7aff3447fff79808dee048e178%7C4e0f11f9046e45059cb8db2152311e21%7C0%7C0%7C639194801250383854%7CUnknown%7CTWFpbGZsb3d8eyJFbXB0eU1hcGkiOnRydWUsIlYiOiIwLjAuMDAwMCIsIlAiOiJXaW4zMiIsIkFOIjoiTWFpbCIsIldUIjoyfQ%3D%3D%7C0%7C%7C%7C&amp;sdata=73Cis7ij4WgMjeasYkXnFHxUX5KIuq9gFymxmqLpwfo%3D&amp;reserved=0" TargetMode="External" /><Relationship Id="rId22"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3dac094a0dd740423f5d5051b9fa6f9c">
  <xsd:schema xmlns:xsd="http://www.w3.org/2001/XMLSchema" xmlns:xs="http://www.w3.org/2001/XMLSchema" xmlns:p="http://schemas.microsoft.com/office/2006/metadata/properties" xmlns:ns3="dd86abe3-ec21-467e-8687-9d211c569818" targetNamespace="http://schemas.microsoft.com/office/2006/metadata/properties" ma:root="true" ma:fieldsID="2c64b811a946d4cb67e35085714bec50"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0B1C67DB-9554-42F1-ADA9-2B6FF4AD2628}">
  <ds:schemaRefs>
    <ds:schemaRef ds:uri="http://schemas.microsoft.com/sharepoint/v3/contenttype/forms"/>
  </ds:schemaRefs>
</ds:datastoreItem>
</file>

<file path=customXml/itemProps2.xml><?xml version="1.0" encoding="utf-8"?>
<ds:datastoreItem xmlns:ds="http://schemas.openxmlformats.org/officeDocument/2006/customXml" ds:itemID="{2AFA55D7-5A4E-403B-A257-6A8BE9C8BB3E}">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customXml/itemProps3.xml><?xml version="1.0" encoding="utf-8"?>
<ds:datastoreItem xmlns:ds="http://schemas.openxmlformats.org/officeDocument/2006/customXml" ds:itemID="{15E8D544-1590-4020-A9CC-D8043A6A206A}">
  <ds:schemaRefs>
    <ds:schemaRef ds:uri="http://schemas.microsoft.com/office/2006/metadata/properties"/>
    <ds:schemaRef ds:uri="http://www.w3.org/2000/xmlns/"/>
    <ds:schemaRef ds:uri="dd86abe3-ec21-467e-8687-9d211c56981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3636</Words>
  <Characters>20731</Characters>
  <Application>Microsoft Office Word</Application>
  <DocSecurity>0</DocSecurity>
  <Lines>172</Lines>
  <Paragraphs>48</Paragraphs>
  <ScaleCrop>false</ScaleCrop>
  <Company/>
  <LinksUpToDate>false</LinksUpToDate>
  <CharactersWithSpaces>24319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Regina Owusu</cp:lastModifiedBy>
  <cp:revision>2</cp:revision>
  <dcterms:created xsi:type="dcterms:W3CDTF">2026-08-04T13:03:00Z</dcterms:created>
  <dcterms:modified xsi:type="dcterms:W3CDTF">2026-08-04T13:03:00Z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