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CB337" w14:textId="77777777" w:rsidR="00D25271" w:rsidRPr="00C77381" w:rsidRDefault="00D25271" w:rsidP="00ED7AA5">
      <w:pPr>
        <w:pStyle w:val="NoSpacing"/>
        <w:spacing w:before="1540" w:after="240"/>
        <w:jc w:val="center"/>
        <w:rPr>
          <w:rFonts w:cstheme="minorHAnsi"/>
        </w:rPr>
      </w:pPr>
      <w:bookmarkStart w:id="0" w:name="_Toc227422424"/>
      <w:r w:rsidRPr="00C77381">
        <w:rPr>
          <w:rFonts w:cstheme="minorHAnsi"/>
          <w:noProof/>
          <w:lang w:val="en-GB" w:eastAsia="en-GB"/>
        </w:rPr>
        <w:drawing>
          <wp:inline distT="0" distB="0" distL="0" distR="0" wp14:anchorId="029BE119" wp14:editId="31171B8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b/>
          <w:bCs/>
          <w:caps/>
          <w:sz w:val="60"/>
          <w:szCs w:val="60"/>
        </w:rPr>
        <w:alias w:val="Title"/>
        <w:tag w:val=""/>
        <w:id w:val="1735040861"/>
        <w:placeholder>
          <w:docPart w:val="69409F463CC64A639F04E053D49F4A67"/>
        </w:placeholder>
        <w:dataBinding w:prefixMappings="xmlns:ns0='http://purl.org/dc/elements/1.1/' xmlns:ns1='http://schemas.openxmlformats.org/package/2006/metadata/core-properties' " w:xpath="/ns1:coreProperties[1]/ns0:title[1]" w:storeItemID="{6C3C8BC8-F283-45AE-878A-BAB7291924A1}"/>
        <w:text/>
      </w:sdtPr>
      <w:sdtContent>
        <w:p w14:paraId="00D43693" w14:textId="4FFB45CE" w:rsidR="00D25271" w:rsidRPr="00C77381" w:rsidRDefault="001A14F8" w:rsidP="00C77381">
          <w:pPr>
            <w:pStyle w:val="NoSpacing"/>
            <w:pBdr>
              <w:top w:val="single" w:sz="6" w:space="6" w:color="4472C4" w:themeColor="accent1"/>
              <w:bottom w:val="single" w:sz="6" w:space="6" w:color="4472C4" w:themeColor="accent1"/>
            </w:pBdr>
            <w:spacing w:after="240"/>
            <w:jc w:val="center"/>
            <w:rPr>
              <w:rFonts w:eastAsiaTheme="majorEastAsia" w:cstheme="minorHAnsi"/>
              <w:caps/>
              <w:sz w:val="60"/>
              <w:szCs w:val="60"/>
            </w:rPr>
          </w:pPr>
          <w:r w:rsidRPr="00C77381">
            <w:rPr>
              <w:rFonts w:eastAsiaTheme="majorEastAsia" w:cstheme="minorHAnsi"/>
              <w:b/>
              <w:bCs/>
              <w:caps/>
              <w:sz w:val="60"/>
              <w:szCs w:val="60"/>
            </w:rPr>
            <w:t xml:space="preserve">FINANCIAL PERFORMANCE ANALYSIS OF ASTRAZENECA PLC &amp; CAPITAL INVESTMENT APPRAISAL FOR </w:t>
          </w:r>
          <w:r w:rsidR="00C77381" w:rsidRPr="00C77381">
            <w:rPr>
              <w:rFonts w:eastAsiaTheme="majorEastAsia" w:cstheme="minorHAnsi"/>
              <w:b/>
              <w:bCs/>
              <w:caps/>
              <w:sz w:val="60"/>
              <w:szCs w:val="60"/>
            </w:rPr>
            <w:t>Westward</w:t>
          </w:r>
          <w:r w:rsidRPr="00C77381">
            <w:rPr>
              <w:rFonts w:eastAsiaTheme="majorEastAsia" w:cstheme="minorHAnsi"/>
              <w:b/>
              <w:bCs/>
              <w:caps/>
              <w:sz w:val="60"/>
              <w:szCs w:val="60"/>
            </w:rPr>
            <w:t xml:space="preserve"> PLC</w:t>
          </w:r>
        </w:p>
      </w:sdtContent>
    </w:sdt>
    <w:sdt>
      <w:sdtPr>
        <w:rPr>
          <w:rFonts w:cstheme="minorHAnsi"/>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683E66F6" w14:textId="7FDA9A66" w:rsidR="00D25271" w:rsidRPr="00C77381" w:rsidRDefault="00D25271" w:rsidP="00ED7AA5">
          <w:pPr>
            <w:pStyle w:val="NoSpacing"/>
            <w:jc w:val="center"/>
            <w:rPr>
              <w:rFonts w:cstheme="minorHAnsi"/>
              <w:sz w:val="28"/>
              <w:szCs w:val="28"/>
            </w:rPr>
          </w:pPr>
          <w:r w:rsidRPr="00C77381">
            <w:rPr>
              <w:rFonts w:cstheme="minorHAnsi"/>
              <w:sz w:val="28"/>
              <w:szCs w:val="28"/>
            </w:rPr>
            <w:t xml:space="preserve">     </w:t>
          </w:r>
        </w:p>
      </w:sdtContent>
    </w:sdt>
    <w:p w14:paraId="3D00E919" w14:textId="77777777" w:rsidR="00D25271" w:rsidRPr="00C77381" w:rsidRDefault="00D25271" w:rsidP="00ED7AA5">
      <w:pPr>
        <w:pStyle w:val="NoSpacing"/>
        <w:spacing w:before="480"/>
        <w:jc w:val="center"/>
        <w:rPr>
          <w:rFonts w:cstheme="minorHAnsi"/>
        </w:rPr>
      </w:pPr>
      <w:r w:rsidRPr="00C77381">
        <w:rPr>
          <w:rFonts w:cstheme="minorHAnsi"/>
          <w:noProof/>
          <w:lang w:val="en-GB" w:eastAsia="en-GB"/>
        </w:rPr>
        <w:drawing>
          <wp:inline distT="0" distB="0" distL="0" distR="0" wp14:anchorId="5E88D527" wp14:editId="42661D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FB4171" w14:textId="29F43720" w:rsidR="00D25271" w:rsidRPr="00C77381" w:rsidRDefault="00D25271" w:rsidP="00ED7AA5">
      <w:pPr>
        <w:pStyle w:val="NoSpacing"/>
        <w:spacing w:before="480"/>
        <w:rPr>
          <w:rFonts w:cstheme="minorHAnsi"/>
          <w:b/>
          <w:bCs/>
          <w:sz w:val="28"/>
          <w:szCs w:val="28"/>
        </w:rPr>
      </w:pPr>
      <w:r w:rsidRPr="00C77381">
        <w:rPr>
          <w:rFonts w:cstheme="minorHAnsi"/>
          <w:b/>
          <w:bCs/>
          <w:sz w:val="28"/>
          <w:szCs w:val="28"/>
        </w:rPr>
        <w:t>Student Name:</w:t>
      </w:r>
      <w:r w:rsidR="00C77381">
        <w:rPr>
          <w:rFonts w:cstheme="minorHAnsi"/>
          <w:b/>
          <w:bCs/>
          <w:sz w:val="28"/>
          <w:szCs w:val="28"/>
        </w:rPr>
        <w:t xml:space="preserve"> Shahed Rayhan</w:t>
      </w:r>
    </w:p>
    <w:p w14:paraId="500A7254" w14:textId="7895FB02" w:rsidR="00D25271" w:rsidRDefault="00D25271" w:rsidP="00ED7AA5">
      <w:pPr>
        <w:pStyle w:val="NoSpacing"/>
        <w:spacing w:before="480"/>
        <w:rPr>
          <w:rFonts w:cstheme="minorHAnsi"/>
          <w:b/>
          <w:bCs/>
          <w:sz w:val="28"/>
          <w:szCs w:val="28"/>
        </w:rPr>
      </w:pPr>
      <w:r w:rsidRPr="00C77381">
        <w:rPr>
          <w:rFonts w:cstheme="minorHAnsi"/>
          <w:b/>
          <w:bCs/>
          <w:sz w:val="28"/>
          <w:szCs w:val="28"/>
        </w:rPr>
        <w:t>Student Id:</w:t>
      </w:r>
      <w:r w:rsidR="00C77381">
        <w:rPr>
          <w:rFonts w:cstheme="minorHAnsi"/>
          <w:b/>
          <w:bCs/>
          <w:sz w:val="28"/>
          <w:szCs w:val="28"/>
        </w:rPr>
        <w:t xml:space="preserve"> 2520888</w:t>
      </w:r>
    </w:p>
    <w:p w14:paraId="11DD538F" w14:textId="77D33D7D" w:rsidR="00C77381" w:rsidRDefault="00C77381" w:rsidP="00ED7AA5">
      <w:pPr>
        <w:pStyle w:val="NoSpacing"/>
        <w:spacing w:before="480"/>
        <w:rPr>
          <w:rFonts w:cstheme="minorHAnsi"/>
          <w:b/>
          <w:bCs/>
          <w:sz w:val="28"/>
          <w:szCs w:val="28"/>
        </w:rPr>
      </w:pPr>
      <w:r>
        <w:rPr>
          <w:rFonts w:cstheme="minorHAnsi"/>
          <w:b/>
          <w:bCs/>
          <w:sz w:val="28"/>
          <w:szCs w:val="28"/>
        </w:rPr>
        <w:t>Module: Finance For Business Managers (BMMB7005)</w:t>
      </w:r>
    </w:p>
    <w:p w14:paraId="401D5867" w14:textId="76180B26" w:rsidR="00C77381" w:rsidRPr="00C77381" w:rsidRDefault="00C77381" w:rsidP="00ED7AA5">
      <w:pPr>
        <w:pStyle w:val="NoSpacing"/>
        <w:spacing w:before="480"/>
        <w:rPr>
          <w:rFonts w:cstheme="minorHAnsi"/>
          <w:b/>
          <w:bCs/>
          <w:sz w:val="28"/>
          <w:szCs w:val="28"/>
        </w:rPr>
      </w:pPr>
      <w:r>
        <w:rPr>
          <w:rFonts w:cstheme="minorHAnsi"/>
          <w:b/>
          <w:bCs/>
          <w:sz w:val="28"/>
          <w:szCs w:val="28"/>
        </w:rPr>
        <w:t>Module Lecturer: Marie Pitson</w:t>
      </w:r>
    </w:p>
    <w:p w14:paraId="3BD0D808" w14:textId="77777777" w:rsidR="00D25271" w:rsidRPr="00C77381" w:rsidRDefault="00D25271" w:rsidP="00ED7AA5">
      <w:pPr>
        <w:pStyle w:val="NoSpacing"/>
        <w:spacing w:before="480"/>
        <w:rPr>
          <w:rFonts w:cstheme="minorHAnsi"/>
          <w:sz w:val="28"/>
          <w:szCs w:val="28"/>
        </w:rPr>
      </w:pPr>
      <w:r w:rsidRPr="00C77381">
        <w:rPr>
          <w:rFonts w:cstheme="minorHAnsi"/>
          <w:sz w:val="28"/>
          <w:szCs w:val="28"/>
        </w:rPr>
        <w:t>Word Count: ~ 5,000</w:t>
      </w:r>
    </w:p>
    <w:p w14:paraId="5DB0CDF3" w14:textId="3B294CCE" w:rsidR="00C77381" w:rsidRPr="00C77381" w:rsidRDefault="00C77381" w:rsidP="00C77381">
      <w:pPr>
        <w:pStyle w:val="NoSpacing"/>
        <w:spacing w:before="480"/>
        <w:jc w:val="center"/>
        <w:rPr>
          <w:rFonts w:cstheme="minorHAnsi"/>
          <w:sz w:val="28"/>
          <w:szCs w:val="28"/>
        </w:rPr>
      </w:pPr>
      <w:r w:rsidRPr="00C77381">
        <w:rPr>
          <w:rFonts w:cstheme="minorHAnsi"/>
          <w:sz w:val="28"/>
          <w:szCs w:val="28"/>
        </w:rPr>
        <w:t>[DATE: 20-04-2026]</w:t>
      </w:r>
    </w:p>
    <w:p w14:paraId="54635AB6" w14:textId="1D00A311" w:rsidR="00D25271" w:rsidRPr="002A2D46" w:rsidRDefault="00C77381" w:rsidP="002A2D46">
      <w:pPr>
        <w:pStyle w:val="NoSpacing"/>
        <w:spacing w:before="480"/>
        <w:jc w:val="center"/>
        <w:rPr>
          <w:rFonts w:cstheme="minorHAnsi"/>
          <w:sz w:val="28"/>
          <w:szCs w:val="28"/>
        </w:rPr>
      </w:pPr>
      <w:r w:rsidRPr="00C77381">
        <w:rPr>
          <w:rFonts w:cstheme="minorHAnsi"/>
          <w:sz w:val="28"/>
          <w:szCs w:val="28"/>
        </w:rPr>
        <w:t>UNIVERSITY OF WALES TRINITY SAINT DAVID</w:t>
      </w:r>
    </w:p>
    <w:p w14:paraId="3865C23F" w14:textId="6A3AD71B" w:rsidR="00E97EC7" w:rsidRPr="00C77381" w:rsidRDefault="00800625" w:rsidP="00375BDA">
      <w:pPr>
        <w:pStyle w:val="Heading1"/>
        <w:jc w:val="both"/>
        <w:rPr>
          <w:rFonts w:asciiTheme="minorHAnsi" w:hAnsiTheme="minorHAnsi" w:cstheme="minorHAnsi"/>
          <w:color w:val="auto"/>
        </w:rPr>
      </w:pPr>
      <w:bookmarkStart w:id="1" w:name="_Toc227443253"/>
      <w:r w:rsidRPr="00C77381">
        <w:rPr>
          <w:rFonts w:asciiTheme="minorHAnsi" w:hAnsiTheme="minorHAnsi" w:cstheme="minorHAnsi"/>
          <w:color w:val="auto"/>
        </w:rPr>
        <w:lastRenderedPageBreak/>
        <w:t>Executive Summary</w:t>
      </w:r>
      <w:bookmarkEnd w:id="0"/>
      <w:bookmarkEnd w:id="1"/>
    </w:p>
    <w:p w14:paraId="09ED2EBD" w14:textId="77777777" w:rsidR="005828AD" w:rsidRPr="00C77381" w:rsidRDefault="005828AD" w:rsidP="00375BDA">
      <w:pPr>
        <w:jc w:val="both"/>
        <w:rPr>
          <w:rFonts w:asciiTheme="minorHAnsi" w:hAnsiTheme="minorHAnsi" w:cstheme="minorHAnsi"/>
          <w:sz w:val="24"/>
          <w:szCs w:val="24"/>
        </w:rPr>
      </w:pPr>
      <w:r w:rsidRPr="00C77381">
        <w:rPr>
          <w:rFonts w:asciiTheme="minorHAnsi" w:hAnsiTheme="minorHAnsi" w:cstheme="minorHAnsi"/>
          <w:sz w:val="24"/>
          <w:szCs w:val="24"/>
        </w:rPr>
        <w:t>In this report, there are two parts. Part 1 gives a detailed analysis of financial ratios of AstraZeneca Plc, a major member of the FTSE 100 Index and one of the most successful biopharmaceutical companies in the world, including financial years 2024 and 2025. Part 2 provides a capital investment appraisal of Westward Plc, a manufacturer of quality curtains and window furnishings in the United Kingdom, on the three strategic expansion alternatives using Net Present Value (NPV) and Internal Rate of Return (IRR).</w:t>
      </w:r>
    </w:p>
    <w:p w14:paraId="6B26CFEA" w14:textId="77777777" w:rsidR="005828AD" w:rsidRPr="00C77381" w:rsidRDefault="005828AD"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The financial performance of the two years is </w:t>
      </w:r>
      <w:proofErr w:type="spellStart"/>
      <w:r w:rsidRPr="00C77381">
        <w:rPr>
          <w:rFonts w:asciiTheme="minorHAnsi" w:hAnsiTheme="minorHAnsi" w:cstheme="minorHAnsi"/>
          <w:sz w:val="24"/>
          <w:szCs w:val="24"/>
        </w:rPr>
        <w:t>characterised</w:t>
      </w:r>
      <w:proofErr w:type="spellEnd"/>
      <w:r w:rsidRPr="00C77381">
        <w:rPr>
          <w:rFonts w:asciiTheme="minorHAnsi" w:hAnsiTheme="minorHAnsi" w:cstheme="minorHAnsi"/>
          <w:sz w:val="24"/>
          <w:szCs w:val="24"/>
        </w:rPr>
        <w:t xml:space="preserve"> by steady improvement of the profitability metrics of AstraZeneca. The increase in revenue was on revenue of $54,073 million to revenue of 58.739 million and the operating profit margin increased to 23.40% to 16.47% and the Return on Capital Employed (ROCE) increased to 16.47% which was 13.13%. The ROE increased to 21.00 as compared to 17.23% and the debt-to-equity ratio has decreased significantly by 70.57% to 57.10% which represents significant deleverage. Liquidity ratios are lower than traditional standards - current ratio 0.94 and quick ratio 0.72, which is in line with the capital-intensive business model of the pharmaceutical sector. Efficiency ratios indicate that there is a small decrease in efficiency with both inventory and receivables turnover decreasing slightly, which should be given a special attention by management.</w:t>
      </w:r>
    </w:p>
    <w:p w14:paraId="3FD9B0D7" w14:textId="4B033A3F" w:rsidR="00E97EC7" w:rsidRPr="00C77381" w:rsidRDefault="005828AD" w:rsidP="00375BDA">
      <w:pPr>
        <w:jc w:val="both"/>
        <w:rPr>
          <w:rFonts w:asciiTheme="minorHAnsi" w:hAnsiTheme="minorHAnsi" w:cstheme="minorHAnsi"/>
          <w:sz w:val="24"/>
          <w:szCs w:val="24"/>
        </w:rPr>
      </w:pPr>
      <w:r w:rsidRPr="00C77381">
        <w:rPr>
          <w:rFonts w:asciiTheme="minorHAnsi" w:hAnsiTheme="minorHAnsi" w:cstheme="minorHAnsi"/>
          <w:sz w:val="24"/>
          <w:szCs w:val="24"/>
        </w:rPr>
        <w:t>In Part 2, after conducting the NPV analysis at a cost of capital of 6% including a 25% corporation tax, and 20% straight-line capital allowances, the suggested investment with the highest NPV would be Option B, which involves developing an internet sales channel at a cost of initial capital of £1,000,000. The projected IRR of Option B is 32.23. The maximizing divisible investment policy (capital rationing) at a budget of 2,500,000 will give a total NPV of 1853.04k. The report ends with a critical evaluation of funding sources that can be used by Westward Plc.</w:t>
      </w:r>
      <w:r w:rsidR="00800625" w:rsidRPr="00C77381">
        <w:rPr>
          <w:rFonts w:asciiTheme="minorHAnsi" w:hAnsiTheme="minorHAnsi" w:cstheme="minorHAnsi"/>
          <w:sz w:val="24"/>
          <w:szCs w:val="24"/>
        </w:rPr>
        <w:br w:type="page"/>
      </w:r>
    </w:p>
    <w:sdt>
      <w:sdtPr>
        <w:rPr>
          <w:rFonts w:asciiTheme="minorHAnsi" w:eastAsia="Arial" w:hAnsiTheme="minorHAnsi" w:cstheme="minorHAnsi"/>
          <w:color w:val="auto"/>
          <w:sz w:val="22"/>
          <w:szCs w:val="22"/>
        </w:rPr>
        <w:id w:val="1690871123"/>
        <w:docPartObj>
          <w:docPartGallery w:val="Table of Contents"/>
          <w:docPartUnique/>
        </w:docPartObj>
      </w:sdtPr>
      <w:sdtEndPr>
        <w:rPr>
          <w:b/>
          <w:bCs/>
          <w:noProof/>
          <w:sz w:val="20"/>
          <w:szCs w:val="20"/>
        </w:rPr>
      </w:sdtEndPr>
      <w:sdtContent>
        <w:p w14:paraId="1B962ADE" w14:textId="0C4BF66D" w:rsidR="00ED7AA5" w:rsidRPr="00C77381" w:rsidRDefault="004D59E6">
          <w:pPr>
            <w:pStyle w:val="TOCHeading"/>
            <w:rPr>
              <w:rFonts w:asciiTheme="minorHAnsi" w:hAnsiTheme="minorHAnsi" w:cstheme="minorHAnsi"/>
              <w:color w:val="auto"/>
            </w:rPr>
          </w:pPr>
          <w:r>
            <w:rPr>
              <w:rFonts w:asciiTheme="minorHAnsi" w:hAnsiTheme="minorHAnsi" w:cstheme="minorHAnsi"/>
              <w:color w:val="auto"/>
            </w:rPr>
            <w:t>Table of C</w:t>
          </w:r>
          <w:r w:rsidR="00ED7AA5" w:rsidRPr="00C77381">
            <w:rPr>
              <w:rFonts w:asciiTheme="minorHAnsi" w:hAnsiTheme="minorHAnsi" w:cstheme="minorHAnsi"/>
              <w:color w:val="auto"/>
            </w:rPr>
            <w:t>ontents</w:t>
          </w:r>
        </w:p>
        <w:p w14:paraId="0771C77A" w14:textId="5AC80FF1" w:rsidR="00132E45" w:rsidRPr="00C77381" w:rsidRDefault="00ED7AA5">
          <w:pPr>
            <w:pStyle w:val="TOC1"/>
            <w:tabs>
              <w:tab w:val="right" w:leader="dot" w:pos="9156"/>
            </w:tabs>
            <w:rPr>
              <w:rFonts w:asciiTheme="minorHAnsi" w:eastAsiaTheme="minorEastAsia" w:hAnsiTheme="minorHAnsi" w:cstheme="minorHAnsi"/>
              <w:noProof/>
              <w:sz w:val="18"/>
              <w:szCs w:val="18"/>
            </w:rPr>
          </w:pPr>
          <w:r w:rsidRPr="00C77381">
            <w:rPr>
              <w:rFonts w:asciiTheme="minorHAnsi" w:hAnsiTheme="minorHAnsi" w:cstheme="minorHAnsi"/>
              <w:sz w:val="18"/>
              <w:szCs w:val="18"/>
            </w:rPr>
            <w:fldChar w:fldCharType="begin"/>
          </w:r>
          <w:r w:rsidRPr="00C77381">
            <w:rPr>
              <w:rFonts w:asciiTheme="minorHAnsi" w:hAnsiTheme="minorHAnsi" w:cstheme="minorHAnsi"/>
              <w:sz w:val="18"/>
              <w:szCs w:val="18"/>
            </w:rPr>
            <w:instrText xml:space="preserve"> TOC \o "1-3" \h \z \u </w:instrText>
          </w:r>
          <w:r w:rsidRPr="00C77381">
            <w:rPr>
              <w:rFonts w:asciiTheme="minorHAnsi" w:hAnsiTheme="minorHAnsi" w:cstheme="minorHAnsi"/>
              <w:sz w:val="18"/>
              <w:szCs w:val="18"/>
            </w:rPr>
            <w:fldChar w:fldCharType="separate"/>
          </w:r>
          <w:hyperlink w:anchor="_Toc227443253" w:history="1">
            <w:r w:rsidR="00132E45" w:rsidRPr="00C77381">
              <w:rPr>
                <w:rStyle w:val="Hyperlink"/>
                <w:rFonts w:asciiTheme="minorHAnsi" w:hAnsiTheme="minorHAnsi" w:cstheme="minorHAnsi"/>
                <w:noProof/>
                <w:sz w:val="18"/>
                <w:szCs w:val="18"/>
              </w:rPr>
              <w:t>Executive Summary</w:t>
            </w:r>
            <w:r w:rsidR="00132E45" w:rsidRPr="00C77381">
              <w:rPr>
                <w:rFonts w:asciiTheme="minorHAnsi" w:hAnsiTheme="minorHAnsi" w:cstheme="minorHAnsi"/>
                <w:noProof/>
                <w:webHidden/>
                <w:sz w:val="18"/>
                <w:szCs w:val="18"/>
              </w:rPr>
              <w:tab/>
            </w:r>
            <w:r w:rsidR="00132E45" w:rsidRPr="00C77381">
              <w:rPr>
                <w:rFonts w:asciiTheme="minorHAnsi" w:hAnsiTheme="minorHAnsi" w:cstheme="minorHAnsi"/>
                <w:noProof/>
                <w:webHidden/>
                <w:sz w:val="18"/>
                <w:szCs w:val="18"/>
              </w:rPr>
              <w:fldChar w:fldCharType="begin"/>
            </w:r>
            <w:r w:rsidR="00132E45" w:rsidRPr="00C77381">
              <w:rPr>
                <w:rFonts w:asciiTheme="minorHAnsi" w:hAnsiTheme="minorHAnsi" w:cstheme="minorHAnsi"/>
                <w:noProof/>
                <w:webHidden/>
                <w:sz w:val="18"/>
                <w:szCs w:val="18"/>
              </w:rPr>
              <w:instrText xml:space="preserve"> PAGEREF _Toc227443253 \h </w:instrText>
            </w:r>
            <w:r w:rsidR="00132E45" w:rsidRPr="00C77381">
              <w:rPr>
                <w:rFonts w:asciiTheme="minorHAnsi" w:hAnsiTheme="minorHAnsi" w:cstheme="minorHAnsi"/>
                <w:noProof/>
                <w:webHidden/>
                <w:sz w:val="18"/>
                <w:szCs w:val="18"/>
              </w:rPr>
            </w:r>
            <w:r w:rsidR="00132E45" w:rsidRPr="00C77381">
              <w:rPr>
                <w:rFonts w:asciiTheme="minorHAnsi" w:hAnsiTheme="minorHAnsi" w:cstheme="minorHAnsi"/>
                <w:noProof/>
                <w:webHidden/>
                <w:sz w:val="18"/>
                <w:szCs w:val="18"/>
              </w:rPr>
              <w:fldChar w:fldCharType="separate"/>
            </w:r>
            <w:r w:rsidR="00132E45" w:rsidRPr="00C77381">
              <w:rPr>
                <w:rFonts w:asciiTheme="minorHAnsi" w:hAnsiTheme="minorHAnsi" w:cstheme="minorHAnsi"/>
                <w:noProof/>
                <w:webHidden/>
                <w:sz w:val="18"/>
                <w:szCs w:val="18"/>
              </w:rPr>
              <w:t>2</w:t>
            </w:r>
            <w:r w:rsidR="00132E45" w:rsidRPr="00C77381">
              <w:rPr>
                <w:rFonts w:asciiTheme="minorHAnsi" w:hAnsiTheme="minorHAnsi" w:cstheme="minorHAnsi"/>
                <w:noProof/>
                <w:webHidden/>
                <w:sz w:val="18"/>
                <w:szCs w:val="18"/>
              </w:rPr>
              <w:fldChar w:fldCharType="end"/>
            </w:r>
          </w:hyperlink>
        </w:p>
        <w:p w14:paraId="32FE57E1" w14:textId="04A3ACAF"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54" w:history="1">
            <w:r w:rsidRPr="00C77381">
              <w:rPr>
                <w:rStyle w:val="Hyperlink"/>
                <w:rFonts w:asciiTheme="minorHAnsi" w:hAnsiTheme="minorHAnsi" w:cstheme="minorHAnsi"/>
                <w:noProof/>
                <w:sz w:val="18"/>
                <w:szCs w:val="18"/>
              </w:rPr>
              <w:t>PART 1: Financial Performance Analysis of AstraZeneca Plc</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_Toc227443254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5</w:t>
            </w:r>
            <w:r w:rsidRPr="00C77381">
              <w:rPr>
                <w:rFonts w:asciiTheme="minorHAnsi" w:hAnsiTheme="minorHAnsi" w:cstheme="minorHAnsi"/>
                <w:noProof/>
                <w:webHidden/>
                <w:sz w:val="18"/>
                <w:szCs w:val="18"/>
              </w:rPr>
              <w:fldChar w:fldCharType="end"/>
            </w:r>
          </w:hyperlink>
        </w:p>
        <w:p w14:paraId="627E344B" w14:textId="0A6D3125"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55" w:history="1">
            <w:r w:rsidRPr="00C77381">
              <w:rPr>
                <w:rStyle w:val="Hyperlink"/>
                <w:rFonts w:asciiTheme="minorHAnsi" w:hAnsiTheme="minorHAnsi" w:cstheme="minorHAnsi"/>
                <w:noProof/>
                <w:sz w:val="18"/>
                <w:szCs w:val="18"/>
              </w:rPr>
              <w:t>1. Introduction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_Toc227443255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5</w:t>
            </w:r>
            <w:r w:rsidRPr="00C77381">
              <w:rPr>
                <w:rFonts w:asciiTheme="minorHAnsi" w:hAnsiTheme="minorHAnsi" w:cstheme="minorHAnsi"/>
                <w:noProof/>
                <w:webHidden/>
                <w:sz w:val="18"/>
                <w:szCs w:val="18"/>
              </w:rPr>
              <w:fldChar w:fldCharType="end"/>
            </w:r>
          </w:hyperlink>
        </w:p>
        <w:p w14:paraId="1EA90E1F" w14:textId="1CAE584C"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56" w:history="1">
            <w:r w:rsidRPr="00C77381">
              <w:rPr>
                <w:rStyle w:val="Hyperlink"/>
                <w:rFonts w:asciiTheme="minorHAnsi" w:hAnsiTheme="minorHAnsi" w:cstheme="minorHAnsi"/>
                <w:noProof/>
                <w:sz w:val="18"/>
                <w:szCs w:val="18"/>
              </w:rPr>
              <w:t>2. Financial Performance Analysis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_Toc227443256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5</w:t>
            </w:r>
            <w:r w:rsidRPr="00C77381">
              <w:rPr>
                <w:rFonts w:asciiTheme="minorHAnsi" w:hAnsiTheme="minorHAnsi" w:cstheme="minorHAnsi"/>
                <w:noProof/>
                <w:webHidden/>
                <w:sz w:val="18"/>
                <w:szCs w:val="18"/>
              </w:rPr>
              <w:fldChar w:fldCharType="end"/>
            </w:r>
          </w:hyperlink>
        </w:p>
        <w:p w14:paraId="568F6BD0" w14:textId="6F28978E"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57" w:history="1">
            <w:r w:rsidRPr="00C77381">
              <w:rPr>
                <w:rStyle w:val="Hyperlink"/>
                <w:rFonts w:asciiTheme="minorHAnsi" w:hAnsiTheme="minorHAnsi" w:cstheme="minorHAnsi"/>
                <w:noProof/>
                <w:sz w:val="18"/>
                <w:szCs w:val="18"/>
              </w:rPr>
              <w:t>2.1 Profitability Ratios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_Toc227443257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5</w:t>
            </w:r>
            <w:r w:rsidRPr="00C77381">
              <w:rPr>
                <w:rFonts w:asciiTheme="minorHAnsi" w:hAnsiTheme="minorHAnsi" w:cstheme="minorHAnsi"/>
                <w:noProof/>
                <w:webHidden/>
                <w:sz w:val="18"/>
                <w:szCs w:val="18"/>
              </w:rPr>
              <w:fldChar w:fldCharType="end"/>
            </w:r>
          </w:hyperlink>
        </w:p>
        <w:p w14:paraId="5727FF60" w14:textId="6A5DBF2A"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58" w:history="1">
            <w:r w:rsidRPr="00C77381">
              <w:rPr>
                <w:rStyle w:val="Hyperlink"/>
                <w:rFonts w:asciiTheme="minorHAnsi" w:hAnsiTheme="minorHAnsi" w:cstheme="minorHAnsi"/>
                <w:noProof/>
                <w:sz w:val="18"/>
                <w:szCs w:val="18"/>
              </w:rPr>
              <w:t>2.2 Liquidity Ratios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_Toc227443258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6</w:t>
            </w:r>
            <w:r w:rsidRPr="00C77381">
              <w:rPr>
                <w:rFonts w:asciiTheme="minorHAnsi" w:hAnsiTheme="minorHAnsi" w:cstheme="minorHAnsi"/>
                <w:noProof/>
                <w:webHidden/>
                <w:sz w:val="18"/>
                <w:szCs w:val="18"/>
              </w:rPr>
              <w:fldChar w:fldCharType="end"/>
            </w:r>
          </w:hyperlink>
        </w:p>
        <w:p w14:paraId="347CE689" w14:textId="0981259A"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59" w:history="1">
            <w:r w:rsidRPr="00C77381">
              <w:rPr>
                <w:rStyle w:val="Hyperlink"/>
                <w:rFonts w:asciiTheme="minorHAnsi" w:hAnsiTheme="minorHAnsi" w:cstheme="minorHAnsi"/>
                <w:noProof/>
                <w:sz w:val="18"/>
                <w:szCs w:val="18"/>
              </w:rPr>
              <w:t>2.3 Gearing Ratios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_Toc227443259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7</w:t>
            </w:r>
            <w:r w:rsidRPr="00C77381">
              <w:rPr>
                <w:rFonts w:asciiTheme="minorHAnsi" w:hAnsiTheme="minorHAnsi" w:cstheme="minorHAnsi"/>
                <w:noProof/>
                <w:webHidden/>
                <w:sz w:val="18"/>
                <w:szCs w:val="18"/>
              </w:rPr>
              <w:fldChar w:fldCharType="end"/>
            </w:r>
          </w:hyperlink>
        </w:p>
        <w:p w14:paraId="36A4D562" w14:textId="2F5F5CB9"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0" w:history="1">
            <w:r w:rsidRPr="00C77381">
              <w:rPr>
                <w:rStyle w:val="Hyperlink"/>
                <w:rFonts w:asciiTheme="minorHAnsi" w:hAnsiTheme="minorHAnsi" w:cstheme="minorHAnsi"/>
                <w:noProof/>
                <w:sz w:val="18"/>
                <w:szCs w:val="18"/>
              </w:rPr>
              <w:t>2.4 Efficiency Ratios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_Toc227443260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8</w:t>
            </w:r>
            <w:r w:rsidRPr="00C77381">
              <w:rPr>
                <w:rFonts w:asciiTheme="minorHAnsi" w:hAnsiTheme="minorHAnsi" w:cstheme="minorHAnsi"/>
                <w:noProof/>
                <w:webHidden/>
                <w:sz w:val="18"/>
                <w:szCs w:val="18"/>
              </w:rPr>
              <w:fldChar w:fldCharType="end"/>
            </w:r>
          </w:hyperlink>
        </w:p>
        <w:p w14:paraId="6C9AF29B" w14:textId="6F7A3FF0"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1" w:history="1">
            <w:r w:rsidRPr="00C77381">
              <w:rPr>
                <w:rStyle w:val="Hyperlink"/>
                <w:rFonts w:asciiTheme="minorHAnsi" w:hAnsiTheme="minorHAnsi" w:cstheme="minorHAnsi"/>
                <w:noProof/>
                <w:sz w:val="18"/>
                <w:szCs w:val="18"/>
              </w:rPr>
              <w:t>2.5 Investor Ratios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_Toc227443261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9</w:t>
            </w:r>
            <w:r w:rsidRPr="00C77381">
              <w:rPr>
                <w:rFonts w:asciiTheme="minorHAnsi" w:hAnsiTheme="minorHAnsi" w:cstheme="minorHAnsi"/>
                <w:noProof/>
                <w:webHidden/>
                <w:sz w:val="18"/>
                <w:szCs w:val="18"/>
              </w:rPr>
              <w:fldChar w:fldCharType="end"/>
            </w:r>
          </w:hyperlink>
        </w:p>
        <w:p w14:paraId="0F5A14A1" w14:textId="6441E43F"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62" w:history="1">
            <w:r w:rsidRPr="00C77381">
              <w:rPr>
                <w:rStyle w:val="Hyperlink"/>
                <w:rFonts w:asciiTheme="minorHAnsi" w:hAnsiTheme="minorHAnsi" w:cstheme="minorHAnsi"/>
                <w:noProof/>
                <w:sz w:val="18"/>
                <w:szCs w:val="18"/>
              </w:rPr>
              <w:t>3. Limitations of Ratio Analysis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_Toc227443262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9</w:t>
            </w:r>
            <w:r w:rsidRPr="00C77381">
              <w:rPr>
                <w:rFonts w:asciiTheme="minorHAnsi" w:hAnsiTheme="minorHAnsi" w:cstheme="minorHAnsi"/>
                <w:noProof/>
                <w:webHidden/>
                <w:sz w:val="18"/>
                <w:szCs w:val="18"/>
              </w:rPr>
              <w:fldChar w:fldCharType="end"/>
            </w:r>
          </w:hyperlink>
        </w:p>
        <w:p w14:paraId="0DD622C2" w14:textId="119DDA79"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3" w:history="1">
            <w:r w:rsidRPr="00C77381">
              <w:rPr>
                <w:rStyle w:val="Hyperlink"/>
                <w:rFonts w:asciiTheme="minorHAnsi" w:hAnsiTheme="minorHAnsi" w:cstheme="minorHAnsi"/>
                <w:noProof/>
                <w:sz w:val="18"/>
                <w:szCs w:val="18"/>
              </w:rPr>
              <w:t>4. Conclusion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_Toc227443263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9</w:t>
            </w:r>
            <w:r w:rsidRPr="00C77381">
              <w:rPr>
                <w:rFonts w:asciiTheme="minorHAnsi" w:hAnsiTheme="minorHAnsi" w:cstheme="minorHAnsi"/>
                <w:noProof/>
                <w:webHidden/>
                <w:sz w:val="18"/>
                <w:szCs w:val="18"/>
              </w:rPr>
              <w:fldChar w:fldCharType="end"/>
            </w:r>
          </w:hyperlink>
        </w:p>
        <w:p w14:paraId="6B001DC7" w14:textId="12B84A17"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4" w:history="1">
            <w:r w:rsidRPr="00C77381">
              <w:rPr>
                <w:rStyle w:val="Hyperlink"/>
                <w:rFonts w:asciiTheme="minorHAnsi" w:hAnsiTheme="minorHAnsi" w:cstheme="minorHAnsi"/>
                <w:noProof/>
                <w:sz w:val="18"/>
                <w:szCs w:val="18"/>
              </w:rPr>
              <w:t>5. Recommendations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_Toc227443264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9</w:t>
            </w:r>
            <w:r w:rsidRPr="00C77381">
              <w:rPr>
                <w:rFonts w:asciiTheme="minorHAnsi" w:hAnsiTheme="minorHAnsi" w:cstheme="minorHAnsi"/>
                <w:noProof/>
                <w:webHidden/>
                <w:sz w:val="18"/>
                <w:szCs w:val="18"/>
              </w:rPr>
              <w:fldChar w:fldCharType="end"/>
            </w:r>
          </w:hyperlink>
        </w:p>
        <w:p w14:paraId="7E83490F" w14:textId="7954B35E"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65" w:history="1">
            <w:r w:rsidRPr="00C77381">
              <w:rPr>
                <w:rStyle w:val="Hyperlink"/>
                <w:rFonts w:asciiTheme="minorHAnsi" w:hAnsiTheme="minorHAnsi" w:cstheme="minorHAnsi"/>
                <w:noProof/>
                <w:sz w:val="18"/>
                <w:szCs w:val="18"/>
              </w:rPr>
              <w:t>Part 2: Capital Investment Appraisal — Westward Plc</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_Toc227443265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10</w:t>
            </w:r>
            <w:r w:rsidRPr="00C77381">
              <w:rPr>
                <w:rFonts w:asciiTheme="minorHAnsi" w:hAnsiTheme="minorHAnsi" w:cstheme="minorHAnsi"/>
                <w:noProof/>
                <w:webHidden/>
                <w:sz w:val="18"/>
                <w:szCs w:val="18"/>
              </w:rPr>
              <w:fldChar w:fldCharType="end"/>
            </w:r>
          </w:hyperlink>
        </w:p>
        <w:p w14:paraId="0D96C8B3" w14:textId="402A8EE0"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66" w:history="1">
            <w:r w:rsidRPr="00C77381">
              <w:rPr>
                <w:rStyle w:val="Hyperlink"/>
                <w:rFonts w:asciiTheme="minorHAnsi" w:hAnsiTheme="minorHAnsi" w:cstheme="minorHAnsi"/>
                <w:noProof/>
                <w:sz w:val="18"/>
                <w:szCs w:val="18"/>
              </w:rPr>
              <w:t>Section A:  Background and Assumptions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_Toc227443266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10</w:t>
            </w:r>
            <w:r w:rsidRPr="00C77381">
              <w:rPr>
                <w:rFonts w:asciiTheme="minorHAnsi" w:hAnsiTheme="minorHAnsi" w:cstheme="minorHAnsi"/>
                <w:noProof/>
                <w:webHidden/>
                <w:sz w:val="18"/>
                <w:szCs w:val="18"/>
              </w:rPr>
              <w:fldChar w:fldCharType="end"/>
            </w:r>
          </w:hyperlink>
        </w:p>
        <w:p w14:paraId="6C9E456E" w14:textId="07D1EFF8"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67" w:history="1">
            <w:r w:rsidRPr="00C77381">
              <w:rPr>
                <w:rStyle w:val="Hyperlink"/>
                <w:rFonts w:asciiTheme="minorHAnsi" w:hAnsiTheme="minorHAnsi" w:cstheme="minorHAnsi"/>
                <w:noProof/>
                <w:sz w:val="18"/>
                <w:szCs w:val="18"/>
              </w:rPr>
              <w:t>Section B:  Net Present Value Analysis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_Toc227443267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10</w:t>
            </w:r>
            <w:r w:rsidRPr="00C77381">
              <w:rPr>
                <w:rFonts w:asciiTheme="minorHAnsi" w:hAnsiTheme="minorHAnsi" w:cstheme="minorHAnsi"/>
                <w:noProof/>
                <w:webHidden/>
                <w:sz w:val="18"/>
                <w:szCs w:val="18"/>
              </w:rPr>
              <w:fldChar w:fldCharType="end"/>
            </w:r>
          </w:hyperlink>
        </w:p>
        <w:p w14:paraId="0EDA74F7" w14:textId="354778F1"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8" w:history="1">
            <w:r w:rsidRPr="00C77381">
              <w:rPr>
                <w:rStyle w:val="Hyperlink"/>
                <w:rFonts w:asciiTheme="minorHAnsi" w:hAnsiTheme="minorHAnsi" w:cstheme="minorHAnsi"/>
                <w:noProof/>
                <w:sz w:val="18"/>
                <w:szCs w:val="18"/>
              </w:rPr>
              <w:t>B.1  Conceptual Framework</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_Toc227443268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10</w:t>
            </w:r>
            <w:r w:rsidRPr="00C77381">
              <w:rPr>
                <w:rFonts w:asciiTheme="minorHAnsi" w:hAnsiTheme="minorHAnsi" w:cstheme="minorHAnsi"/>
                <w:noProof/>
                <w:webHidden/>
                <w:sz w:val="18"/>
                <w:szCs w:val="18"/>
              </w:rPr>
              <w:fldChar w:fldCharType="end"/>
            </w:r>
          </w:hyperlink>
        </w:p>
        <w:p w14:paraId="6DC5DFB3" w14:textId="09E5D83D"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69" w:history="1">
            <w:r w:rsidRPr="00C77381">
              <w:rPr>
                <w:rStyle w:val="Hyperlink"/>
                <w:rFonts w:asciiTheme="minorHAnsi" w:hAnsiTheme="minorHAnsi" w:cstheme="minorHAnsi"/>
                <w:noProof/>
                <w:sz w:val="18"/>
                <w:szCs w:val="18"/>
              </w:rPr>
              <w:t>B.2  NPV Calculation - All Three Options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_Toc227443269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11</w:t>
            </w:r>
            <w:r w:rsidRPr="00C77381">
              <w:rPr>
                <w:rFonts w:asciiTheme="minorHAnsi" w:hAnsiTheme="minorHAnsi" w:cstheme="minorHAnsi"/>
                <w:noProof/>
                <w:webHidden/>
                <w:sz w:val="18"/>
                <w:szCs w:val="18"/>
              </w:rPr>
              <w:fldChar w:fldCharType="end"/>
            </w:r>
          </w:hyperlink>
        </w:p>
        <w:p w14:paraId="5B23CA2A" w14:textId="127F9FBA"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0" w:history="1">
            <w:r w:rsidRPr="00C77381">
              <w:rPr>
                <w:rStyle w:val="Hyperlink"/>
                <w:rFonts w:asciiTheme="minorHAnsi" w:hAnsiTheme="minorHAnsi" w:cstheme="minorHAnsi"/>
                <w:noProof/>
                <w:sz w:val="18"/>
                <w:szCs w:val="18"/>
              </w:rPr>
              <w:t>B.3  Results and Board Recommendation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_Toc227443270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11</w:t>
            </w:r>
            <w:r w:rsidRPr="00C77381">
              <w:rPr>
                <w:rFonts w:asciiTheme="minorHAnsi" w:hAnsiTheme="minorHAnsi" w:cstheme="minorHAnsi"/>
                <w:noProof/>
                <w:webHidden/>
                <w:sz w:val="18"/>
                <w:szCs w:val="18"/>
              </w:rPr>
              <w:fldChar w:fldCharType="end"/>
            </w:r>
          </w:hyperlink>
        </w:p>
        <w:p w14:paraId="070F9C15" w14:textId="462D86A5"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71" w:history="1">
            <w:r w:rsidRPr="00C77381">
              <w:rPr>
                <w:rStyle w:val="Hyperlink"/>
                <w:rFonts w:asciiTheme="minorHAnsi" w:hAnsiTheme="minorHAnsi" w:cstheme="minorHAnsi"/>
                <w:noProof/>
                <w:sz w:val="18"/>
                <w:szCs w:val="18"/>
              </w:rPr>
              <w:t>Section C:  Internal Rate of Return — Option B</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_Toc227443271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7CE3778A" w14:textId="504C3544"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2" w:history="1">
            <w:r w:rsidRPr="00C77381">
              <w:rPr>
                <w:rStyle w:val="Hyperlink"/>
                <w:rFonts w:asciiTheme="minorHAnsi" w:hAnsiTheme="minorHAnsi" w:cstheme="minorHAnsi"/>
                <w:noProof/>
                <w:sz w:val="18"/>
                <w:szCs w:val="18"/>
              </w:rPr>
              <w:t>C.1  Method</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_Toc227443272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3D6DE5E4" w14:textId="7A4BBB8E"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3" w:history="1">
            <w:r w:rsidRPr="00C77381">
              <w:rPr>
                <w:rStyle w:val="Hyperlink"/>
                <w:rFonts w:asciiTheme="minorHAnsi" w:hAnsiTheme="minorHAnsi" w:cstheme="minorHAnsi"/>
                <w:noProof/>
                <w:sz w:val="18"/>
                <w:szCs w:val="18"/>
              </w:rPr>
              <w:t>C.2  Calculation Table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_Toc227443273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3C191FF0" w14:textId="772F6718"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4" w:history="1">
            <w:r w:rsidRPr="00C77381">
              <w:rPr>
                <w:rStyle w:val="Hyperlink"/>
                <w:rFonts w:asciiTheme="minorHAnsi" w:hAnsiTheme="minorHAnsi" w:cstheme="minorHAnsi"/>
                <w:noProof/>
                <w:sz w:val="18"/>
                <w:szCs w:val="18"/>
              </w:rPr>
              <w:t>C.3  Result and Interpretation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_Toc227443274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2AEB184D" w14:textId="71B8C6C5"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75" w:history="1">
            <w:r w:rsidRPr="00C77381">
              <w:rPr>
                <w:rStyle w:val="Hyperlink"/>
                <w:rFonts w:asciiTheme="minorHAnsi" w:hAnsiTheme="minorHAnsi" w:cstheme="minorHAnsi"/>
                <w:noProof/>
                <w:sz w:val="18"/>
                <w:szCs w:val="18"/>
              </w:rPr>
              <w:t>Section D:  Interpretation of Results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_Toc227443275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180FFAD9" w14:textId="1F231C87"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6" w:history="1">
            <w:r w:rsidRPr="00C77381">
              <w:rPr>
                <w:rStyle w:val="Hyperlink"/>
                <w:rFonts w:asciiTheme="minorHAnsi" w:hAnsiTheme="minorHAnsi" w:cstheme="minorHAnsi"/>
                <w:noProof/>
                <w:sz w:val="18"/>
                <w:szCs w:val="18"/>
              </w:rPr>
              <w:t>D.1  The Case for Net Present Value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_Toc227443276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12</w:t>
            </w:r>
            <w:r w:rsidRPr="00C77381">
              <w:rPr>
                <w:rFonts w:asciiTheme="minorHAnsi" w:hAnsiTheme="minorHAnsi" w:cstheme="minorHAnsi"/>
                <w:noProof/>
                <w:webHidden/>
                <w:sz w:val="18"/>
                <w:szCs w:val="18"/>
              </w:rPr>
              <w:fldChar w:fldCharType="end"/>
            </w:r>
          </w:hyperlink>
        </w:p>
        <w:p w14:paraId="38170523" w14:textId="16BC12D4"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7" w:history="1">
            <w:r w:rsidRPr="00C77381">
              <w:rPr>
                <w:rStyle w:val="Hyperlink"/>
                <w:rFonts w:asciiTheme="minorHAnsi" w:hAnsiTheme="minorHAnsi" w:cstheme="minorHAnsi"/>
                <w:noProof/>
                <w:sz w:val="18"/>
                <w:szCs w:val="18"/>
              </w:rPr>
              <w:t>D.2  The Persistence of Non-Discounting Methods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_Toc227443277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13</w:t>
            </w:r>
            <w:r w:rsidRPr="00C77381">
              <w:rPr>
                <w:rFonts w:asciiTheme="minorHAnsi" w:hAnsiTheme="minorHAnsi" w:cstheme="minorHAnsi"/>
                <w:noProof/>
                <w:webHidden/>
                <w:sz w:val="18"/>
                <w:szCs w:val="18"/>
              </w:rPr>
              <w:fldChar w:fldCharType="end"/>
            </w:r>
          </w:hyperlink>
        </w:p>
        <w:p w14:paraId="662CF34B" w14:textId="377467C8"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78" w:history="1">
            <w:r w:rsidRPr="00C77381">
              <w:rPr>
                <w:rStyle w:val="Hyperlink"/>
                <w:rFonts w:asciiTheme="minorHAnsi" w:hAnsiTheme="minorHAnsi" w:cstheme="minorHAnsi"/>
                <w:noProof/>
                <w:sz w:val="18"/>
                <w:szCs w:val="18"/>
              </w:rPr>
              <w:t>D.3  Additional Factors for Board Consideration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_Toc227443278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13</w:t>
            </w:r>
            <w:r w:rsidRPr="00C77381">
              <w:rPr>
                <w:rFonts w:asciiTheme="minorHAnsi" w:hAnsiTheme="minorHAnsi" w:cstheme="minorHAnsi"/>
                <w:noProof/>
                <w:webHidden/>
                <w:sz w:val="18"/>
                <w:szCs w:val="18"/>
              </w:rPr>
              <w:fldChar w:fldCharType="end"/>
            </w:r>
          </w:hyperlink>
        </w:p>
        <w:p w14:paraId="657E6D72" w14:textId="053883F5"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79" w:history="1">
            <w:r w:rsidRPr="00C77381">
              <w:rPr>
                <w:rStyle w:val="Hyperlink"/>
                <w:rFonts w:asciiTheme="minorHAnsi" w:hAnsiTheme="minorHAnsi" w:cstheme="minorHAnsi"/>
                <w:noProof/>
                <w:sz w:val="18"/>
                <w:szCs w:val="18"/>
              </w:rPr>
              <w:t>Section E:  Capital Rationing — Optimal Investment Policy</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_Toc227443279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3E398927" w14:textId="46ED2DFC"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0" w:history="1">
            <w:r w:rsidRPr="00C77381">
              <w:rPr>
                <w:rStyle w:val="Hyperlink"/>
                <w:rFonts w:asciiTheme="minorHAnsi" w:hAnsiTheme="minorHAnsi" w:cstheme="minorHAnsi"/>
                <w:noProof/>
                <w:sz w:val="18"/>
                <w:szCs w:val="18"/>
              </w:rPr>
              <w:t>E.1  Framework</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_Toc227443280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404F75BC" w14:textId="42B51CEA"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1" w:history="1">
            <w:r w:rsidRPr="00C77381">
              <w:rPr>
                <w:rStyle w:val="Hyperlink"/>
                <w:rFonts w:asciiTheme="minorHAnsi" w:hAnsiTheme="minorHAnsi" w:cstheme="minorHAnsi"/>
                <w:noProof/>
                <w:sz w:val="18"/>
                <w:szCs w:val="18"/>
              </w:rPr>
              <w:t>E.2  Optimal Allocation Table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_Toc227443281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43647B99" w14:textId="4D961CB8"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2" w:history="1">
            <w:r w:rsidRPr="00C77381">
              <w:rPr>
                <w:rStyle w:val="Hyperlink"/>
                <w:rFonts w:asciiTheme="minorHAnsi" w:hAnsiTheme="minorHAnsi" w:cstheme="minorHAnsi"/>
                <w:noProof/>
                <w:sz w:val="18"/>
                <w:szCs w:val="18"/>
              </w:rPr>
              <w:t>E.3  Conclusion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_Toc227443282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00E66F4F" w14:textId="1B8AB409"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83" w:history="1">
            <w:r w:rsidRPr="00C77381">
              <w:rPr>
                <w:rStyle w:val="Hyperlink"/>
                <w:rFonts w:asciiTheme="minorHAnsi" w:hAnsiTheme="minorHAnsi" w:cstheme="minorHAnsi"/>
                <w:noProof/>
                <w:sz w:val="18"/>
                <w:szCs w:val="18"/>
              </w:rPr>
              <w:t>Section F:  Financing the Investment Programme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_Toc227443283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2348CB32" w14:textId="1EFF40D6"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4" w:history="1">
            <w:r w:rsidRPr="00C77381">
              <w:rPr>
                <w:rStyle w:val="Hyperlink"/>
                <w:rFonts w:asciiTheme="minorHAnsi" w:hAnsiTheme="minorHAnsi" w:cstheme="minorHAnsi"/>
                <w:noProof/>
                <w:sz w:val="18"/>
                <w:szCs w:val="18"/>
              </w:rPr>
              <w:t>F.1  Retained Earnings (Internal Finance)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_Toc227443284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14</w:t>
            </w:r>
            <w:r w:rsidRPr="00C77381">
              <w:rPr>
                <w:rFonts w:asciiTheme="minorHAnsi" w:hAnsiTheme="minorHAnsi" w:cstheme="minorHAnsi"/>
                <w:noProof/>
                <w:webHidden/>
                <w:sz w:val="18"/>
                <w:szCs w:val="18"/>
              </w:rPr>
              <w:fldChar w:fldCharType="end"/>
            </w:r>
          </w:hyperlink>
        </w:p>
        <w:p w14:paraId="3AA7F80F" w14:textId="5644DCAB"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5" w:history="1">
            <w:r w:rsidRPr="00C77381">
              <w:rPr>
                <w:rStyle w:val="Hyperlink"/>
                <w:rFonts w:asciiTheme="minorHAnsi" w:hAnsiTheme="minorHAnsi" w:cstheme="minorHAnsi"/>
                <w:noProof/>
                <w:sz w:val="18"/>
                <w:szCs w:val="18"/>
              </w:rPr>
              <w:t>F.2  Bank Term Loan</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_Toc227443285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15</w:t>
            </w:r>
            <w:r w:rsidRPr="00C77381">
              <w:rPr>
                <w:rFonts w:asciiTheme="minorHAnsi" w:hAnsiTheme="minorHAnsi" w:cstheme="minorHAnsi"/>
                <w:noProof/>
                <w:webHidden/>
                <w:sz w:val="18"/>
                <w:szCs w:val="18"/>
              </w:rPr>
              <w:fldChar w:fldCharType="end"/>
            </w:r>
          </w:hyperlink>
        </w:p>
        <w:p w14:paraId="58E433F2" w14:textId="524996FC"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6" w:history="1">
            <w:r w:rsidRPr="00C77381">
              <w:rPr>
                <w:rStyle w:val="Hyperlink"/>
                <w:rFonts w:asciiTheme="minorHAnsi" w:hAnsiTheme="minorHAnsi" w:cstheme="minorHAnsi"/>
                <w:noProof/>
                <w:sz w:val="18"/>
                <w:szCs w:val="18"/>
              </w:rPr>
              <w:t>F.3  Equity Finance</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_Toc227443286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15</w:t>
            </w:r>
            <w:r w:rsidRPr="00C77381">
              <w:rPr>
                <w:rFonts w:asciiTheme="minorHAnsi" w:hAnsiTheme="minorHAnsi" w:cstheme="minorHAnsi"/>
                <w:noProof/>
                <w:webHidden/>
                <w:sz w:val="18"/>
                <w:szCs w:val="18"/>
              </w:rPr>
              <w:fldChar w:fldCharType="end"/>
            </w:r>
          </w:hyperlink>
        </w:p>
        <w:p w14:paraId="45A9C100" w14:textId="12AA8775"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7" w:history="1">
            <w:r w:rsidRPr="00C77381">
              <w:rPr>
                <w:rStyle w:val="Hyperlink"/>
                <w:rFonts w:asciiTheme="minorHAnsi" w:hAnsiTheme="minorHAnsi" w:cstheme="minorHAnsi"/>
                <w:noProof/>
                <w:sz w:val="18"/>
                <w:szCs w:val="18"/>
              </w:rPr>
              <w:t>F.4  Asset Finance and Leasing</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_Toc227443287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15</w:t>
            </w:r>
            <w:r w:rsidRPr="00C77381">
              <w:rPr>
                <w:rFonts w:asciiTheme="minorHAnsi" w:hAnsiTheme="minorHAnsi" w:cstheme="minorHAnsi"/>
                <w:noProof/>
                <w:webHidden/>
                <w:sz w:val="18"/>
                <w:szCs w:val="18"/>
              </w:rPr>
              <w:fldChar w:fldCharType="end"/>
            </w:r>
          </w:hyperlink>
        </w:p>
        <w:p w14:paraId="1C5E0108" w14:textId="441B803E"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88" w:history="1">
            <w:r w:rsidRPr="00C77381">
              <w:rPr>
                <w:rStyle w:val="Hyperlink"/>
                <w:rFonts w:asciiTheme="minorHAnsi" w:hAnsiTheme="minorHAnsi" w:cstheme="minorHAnsi"/>
                <w:noProof/>
                <w:sz w:val="18"/>
                <w:szCs w:val="18"/>
              </w:rPr>
              <w:t>F.5  Government Enterprise Finance Schemes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_Toc227443288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15</w:t>
            </w:r>
            <w:r w:rsidRPr="00C77381">
              <w:rPr>
                <w:rFonts w:asciiTheme="minorHAnsi" w:hAnsiTheme="minorHAnsi" w:cstheme="minorHAnsi"/>
                <w:noProof/>
                <w:webHidden/>
                <w:sz w:val="18"/>
                <w:szCs w:val="18"/>
              </w:rPr>
              <w:fldChar w:fldCharType="end"/>
            </w:r>
          </w:hyperlink>
        </w:p>
        <w:p w14:paraId="5D5A5630" w14:textId="67EB1F29"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89" w:history="1">
            <w:r w:rsidRPr="00C77381">
              <w:rPr>
                <w:rStyle w:val="Hyperlink"/>
                <w:rFonts w:asciiTheme="minorHAnsi" w:hAnsiTheme="minorHAnsi" w:cstheme="minorHAnsi"/>
                <w:noProof/>
                <w:sz w:val="18"/>
                <w:szCs w:val="18"/>
              </w:rPr>
              <w:t>References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_Toc227443289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17</w:t>
            </w:r>
            <w:r w:rsidRPr="00C77381">
              <w:rPr>
                <w:rFonts w:asciiTheme="minorHAnsi" w:hAnsiTheme="minorHAnsi" w:cstheme="minorHAnsi"/>
                <w:noProof/>
                <w:webHidden/>
                <w:sz w:val="18"/>
                <w:szCs w:val="18"/>
              </w:rPr>
              <w:fldChar w:fldCharType="end"/>
            </w:r>
          </w:hyperlink>
        </w:p>
        <w:p w14:paraId="6DA957CF" w14:textId="5FFF2088" w:rsidR="00132E45" w:rsidRPr="00C77381" w:rsidRDefault="00132E45">
          <w:pPr>
            <w:pStyle w:val="TOC1"/>
            <w:tabs>
              <w:tab w:val="right" w:leader="dot" w:pos="9156"/>
            </w:tabs>
            <w:rPr>
              <w:rFonts w:asciiTheme="minorHAnsi" w:eastAsiaTheme="minorEastAsia" w:hAnsiTheme="minorHAnsi" w:cstheme="minorHAnsi"/>
              <w:noProof/>
              <w:sz w:val="18"/>
              <w:szCs w:val="18"/>
            </w:rPr>
          </w:pPr>
          <w:hyperlink w:anchor="_Toc227443290" w:history="1">
            <w:r w:rsidRPr="00C77381">
              <w:rPr>
                <w:rStyle w:val="Hyperlink"/>
                <w:rFonts w:asciiTheme="minorHAnsi" w:hAnsiTheme="minorHAnsi" w:cstheme="minorHAnsi"/>
                <w:noProof/>
                <w:sz w:val="18"/>
                <w:szCs w:val="18"/>
              </w:rPr>
              <w:t>Appendices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_Toc227443290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18</w:t>
            </w:r>
            <w:r w:rsidRPr="00C77381">
              <w:rPr>
                <w:rFonts w:asciiTheme="minorHAnsi" w:hAnsiTheme="minorHAnsi" w:cstheme="minorHAnsi"/>
                <w:noProof/>
                <w:webHidden/>
                <w:sz w:val="18"/>
                <w:szCs w:val="18"/>
              </w:rPr>
              <w:fldChar w:fldCharType="end"/>
            </w:r>
          </w:hyperlink>
        </w:p>
        <w:p w14:paraId="149AA161" w14:textId="72ED50B0"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91" w:history="1">
            <w:r w:rsidRPr="00C77381">
              <w:rPr>
                <w:rStyle w:val="Hyperlink"/>
                <w:rFonts w:asciiTheme="minorHAnsi" w:hAnsiTheme="minorHAnsi" w:cstheme="minorHAnsi"/>
                <w:noProof/>
                <w:sz w:val="18"/>
                <w:szCs w:val="18"/>
              </w:rPr>
              <w:t>Appendix A — AstraZeneca Plc: Key Financial Data (FY2024 &amp; FY2025, $m)</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_Toc227443291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18</w:t>
            </w:r>
            <w:r w:rsidRPr="00C77381">
              <w:rPr>
                <w:rFonts w:asciiTheme="minorHAnsi" w:hAnsiTheme="minorHAnsi" w:cstheme="minorHAnsi"/>
                <w:noProof/>
                <w:webHidden/>
                <w:sz w:val="18"/>
                <w:szCs w:val="18"/>
              </w:rPr>
              <w:fldChar w:fldCharType="end"/>
            </w:r>
          </w:hyperlink>
        </w:p>
        <w:p w14:paraId="0B2DBF6A" w14:textId="6D9C20F3"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92" w:history="1">
            <w:r w:rsidRPr="00C77381">
              <w:rPr>
                <w:rStyle w:val="Hyperlink"/>
                <w:rFonts w:asciiTheme="minorHAnsi" w:hAnsiTheme="minorHAnsi" w:cstheme="minorHAnsi"/>
                <w:noProof/>
                <w:sz w:val="18"/>
                <w:szCs w:val="18"/>
              </w:rPr>
              <w:t>Appendix B - AstraZeneca Plc: Ratio Calculations (FY2024 &amp; FY2025)</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_Toc227443292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21</w:t>
            </w:r>
            <w:r w:rsidRPr="00C77381">
              <w:rPr>
                <w:rFonts w:asciiTheme="minorHAnsi" w:hAnsiTheme="minorHAnsi" w:cstheme="minorHAnsi"/>
                <w:noProof/>
                <w:webHidden/>
                <w:sz w:val="18"/>
                <w:szCs w:val="18"/>
              </w:rPr>
              <w:fldChar w:fldCharType="end"/>
            </w:r>
          </w:hyperlink>
        </w:p>
        <w:p w14:paraId="7514E952" w14:textId="08E0B894" w:rsidR="00132E45" w:rsidRPr="00C77381" w:rsidRDefault="00132E45">
          <w:pPr>
            <w:pStyle w:val="TOC2"/>
            <w:tabs>
              <w:tab w:val="right" w:leader="dot" w:pos="9156"/>
            </w:tabs>
            <w:rPr>
              <w:rFonts w:asciiTheme="minorHAnsi" w:eastAsiaTheme="minorEastAsia" w:hAnsiTheme="minorHAnsi" w:cstheme="minorHAnsi"/>
              <w:noProof/>
              <w:sz w:val="18"/>
              <w:szCs w:val="18"/>
            </w:rPr>
          </w:pPr>
          <w:hyperlink w:anchor="_Toc227443293" w:history="1">
            <w:r w:rsidRPr="00C77381">
              <w:rPr>
                <w:rStyle w:val="Hyperlink"/>
                <w:rFonts w:asciiTheme="minorHAnsi" w:hAnsiTheme="minorHAnsi" w:cstheme="minorHAnsi"/>
                <w:noProof/>
                <w:sz w:val="18"/>
                <w:szCs w:val="18"/>
              </w:rPr>
              <w:t>Appendix C - Westward Plc: After-Tax Cash Flow Workings</w:t>
            </w:r>
            <w:r w:rsidRPr="00C77381">
              <w:rPr>
                <w:rFonts w:asciiTheme="minorHAnsi" w:hAnsiTheme="minorHAnsi" w:cstheme="minorHAnsi"/>
                <w:noProof/>
                <w:webHidden/>
                <w:sz w:val="18"/>
                <w:szCs w:val="18"/>
              </w:rPr>
              <w:tab/>
            </w:r>
            <w:r w:rsidRPr="00C77381">
              <w:rPr>
                <w:rFonts w:asciiTheme="minorHAnsi" w:hAnsiTheme="minorHAnsi" w:cstheme="minorHAnsi"/>
                <w:noProof/>
                <w:webHidden/>
                <w:sz w:val="18"/>
                <w:szCs w:val="18"/>
              </w:rPr>
              <w:fldChar w:fldCharType="begin"/>
            </w:r>
            <w:r w:rsidRPr="00C77381">
              <w:rPr>
                <w:rFonts w:asciiTheme="minorHAnsi" w:hAnsiTheme="minorHAnsi" w:cstheme="minorHAnsi"/>
                <w:noProof/>
                <w:webHidden/>
                <w:sz w:val="18"/>
                <w:szCs w:val="18"/>
              </w:rPr>
              <w:instrText xml:space="preserve"> PAGEREF _Toc227443293 \h </w:instrText>
            </w:r>
            <w:r w:rsidRPr="00C77381">
              <w:rPr>
                <w:rFonts w:asciiTheme="minorHAnsi" w:hAnsiTheme="minorHAnsi" w:cstheme="minorHAnsi"/>
                <w:noProof/>
                <w:webHidden/>
                <w:sz w:val="18"/>
                <w:szCs w:val="18"/>
              </w:rPr>
            </w:r>
            <w:r w:rsidRPr="00C77381">
              <w:rPr>
                <w:rFonts w:asciiTheme="minorHAnsi" w:hAnsiTheme="minorHAnsi" w:cstheme="minorHAnsi"/>
                <w:noProof/>
                <w:webHidden/>
                <w:sz w:val="18"/>
                <w:szCs w:val="18"/>
              </w:rPr>
              <w:fldChar w:fldCharType="separate"/>
            </w:r>
            <w:r w:rsidRPr="00C77381">
              <w:rPr>
                <w:rFonts w:asciiTheme="minorHAnsi" w:hAnsiTheme="minorHAnsi" w:cstheme="minorHAnsi"/>
                <w:noProof/>
                <w:webHidden/>
                <w:sz w:val="18"/>
                <w:szCs w:val="18"/>
              </w:rPr>
              <w:t>22</w:t>
            </w:r>
            <w:r w:rsidRPr="00C77381">
              <w:rPr>
                <w:rFonts w:asciiTheme="minorHAnsi" w:hAnsiTheme="minorHAnsi" w:cstheme="minorHAnsi"/>
                <w:noProof/>
                <w:webHidden/>
                <w:sz w:val="18"/>
                <w:szCs w:val="18"/>
              </w:rPr>
              <w:fldChar w:fldCharType="end"/>
            </w:r>
          </w:hyperlink>
        </w:p>
        <w:p w14:paraId="6AF74A75" w14:textId="3E47E840" w:rsidR="00ED7AA5" w:rsidRPr="00C77381" w:rsidRDefault="00ED7AA5">
          <w:pPr>
            <w:rPr>
              <w:rFonts w:asciiTheme="minorHAnsi" w:hAnsiTheme="minorHAnsi" w:cstheme="minorHAnsi"/>
              <w:sz w:val="20"/>
              <w:szCs w:val="20"/>
            </w:rPr>
          </w:pPr>
          <w:r w:rsidRPr="00C77381">
            <w:rPr>
              <w:rFonts w:asciiTheme="minorHAnsi" w:hAnsiTheme="minorHAnsi" w:cstheme="minorHAnsi"/>
              <w:b/>
              <w:bCs/>
              <w:noProof/>
              <w:sz w:val="18"/>
              <w:szCs w:val="18"/>
            </w:rPr>
            <w:fldChar w:fldCharType="end"/>
          </w:r>
        </w:p>
      </w:sdtContent>
    </w:sdt>
    <w:p w14:paraId="696ABE28" w14:textId="6AFDE1FE" w:rsidR="00E97EC7" w:rsidRPr="00C77381" w:rsidRDefault="00E97EC7" w:rsidP="00ED7AA5">
      <w:pPr>
        <w:pStyle w:val="TOC1"/>
        <w:tabs>
          <w:tab w:val="right" w:leader="dot" w:pos="9156"/>
        </w:tabs>
        <w:jc w:val="both"/>
        <w:rPr>
          <w:rFonts w:asciiTheme="minorHAnsi" w:hAnsiTheme="minorHAnsi" w:cstheme="minorHAnsi"/>
          <w:noProof/>
        </w:rPr>
      </w:pPr>
    </w:p>
    <w:p w14:paraId="64171AAA" w14:textId="58A6A329" w:rsidR="00D25271" w:rsidRPr="00C77381" w:rsidRDefault="00800625" w:rsidP="00327204">
      <w:pPr>
        <w:pStyle w:val="Heading1"/>
        <w:rPr>
          <w:rFonts w:asciiTheme="minorHAnsi" w:hAnsiTheme="minorHAnsi" w:cstheme="minorHAnsi"/>
          <w:color w:val="auto"/>
        </w:rPr>
      </w:pPr>
      <w:r w:rsidRPr="00C77381">
        <w:rPr>
          <w:rFonts w:asciiTheme="minorHAnsi" w:hAnsiTheme="minorHAnsi" w:cstheme="minorHAnsi"/>
          <w:color w:val="auto"/>
        </w:rPr>
        <w:br w:type="page"/>
      </w:r>
      <w:bookmarkStart w:id="2" w:name="_Toc227230457"/>
      <w:bookmarkStart w:id="3" w:name="_Toc227367706"/>
      <w:bookmarkStart w:id="4" w:name="_Toc227443254"/>
      <w:r w:rsidR="00D25271" w:rsidRPr="00C77381">
        <w:rPr>
          <w:rFonts w:asciiTheme="minorHAnsi" w:hAnsiTheme="minorHAnsi" w:cstheme="minorHAnsi"/>
          <w:color w:val="auto"/>
        </w:rPr>
        <w:lastRenderedPageBreak/>
        <w:t>PART 1: Financial Performance Analysis of AstraZeneca Plc</w:t>
      </w:r>
      <w:bookmarkEnd w:id="2"/>
      <w:bookmarkEnd w:id="3"/>
      <w:bookmarkEnd w:id="4"/>
    </w:p>
    <w:p w14:paraId="6566C5D2" w14:textId="77777777" w:rsidR="00D25271" w:rsidRPr="00C77381" w:rsidRDefault="00D25271" w:rsidP="00375BDA">
      <w:pPr>
        <w:pStyle w:val="Heading1"/>
        <w:jc w:val="both"/>
        <w:rPr>
          <w:rFonts w:asciiTheme="minorHAnsi" w:hAnsiTheme="minorHAnsi" w:cstheme="minorHAnsi"/>
          <w:color w:val="auto"/>
        </w:rPr>
      </w:pPr>
      <w:bookmarkStart w:id="5" w:name="_Toc227230458"/>
      <w:bookmarkStart w:id="6" w:name="_Toc227367707"/>
      <w:bookmarkStart w:id="7" w:name="_Toc227443255"/>
      <w:r w:rsidRPr="00C77381">
        <w:rPr>
          <w:rFonts w:asciiTheme="minorHAnsi" w:hAnsiTheme="minorHAnsi" w:cstheme="minorHAnsi"/>
          <w:color w:val="auto"/>
        </w:rPr>
        <w:t>1. Introduction</w:t>
      </w:r>
      <w:bookmarkEnd w:id="5"/>
      <w:bookmarkEnd w:id="6"/>
      <w:bookmarkEnd w:id="7"/>
    </w:p>
    <w:p w14:paraId="53519394" w14:textId="77777777" w:rsidR="000A3B60" w:rsidRPr="00C77381" w:rsidRDefault="000A3B60" w:rsidP="00375BDA">
      <w:pPr>
        <w:jc w:val="both"/>
        <w:rPr>
          <w:rFonts w:asciiTheme="minorHAnsi" w:eastAsia="Times New Roman" w:hAnsiTheme="minorHAnsi" w:cstheme="minorHAnsi"/>
          <w:sz w:val="24"/>
          <w:szCs w:val="24"/>
        </w:rPr>
      </w:pPr>
      <w:r w:rsidRPr="00C77381">
        <w:rPr>
          <w:rFonts w:asciiTheme="minorHAnsi" w:eastAsia="Times New Roman" w:hAnsiTheme="minorHAnsi" w:cstheme="minorHAnsi"/>
          <w:sz w:val="24"/>
          <w:szCs w:val="24"/>
        </w:rPr>
        <w:t>AstraZeneca Plc is a reputable scientifically based biopharmaceutical company based in Cambridge, UK. The corporation has over 100,000 employees across the globe and its products have a global presence of over 100 countries. It has three main segments of therapy including oncology, biopharmaceuticals and rare diseases. One of the most significant and closely watched publicly traded firms in the UK is AstraZeneca, which is listed on the London Stock Exchange and a part of the FTSE 100 Index (AstraZeneca, 2025).</w:t>
      </w:r>
    </w:p>
    <w:p w14:paraId="0861E4AE" w14:textId="1D2CBB3B"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Competition in the pharma industry demands a sustained investment in research and development (R&amp;D) as well as management of complex, capital-intensive global supply chain. The ability to maintain this amount of investment and at the same time create value to shareholders requires strict and ongoing financial analysis (A</w:t>
      </w:r>
      <w:r w:rsidR="000F17A5" w:rsidRPr="00C77381">
        <w:rPr>
          <w:rFonts w:asciiTheme="minorHAnsi" w:hAnsiTheme="minorHAnsi" w:cstheme="minorHAnsi"/>
          <w:sz w:val="24"/>
          <w:szCs w:val="24"/>
        </w:rPr>
        <w:t>p</w:t>
      </w:r>
      <w:r w:rsidRPr="00C77381">
        <w:rPr>
          <w:rFonts w:asciiTheme="minorHAnsi" w:hAnsiTheme="minorHAnsi" w:cstheme="minorHAnsi"/>
          <w:sz w:val="24"/>
          <w:szCs w:val="24"/>
        </w:rPr>
        <w:t>rill, 2020). The financial years covered in this report are the financial years ending 31 December 2024 and 31 December 2025 and it is addressed to the Board of Directors of AstraZeneca.</w:t>
      </w:r>
    </w:p>
    <w:p w14:paraId="2E8E9033" w14:textId="19AC5A4D"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The academic literature on financial statements has established the main role of financial statements as a channel of communication. According to A</w:t>
      </w:r>
      <w:r w:rsidR="000F17A5" w:rsidRPr="00C77381">
        <w:rPr>
          <w:rFonts w:asciiTheme="minorHAnsi" w:hAnsiTheme="minorHAnsi" w:cstheme="minorHAnsi"/>
          <w:sz w:val="24"/>
          <w:szCs w:val="24"/>
        </w:rPr>
        <w:t>p</w:t>
      </w:r>
      <w:r w:rsidRPr="00C77381">
        <w:rPr>
          <w:rFonts w:asciiTheme="minorHAnsi" w:hAnsiTheme="minorHAnsi" w:cstheme="minorHAnsi"/>
          <w:sz w:val="24"/>
          <w:szCs w:val="24"/>
        </w:rPr>
        <w:t>rill (2020), financial statements allow the management and stakeholders to compare the previous performance, competitive benchmarking, and making strategic decisions in future. Raw numbers alone, though, do not provide strong analysis tools; it is by using ratio analysis that valuable information can be generated. This report thus adopts a systematic framework that covers five groups of financial measurements, profitability, liquidity, gearing, efficiency and investor ratios (Rani et al., 2025).</w:t>
      </w:r>
    </w:p>
    <w:p w14:paraId="2E3EB5B7"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The analysis will be conducted in the following way: Section 2 will present the calculated ratios and a critical assessment of each category; Section 3 will outline the main limitations of the ratio analysis as a tool of analysis; Section 4 will outline the main conclusions; and Section 5 will provide the strategic advice on how to improve the financial management of the company. The financial data used are all obtained as of 2024 and 2025 as per the consolidated audited financial statements of AstraZeneca in US dollars.</w:t>
      </w:r>
    </w:p>
    <w:p w14:paraId="36CE085F" w14:textId="77777777" w:rsidR="00D25271" w:rsidRPr="00C77381" w:rsidRDefault="00D25271" w:rsidP="00375BDA">
      <w:pPr>
        <w:pStyle w:val="Heading1"/>
        <w:jc w:val="both"/>
        <w:rPr>
          <w:rFonts w:asciiTheme="minorHAnsi" w:hAnsiTheme="minorHAnsi" w:cstheme="minorHAnsi"/>
          <w:color w:val="auto"/>
        </w:rPr>
      </w:pPr>
      <w:bookmarkStart w:id="8" w:name="_Toc227230459"/>
      <w:bookmarkStart w:id="9" w:name="_Toc227367708"/>
      <w:bookmarkStart w:id="10" w:name="_Toc227443256"/>
      <w:r w:rsidRPr="00C77381">
        <w:rPr>
          <w:rFonts w:asciiTheme="minorHAnsi" w:hAnsiTheme="minorHAnsi" w:cstheme="minorHAnsi"/>
          <w:color w:val="auto"/>
        </w:rPr>
        <w:t>2. Financial Performance Analysis</w:t>
      </w:r>
      <w:bookmarkEnd w:id="8"/>
      <w:bookmarkEnd w:id="9"/>
      <w:bookmarkEnd w:id="10"/>
    </w:p>
    <w:p w14:paraId="1923E4A7" w14:textId="77777777" w:rsidR="00D25271" w:rsidRPr="00C77381" w:rsidRDefault="00D25271" w:rsidP="00375BDA">
      <w:pPr>
        <w:spacing w:before="60"/>
        <w:jc w:val="both"/>
        <w:rPr>
          <w:rFonts w:asciiTheme="minorHAnsi" w:hAnsiTheme="minorHAnsi" w:cstheme="minorHAnsi"/>
        </w:rPr>
      </w:pPr>
      <w:r w:rsidRPr="00C77381">
        <w:rPr>
          <w:rFonts w:asciiTheme="minorHAnsi" w:hAnsiTheme="minorHAnsi" w:cstheme="minorHAnsi"/>
        </w:rPr>
        <w:t>Financial statements are a communication tool of vital importance in a firm to various stakeholders such as investors, creditors, and management among others. Nevertheless, absolute numbers can be rather unhelpful on their own. Ratio analysis is applied everywhere to gain a critical and holistic knowledge about financial techniques and processes. The sections that follow critically analyze the performance of AstraZeneca in relation to 5 main financial dimensions, the year 2024 and 2025 (Rani et al., 2025).</w:t>
      </w:r>
    </w:p>
    <w:p w14:paraId="1107A0BB" w14:textId="77777777" w:rsidR="00D25271" w:rsidRPr="00C77381" w:rsidRDefault="00D25271" w:rsidP="00375BDA">
      <w:pPr>
        <w:spacing w:before="100" w:after="60" w:line="360" w:lineRule="auto"/>
        <w:jc w:val="both"/>
        <w:rPr>
          <w:rFonts w:asciiTheme="minorHAnsi" w:hAnsiTheme="minorHAnsi" w:cstheme="minorHAnsi"/>
        </w:rPr>
      </w:pPr>
      <w:r w:rsidRPr="00C77381">
        <w:rPr>
          <w:rFonts w:asciiTheme="minorHAnsi" w:hAnsiTheme="minorHAnsi" w:cstheme="minorHAnsi"/>
        </w:rPr>
        <w:t>Summary of Key Ratios:</w:t>
      </w:r>
    </w:p>
    <w:tbl>
      <w:tblPr>
        <w:tblStyle w:val="TableGrid"/>
        <w:tblW w:w="9026" w:type="dxa"/>
        <w:tblLook w:val="04A0" w:firstRow="1" w:lastRow="0" w:firstColumn="1" w:lastColumn="0" w:noHBand="0" w:noVBand="1"/>
      </w:tblPr>
      <w:tblGrid>
        <w:gridCol w:w="3000"/>
        <w:gridCol w:w="2000"/>
        <w:gridCol w:w="2000"/>
        <w:gridCol w:w="2026"/>
      </w:tblGrid>
      <w:tr w:rsidR="00327204" w:rsidRPr="00C77381" w14:paraId="413AF3F2" w14:textId="77777777" w:rsidTr="00062465">
        <w:tc>
          <w:tcPr>
            <w:tcW w:w="3000" w:type="dxa"/>
          </w:tcPr>
          <w:p w14:paraId="6CADD30A"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b/>
                <w:bCs/>
                <w:sz w:val="20"/>
                <w:szCs w:val="20"/>
              </w:rPr>
              <w:t>Ratio</w:t>
            </w:r>
          </w:p>
        </w:tc>
        <w:tc>
          <w:tcPr>
            <w:tcW w:w="2000" w:type="dxa"/>
          </w:tcPr>
          <w:p w14:paraId="63860DCF"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b/>
                <w:bCs/>
                <w:sz w:val="20"/>
                <w:szCs w:val="20"/>
              </w:rPr>
              <w:t>2024</w:t>
            </w:r>
          </w:p>
        </w:tc>
        <w:tc>
          <w:tcPr>
            <w:tcW w:w="2000" w:type="dxa"/>
          </w:tcPr>
          <w:p w14:paraId="28CC9CAF"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b/>
                <w:bCs/>
                <w:sz w:val="20"/>
                <w:szCs w:val="20"/>
              </w:rPr>
              <w:t>2025</w:t>
            </w:r>
          </w:p>
        </w:tc>
        <w:tc>
          <w:tcPr>
            <w:tcW w:w="2026" w:type="dxa"/>
          </w:tcPr>
          <w:p w14:paraId="4CA3C149"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b/>
                <w:bCs/>
                <w:sz w:val="20"/>
                <w:szCs w:val="20"/>
              </w:rPr>
              <w:t>Change</w:t>
            </w:r>
          </w:p>
        </w:tc>
      </w:tr>
      <w:tr w:rsidR="00327204" w:rsidRPr="00C77381" w14:paraId="226F9D76" w14:textId="77777777" w:rsidTr="00062465">
        <w:tc>
          <w:tcPr>
            <w:tcW w:w="3000" w:type="dxa"/>
          </w:tcPr>
          <w:p w14:paraId="0DAD705F"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Gross Profit Margin</w:t>
            </w:r>
          </w:p>
        </w:tc>
        <w:tc>
          <w:tcPr>
            <w:tcW w:w="2000" w:type="dxa"/>
          </w:tcPr>
          <w:p w14:paraId="51BC9DBD"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81.12%</w:t>
            </w:r>
          </w:p>
        </w:tc>
        <w:tc>
          <w:tcPr>
            <w:tcW w:w="2000" w:type="dxa"/>
          </w:tcPr>
          <w:p w14:paraId="4BFC4276"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81.90%</w:t>
            </w:r>
          </w:p>
        </w:tc>
        <w:tc>
          <w:tcPr>
            <w:tcW w:w="2026" w:type="dxa"/>
          </w:tcPr>
          <w:p w14:paraId="278E8ACD"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0.78pp</w:t>
            </w:r>
          </w:p>
        </w:tc>
      </w:tr>
      <w:tr w:rsidR="00327204" w:rsidRPr="00C77381" w14:paraId="63BAEC9A" w14:textId="77777777" w:rsidTr="00062465">
        <w:tc>
          <w:tcPr>
            <w:tcW w:w="3000" w:type="dxa"/>
          </w:tcPr>
          <w:p w14:paraId="2EF87A2E"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Operating Profit Margin</w:t>
            </w:r>
          </w:p>
        </w:tc>
        <w:tc>
          <w:tcPr>
            <w:tcW w:w="2000" w:type="dxa"/>
          </w:tcPr>
          <w:p w14:paraId="0D74070A"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18.50%</w:t>
            </w:r>
          </w:p>
        </w:tc>
        <w:tc>
          <w:tcPr>
            <w:tcW w:w="2000" w:type="dxa"/>
          </w:tcPr>
          <w:p w14:paraId="373EB352"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23.40%</w:t>
            </w:r>
          </w:p>
        </w:tc>
        <w:tc>
          <w:tcPr>
            <w:tcW w:w="2026" w:type="dxa"/>
          </w:tcPr>
          <w:p w14:paraId="7B721C77"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4.90pp</w:t>
            </w:r>
          </w:p>
        </w:tc>
      </w:tr>
      <w:tr w:rsidR="00327204" w:rsidRPr="00C77381" w14:paraId="168FFC26" w14:textId="77777777" w:rsidTr="00062465">
        <w:tc>
          <w:tcPr>
            <w:tcW w:w="3000" w:type="dxa"/>
          </w:tcPr>
          <w:p w14:paraId="1513B507"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ROCE</w:t>
            </w:r>
          </w:p>
        </w:tc>
        <w:tc>
          <w:tcPr>
            <w:tcW w:w="2000" w:type="dxa"/>
          </w:tcPr>
          <w:p w14:paraId="3014824B"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13.13%</w:t>
            </w:r>
          </w:p>
        </w:tc>
        <w:tc>
          <w:tcPr>
            <w:tcW w:w="2000" w:type="dxa"/>
          </w:tcPr>
          <w:p w14:paraId="1DD74C4B"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16.47%</w:t>
            </w:r>
          </w:p>
        </w:tc>
        <w:tc>
          <w:tcPr>
            <w:tcW w:w="2026" w:type="dxa"/>
          </w:tcPr>
          <w:p w14:paraId="679692F0"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3.34pp</w:t>
            </w:r>
          </w:p>
        </w:tc>
      </w:tr>
      <w:tr w:rsidR="00327204" w:rsidRPr="00C77381" w14:paraId="0BB46323" w14:textId="77777777" w:rsidTr="00062465">
        <w:tc>
          <w:tcPr>
            <w:tcW w:w="3000" w:type="dxa"/>
          </w:tcPr>
          <w:p w14:paraId="2CC8F40E"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Current Ratio</w:t>
            </w:r>
          </w:p>
        </w:tc>
        <w:tc>
          <w:tcPr>
            <w:tcW w:w="2000" w:type="dxa"/>
          </w:tcPr>
          <w:p w14:paraId="3447840B"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0.93</w:t>
            </w:r>
          </w:p>
        </w:tc>
        <w:tc>
          <w:tcPr>
            <w:tcW w:w="2000" w:type="dxa"/>
          </w:tcPr>
          <w:p w14:paraId="36A1745C"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0.94</w:t>
            </w:r>
          </w:p>
        </w:tc>
        <w:tc>
          <w:tcPr>
            <w:tcW w:w="2026" w:type="dxa"/>
          </w:tcPr>
          <w:p w14:paraId="6AF9C982"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0.01</w:t>
            </w:r>
          </w:p>
        </w:tc>
      </w:tr>
      <w:tr w:rsidR="00327204" w:rsidRPr="00C77381" w14:paraId="665B726C" w14:textId="77777777" w:rsidTr="00062465">
        <w:tc>
          <w:tcPr>
            <w:tcW w:w="3000" w:type="dxa"/>
          </w:tcPr>
          <w:p w14:paraId="224BE034"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Quick Ratio</w:t>
            </w:r>
          </w:p>
        </w:tc>
        <w:tc>
          <w:tcPr>
            <w:tcW w:w="2000" w:type="dxa"/>
          </w:tcPr>
          <w:p w14:paraId="53E4DDFE"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0.74</w:t>
            </w:r>
          </w:p>
        </w:tc>
        <w:tc>
          <w:tcPr>
            <w:tcW w:w="2000" w:type="dxa"/>
          </w:tcPr>
          <w:p w14:paraId="0E252E78"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0.72</w:t>
            </w:r>
          </w:p>
        </w:tc>
        <w:tc>
          <w:tcPr>
            <w:tcW w:w="2026" w:type="dxa"/>
          </w:tcPr>
          <w:p w14:paraId="4374793A"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0.02</w:t>
            </w:r>
          </w:p>
        </w:tc>
      </w:tr>
      <w:tr w:rsidR="00327204" w:rsidRPr="00C77381" w14:paraId="0377708E" w14:textId="77777777" w:rsidTr="00062465">
        <w:tc>
          <w:tcPr>
            <w:tcW w:w="3000" w:type="dxa"/>
          </w:tcPr>
          <w:p w14:paraId="5D417698"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Debt-to-Equity Ratio</w:t>
            </w:r>
          </w:p>
        </w:tc>
        <w:tc>
          <w:tcPr>
            <w:tcW w:w="2000" w:type="dxa"/>
          </w:tcPr>
          <w:p w14:paraId="336F8B7F"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70.57%</w:t>
            </w:r>
          </w:p>
        </w:tc>
        <w:tc>
          <w:tcPr>
            <w:tcW w:w="2000" w:type="dxa"/>
          </w:tcPr>
          <w:p w14:paraId="59475EA7"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57.10%</w:t>
            </w:r>
          </w:p>
        </w:tc>
        <w:tc>
          <w:tcPr>
            <w:tcW w:w="2026" w:type="dxa"/>
          </w:tcPr>
          <w:p w14:paraId="22070C81"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13.47pp</w:t>
            </w:r>
          </w:p>
        </w:tc>
      </w:tr>
      <w:tr w:rsidR="00327204" w:rsidRPr="00C77381" w14:paraId="23D5372C" w14:textId="77777777" w:rsidTr="00062465">
        <w:tc>
          <w:tcPr>
            <w:tcW w:w="3000" w:type="dxa"/>
          </w:tcPr>
          <w:p w14:paraId="1825BA33"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Inventory Turnover</w:t>
            </w:r>
          </w:p>
        </w:tc>
        <w:tc>
          <w:tcPr>
            <w:tcW w:w="2000" w:type="dxa"/>
          </w:tcPr>
          <w:p w14:paraId="7A64FC5B"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1.93x</w:t>
            </w:r>
          </w:p>
        </w:tc>
        <w:tc>
          <w:tcPr>
            <w:tcW w:w="2000" w:type="dxa"/>
          </w:tcPr>
          <w:p w14:paraId="0F323A5B"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1.62x</w:t>
            </w:r>
          </w:p>
        </w:tc>
        <w:tc>
          <w:tcPr>
            <w:tcW w:w="2026" w:type="dxa"/>
          </w:tcPr>
          <w:p w14:paraId="14F55BF3"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0.31x</w:t>
            </w:r>
          </w:p>
        </w:tc>
      </w:tr>
      <w:tr w:rsidR="00327204" w:rsidRPr="00C77381" w14:paraId="524873AD" w14:textId="77777777" w:rsidTr="00062465">
        <w:tc>
          <w:tcPr>
            <w:tcW w:w="3000" w:type="dxa"/>
          </w:tcPr>
          <w:p w14:paraId="45B247CF"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Receivables Turnover</w:t>
            </w:r>
          </w:p>
        </w:tc>
        <w:tc>
          <w:tcPr>
            <w:tcW w:w="2000" w:type="dxa"/>
          </w:tcPr>
          <w:p w14:paraId="6379AC36"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4.17x</w:t>
            </w:r>
          </w:p>
        </w:tc>
        <w:tc>
          <w:tcPr>
            <w:tcW w:w="2000" w:type="dxa"/>
          </w:tcPr>
          <w:p w14:paraId="4DD06F8E"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3.87x</w:t>
            </w:r>
          </w:p>
        </w:tc>
        <w:tc>
          <w:tcPr>
            <w:tcW w:w="2026" w:type="dxa"/>
          </w:tcPr>
          <w:p w14:paraId="50546F8E"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0.30x</w:t>
            </w:r>
          </w:p>
        </w:tc>
      </w:tr>
      <w:tr w:rsidR="00D25271" w:rsidRPr="00C77381" w14:paraId="3B072CED" w14:textId="77777777" w:rsidTr="00062465">
        <w:tc>
          <w:tcPr>
            <w:tcW w:w="3000" w:type="dxa"/>
          </w:tcPr>
          <w:p w14:paraId="408A8C90"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Return on Equity (ROE)</w:t>
            </w:r>
          </w:p>
        </w:tc>
        <w:tc>
          <w:tcPr>
            <w:tcW w:w="2000" w:type="dxa"/>
          </w:tcPr>
          <w:p w14:paraId="1E3F4C8D"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17.23%</w:t>
            </w:r>
          </w:p>
        </w:tc>
        <w:tc>
          <w:tcPr>
            <w:tcW w:w="2000" w:type="dxa"/>
          </w:tcPr>
          <w:p w14:paraId="7D6887B3"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sz w:val="18"/>
                <w:szCs w:val="18"/>
              </w:rPr>
              <w:t>21.00%</w:t>
            </w:r>
          </w:p>
        </w:tc>
        <w:tc>
          <w:tcPr>
            <w:tcW w:w="2026" w:type="dxa"/>
          </w:tcPr>
          <w:p w14:paraId="2E2ACCFF" w14:textId="77777777" w:rsidR="00D25271" w:rsidRPr="00C77381" w:rsidRDefault="00D25271" w:rsidP="00375BDA">
            <w:pPr>
              <w:jc w:val="both"/>
              <w:rPr>
                <w:rFonts w:asciiTheme="minorHAnsi" w:hAnsiTheme="minorHAnsi" w:cstheme="minorHAnsi"/>
              </w:rPr>
            </w:pPr>
            <w:r w:rsidRPr="00C77381">
              <w:rPr>
                <w:b/>
                <w:bCs/>
                <w:sz w:val="18"/>
                <w:szCs w:val="18"/>
              </w:rPr>
              <w:t>▲</w:t>
            </w:r>
            <w:r w:rsidRPr="00C77381">
              <w:rPr>
                <w:rFonts w:asciiTheme="minorHAnsi" w:hAnsiTheme="minorHAnsi" w:cstheme="minorHAnsi"/>
                <w:b/>
                <w:bCs/>
                <w:sz w:val="18"/>
                <w:szCs w:val="18"/>
              </w:rPr>
              <w:t xml:space="preserve"> 3.77pp</w:t>
            </w:r>
          </w:p>
        </w:tc>
      </w:tr>
    </w:tbl>
    <w:p w14:paraId="1D535538" w14:textId="77777777" w:rsidR="00D25271" w:rsidRPr="00C77381" w:rsidRDefault="00D25271" w:rsidP="00375BDA">
      <w:pPr>
        <w:spacing w:before="160"/>
        <w:jc w:val="both"/>
        <w:rPr>
          <w:rFonts w:asciiTheme="minorHAnsi" w:hAnsiTheme="minorHAnsi" w:cstheme="minorHAnsi"/>
        </w:rPr>
      </w:pPr>
    </w:p>
    <w:p w14:paraId="20F90602" w14:textId="77777777" w:rsidR="00D25271" w:rsidRPr="00C77381" w:rsidRDefault="00D25271" w:rsidP="00375BDA">
      <w:pPr>
        <w:pStyle w:val="Heading3"/>
        <w:jc w:val="both"/>
        <w:rPr>
          <w:rFonts w:asciiTheme="minorHAnsi" w:hAnsiTheme="minorHAnsi" w:cstheme="minorHAnsi"/>
          <w:color w:val="auto"/>
        </w:rPr>
      </w:pPr>
      <w:bookmarkStart w:id="11" w:name="_Toc227230460"/>
    </w:p>
    <w:p w14:paraId="0C684B34" w14:textId="77777777" w:rsidR="00D25271" w:rsidRPr="00C77381" w:rsidRDefault="00D25271" w:rsidP="00375BDA">
      <w:pPr>
        <w:pStyle w:val="Heading2"/>
        <w:jc w:val="both"/>
        <w:rPr>
          <w:rFonts w:asciiTheme="minorHAnsi" w:hAnsiTheme="minorHAnsi" w:cstheme="minorHAnsi"/>
          <w:color w:val="auto"/>
        </w:rPr>
      </w:pPr>
      <w:bookmarkStart w:id="12" w:name="_Toc227367709"/>
      <w:bookmarkStart w:id="13" w:name="_Toc227443257"/>
      <w:r w:rsidRPr="00C77381">
        <w:rPr>
          <w:rFonts w:asciiTheme="minorHAnsi" w:hAnsiTheme="minorHAnsi" w:cstheme="minorHAnsi"/>
          <w:color w:val="auto"/>
        </w:rPr>
        <w:t>2.1 Profitability Ratios</w:t>
      </w:r>
      <w:bookmarkEnd w:id="11"/>
      <w:bookmarkEnd w:id="12"/>
      <w:bookmarkEnd w:id="13"/>
    </w:p>
    <w:p w14:paraId="1819C084" w14:textId="77777777" w:rsidR="00D25271" w:rsidRPr="00C77381" w:rsidRDefault="00D25271" w:rsidP="00375BDA">
      <w:pPr>
        <w:jc w:val="both"/>
        <w:rPr>
          <w:rFonts w:asciiTheme="minorHAnsi" w:hAnsiTheme="minorHAnsi" w:cstheme="minorHAnsi"/>
          <w:sz w:val="24"/>
          <w:szCs w:val="24"/>
        </w:rPr>
      </w:pPr>
      <w:bookmarkStart w:id="14" w:name="_Toc227230461"/>
      <w:r w:rsidRPr="00C77381">
        <w:rPr>
          <w:rFonts w:asciiTheme="minorHAnsi" w:hAnsiTheme="minorHAnsi" w:cstheme="minorHAnsi"/>
          <w:sz w:val="24"/>
          <w:szCs w:val="24"/>
        </w:rPr>
        <w:t xml:space="preserve">Probably the most </w:t>
      </w:r>
      <w:proofErr w:type="spellStart"/>
      <w:r w:rsidRPr="00C77381">
        <w:rPr>
          <w:rFonts w:asciiTheme="minorHAnsi" w:hAnsiTheme="minorHAnsi" w:cstheme="minorHAnsi"/>
          <w:sz w:val="24"/>
          <w:szCs w:val="24"/>
        </w:rPr>
        <w:t>scrutinised</w:t>
      </w:r>
      <w:proofErr w:type="spellEnd"/>
      <w:r w:rsidRPr="00C77381">
        <w:rPr>
          <w:rFonts w:asciiTheme="minorHAnsi" w:hAnsiTheme="minorHAnsi" w:cstheme="minorHAnsi"/>
          <w:sz w:val="24"/>
          <w:szCs w:val="24"/>
        </w:rPr>
        <w:t xml:space="preserve"> measurements by investors are the profitability ratios. They determine the capacity of a company to make earnings in terms of its sales, assets and equity within a given duration. In the case of a research-intensive pharmaceutical company such as AstraZeneca keeping the profits high is not all about the returns to the shareholders. Funding of the ongoing and expensive processes of drug discovery and clinical trials are an absolute requirement (Bernauer et al., 2002).</w:t>
      </w:r>
    </w:p>
    <w:p w14:paraId="2EFB4B64" w14:textId="77777777" w:rsidR="00D25271" w:rsidRPr="00C77381" w:rsidRDefault="00D25271" w:rsidP="00375BDA">
      <w:pPr>
        <w:jc w:val="both"/>
        <w:rPr>
          <w:rFonts w:asciiTheme="minorHAnsi" w:hAnsiTheme="minorHAnsi" w:cstheme="minorHAnsi"/>
          <w:b/>
          <w:bCs/>
          <w:sz w:val="24"/>
          <w:szCs w:val="24"/>
        </w:rPr>
      </w:pPr>
    </w:p>
    <w:p w14:paraId="79880115"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Gross Profit Margin</w:t>
      </w:r>
      <w:bookmarkEnd w:id="14"/>
    </w:p>
    <w:p w14:paraId="719E86F3" w14:textId="77777777" w:rsidR="00D25271" w:rsidRPr="00C77381" w:rsidRDefault="00D25271" w:rsidP="00375BDA">
      <w:pPr>
        <w:jc w:val="both"/>
        <w:rPr>
          <w:rFonts w:asciiTheme="minorHAnsi" w:eastAsiaTheme="minorEastAsia" w:hAnsiTheme="minorHAnsi" w:cstheme="minorHAnsi"/>
          <w:sz w:val="24"/>
          <w:szCs w:val="24"/>
        </w:rPr>
      </w:pPr>
      <m:oMathPara>
        <m:oMath>
          <m:r>
            <m:rPr>
              <m:sty m:val="p"/>
            </m:rPr>
            <w:rPr>
              <w:rFonts w:ascii="Cambria Math" w:hAnsi="Cambria Math" w:cstheme="minorHAnsi"/>
              <w:sz w:val="24"/>
              <w:szCs w:val="24"/>
            </w:rPr>
            <m:t xml:space="preserve">Gross Profit Margin </m:t>
          </m:r>
          <m:r>
            <w:rPr>
              <w:rFonts w:ascii="Cambria Math" w:hAnsi="Cambria Math" w:cstheme="minorHAnsi"/>
              <w:sz w:val="24"/>
              <w:szCs w:val="24"/>
            </w:rPr>
            <m:t>=</m:t>
          </m:r>
          <m:f>
            <m:fPr>
              <m:ctrlPr>
                <w:rPr>
                  <w:rFonts w:ascii="Cambria Math" w:hAnsi="Cambria Math" w:cstheme="minorHAnsi"/>
                  <w:i/>
                  <w:sz w:val="24"/>
                  <w:szCs w:val="24"/>
                </w:rPr>
              </m:ctrlPr>
            </m:fPr>
            <m:num>
              <m:r>
                <m:rPr>
                  <m:sty m:val="p"/>
                </m:rPr>
                <w:rPr>
                  <w:rFonts w:ascii="Cambria Math" w:hAnsi="Cambria Math" w:cstheme="minorHAnsi"/>
                  <w:sz w:val="24"/>
                  <w:szCs w:val="24"/>
                </w:rPr>
                <m:t>Gross Profit</m:t>
              </m:r>
            </m:num>
            <m:den>
              <m:r>
                <m:rPr>
                  <m:sty m:val="p"/>
                </m:rPr>
                <w:rPr>
                  <w:rFonts w:ascii="Cambria Math" w:hAnsi="Cambria Math" w:cstheme="minorHAnsi"/>
                  <w:sz w:val="24"/>
                  <w:szCs w:val="24"/>
                </w:rPr>
                <m:t>Revenue</m:t>
              </m:r>
            </m:den>
          </m:f>
          <m:r>
            <w:rPr>
              <w:rFonts w:ascii="Cambria Math" w:hAnsi="Cambria Math" w:cstheme="minorHAnsi"/>
              <w:sz w:val="24"/>
              <w:szCs w:val="24"/>
            </w:rPr>
            <m:t>100</m:t>
          </m:r>
        </m:oMath>
      </m:oMathPara>
    </w:p>
    <w:p w14:paraId="69AC1016"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2024: ($43,866m / $54,073m) × 100 = 81.12%</w:t>
      </w:r>
    </w:p>
    <w:p w14:paraId="08F206EB"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2025: ($48,106m / $58,739m) × 100 = 81.90%</w:t>
      </w:r>
    </w:p>
    <w:p w14:paraId="48002090" w14:textId="77777777" w:rsidR="00D25271" w:rsidRPr="00C77381" w:rsidRDefault="00D25271" w:rsidP="00375BDA">
      <w:pPr>
        <w:jc w:val="both"/>
        <w:rPr>
          <w:rFonts w:asciiTheme="minorHAnsi" w:hAnsiTheme="minorHAnsi" w:cstheme="minorHAnsi"/>
          <w:sz w:val="24"/>
          <w:szCs w:val="24"/>
        </w:rPr>
      </w:pPr>
      <w:bookmarkStart w:id="15" w:name="_Toc227230462"/>
      <w:r w:rsidRPr="00C77381">
        <w:rPr>
          <w:rFonts w:asciiTheme="minorHAnsi" w:hAnsiTheme="minorHAnsi" w:cstheme="minorHAnsi"/>
          <w:sz w:val="24"/>
          <w:szCs w:val="24"/>
        </w:rPr>
        <w:t xml:space="preserve">This ratio displays the percentage sales revenue remaining after the firm has had to deduct the direct costs of producing goods. According to the above-calculated results, the gross profit margin of AstraZeneca increased in value but slightly positive, between 81.12 however and 81.90 in 2024 and 2025, respectively. A margin of over 80 percent is very high indeed in comparison with other conventional manufacturing industries, but again the pharmaceutical industry average. </w:t>
      </w:r>
    </w:p>
    <w:p w14:paraId="47EE212F" w14:textId="77777777" w:rsidR="00D25271" w:rsidRPr="00C77381" w:rsidRDefault="00D25271" w:rsidP="00375BDA">
      <w:pPr>
        <w:jc w:val="both"/>
        <w:rPr>
          <w:rFonts w:asciiTheme="minorHAnsi" w:hAnsiTheme="minorHAnsi" w:cstheme="minorHAnsi"/>
          <w:b/>
          <w:bCs/>
          <w:sz w:val="24"/>
          <w:szCs w:val="24"/>
        </w:rPr>
      </w:pPr>
    </w:p>
    <w:p w14:paraId="157BDEFE"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Operating Profit Margin</w:t>
      </w:r>
      <w:bookmarkEnd w:id="15"/>
    </w:p>
    <w:p w14:paraId="4C2684B9" w14:textId="77777777" w:rsidR="00D25271" w:rsidRPr="00C77381" w:rsidRDefault="00D25271" w:rsidP="00375BDA">
      <w:pPr>
        <w:jc w:val="both"/>
        <w:rPr>
          <w:rFonts w:asciiTheme="minorHAnsi" w:hAnsiTheme="minorHAnsi" w:cstheme="minorHAnsi"/>
          <w:sz w:val="24"/>
          <w:szCs w:val="24"/>
        </w:rPr>
      </w:pPr>
      <w:bookmarkStart w:id="16" w:name="_Toc227230463"/>
      <w:r w:rsidRPr="00C77381">
        <w:rPr>
          <w:rFonts w:asciiTheme="minorHAnsi" w:hAnsiTheme="minorHAnsi" w:cstheme="minorHAnsi"/>
          <w:sz w:val="24"/>
          <w:szCs w:val="24"/>
        </w:rPr>
        <w:t xml:space="preserve">Formula: </w:t>
      </w:r>
    </w:p>
    <w:p w14:paraId="7CBE8DDC" w14:textId="77777777" w:rsidR="00D25271" w:rsidRPr="00C77381" w:rsidRDefault="00D25271" w:rsidP="00375BDA">
      <w:pPr>
        <w:jc w:val="both"/>
        <w:rPr>
          <w:rFonts w:asciiTheme="minorHAnsi" w:eastAsiaTheme="minorEastAsia" w:hAnsiTheme="minorHAnsi" w:cstheme="minorHAnsi"/>
          <w:sz w:val="24"/>
          <w:szCs w:val="24"/>
        </w:rPr>
      </w:pPr>
      <m:oMathPara>
        <m:oMath>
          <m:r>
            <m:rPr>
              <m:sty m:val="p"/>
            </m:rPr>
            <w:rPr>
              <w:rFonts w:ascii="Cambria Math" w:hAnsi="Cambria Math" w:cstheme="minorHAnsi"/>
              <w:sz w:val="24"/>
              <w:szCs w:val="24"/>
            </w:rPr>
            <m:t xml:space="preserve">Operating Profit Margin </m:t>
          </m:r>
          <m:r>
            <w:rPr>
              <w:rFonts w:ascii="Cambria Math" w:hAnsi="Cambria Math" w:cstheme="minorHAnsi"/>
              <w:sz w:val="24"/>
              <w:szCs w:val="24"/>
            </w:rPr>
            <m:t>=</m:t>
          </m:r>
          <m:f>
            <m:fPr>
              <m:ctrlPr>
                <w:rPr>
                  <w:rFonts w:ascii="Cambria Math" w:hAnsi="Cambria Math" w:cstheme="minorHAnsi"/>
                  <w:i/>
                  <w:sz w:val="24"/>
                  <w:szCs w:val="24"/>
                </w:rPr>
              </m:ctrlPr>
            </m:fPr>
            <m:num>
              <m:r>
                <m:rPr>
                  <m:sty m:val="p"/>
                </m:rPr>
                <w:rPr>
                  <w:rFonts w:ascii="Cambria Math" w:hAnsi="Cambria Math" w:cstheme="minorHAnsi"/>
                  <w:sz w:val="24"/>
                  <w:szCs w:val="24"/>
                </w:rPr>
                <m:t>Operating Profit</m:t>
              </m:r>
            </m:num>
            <m:den>
              <m:r>
                <m:rPr>
                  <m:sty m:val="p"/>
                </m:rPr>
                <w:rPr>
                  <w:rFonts w:ascii="Cambria Math" w:hAnsi="Cambria Math" w:cstheme="minorHAnsi"/>
                  <w:sz w:val="24"/>
                  <w:szCs w:val="24"/>
                </w:rPr>
                <m:t>Revenue</m:t>
              </m:r>
            </m:den>
          </m:f>
          <m:r>
            <w:rPr>
              <w:rFonts w:ascii="Cambria Math" w:hAnsi="Cambria Math" w:cstheme="minorHAnsi"/>
              <w:sz w:val="24"/>
              <w:szCs w:val="24"/>
            </w:rPr>
            <m:t>100</m:t>
          </m:r>
        </m:oMath>
      </m:oMathPara>
    </w:p>
    <w:p w14:paraId="35553D43"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2024 Calculation: ($10,003m / $54,073m)  100 = 18.50%</w:t>
      </w:r>
    </w:p>
    <w:p w14:paraId="221C156C"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2025 Calculation: ($13,743m / $58,739m)  100 = 23.40%</w:t>
      </w:r>
    </w:p>
    <w:p w14:paraId="2A6EA129"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Instead of considering the direct costs, the gross profit, operating profit margin takes into consideration all operating expenses, which include the enormous research and development (R&amp;D) and administrative costs that are common in this industry. A very significant increase was observed in this case, with the margin increasing by 18.50% in 2024 to 23.40% in 2025 in the case of AstraZeneca. Such an increase in the range of almost 5 percent is a good positive sign of efficiency in operations (Díaz et al., 2020). </w:t>
      </w:r>
    </w:p>
    <w:p w14:paraId="71295BF6" w14:textId="77777777" w:rsidR="00D25271" w:rsidRPr="00C77381" w:rsidRDefault="00D25271" w:rsidP="00375BDA">
      <w:pPr>
        <w:jc w:val="both"/>
        <w:rPr>
          <w:rFonts w:asciiTheme="minorHAnsi" w:hAnsiTheme="minorHAnsi" w:cstheme="minorHAnsi"/>
          <w:sz w:val="24"/>
          <w:szCs w:val="24"/>
        </w:rPr>
      </w:pPr>
    </w:p>
    <w:p w14:paraId="5AB9E3CD"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Return on Capital Employed (ROCE)</w:t>
      </w:r>
      <w:bookmarkEnd w:id="16"/>
    </w:p>
    <w:p w14:paraId="28651DFE" w14:textId="77777777" w:rsidR="00D25271" w:rsidRPr="00C77381" w:rsidRDefault="00D25271" w:rsidP="00375BDA">
      <w:pPr>
        <w:spacing w:before="160"/>
        <w:jc w:val="both"/>
        <w:rPr>
          <w:rFonts w:asciiTheme="minorHAnsi" w:eastAsia="Courier New" w:hAnsiTheme="minorHAnsi" w:cstheme="minorHAnsi"/>
          <w:sz w:val="24"/>
          <w:szCs w:val="24"/>
        </w:rPr>
      </w:pPr>
      <w:r w:rsidRPr="00C77381">
        <w:rPr>
          <w:rFonts w:asciiTheme="minorHAnsi" w:eastAsia="Courier New" w:hAnsiTheme="minorHAnsi" w:cstheme="minorHAnsi"/>
          <w:sz w:val="24"/>
          <w:szCs w:val="24"/>
        </w:rPr>
        <w:t xml:space="preserve">Formula: </w:t>
      </w:r>
    </w:p>
    <w:p w14:paraId="4A3C700A" w14:textId="77777777" w:rsidR="00D25271" w:rsidRPr="00C77381" w:rsidRDefault="00D25271" w:rsidP="00375BDA">
      <w:pPr>
        <w:spacing w:before="160"/>
        <w:jc w:val="both"/>
        <w:rPr>
          <w:rFonts w:asciiTheme="minorHAnsi" w:eastAsia="Courier New" w:hAnsiTheme="minorHAnsi" w:cstheme="minorHAnsi"/>
          <w:sz w:val="24"/>
          <w:szCs w:val="24"/>
        </w:rPr>
      </w:pPr>
      <w:r w:rsidRPr="00C77381">
        <w:rPr>
          <w:rFonts w:asciiTheme="minorHAnsi" w:eastAsia="Courier New" w:hAnsiTheme="minorHAnsi" w:cstheme="minorHAnsi"/>
          <w:sz w:val="24"/>
          <w:szCs w:val="24"/>
        </w:rPr>
        <w:t xml:space="preserve">ROCE =(Operating Profit)/(Total Assets-Current </w:t>
      </w:r>
      <w:proofErr w:type="spellStart"/>
      <w:r w:rsidRPr="00C77381">
        <w:rPr>
          <w:rFonts w:asciiTheme="minorHAnsi" w:eastAsia="Courier New" w:hAnsiTheme="minorHAnsi" w:cstheme="minorHAnsi"/>
          <w:sz w:val="24"/>
          <w:szCs w:val="24"/>
        </w:rPr>
        <w:t>Libilities</w:t>
      </w:r>
      <w:proofErr w:type="spellEnd"/>
      <w:r w:rsidRPr="00C77381">
        <w:rPr>
          <w:rFonts w:asciiTheme="minorHAnsi" w:eastAsia="Courier New" w:hAnsiTheme="minorHAnsi" w:cstheme="minorHAnsi"/>
          <w:sz w:val="24"/>
          <w:szCs w:val="24"/>
        </w:rPr>
        <w:t>) 100</w:t>
      </w:r>
    </w:p>
    <w:p w14:paraId="0BA31683" w14:textId="77777777" w:rsidR="00D25271" w:rsidRPr="00C77381" w:rsidRDefault="00D25271" w:rsidP="00375BDA">
      <w:pPr>
        <w:spacing w:before="160"/>
        <w:jc w:val="both"/>
        <w:rPr>
          <w:rFonts w:asciiTheme="minorHAnsi" w:eastAsia="Courier New" w:hAnsiTheme="minorHAnsi" w:cstheme="minorHAnsi"/>
          <w:sz w:val="24"/>
          <w:szCs w:val="24"/>
        </w:rPr>
      </w:pPr>
      <w:r w:rsidRPr="00C77381">
        <w:rPr>
          <w:rFonts w:asciiTheme="minorHAnsi" w:eastAsia="Courier New" w:hAnsiTheme="minorHAnsi" w:cstheme="minorHAnsi"/>
          <w:sz w:val="24"/>
          <w:szCs w:val="24"/>
        </w:rPr>
        <w:t xml:space="preserve">            2024 Calculation: ($10,003m / ($104,035m - $27,866m))  100 = 13.13%</w:t>
      </w:r>
    </w:p>
    <w:p w14:paraId="0AA36221" w14:textId="77777777" w:rsidR="00D25271" w:rsidRPr="00C77381" w:rsidRDefault="00D25271" w:rsidP="00375BDA">
      <w:pPr>
        <w:spacing w:before="160"/>
        <w:jc w:val="both"/>
        <w:rPr>
          <w:rFonts w:asciiTheme="minorHAnsi" w:eastAsia="Courier New" w:hAnsiTheme="minorHAnsi" w:cstheme="minorHAnsi"/>
          <w:sz w:val="24"/>
          <w:szCs w:val="24"/>
        </w:rPr>
      </w:pPr>
      <w:r w:rsidRPr="00C77381">
        <w:rPr>
          <w:rFonts w:asciiTheme="minorHAnsi" w:eastAsia="Courier New" w:hAnsiTheme="minorHAnsi" w:cstheme="minorHAnsi"/>
          <w:sz w:val="24"/>
          <w:szCs w:val="24"/>
        </w:rPr>
        <w:tab/>
        <w:t>2025 Calculation: ($13,743m / ($114,074m - $30,617m))  100 = 16.47%</w:t>
      </w:r>
    </w:p>
    <w:p w14:paraId="38F84ADB" w14:textId="33F6D7E8" w:rsidR="00D25271" w:rsidRPr="00C77381" w:rsidRDefault="00D25271" w:rsidP="00375BDA">
      <w:pPr>
        <w:spacing w:before="160"/>
        <w:jc w:val="both"/>
        <w:rPr>
          <w:rFonts w:asciiTheme="minorHAnsi" w:hAnsiTheme="minorHAnsi" w:cstheme="minorHAnsi"/>
          <w:sz w:val="24"/>
          <w:szCs w:val="24"/>
        </w:rPr>
      </w:pPr>
      <w:r w:rsidRPr="00C77381">
        <w:rPr>
          <w:rFonts w:asciiTheme="minorHAnsi" w:eastAsia="Courier New" w:hAnsiTheme="minorHAnsi" w:cstheme="minorHAnsi"/>
          <w:sz w:val="24"/>
          <w:szCs w:val="24"/>
        </w:rPr>
        <w:t>ROCE is generally regarded as the final metric of general profitability and the efficiency of management since it compares the income statement to the statement of financial position (A</w:t>
      </w:r>
      <w:r w:rsidR="000F17A5" w:rsidRPr="00C77381">
        <w:rPr>
          <w:rFonts w:asciiTheme="minorHAnsi" w:eastAsia="Courier New" w:hAnsiTheme="minorHAnsi" w:cstheme="minorHAnsi"/>
          <w:sz w:val="24"/>
          <w:szCs w:val="24"/>
        </w:rPr>
        <w:t>p</w:t>
      </w:r>
      <w:r w:rsidRPr="00C77381">
        <w:rPr>
          <w:rFonts w:asciiTheme="minorHAnsi" w:eastAsia="Courier New" w:hAnsiTheme="minorHAnsi" w:cstheme="minorHAnsi"/>
          <w:sz w:val="24"/>
          <w:szCs w:val="24"/>
        </w:rPr>
        <w:t>rill, 2020). It demonstrates the percentage of profit generated in terms of each dollar of capital invested in the business. AstraZeneca increased its ROCE tremendously 13.13 percent to 16.47 percent. This trend of an increase shows that major strategic decisions about capital allocation by the directors are very effective (Ghanem et al.,2021).</w:t>
      </w:r>
    </w:p>
    <w:p w14:paraId="285C763F" w14:textId="77777777" w:rsidR="00D25271" w:rsidRPr="00C77381" w:rsidRDefault="00D25271" w:rsidP="00375BDA">
      <w:pPr>
        <w:pStyle w:val="Heading2"/>
        <w:jc w:val="both"/>
        <w:rPr>
          <w:rFonts w:asciiTheme="minorHAnsi" w:hAnsiTheme="minorHAnsi" w:cstheme="minorHAnsi"/>
          <w:color w:val="auto"/>
        </w:rPr>
      </w:pPr>
      <w:bookmarkStart w:id="17" w:name="_Toc227230464"/>
    </w:p>
    <w:p w14:paraId="7E311BAF" w14:textId="77777777" w:rsidR="00D25271" w:rsidRPr="00C77381" w:rsidRDefault="00D25271" w:rsidP="00375BDA">
      <w:pPr>
        <w:pStyle w:val="Heading2"/>
        <w:jc w:val="both"/>
        <w:rPr>
          <w:rFonts w:asciiTheme="minorHAnsi" w:hAnsiTheme="minorHAnsi" w:cstheme="minorHAnsi"/>
          <w:color w:val="auto"/>
        </w:rPr>
      </w:pPr>
      <w:bookmarkStart w:id="18" w:name="_Toc227367710"/>
      <w:bookmarkStart w:id="19" w:name="_Toc227443258"/>
      <w:r w:rsidRPr="00C77381">
        <w:rPr>
          <w:rFonts w:asciiTheme="minorHAnsi" w:hAnsiTheme="minorHAnsi" w:cstheme="minorHAnsi"/>
          <w:color w:val="auto"/>
        </w:rPr>
        <w:t>2.2 Liquidity Ratios</w:t>
      </w:r>
      <w:bookmarkEnd w:id="17"/>
      <w:bookmarkEnd w:id="18"/>
      <w:bookmarkEnd w:id="19"/>
    </w:p>
    <w:p w14:paraId="3D000FBF" w14:textId="77777777" w:rsidR="00D25271" w:rsidRPr="00C77381" w:rsidRDefault="00D25271" w:rsidP="00375BDA">
      <w:pPr>
        <w:jc w:val="both"/>
        <w:rPr>
          <w:rFonts w:asciiTheme="minorHAnsi" w:hAnsiTheme="minorHAnsi" w:cstheme="minorHAnsi"/>
          <w:sz w:val="24"/>
          <w:szCs w:val="24"/>
        </w:rPr>
      </w:pPr>
      <w:bookmarkStart w:id="20" w:name="_Toc227230465"/>
      <w:r w:rsidRPr="00C77381">
        <w:rPr>
          <w:rFonts w:asciiTheme="minorHAnsi" w:hAnsiTheme="minorHAnsi" w:cstheme="minorHAnsi"/>
          <w:sz w:val="24"/>
          <w:szCs w:val="24"/>
        </w:rPr>
        <w:t xml:space="preserve">The liquidity ratios are critical measures of the capacity of a business to meet its immediate financial liabilities as they become due and with the use of its assets that can be easily </w:t>
      </w:r>
      <w:proofErr w:type="spellStart"/>
      <w:r w:rsidRPr="00C77381">
        <w:rPr>
          <w:rFonts w:asciiTheme="minorHAnsi" w:hAnsiTheme="minorHAnsi" w:cstheme="minorHAnsi"/>
          <w:sz w:val="24"/>
          <w:szCs w:val="24"/>
        </w:rPr>
        <w:t>realised</w:t>
      </w:r>
      <w:proofErr w:type="spellEnd"/>
      <w:r w:rsidRPr="00C77381">
        <w:rPr>
          <w:rFonts w:asciiTheme="minorHAnsi" w:hAnsiTheme="minorHAnsi" w:cstheme="minorHAnsi"/>
          <w:sz w:val="24"/>
          <w:szCs w:val="24"/>
        </w:rPr>
        <w:t>. Although profitability is the main factor of long-term viability, acute liquidity failure, the inability to pay its near-term creditors, may trigger corporate distress even in a profitable enterprise (</w:t>
      </w:r>
      <w:proofErr w:type="spellStart"/>
      <w:r w:rsidRPr="00C77381">
        <w:rPr>
          <w:rFonts w:asciiTheme="minorHAnsi" w:hAnsiTheme="minorHAnsi" w:cstheme="minorHAnsi"/>
          <w:sz w:val="24"/>
          <w:szCs w:val="24"/>
        </w:rPr>
        <w:t>Mclaney</w:t>
      </w:r>
      <w:proofErr w:type="spellEnd"/>
      <w:r w:rsidRPr="00C77381">
        <w:rPr>
          <w:rFonts w:asciiTheme="minorHAnsi" w:hAnsiTheme="minorHAnsi" w:cstheme="minorHAnsi"/>
          <w:sz w:val="24"/>
          <w:szCs w:val="24"/>
        </w:rPr>
        <w:t>, 2017). The cash operating cycle management is thus a very important day to day task to the treasury of AstraZeneca.</w:t>
      </w:r>
    </w:p>
    <w:p w14:paraId="4668DFF0" w14:textId="77777777" w:rsidR="00D25271" w:rsidRPr="00C77381" w:rsidRDefault="00D25271" w:rsidP="00375BDA">
      <w:pPr>
        <w:jc w:val="both"/>
        <w:rPr>
          <w:rFonts w:asciiTheme="minorHAnsi" w:hAnsiTheme="minorHAnsi" w:cstheme="minorHAnsi"/>
          <w:b/>
          <w:bCs/>
          <w:sz w:val="24"/>
          <w:szCs w:val="24"/>
        </w:rPr>
      </w:pPr>
    </w:p>
    <w:p w14:paraId="4063D3F4"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Current Ratio</w:t>
      </w:r>
      <w:bookmarkEnd w:id="20"/>
    </w:p>
    <w:p w14:paraId="50C70258" w14:textId="77777777" w:rsidR="00D25271" w:rsidRPr="00C77381" w:rsidRDefault="00D25271" w:rsidP="00375BDA">
      <w:pPr>
        <w:jc w:val="both"/>
        <w:rPr>
          <w:rFonts w:asciiTheme="minorHAnsi" w:hAnsiTheme="minorHAnsi" w:cstheme="minorHAnsi"/>
          <w:sz w:val="24"/>
          <w:szCs w:val="24"/>
        </w:rPr>
      </w:pPr>
      <w:bookmarkStart w:id="21" w:name="_Toc227230466"/>
      <w:r w:rsidRPr="00C77381">
        <w:rPr>
          <w:rFonts w:asciiTheme="minorHAnsi" w:hAnsiTheme="minorHAnsi" w:cstheme="minorHAnsi"/>
          <w:sz w:val="24"/>
          <w:szCs w:val="24"/>
        </w:rPr>
        <w:t>The metrics that show a company's capacity to pay off its short-term debts with its most liquid assets are called liquidity ratios. In a situation where profitability is an assurance of long term survival, low liquidity can lead to an eventual corporate collapse, thus cash operating cycle of the business is an important daily task by the management (</w:t>
      </w:r>
      <w:proofErr w:type="spellStart"/>
      <w:r w:rsidRPr="00C77381">
        <w:rPr>
          <w:rFonts w:asciiTheme="minorHAnsi" w:hAnsiTheme="minorHAnsi" w:cstheme="minorHAnsi"/>
          <w:sz w:val="24"/>
          <w:szCs w:val="24"/>
        </w:rPr>
        <w:t>Mclaney</w:t>
      </w:r>
      <w:proofErr w:type="spellEnd"/>
      <w:r w:rsidRPr="00C77381">
        <w:rPr>
          <w:rFonts w:asciiTheme="minorHAnsi" w:hAnsiTheme="minorHAnsi" w:cstheme="minorHAnsi"/>
          <w:sz w:val="24"/>
          <w:szCs w:val="24"/>
        </w:rPr>
        <w:t>, 2017).</w:t>
      </w:r>
    </w:p>
    <w:p w14:paraId="7DB1C77A" w14:textId="77777777" w:rsidR="00D25271" w:rsidRPr="00C77381" w:rsidRDefault="00D25271" w:rsidP="00375BDA">
      <w:pPr>
        <w:jc w:val="both"/>
        <w:rPr>
          <w:rFonts w:asciiTheme="minorHAnsi" w:hAnsiTheme="minorHAnsi" w:cstheme="minorHAnsi"/>
          <w:b/>
          <w:bCs/>
          <w:sz w:val="24"/>
          <w:szCs w:val="24"/>
        </w:rPr>
      </w:pPr>
    </w:p>
    <w:p w14:paraId="283E8789"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b/>
          <w:bCs/>
          <w:sz w:val="24"/>
          <w:szCs w:val="24"/>
        </w:rPr>
        <w:t>Current Ratio:</w:t>
      </w:r>
    </w:p>
    <w:p w14:paraId="01E2621F"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 xml:space="preserve">Equation: </w:t>
      </w:r>
    </w:p>
    <w:p w14:paraId="64DB0073"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ab/>
      </w:r>
    </w:p>
    <w:p w14:paraId="40AD16AB"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 xml:space="preserve">Current Ratio = (Current Assets)/(Current Liabilities)  </w:t>
      </w:r>
    </w:p>
    <w:p w14:paraId="4B4B7543"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2024 Calculation: $25,827m / $27,866m = 0.93</w:t>
      </w:r>
    </w:p>
    <w:p w14:paraId="28DE6EB2"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2025 Calculation: $28,723m / $30,617m = 0.94</w:t>
      </w:r>
    </w:p>
    <w:p w14:paraId="784976F5" w14:textId="77777777" w:rsidR="00D25271" w:rsidRPr="00C77381" w:rsidRDefault="00D25271"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The current ratio is the ratio of the total current assets and total current liabilities. In 2024 and 2025, the current ratio of AstraZeneca did not vary significantly (0.93 and 0.94). The conservative theory of finance suggests that the safest ratio is one of 2.0 i.e. the current assets should be two times as much as the current liabilities. It is occasionally a violent and efficient working capital management strategy as compared to a liquidity crisis. They are successfully using supplier credit to finance their day to day operations (Ross, </w:t>
      </w:r>
      <w:proofErr w:type="spellStart"/>
      <w:r w:rsidRPr="00C77381">
        <w:rPr>
          <w:rFonts w:asciiTheme="minorHAnsi" w:hAnsiTheme="minorHAnsi" w:cstheme="minorHAnsi"/>
          <w:sz w:val="24"/>
          <w:szCs w:val="24"/>
        </w:rPr>
        <w:t>Westerfield</w:t>
      </w:r>
      <w:proofErr w:type="spellEnd"/>
      <w:r w:rsidRPr="00C77381">
        <w:rPr>
          <w:rFonts w:asciiTheme="minorHAnsi" w:hAnsiTheme="minorHAnsi" w:cstheme="minorHAnsi"/>
          <w:sz w:val="24"/>
          <w:szCs w:val="24"/>
        </w:rPr>
        <w:t>, Jordan, 2011).</w:t>
      </w:r>
    </w:p>
    <w:p w14:paraId="35657C1B" w14:textId="77777777" w:rsidR="00D25271" w:rsidRPr="00C77381" w:rsidRDefault="00D25271" w:rsidP="00375BDA">
      <w:pPr>
        <w:jc w:val="both"/>
        <w:rPr>
          <w:rFonts w:asciiTheme="minorHAnsi" w:hAnsiTheme="minorHAnsi" w:cstheme="minorHAnsi"/>
          <w:b/>
          <w:bCs/>
          <w:sz w:val="24"/>
          <w:szCs w:val="24"/>
        </w:rPr>
      </w:pPr>
    </w:p>
    <w:p w14:paraId="1156EF41"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Quick Ratio (Acid Test)</w:t>
      </w:r>
      <w:bookmarkEnd w:id="21"/>
    </w:p>
    <w:p w14:paraId="4F25431D"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Quick Ratio = (Current Assets)/(Current Liabilities)</w:t>
      </w:r>
    </w:p>
    <w:p w14:paraId="638C99B5"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2024 Calculation: ($25,827m - $5,288m) / $27,866m = 0.74</w:t>
      </w:r>
    </w:p>
    <w:p w14:paraId="23F19D5B"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2025 Calculation: ($28,723m - $6,557m) / $30,617m = 0.72</w:t>
      </w:r>
    </w:p>
    <w:p w14:paraId="072E756B"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The quick ratio is much more strictly defined as the test of liquidity, in that it fully omits the inventory in testing, as it is generally the hardest part of the current assets that are unusable to generate cash in a short time, unless grossly discounted. The quick ratio of AstraZeneca dropped slightly to 0.72. This implies that even in case the company would be required to pay back all the short term debts without any sales of any inventory the company would only have 72 cents of every dollar that was due (Saini and Bansal, 2020).</w:t>
      </w:r>
    </w:p>
    <w:p w14:paraId="1C5B36AE" w14:textId="77777777" w:rsidR="00D25271" w:rsidRPr="00C77381" w:rsidRDefault="00D25271" w:rsidP="00375BDA">
      <w:pPr>
        <w:pStyle w:val="Heading1"/>
        <w:jc w:val="both"/>
        <w:rPr>
          <w:rFonts w:asciiTheme="minorHAnsi" w:hAnsiTheme="minorHAnsi" w:cstheme="minorHAnsi"/>
          <w:color w:val="auto"/>
        </w:rPr>
      </w:pPr>
      <w:bookmarkStart w:id="22" w:name="_Toc227230467"/>
      <w:bookmarkStart w:id="23" w:name="_Toc227367711"/>
      <w:bookmarkStart w:id="24" w:name="_Toc227443259"/>
      <w:r w:rsidRPr="00C77381">
        <w:rPr>
          <w:rFonts w:asciiTheme="minorHAnsi" w:hAnsiTheme="minorHAnsi" w:cstheme="minorHAnsi"/>
          <w:color w:val="auto"/>
        </w:rPr>
        <w:t>2.3 Gearing Ratios</w:t>
      </w:r>
      <w:bookmarkEnd w:id="22"/>
      <w:bookmarkEnd w:id="23"/>
      <w:bookmarkEnd w:id="24"/>
    </w:p>
    <w:p w14:paraId="724D7C83"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 xml:space="preserve">Gearing or leverage ratios are used to assess how stable a company is financially in the long term through </w:t>
      </w:r>
      <w:proofErr w:type="spellStart"/>
      <w:r w:rsidRPr="00C77381">
        <w:rPr>
          <w:rFonts w:asciiTheme="minorHAnsi" w:hAnsiTheme="minorHAnsi" w:cstheme="minorHAnsi"/>
        </w:rPr>
        <w:t>analysing</w:t>
      </w:r>
      <w:proofErr w:type="spellEnd"/>
      <w:r w:rsidRPr="00C77381">
        <w:rPr>
          <w:rFonts w:asciiTheme="minorHAnsi" w:hAnsiTheme="minorHAnsi" w:cstheme="minorHAnsi"/>
        </w:rPr>
        <w:t xml:space="preserve"> its capital structure. It particularly examines the ratio of debt to equity capital as regards financing operations. High gearing exposes the business to high financial risks since the debt must be paid off with interest irrespective of the business results.</w:t>
      </w:r>
    </w:p>
    <w:p w14:paraId="21AE9C7C" w14:textId="77777777" w:rsidR="00D25271" w:rsidRPr="00C77381" w:rsidRDefault="00D25271" w:rsidP="00375BDA">
      <w:pPr>
        <w:spacing w:before="160"/>
        <w:jc w:val="both"/>
        <w:rPr>
          <w:rFonts w:asciiTheme="minorHAnsi" w:hAnsiTheme="minorHAnsi" w:cstheme="minorHAnsi"/>
          <w:b/>
          <w:bCs/>
        </w:rPr>
      </w:pPr>
      <w:r w:rsidRPr="00C77381">
        <w:rPr>
          <w:rFonts w:asciiTheme="minorHAnsi" w:hAnsiTheme="minorHAnsi" w:cstheme="minorHAnsi"/>
          <w:b/>
          <w:bCs/>
        </w:rPr>
        <w:t>Debt to Equity Ratio</w:t>
      </w:r>
    </w:p>
    <w:p w14:paraId="42B6144B"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lastRenderedPageBreak/>
        <w:t xml:space="preserve">Formula: </w:t>
      </w:r>
    </w:p>
    <w:p w14:paraId="5E355384"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Debt to Equity Ratio =(Total Debt)/(Total Equity) 100</w:t>
      </w:r>
    </w:p>
    <w:p w14:paraId="3ED1D9BA" w14:textId="77777777" w:rsidR="00D25271" w:rsidRPr="00C77381" w:rsidRDefault="00D25271" w:rsidP="00375BDA">
      <w:pPr>
        <w:spacing w:before="160"/>
        <w:jc w:val="both"/>
        <w:rPr>
          <w:rFonts w:asciiTheme="minorHAnsi" w:hAnsiTheme="minorHAnsi" w:cstheme="minorHAnsi"/>
        </w:rPr>
      </w:pPr>
    </w:p>
    <w:p w14:paraId="139A8831"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2024 Calculation: ($28,843m / $40,871m)  100 = 70.57%</w:t>
      </w:r>
    </w:p>
    <w:p w14:paraId="2A678E8D"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2025 Calculation: ($27,819m / $48,719m)  100 = 57.10%</w:t>
      </w:r>
    </w:p>
    <w:p w14:paraId="61D48D63"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This is one of the key financial leverage ratios. AstraZeneca recorded a highly positive change in this front, as the debt to equity ratio reduced significantly to 57.10% of the year 2025, compared to its 70.57% in the year 2024. There were two key factors that contributed to this massive decrease. To start with, the total debt obligations were minimally decreased by 28,843 million to 27,819 million dollars. Second, and more significantly, the total equity base increased significantly to 48,719 million, which was enhanced by the good retained earnings of the high net income of the year. The ratio is 57.10 percent which is said to be a very good balance. It also provides the management with a high borrowing power in case they require funding a large new acquisition or research and development activity in the future (Team, 2023).</w:t>
      </w:r>
    </w:p>
    <w:p w14:paraId="32410AD3" w14:textId="77777777" w:rsidR="00D25271" w:rsidRPr="00C77381" w:rsidRDefault="00D25271" w:rsidP="00375BDA">
      <w:pPr>
        <w:pStyle w:val="Heading2"/>
        <w:jc w:val="both"/>
        <w:rPr>
          <w:rFonts w:asciiTheme="minorHAnsi" w:hAnsiTheme="minorHAnsi" w:cstheme="minorHAnsi"/>
          <w:color w:val="auto"/>
        </w:rPr>
      </w:pPr>
      <w:bookmarkStart w:id="25" w:name="_Toc227230469"/>
      <w:bookmarkStart w:id="26" w:name="_Toc227367712"/>
      <w:bookmarkStart w:id="27" w:name="_Toc227443260"/>
      <w:r w:rsidRPr="00C77381">
        <w:rPr>
          <w:rFonts w:asciiTheme="minorHAnsi" w:hAnsiTheme="minorHAnsi" w:cstheme="minorHAnsi"/>
          <w:color w:val="auto"/>
        </w:rPr>
        <w:t>2.4 Efficiency Ratios</w:t>
      </w:r>
      <w:bookmarkEnd w:id="25"/>
      <w:bookmarkEnd w:id="26"/>
      <w:bookmarkEnd w:id="27"/>
    </w:p>
    <w:p w14:paraId="0448FDCC"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Activity ratios or efficiency ratios are ratios that determine the effectiveness with which a company is making use of its assets to achieve sales. These measures are a direct result of day-to-day operation management of trade credit, trade debt and stock managing.</w:t>
      </w:r>
    </w:p>
    <w:p w14:paraId="7F3D36F9" w14:textId="77777777" w:rsidR="00D25271" w:rsidRPr="00C77381" w:rsidRDefault="00D25271" w:rsidP="00375BDA">
      <w:pPr>
        <w:spacing w:before="160"/>
        <w:jc w:val="both"/>
        <w:rPr>
          <w:rFonts w:asciiTheme="minorHAnsi" w:hAnsiTheme="minorHAnsi" w:cstheme="minorHAnsi"/>
        </w:rPr>
      </w:pPr>
    </w:p>
    <w:p w14:paraId="6A72F3AD"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Inventory Turnover</w:t>
      </w:r>
    </w:p>
    <w:p w14:paraId="56FB328D"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 xml:space="preserve">Equation: </w:t>
      </w:r>
    </w:p>
    <w:p w14:paraId="7DCF2AFA"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Inventory Turnover =(Cost of Sales)/</w:t>
      </w:r>
      <w:proofErr w:type="spellStart"/>
      <w:r w:rsidRPr="00C77381">
        <w:rPr>
          <w:rFonts w:asciiTheme="minorHAnsi" w:hAnsiTheme="minorHAnsi" w:cstheme="minorHAnsi"/>
        </w:rPr>
        <w:t>Invetories</w:t>
      </w:r>
      <w:proofErr w:type="spellEnd"/>
    </w:p>
    <w:p w14:paraId="0FB0BE45" w14:textId="77777777" w:rsidR="00D25271" w:rsidRPr="00C77381" w:rsidRDefault="00D25271" w:rsidP="00375BDA">
      <w:pPr>
        <w:spacing w:before="160"/>
        <w:jc w:val="both"/>
        <w:rPr>
          <w:rFonts w:asciiTheme="minorHAnsi" w:hAnsiTheme="minorHAnsi" w:cstheme="minorHAnsi"/>
        </w:rPr>
      </w:pPr>
    </w:p>
    <w:p w14:paraId="0A8023E1"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2024 Calculation: $10,207m / $5,288m = 1.93 times</w:t>
      </w:r>
    </w:p>
    <w:p w14:paraId="70ED14CD"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2025 Calculation: $10,633m / $6,557m = 1.62 times</w:t>
      </w:r>
    </w:p>
    <w:p w14:paraId="5243E0CD"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This ratio shows the number of times the inventory of a company is sold and replaced in a year. The inventory turnover of AstraZeneca declined to 1.62 times in 2025 as compared to the 1.93 times in 2024. This reduction in turnover implies that the company is able to hold longer stocks before it sells them. In the pharmaceutical business, stockpiling can at times be an intentional measure taken to hedge against disruptions in the supply chain or in the event of a big new drug. A reduced turnover however also committed working capital in the warehouse. The management should keep a close watch on this to make sure that the slow turnover is not caused by the low demand on the old products or because of the high number of expired medicines to be sold  (</w:t>
      </w:r>
      <w:proofErr w:type="spellStart"/>
      <w:r w:rsidRPr="00C77381">
        <w:rPr>
          <w:rFonts w:asciiTheme="minorHAnsi" w:hAnsiTheme="minorHAnsi" w:cstheme="minorHAnsi"/>
        </w:rPr>
        <w:t>Atarina</w:t>
      </w:r>
      <w:proofErr w:type="spellEnd"/>
      <w:r w:rsidRPr="00C77381">
        <w:rPr>
          <w:rFonts w:asciiTheme="minorHAnsi" w:hAnsiTheme="minorHAnsi" w:cstheme="minorHAnsi"/>
        </w:rPr>
        <w:t xml:space="preserve"> and Poniman </w:t>
      </w:r>
      <w:proofErr w:type="spellStart"/>
      <w:r w:rsidRPr="00C77381">
        <w:rPr>
          <w:rFonts w:asciiTheme="minorHAnsi" w:hAnsiTheme="minorHAnsi" w:cstheme="minorHAnsi"/>
        </w:rPr>
        <w:t>Poniman</w:t>
      </w:r>
      <w:proofErr w:type="spellEnd"/>
      <w:r w:rsidRPr="00C77381">
        <w:rPr>
          <w:rFonts w:asciiTheme="minorHAnsi" w:hAnsiTheme="minorHAnsi" w:cstheme="minorHAnsi"/>
        </w:rPr>
        <w:t>, 2022).`</w:t>
      </w:r>
    </w:p>
    <w:p w14:paraId="1113FAB5" w14:textId="77777777" w:rsidR="00D25271" w:rsidRPr="00C77381" w:rsidRDefault="00D25271" w:rsidP="00375BDA">
      <w:pPr>
        <w:spacing w:before="160"/>
        <w:jc w:val="both"/>
        <w:rPr>
          <w:rFonts w:asciiTheme="minorHAnsi" w:hAnsiTheme="minorHAnsi" w:cstheme="minorHAnsi"/>
        </w:rPr>
      </w:pPr>
    </w:p>
    <w:p w14:paraId="4685AA40" w14:textId="77777777" w:rsidR="00D25271" w:rsidRPr="00C77381" w:rsidRDefault="00D25271" w:rsidP="00375BDA">
      <w:pPr>
        <w:jc w:val="both"/>
        <w:rPr>
          <w:rFonts w:asciiTheme="minorHAnsi" w:hAnsiTheme="minorHAnsi" w:cstheme="minorHAnsi"/>
          <w:b/>
          <w:bCs/>
        </w:rPr>
      </w:pPr>
      <w:r w:rsidRPr="00C77381">
        <w:rPr>
          <w:rFonts w:asciiTheme="minorHAnsi" w:hAnsiTheme="minorHAnsi" w:cstheme="minorHAnsi"/>
          <w:b/>
          <w:bCs/>
        </w:rPr>
        <w:t>Receivables Turnover</w:t>
      </w:r>
    </w:p>
    <w:p w14:paraId="10E13172"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 xml:space="preserve">Formula: </w:t>
      </w:r>
    </w:p>
    <w:p w14:paraId="2A328DE0"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Receivables Turnover =(Total Revenue)/(Trade Receivables)</w:t>
      </w:r>
    </w:p>
    <w:p w14:paraId="70798B56" w14:textId="77777777" w:rsidR="00D25271" w:rsidRPr="00C77381" w:rsidRDefault="00D25271" w:rsidP="00375BDA">
      <w:pPr>
        <w:spacing w:before="160"/>
        <w:jc w:val="both"/>
        <w:rPr>
          <w:rFonts w:asciiTheme="minorHAnsi" w:hAnsiTheme="minorHAnsi" w:cstheme="minorHAnsi"/>
        </w:rPr>
      </w:pPr>
    </w:p>
    <w:p w14:paraId="01E34E98"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2024 Calculation: $54,073m / $12,972m = 4.17 times</w:t>
      </w:r>
    </w:p>
    <w:p w14:paraId="084AC383"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tab/>
        <w:t>2025 Calculation: $58,739m / $15,177m = 3.87 times</w:t>
      </w:r>
    </w:p>
    <w:p w14:paraId="373B251A" w14:textId="77777777" w:rsidR="00D25271" w:rsidRPr="00C77381" w:rsidRDefault="00D25271" w:rsidP="00375BDA">
      <w:pPr>
        <w:spacing w:before="160"/>
        <w:jc w:val="both"/>
        <w:rPr>
          <w:rFonts w:asciiTheme="minorHAnsi" w:hAnsiTheme="minorHAnsi" w:cstheme="minorHAnsi"/>
        </w:rPr>
      </w:pPr>
      <w:r w:rsidRPr="00C77381">
        <w:rPr>
          <w:rFonts w:asciiTheme="minorHAnsi" w:hAnsiTheme="minorHAnsi" w:cstheme="minorHAnsi"/>
        </w:rPr>
        <w:lastRenderedPageBreak/>
        <w:t>This ratio shows how well a business collects the money from its credit sales. Receivables turnover dropped from 4.17 times in 2024 to 3.87 times in 2025. This shows that the time required by AstraZeneca to collect cash among its distributors and healthcare providers has increased on average. Although extending trade credit is useful in increasing sales in the competitive markets, sluggish collections has adverse effects on the cash operating cycle. Considering the tight liquidity status pointed out by the quick ratio, the management is required to take a proactive step to manage and control trade debt so that the cash flows into the business can be easily reinstated (I and S, 2025).</w:t>
      </w:r>
    </w:p>
    <w:p w14:paraId="730B1CDE" w14:textId="77777777" w:rsidR="00D25271" w:rsidRPr="00C77381" w:rsidRDefault="00D25271" w:rsidP="00375BDA">
      <w:pPr>
        <w:pStyle w:val="Heading2"/>
        <w:jc w:val="both"/>
        <w:rPr>
          <w:rFonts w:asciiTheme="minorHAnsi" w:hAnsiTheme="minorHAnsi" w:cstheme="minorHAnsi"/>
          <w:color w:val="auto"/>
        </w:rPr>
      </w:pPr>
      <w:bookmarkStart w:id="28" w:name="_Toc227230472"/>
      <w:bookmarkStart w:id="29" w:name="_Toc227367713"/>
      <w:bookmarkStart w:id="30" w:name="_Toc227443261"/>
      <w:r w:rsidRPr="00C77381">
        <w:rPr>
          <w:rFonts w:asciiTheme="minorHAnsi" w:hAnsiTheme="minorHAnsi" w:cstheme="minorHAnsi"/>
          <w:color w:val="auto"/>
        </w:rPr>
        <w:t>2.5 Investor Ratios</w:t>
      </w:r>
      <w:bookmarkEnd w:id="28"/>
      <w:bookmarkEnd w:id="29"/>
      <w:bookmarkEnd w:id="30"/>
    </w:p>
    <w:p w14:paraId="0C5F57AE"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Shareholders are very crucial because investor ratios enable them to determine the value and returns of their investments. These measures have a great impact on the share price of a firm and its capacity to attract additional equity capital.</w:t>
      </w:r>
    </w:p>
    <w:p w14:paraId="40B35865"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Return on Equity (ROE)</w:t>
      </w:r>
    </w:p>
    <w:p w14:paraId="3B52FEA5"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 xml:space="preserve">Formula: </w:t>
      </w:r>
    </w:p>
    <w:p w14:paraId="79FFE59E" w14:textId="77777777" w:rsidR="00D25271" w:rsidRPr="00C77381" w:rsidRDefault="00D25271" w:rsidP="00375BDA">
      <w:pPr>
        <w:jc w:val="both"/>
        <w:rPr>
          <w:rFonts w:asciiTheme="minorHAnsi" w:hAnsiTheme="minorHAnsi" w:cstheme="minorHAnsi"/>
        </w:rPr>
      </w:pPr>
      <m:oMathPara>
        <m:oMath>
          <m:r>
            <m:rPr>
              <m:sty m:val="p"/>
            </m:rPr>
            <w:rPr>
              <w:rFonts w:ascii="Cambria Math" w:hAnsi="Cambria Math" w:cstheme="minorHAnsi"/>
            </w:rPr>
            <m:t xml:space="preserve">Return on Equity (ROE)  </m:t>
          </m:r>
          <m:r>
            <w:rPr>
              <w:rFonts w:ascii="Cambria Math" w:hAnsi="Cambria Math" w:cstheme="minorHAnsi"/>
            </w:rPr>
            <m:t>=</m:t>
          </m:r>
          <m:f>
            <m:fPr>
              <m:ctrlPr>
                <w:rPr>
                  <w:rFonts w:ascii="Cambria Math" w:hAnsi="Cambria Math" w:cstheme="minorHAnsi"/>
                  <w:i/>
                </w:rPr>
              </m:ctrlPr>
            </m:fPr>
            <m:num>
              <m:r>
                <m:rPr>
                  <m:sty m:val="p"/>
                </m:rPr>
                <w:rPr>
                  <w:rFonts w:ascii="Cambria Math" w:hAnsi="Cambria Math" w:cstheme="minorHAnsi"/>
                </w:rPr>
                <m:t xml:space="preserve">Net Income </m:t>
              </m:r>
            </m:num>
            <m:den>
              <m:r>
                <m:rPr>
                  <m:sty m:val="p"/>
                </m:rPr>
                <w:rPr>
                  <w:rFonts w:ascii="Cambria Math" w:hAnsi="Cambria Math" w:cstheme="minorHAnsi"/>
                </w:rPr>
                <m:t>Total Equity</m:t>
              </m:r>
            </m:den>
          </m:f>
          <m:r>
            <w:rPr>
              <w:rFonts w:ascii="Cambria Math" w:hAnsi="Cambria Math" w:cstheme="minorHAnsi"/>
            </w:rPr>
            <m:t>100</m:t>
          </m:r>
        </m:oMath>
      </m:oMathPara>
    </w:p>
    <w:p w14:paraId="6918CAE4" w14:textId="77777777" w:rsidR="00D25271" w:rsidRPr="00C77381" w:rsidRDefault="00D25271" w:rsidP="00375BDA">
      <w:pPr>
        <w:jc w:val="both"/>
        <w:rPr>
          <w:rFonts w:asciiTheme="minorHAnsi" w:hAnsiTheme="minorHAnsi" w:cstheme="minorHAnsi"/>
        </w:rPr>
      </w:pPr>
    </w:p>
    <w:p w14:paraId="772C8DA0"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ab/>
        <w:t>2024 Calculation: ($7,041m / $40,871m)  100 = 17.23%</w:t>
      </w:r>
    </w:p>
    <w:p w14:paraId="03423C8C"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ab/>
        <w:t>2025 Calculation: ($10,233m / $48,719m)  100 = 21.00%</w:t>
      </w:r>
    </w:p>
    <w:p w14:paraId="1F197F6F" w14:textId="7EA3B435" w:rsidR="00D25271" w:rsidRPr="00C77381" w:rsidRDefault="00D25271" w:rsidP="00375BDA">
      <w:pPr>
        <w:jc w:val="both"/>
        <w:rPr>
          <w:rFonts w:asciiTheme="minorHAnsi" w:hAnsiTheme="minorHAnsi" w:cstheme="minorHAnsi"/>
        </w:rPr>
      </w:pPr>
      <w:r w:rsidRPr="00C77381">
        <w:rPr>
          <w:rFonts w:asciiTheme="minorHAnsi" w:hAnsiTheme="minorHAnsi" w:cstheme="minorHAnsi"/>
        </w:rPr>
        <w:t>ROE is used to quantify how effectively the firm can make profits out of the investments made by its shareholders. It is the most important ratio of an equity investor perhaps (A</w:t>
      </w:r>
      <w:r w:rsidR="000F17A5" w:rsidRPr="00C77381">
        <w:rPr>
          <w:rFonts w:asciiTheme="minorHAnsi" w:hAnsiTheme="minorHAnsi" w:cstheme="minorHAnsi"/>
        </w:rPr>
        <w:t>p</w:t>
      </w:r>
      <w:r w:rsidRPr="00C77381">
        <w:rPr>
          <w:rFonts w:asciiTheme="minorHAnsi" w:hAnsiTheme="minorHAnsi" w:cstheme="minorHAnsi"/>
        </w:rPr>
        <w:t xml:space="preserve">rill, 2020). AstraZeneca did a commendable job in this, as the ROE increased by an impressive 17.23 percent in 2024 and rising to 21.00 percent in 2025. This implies that with every dollar of equity, the company made 21 cents of pure profit. It is a confirmation that the management is not only expanding the revenue of the company, but they are doing it in a manner that generates unending physical benefits to the owners (El </w:t>
      </w:r>
      <w:proofErr w:type="spellStart"/>
      <w:r w:rsidRPr="00C77381">
        <w:rPr>
          <w:rFonts w:asciiTheme="minorHAnsi" w:hAnsiTheme="minorHAnsi" w:cstheme="minorHAnsi"/>
        </w:rPr>
        <w:t>Vionita</w:t>
      </w:r>
      <w:proofErr w:type="spellEnd"/>
      <w:r w:rsidRPr="00C77381">
        <w:rPr>
          <w:rFonts w:asciiTheme="minorHAnsi" w:hAnsiTheme="minorHAnsi" w:cstheme="minorHAnsi"/>
        </w:rPr>
        <w:t>, 2021).</w:t>
      </w:r>
    </w:p>
    <w:p w14:paraId="303A7E20" w14:textId="77777777" w:rsidR="00D25271" w:rsidRPr="00C77381" w:rsidRDefault="00D25271" w:rsidP="00375BDA">
      <w:pPr>
        <w:spacing w:before="160"/>
        <w:jc w:val="both"/>
        <w:rPr>
          <w:rFonts w:asciiTheme="minorHAnsi" w:hAnsiTheme="minorHAnsi" w:cstheme="minorHAnsi"/>
        </w:rPr>
      </w:pPr>
    </w:p>
    <w:p w14:paraId="4F054FF7" w14:textId="77777777" w:rsidR="00D25271" w:rsidRPr="00C77381" w:rsidRDefault="00D25271" w:rsidP="00375BDA">
      <w:pPr>
        <w:pStyle w:val="Heading1"/>
        <w:jc w:val="both"/>
        <w:rPr>
          <w:rFonts w:asciiTheme="minorHAnsi" w:hAnsiTheme="minorHAnsi" w:cstheme="minorHAnsi"/>
          <w:color w:val="auto"/>
        </w:rPr>
      </w:pPr>
      <w:bookmarkStart w:id="31" w:name="_Toc227230474"/>
      <w:bookmarkStart w:id="32" w:name="_Toc227367714"/>
      <w:bookmarkStart w:id="33" w:name="_Toc227443262"/>
      <w:r w:rsidRPr="00C77381">
        <w:rPr>
          <w:rFonts w:asciiTheme="minorHAnsi" w:hAnsiTheme="minorHAnsi" w:cstheme="minorHAnsi"/>
          <w:color w:val="auto"/>
        </w:rPr>
        <w:t>3. Limitations of Ratio Analysis</w:t>
      </w:r>
      <w:bookmarkEnd w:id="31"/>
      <w:bookmarkEnd w:id="32"/>
      <w:bookmarkEnd w:id="33"/>
    </w:p>
    <w:p w14:paraId="19D9955E" w14:textId="77777777" w:rsidR="00D25271" w:rsidRPr="00C77381" w:rsidRDefault="00D25271" w:rsidP="00375BDA">
      <w:pPr>
        <w:jc w:val="both"/>
        <w:rPr>
          <w:rFonts w:asciiTheme="minorHAnsi" w:hAnsiTheme="minorHAnsi" w:cstheme="minorHAnsi"/>
          <w:b/>
          <w:bCs/>
          <w:sz w:val="24"/>
          <w:szCs w:val="24"/>
        </w:rPr>
      </w:pPr>
      <w:bookmarkStart w:id="34" w:name="_Toc227230475"/>
      <w:r w:rsidRPr="00C77381">
        <w:rPr>
          <w:rFonts w:asciiTheme="minorHAnsi" w:hAnsiTheme="minorHAnsi" w:cstheme="minorHAnsi"/>
          <w:sz w:val="24"/>
          <w:szCs w:val="24"/>
        </w:rPr>
        <w:t>The first reason is ratio analysis is essentially backward looking. It is completely dependent on previous financial statements. The environment within the business, particularly pharmaceutical industry, evolves at a very fast rate because of new regulatory granting, loss of patents and new competitor breakthroughs. Having a good financial status in 2025 will not necessarily translate to the same success in 2026. Thus, forward looking market analysis has to be coupled with ratios  (Greeshma, Isha and Aithal, 2025).</w:t>
      </w:r>
    </w:p>
    <w:p w14:paraId="4B43FA6F" w14:textId="77777777" w:rsidR="00D25271" w:rsidRPr="00C77381" w:rsidRDefault="00D25271" w:rsidP="00375BDA">
      <w:pPr>
        <w:jc w:val="both"/>
        <w:rPr>
          <w:rFonts w:asciiTheme="minorHAnsi" w:hAnsiTheme="minorHAnsi" w:cstheme="minorHAnsi"/>
          <w:b/>
          <w:bCs/>
          <w:sz w:val="24"/>
          <w:szCs w:val="24"/>
        </w:rPr>
      </w:pPr>
      <w:r w:rsidRPr="00C77381">
        <w:rPr>
          <w:rFonts w:asciiTheme="minorHAnsi" w:hAnsiTheme="minorHAnsi" w:cstheme="minorHAnsi"/>
          <w:sz w:val="24"/>
          <w:szCs w:val="24"/>
        </w:rPr>
        <w:t>Moreover, the ratios are best in comparison to the same sized businesses and industry sector standards. When the numbers of AstraZeneca are evaluated in absolute isolation, they are restricted in their usefulness. The current ratio of 0.94 may appear threatening to a retail manager but may be industry best to a global biopharmaceutical company. It is not very easy to find an exactly similar company since the firms do not have the same product portfolio and accounting practices (Collier, 2022).</w:t>
      </w:r>
    </w:p>
    <w:p w14:paraId="09EB5283" w14:textId="77777777" w:rsidR="00D25271" w:rsidRPr="00C77381" w:rsidRDefault="00D25271" w:rsidP="00375BDA">
      <w:pPr>
        <w:pStyle w:val="Heading2"/>
        <w:jc w:val="both"/>
        <w:rPr>
          <w:rFonts w:asciiTheme="minorHAnsi" w:hAnsiTheme="minorHAnsi" w:cstheme="minorHAnsi"/>
          <w:color w:val="auto"/>
        </w:rPr>
      </w:pPr>
      <w:bookmarkStart w:id="35" w:name="_Toc227367715"/>
      <w:bookmarkStart w:id="36" w:name="_Toc227443263"/>
      <w:r w:rsidRPr="00C77381">
        <w:rPr>
          <w:rFonts w:asciiTheme="minorHAnsi" w:hAnsiTheme="minorHAnsi" w:cstheme="minorHAnsi"/>
          <w:color w:val="auto"/>
        </w:rPr>
        <w:t>4. Conclusion</w:t>
      </w:r>
      <w:bookmarkEnd w:id="34"/>
      <w:bookmarkEnd w:id="35"/>
      <w:bookmarkEnd w:id="36"/>
    </w:p>
    <w:p w14:paraId="00BEBE2F" w14:textId="5E3BF937" w:rsidR="00D25271" w:rsidRPr="00C77381" w:rsidRDefault="00D25271" w:rsidP="00375BDA">
      <w:pPr>
        <w:jc w:val="both"/>
        <w:rPr>
          <w:rFonts w:asciiTheme="minorHAnsi" w:hAnsiTheme="minorHAnsi" w:cstheme="minorHAnsi"/>
          <w:b/>
          <w:bCs/>
          <w:sz w:val="24"/>
          <w:szCs w:val="24"/>
        </w:rPr>
      </w:pPr>
      <w:bookmarkStart w:id="37" w:name="_Toc227230476"/>
      <w:r w:rsidRPr="00C77381">
        <w:rPr>
          <w:rFonts w:asciiTheme="minorHAnsi" w:hAnsiTheme="minorHAnsi" w:cstheme="minorHAnsi"/>
          <w:sz w:val="24"/>
          <w:szCs w:val="24"/>
        </w:rPr>
        <w:t xml:space="preserve">The financial performance of AstraZeneca was good but ambivalent in the period of 2024 to 2025. The revenues, operating profit margin, ROCE and ROE became better, and the debt-to-equity ratio decreased, which means better profitability and reduced financial risk in the long perspective (Setiawan et al., 2025). Nevertheless, current and quick ratio were not above 1 indicating tight short-term liquidity. The inventory and receivables turnover were also lower implying inefficient working capital. All in all, AstraZeneca is financially healthy, yet it still </w:t>
      </w:r>
      <w:r w:rsidRPr="00C77381">
        <w:rPr>
          <w:rFonts w:asciiTheme="minorHAnsi" w:hAnsiTheme="minorHAnsi" w:cstheme="minorHAnsi"/>
          <w:sz w:val="24"/>
          <w:szCs w:val="24"/>
        </w:rPr>
        <w:lastRenderedPageBreak/>
        <w:t>requires better liquidity and assets management to be stable in the long run (</w:t>
      </w:r>
      <w:proofErr w:type="spellStart"/>
      <w:r w:rsidRPr="00C77381">
        <w:rPr>
          <w:rFonts w:asciiTheme="minorHAnsi" w:hAnsiTheme="minorHAnsi" w:cstheme="minorHAnsi"/>
          <w:sz w:val="24"/>
          <w:szCs w:val="24"/>
        </w:rPr>
        <w:t>Maghfirah</w:t>
      </w:r>
      <w:proofErr w:type="spellEnd"/>
      <w:r w:rsidRPr="00C77381">
        <w:rPr>
          <w:rFonts w:asciiTheme="minorHAnsi" w:hAnsiTheme="minorHAnsi" w:cstheme="minorHAnsi"/>
          <w:sz w:val="24"/>
          <w:szCs w:val="24"/>
        </w:rPr>
        <w:t xml:space="preserve"> et al., 2024).</w:t>
      </w:r>
    </w:p>
    <w:p w14:paraId="3092D08A" w14:textId="77777777" w:rsidR="00D25271" w:rsidRPr="00C77381" w:rsidRDefault="00D25271" w:rsidP="00375BDA">
      <w:pPr>
        <w:pStyle w:val="Heading2"/>
        <w:jc w:val="both"/>
        <w:rPr>
          <w:rFonts w:asciiTheme="minorHAnsi" w:hAnsiTheme="minorHAnsi" w:cstheme="minorHAnsi"/>
          <w:color w:val="auto"/>
        </w:rPr>
      </w:pPr>
      <w:bookmarkStart w:id="38" w:name="_Toc227367716"/>
      <w:bookmarkStart w:id="39" w:name="_Toc227443264"/>
      <w:r w:rsidRPr="00C77381">
        <w:rPr>
          <w:rFonts w:asciiTheme="minorHAnsi" w:hAnsiTheme="minorHAnsi" w:cstheme="minorHAnsi"/>
          <w:color w:val="auto"/>
        </w:rPr>
        <w:t>5. Recommendations</w:t>
      </w:r>
      <w:bookmarkEnd w:id="37"/>
      <w:bookmarkEnd w:id="38"/>
      <w:bookmarkEnd w:id="39"/>
    </w:p>
    <w:p w14:paraId="0B571235" w14:textId="77777777" w:rsidR="00D25271" w:rsidRPr="00C77381" w:rsidRDefault="00D25271" w:rsidP="00375BDA">
      <w:pPr>
        <w:jc w:val="both"/>
        <w:rPr>
          <w:rFonts w:asciiTheme="minorHAnsi" w:hAnsiTheme="minorHAnsi" w:cstheme="minorHAnsi"/>
        </w:rPr>
      </w:pPr>
      <w:r w:rsidRPr="00C77381">
        <w:rPr>
          <w:rFonts w:asciiTheme="minorHAnsi" w:hAnsiTheme="minorHAnsi" w:cstheme="minorHAnsi"/>
        </w:rPr>
        <w:t>In a bid to continue the success with finances that it is currently experiencing and seeking solutions to the weaknesses that have been identified, the following are the strategic recommendations that the Board of Directors should consider:</w:t>
      </w:r>
    </w:p>
    <w:p w14:paraId="26623297" w14:textId="77777777" w:rsidR="00D25271" w:rsidRPr="00C77381" w:rsidRDefault="00D25271" w:rsidP="00375BDA">
      <w:pPr>
        <w:pStyle w:val="ListParagraph"/>
        <w:numPr>
          <w:ilvl w:val="0"/>
          <w:numId w:val="4"/>
        </w:numPr>
        <w:spacing w:after="160" w:line="278" w:lineRule="auto"/>
        <w:contextualSpacing/>
        <w:jc w:val="both"/>
        <w:rPr>
          <w:rFonts w:asciiTheme="minorHAnsi" w:hAnsiTheme="minorHAnsi" w:cstheme="minorHAnsi"/>
        </w:rPr>
      </w:pPr>
      <w:proofErr w:type="spellStart"/>
      <w:r w:rsidRPr="00C77381">
        <w:rPr>
          <w:rFonts w:asciiTheme="minorHAnsi" w:hAnsiTheme="minorHAnsi" w:cstheme="minorHAnsi"/>
          <w:b/>
          <w:bCs/>
        </w:rPr>
        <w:t>Optimise</w:t>
      </w:r>
      <w:proofErr w:type="spellEnd"/>
      <w:r w:rsidRPr="00C77381">
        <w:rPr>
          <w:rFonts w:asciiTheme="minorHAnsi" w:hAnsiTheme="minorHAnsi" w:cstheme="minorHAnsi"/>
          <w:b/>
          <w:bCs/>
        </w:rPr>
        <w:t xml:space="preserve"> Working Capital and Receivables Collection:</w:t>
      </w:r>
      <w:r w:rsidRPr="00C77381">
        <w:rPr>
          <w:rFonts w:asciiTheme="minorHAnsi" w:hAnsiTheme="minorHAnsi" w:cstheme="minorHAnsi"/>
        </w:rPr>
        <w:t xml:space="preserve"> Since the liquidity status indicated by the quick ratio is tight, the management should focus on the cash generation. This has been caused by the decline in receivables turnover showing that the cash is being stored with the distributors over a longer period of time (</w:t>
      </w:r>
      <w:proofErr w:type="spellStart"/>
      <w:r w:rsidRPr="00C77381">
        <w:rPr>
          <w:rFonts w:asciiTheme="minorHAnsi" w:hAnsiTheme="minorHAnsi" w:cstheme="minorHAnsi"/>
        </w:rPr>
        <w:t>Batrancea</w:t>
      </w:r>
      <w:proofErr w:type="spellEnd"/>
      <w:r w:rsidRPr="00C77381">
        <w:rPr>
          <w:rFonts w:asciiTheme="minorHAnsi" w:hAnsiTheme="minorHAnsi" w:cstheme="minorHAnsi"/>
        </w:rPr>
        <w:t>, 2021). The company needs to think of providing early payment discount to large healthcare providers to expedite cash receipts. Alternatively, more stringent credit control measures will be put in place so that credit sales can be translated in to liquid cash at a much quicker rate and this will be a safer buffer in terms of short term debt obligations (Abbas, 2025)</w:t>
      </w:r>
      <w:r w:rsidRPr="00C77381">
        <w:rPr>
          <w:rFonts w:asciiTheme="minorHAnsi" w:eastAsia="Times New Roman" w:hAnsiTheme="minorHAnsi" w:cstheme="minorHAnsi"/>
        </w:rPr>
        <w:t>.</w:t>
      </w:r>
    </w:p>
    <w:p w14:paraId="203B96F3" w14:textId="77777777" w:rsidR="00D25271" w:rsidRPr="00C77381" w:rsidRDefault="00D25271" w:rsidP="00375BDA">
      <w:pPr>
        <w:pStyle w:val="ListParagraph"/>
        <w:numPr>
          <w:ilvl w:val="0"/>
          <w:numId w:val="4"/>
        </w:numPr>
        <w:spacing w:after="160" w:line="278" w:lineRule="auto"/>
        <w:contextualSpacing/>
        <w:jc w:val="both"/>
        <w:rPr>
          <w:rFonts w:asciiTheme="minorHAnsi" w:hAnsiTheme="minorHAnsi" w:cstheme="minorHAnsi"/>
        </w:rPr>
      </w:pPr>
      <w:r w:rsidRPr="00C77381">
        <w:rPr>
          <w:rFonts w:asciiTheme="minorHAnsi" w:hAnsiTheme="minorHAnsi" w:cstheme="minorHAnsi"/>
          <w:b/>
          <w:bCs/>
        </w:rPr>
        <w:t>Enhance the Inventory:</w:t>
      </w:r>
      <w:r w:rsidRPr="00C77381">
        <w:rPr>
          <w:rFonts w:asciiTheme="minorHAnsi" w:hAnsiTheme="minorHAnsi" w:cstheme="minorHAnsi"/>
        </w:rPr>
        <w:t xml:space="preserve"> Despite the fact that the profitability of AstraZeneca has increased, the liquidity position of the company is rather tight, as the current ratio is lower than 1, and so is the quick ratio. The inventory turnover also decreased indicating that the stock turned over at a slower pace in 2025. The management should then strive to ensure that inventory planning, production scheduling and demand forecasting are enhanced in such a way that the inventory levels are efficient and do not affect supply</w:t>
      </w:r>
      <w:r w:rsidRPr="00C77381">
        <w:rPr>
          <w:rFonts w:asciiTheme="minorHAnsi" w:eastAsia="Times New Roman" w:hAnsiTheme="minorHAnsi" w:cstheme="minorHAnsi"/>
        </w:rPr>
        <w:t xml:space="preserve"> </w:t>
      </w:r>
      <w:r w:rsidRPr="00C77381">
        <w:rPr>
          <w:rFonts w:asciiTheme="minorHAnsi" w:hAnsiTheme="minorHAnsi" w:cstheme="minorHAnsi"/>
        </w:rPr>
        <w:t>(</w:t>
      </w:r>
      <w:proofErr w:type="spellStart"/>
      <w:r w:rsidRPr="00C77381">
        <w:rPr>
          <w:rFonts w:asciiTheme="minorHAnsi" w:hAnsiTheme="minorHAnsi" w:cstheme="minorHAnsi"/>
        </w:rPr>
        <w:t>Sunjoko</w:t>
      </w:r>
      <w:proofErr w:type="spellEnd"/>
      <w:r w:rsidRPr="00C77381">
        <w:rPr>
          <w:rFonts w:asciiTheme="minorHAnsi" w:hAnsiTheme="minorHAnsi" w:cstheme="minorHAnsi"/>
        </w:rPr>
        <w:t xml:space="preserve"> and Arilyn, 2016).</w:t>
      </w:r>
    </w:p>
    <w:p w14:paraId="291A9A12" w14:textId="77777777" w:rsidR="00D25271" w:rsidRPr="00C77381" w:rsidRDefault="00D25271" w:rsidP="00375BDA">
      <w:pPr>
        <w:pStyle w:val="ListParagraph"/>
        <w:numPr>
          <w:ilvl w:val="0"/>
          <w:numId w:val="4"/>
        </w:numPr>
        <w:spacing w:after="160" w:line="278" w:lineRule="auto"/>
        <w:contextualSpacing/>
        <w:jc w:val="both"/>
        <w:rPr>
          <w:rFonts w:asciiTheme="minorHAnsi" w:hAnsiTheme="minorHAnsi" w:cstheme="minorHAnsi"/>
        </w:rPr>
      </w:pPr>
      <w:r w:rsidRPr="00C77381">
        <w:rPr>
          <w:rFonts w:asciiTheme="minorHAnsi" w:hAnsiTheme="minorHAnsi" w:cstheme="minorHAnsi"/>
          <w:b/>
          <w:bCs/>
        </w:rPr>
        <w:t xml:space="preserve">Improve R&amp;D Productivity by means of high-technology: </w:t>
      </w:r>
      <w:r w:rsidRPr="00C77381">
        <w:rPr>
          <w:rFonts w:asciiTheme="minorHAnsi" w:hAnsiTheme="minorHAnsi" w:cstheme="minorHAnsi"/>
        </w:rPr>
        <w:t xml:space="preserve">the operating profit of AstraZeneca is strongly affected by its huge spending on R&amp;D. This will require the company to strategically invest part of its capital in the integration of artificial intelligence and bioinformatics to its fundamental drug discovery processes to sustain and even increase the operating profit margin. Application of </w:t>
      </w:r>
      <w:proofErr w:type="spellStart"/>
      <w:r w:rsidRPr="00C77381">
        <w:rPr>
          <w:rFonts w:asciiTheme="minorHAnsi" w:hAnsiTheme="minorHAnsi" w:cstheme="minorHAnsi"/>
        </w:rPr>
        <w:t>computerised</w:t>
      </w:r>
      <w:proofErr w:type="spellEnd"/>
      <w:r w:rsidRPr="00C77381">
        <w:rPr>
          <w:rFonts w:asciiTheme="minorHAnsi" w:hAnsiTheme="minorHAnsi" w:cstheme="minorHAnsi"/>
        </w:rPr>
        <w:t xml:space="preserve"> models of sequence and image based representations in genomic studies, can save a lot of time and money that is used in the initial clinical trials</w:t>
      </w:r>
      <w:r w:rsidRPr="00C77381">
        <w:rPr>
          <w:rFonts w:asciiTheme="minorHAnsi" w:eastAsia="Times New Roman" w:hAnsiTheme="minorHAnsi" w:cstheme="minorHAnsi"/>
        </w:rPr>
        <w:t xml:space="preserve"> </w:t>
      </w:r>
      <w:r w:rsidRPr="00C77381">
        <w:rPr>
          <w:rFonts w:asciiTheme="minorHAnsi" w:hAnsiTheme="minorHAnsi" w:cstheme="minorHAnsi"/>
        </w:rPr>
        <w:t xml:space="preserve">(Agrawal, 2018). </w:t>
      </w:r>
    </w:p>
    <w:p w14:paraId="7C955FB1" w14:textId="77777777" w:rsidR="00D25271" w:rsidRPr="00C77381" w:rsidRDefault="00D25271" w:rsidP="00375BDA">
      <w:pPr>
        <w:jc w:val="both"/>
        <w:rPr>
          <w:rFonts w:asciiTheme="minorHAnsi" w:hAnsiTheme="minorHAnsi" w:cstheme="minorHAnsi"/>
        </w:rPr>
      </w:pPr>
    </w:p>
    <w:p w14:paraId="098505DF" w14:textId="77777777" w:rsidR="00D25271" w:rsidRPr="00C77381" w:rsidRDefault="00D25271" w:rsidP="00375BDA">
      <w:pPr>
        <w:jc w:val="both"/>
        <w:rPr>
          <w:rFonts w:asciiTheme="minorHAnsi" w:hAnsiTheme="minorHAnsi" w:cstheme="minorHAnsi"/>
        </w:rPr>
      </w:pPr>
    </w:p>
    <w:p w14:paraId="7266DB43" w14:textId="77777777" w:rsidR="00D25271" w:rsidRPr="00C77381" w:rsidRDefault="00D25271" w:rsidP="00375BDA">
      <w:pPr>
        <w:jc w:val="both"/>
        <w:rPr>
          <w:rFonts w:asciiTheme="minorHAnsi" w:hAnsiTheme="minorHAnsi" w:cstheme="minorHAnsi"/>
        </w:rPr>
      </w:pPr>
    </w:p>
    <w:p w14:paraId="4B814FD3" w14:textId="77777777" w:rsidR="00E97EC7" w:rsidRPr="00C77381" w:rsidRDefault="00800625" w:rsidP="00375BDA">
      <w:pPr>
        <w:pStyle w:val="Heading1"/>
        <w:rPr>
          <w:rFonts w:asciiTheme="minorHAnsi" w:hAnsiTheme="minorHAnsi" w:cstheme="minorHAnsi"/>
          <w:color w:val="auto"/>
        </w:rPr>
      </w:pPr>
      <w:bookmarkStart w:id="40" w:name="_Toc227422445"/>
      <w:bookmarkStart w:id="41" w:name="_Toc227443265"/>
      <w:r w:rsidRPr="00C77381">
        <w:rPr>
          <w:rFonts w:asciiTheme="minorHAnsi" w:hAnsiTheme="minorHAnsi" w:cstheme="minorHAnsi"/>
          <w:color w:val="auto"/>
        </w:rPr>
        <w:t>Part 2: Capital Investment Appraisal — Westward Plc</w:t>
      </w:r>
      <w:bookmarkEnd w:id="40"/>
      <w:bookmarkEnd w:id="41"/>
    </w:p>
    <w:p w14:paraId="3AE03F93" w14:textId="77777777" w:rsidR="00E97EC7" w:rsidRPr="00C77381" w:rsidRDefault="00800625" w:rsidP="00375BDA">
      <w:pPr>
        <w:pStyle w:val="Heading1"/>
        <w:rPr>
          <w:rFonts w:asciiTheme="minorHAnsi" w:hAnsiTheme="minorHAnsi" w:cstheme="minorHAnsi"/>
          <w:color w:val="auto"/>
        </w:rPr>
      </w:pPr>
      <w:bookmarkStart w:id="42" w:name="_Toc227422446"/>
      <w:bookmarkStart w:id="43" w:name="_Toc227443266"/>
      <w:r w:rsidRPr="00C77381">
        <w:rPr>
          <w:rFonts w:asciiTheme="minorHAnsi" w:hAnsiTheme="minorHAnsi" w:cstheme="minorHAnsi"/>
          <w:color w:val="auto"/>
        </w:rPr>
        <w:t>Section A:  Background and Assumptions</w:t>
      </w:r>
      <w:bookmarkEnd w:id="42"/>
      <w:bookmarkEnd w:id="43"/>
    </w:p>
    <w:p w14:paraId="2CBD4621" w14:textId="77777777" w:rsidR="00D61585" w:rsidRPr="00C77381" w:rsidRDefault="00D61585" w:rsidP="00375BDA">
      <w:pPr>
        <w:jc w:val="both"/>
        <w:rPr>
          <w:rFonts w:asciiTheme="minorHAnsi" w:hAnsiTheme="minorHAnsi" w:cstheme="minorHAnsi"/>
          <w:sz w:val="24"/>
          <w:szCs w:val="24"/>
        </w:rPr>
      </w:pPr>
      <w:bookmarkStart w:id="44" w:name="_Toc227422447"/>
      <w:r w:rsidRPr="00C77381">
        <w:rPr>
          <w:rFonts w:asciiTheme="minorHAnsi" w:hAnsiTheme="minorHAnsi" w:cstheme="minorHAnsi"/>
          <w:sz w:val="24"/>
          <w:szCs w:val="24"/>
        </w:rPr>
        <w:t>Westward Plc is a well-established manufacturer of quality curtains and window furnishings based in United Kingdom. The Board of Directors of the company has estimated three candidate investment options upon which the business can be strategically developed over a four year planning horizon. These alternatives are mutually exclusive in the normal analysis but are divisible in Section E because of the capital rationing situation.</w:t>
      </w:r>
    </w:p>
    <w:p w14:paraId="74381DA7" w14:textId="77777777" w:rsidR="00D61585" w:rsidRPr="00C77381" w:rsidRDefault="00D61585" w:rsidP="00375BDA">
      <w:pPr>
        <w:jc w:val="both"/>
        <w:rPr>
          <w:rFonts w:asciiTheme="minorHAnsi" w:hAnsiTheme="minorHAnsi" w:cstheme="minorHAnsi"/>
          <w:sz w:val="24"/>
          <w:szCs w:val="24"/>
        </w:rPr>
      </w:pPr>
      <w:r w:rsidRPr="00C77381">
        <w:rPr>
          <w:rFonts w:asciiTheme="minorHAnsi" w:hAnsiTheme="minorHAnsi" w:cstheme="minorHAnsi"/>
          <w:sz w:val="24"/>
          <w:szCs w:val="24"/>
        </w:rPr>
        <w:t>These three alternatives including their initial capital needs are as follows:</w:t>
      </w:r>
    </w:p>
    <w:p w14:paraId="27D67C51" w14:textId="00AF960A" w:rsidR="00D61585" w:rsidRPr="00C77381" w:rsidRDefault="00D61585" w:rsidP="00375BDA">
      <w:pPr>
        <w:pStyle w:val="ListParagraph"/>
        <w:numPr>
          <w:ilvl w:val="0"/>
          <w:numId w:val="5"/>
        </w:numPr>
        <w:jc w:val="both"/>
        <w:rPr>
          <w:rFonts w:asciiTheme="minorHAnsi" w:hAnsiTheme="minorHAnsi" w:cstheme="minorHAnsi"/>
          <w:sz w:val="24"/>
          <w:szCs w:val="24"/>
        </w:rPr>
      </w:pPr>
      <w:r w:rsidRPr="00C77381">
        <w:rPr>
          <w:rFonts w:asciiTheme="minorHAnsi" w:hAnsiTheme="minorHAnsi" w:cstheme="minorHAnsi"/>
          <w:sz w:val="24"/>
          <w:szCs w:val="24"/>
        </w:rPr>
        <w:t>Option A - Growth of the current retail store to accommodate all the products.  Initial outlay: £600,000</w:t>
      </w:r>
    </w:p>
    <w:p w14:paraId="6A6BF196" w14:textId="1D33F292" w:rsidR="00D61585" w:rsidRPr="00C77381" w:rsidRDefault="00D61585" w:rsidP="00375BDA">
      <w:pPr>
        <w:pStyle w:val="ListParagraph"/>
        <w:numPr>
          <w:ilvl w:val="0"/>
          <w:numId w:val="5"/>
        </w:numPr>
        <w:jc w:val="both"/>
        <w:rPr>
          <w:rFonts w:asciiTheme="minorHAnsi" w:hAnsiTheme="minorHAnsi" w:cstheme="minorHAnsi"/>
          <w:sz w:val="24"/>
          <w:szCs w:val="24"/>
        </w:rPr>
      </w:pPr>
      <w:r w:rsidRPr="00C77381">
        <w:rPr>
          <w:rFonts w:asciiTheme="minorHAnsi" w:hAnsiTheme="minorHAnsi" w:cstheme="minorHAnsi"/>
          <w:sz w:val="24"/>
          <w:szCs w:val="24"/>
        </w:rPr>
        <w:t>Alternative B - Direct-to-consumer sales channel is developed as an internet-based channel.  Initial outlay: £1,000,000</w:t>
      </w:r>
    </w:p>
    <w:p w14:paraId="4A1FF03E" w14:textId="6EA83949" w:rsidR="00D61585" w:rsidRPr="00C77381" w:rsidRDefault="00D61585" w:rsidP="00375BDA">
      <w:pPr>
        <w:pStyle w:val="ListParagraph"/>
        <w:numPr>
          <w:ilvl w:val="0"/>
          <w:numId w:val="5"/>
        </w:numPr>
        <w:jc w:val="both"/>
        <w:rPr>
          <w:rFonts w:asciiTheme="minorHAnsi" w:hAnsiTheme="minorHAnsi" w:cstheme="minorHAnsi"/>
          <w:sz w:val="24"/>
          <w:szCs w:val="24"/>
        </w:rPr>
      </w:pPr>
      <w:r w:rsidRPr="00C77381">
        <w:rPr>
          <w:rFonts w:asciiTheme="minorHAnsi" w:hAnsiTheme="minorHAnsi" w:cstheme="minorHAnsi"/>
          <w:sz w:val="24"/>
          <w:szCs w:val="24"/>
        </w:rPr>
        <w:lastRenderedPageBreak/>
        <w:t>Alternative C - Diversify to manufacture wooden blinds and Roman blinds.  Initial outlay: £1,600,000</w:t>
      </w:r>
    </w:p>
    <w:p w14:paraId="465051D1" w14:textId="77777777" w:rsidR="00D61585" w:rsidRPr="00C77381" w:rsidRDefault="00D61585" w:rsidP="00375BDA">
      <w:pPr>
        <w:jc w:val="both"/>
        <w:rPr>
          <w:rFonts w:asciiTheme="minorHAnsi" w:hAnsiTheme="minorHAnsi" w:cstheme="minorHAnsi"/>
          <w:sz w:val="24"/>
          <w:szCs w:val="24"/>
        </w:rPr>
      </w:pPr>
    </w:p>
    <w:p w14:paraId="78D9DEF1" w14:textId="77777777" w:rsidR="00D61585" w:rsidRPr="00C77381" w:rsidRDefault="00D61585" w:rsidP="00375BDA">
      <w:pPr>
        <w:jc w:val="both"/>
        <w:rPr>
          <w:rFonts w:asciiTheme="minorHAnsi" w:hAnsiTheme="minorHAnsi" w:cstheme="minorHAnsi"/>
          <w:b/>
          <w:bCs/>
          <w:sz w:val="24"/>
          <w:szCs w:val="24"/>
        </w:rPr>
      </w:pPr>
      <w:r w:rsidRPr="00C77381">
        <w:rPr>
          <w:rFonts w:asciiTheme="minorHAnsi" w:hAnsiTheme="minorHAnsi" w:cstheme="minorHAnsi"/>
          <w:sz w:val="24"/>
          <w:szCs w:val="24"/>
        </w:rPr>
        <w:t>The assumptions that are to be made in this appraisal are as follows: the corporation tax is 25% taxable profit; capital allowances are granted on a straight-line basis at 20% of the initial capital outlay per annum, and produce annual allowances of £120,000 (Option A), £200,000 (Option B) and 320,000 (Option C Complete pre-tax and after-tax calculations are in Appendix C.</w:t>
      </w:r>
    </w:p>
    <w:p w14:paraId="7BC7007B" w14:textId="425603BA" w:rsidR="00E97EC7" w:rsidRPr="00C77381" w:rsidRDefault="00800625" w:rsidP="00375BDA">
      <w:pPr>
        <w:pStyle w:val="Heading1"/>
        <w:rPr>
          <w:rFonts w:asciiTheme="minorHAnsi" w:hAnsiTheme="minorHAnsi" w:cstheme="minorHAnsi"/>
          <w:color w:val="auto"/>
        </w:rPr>
      </w:pPr>
      <w:bookmarkStart w:id="45" w:name="_Toc227443267"/>
      <w:r w:rsidRPr="00C77381">
        <w:rPr>
          <w:rFonts w:asciiTheme="minorHAnsi" w:hAnsiTheme="minorHAnsi" w:cstheme="minorHAnsi"/>
          <w:color w:val="auto"/>
        </w:rPr>
        <w:t>Section B:  Net Present Value Analysis</w:t>
      </w:r>
      <w:bookmarkEnd w:id="44"/>
      <w:bookmarkEnd w:id="45"/>
    </w:p>
    <w:p w14:paraId="1C6A709D" w14:textId="77777777" w:rsidR="00E97EC7" w:rsidRPr="00C77381" w:rsidRDefault="00800625" w:rsidP="00375BDA">
      <w:pPr>
        <w:pStyle w:val="Heading2"/>
        <w:rPr>
          <w:rFonts w:asciiTheme="minorHAnsi" w:hAnsiTheme="minorHAnsi" w:cstheme="minorHAnsi"/>
          <w:color w:val="auto"/>
        </w:rPr>
      </w:pPr>
      <w:bookmarkStart w:id="46" w:name="_Toc227422448"/>
      <w:bookmarkStart w:id="47" w:name="_Toc227443268"/>
      <w:r w:rsidRPr="00C77381">
        <w:rPr>
          <w:rFonts w:asciiTheme="minorHAnsi" w:hAnsiTheme="minorHAnsi" w:cstheme="minorHAnsi"/>
          <w:color w:val="auto"/>
        </w:rPr>
        <w:t>B.1  Conceptual Framework</w:t>
      </w:r>
      <w:bookmarkEnd w:id="46"/>
      <w:bookmarkEnd w:id="47"/>
    </w:p>
    <w:p w14:paraId="4E0221D8" w14:textId="304F2073" w:rsidR="00D61585" w:rsidRPr="00C77381" w:rsidRDefault="00D61585" w:rsidP="00375BDA">
      <w:pPr>
        <w:jc w:val="both"/>
        <w:rPr>
          <w:rFonts w:asciiTheme="minorHAnsi" w:hAnsiTheme="minorHAnsi" w:cstheme="minorHAnsi"/>
          <w:sz w:val="24"/>
          <w:szCs w:val="24"/>
        </w:rPr>
      </w:pPr>
      <w:r w:rsidRPr="00C77381">
        <w:rPr>
          <w:rFonts w:asciiTheme="minorHAnsi" w:hAnsiTheme="minorHAnsi" w:cstheme="minorHAnsi"/>
          <w:sz w:val="24"/>
          <w:szCs w:val="24"/>
        </w:rPr>
        <w:t>The theoretically best method of capital investment appraisal is Net Present Value, which is the most academically desirable. The technique discounts explicitly all of the estimates of after-tax cash flows to its current value at the cost of capital of the firm and subtracts the initial investment. A positive NPV is an indicator that the project will create a wealth greater than the minimum required to satisfy the investors; when comparing projects, the option with the highest positive NPV creates the largest increase in shareholder wealth and is thus the one to choose (A</w:t>
      </w:r>
      <w:r w:rsidR="002A2D46">
        <w:rPr>
          <w:rFonts w:asciiTheme="minorHAnsi" w:hAnsiTheme="minorHAnsi" w:cstheme="minorHAnsi"/>
          <w:sz w:val="24"/>
          <w:szCs w:val="24"/>
        </w:rPr>
        <w:t>p</w:t>
      </w:r>
      <w:r w:rsidRPr="00C77381">
        <w:rPr>
          <w:rFonts w:asciiTheme="minorHAnsi" w:hAnsiTheme="minorHAnsi" w:cstheme="minorHAnsi"/>
          <w:sz w:val="24"/>
          <w:szCs w:val="24"/>
        </w:rPr>
        <w:t xml:space="preserve">rill, 2020; </w:t>
      </w:r>
      <w:proofErr w:type="spellStart"/>
      <w:r w:rsidRPr="00C77381">
        <w:rPr>
          <w:rFonts w:asciiTheme="minorHAnsi" w:hAnsiTheme="minorHAnsi" w:cstheme="minorHAnsi"/>
          <w:sz w:val="24"/>
          <w:szCs w:val="24"/>
        </w:rPr>
        <w:t>Mclaney</w:t>
      </w:r>
      <w:proofErr w:type="spellEnd"/>
      <w:r w:rsidRPr="00C77381">
        <w:rPr>
          <w:rFonts w:asciiTheme="minorHAnsi" w:hAnsiTheme="minorHAnsi" w:cstheme="minorHAnsi"/>
          <w:sz w:val="24"/>
          <w:szCs w:val="24"/>
        </w:rPr>
        <w:t>, 2017).</w:t>
      </w:r>
    </w:p>
    <w:p w14:paraId="3C63C67B" w14:textId="42D943FE" w:rsidR="00E97EC7" w:rsidRPr="00C77381" w:rsidRDefault="00D61585" w:rsidP="00375BDA">
      <w:pPr>
        <w:jc w:val="both"/>
        <w:rPr>
          <w:rFonts w:asciiTheme="minorHAnsi" w:hAnsiTheme="minorHAnsi" w:cstheme="minorHAnsi"/>
          <w:sz w:val="24"/>
          <w:szCs w:val="24"/>
        </w:rPr>
      </w:pPr>
      <w:r w:rsidRPr="00C77381">
        <w:rPr>
          <w:rFonts w:asciiTheme="minorHAnsi" w:hAnsiTheme="minorHAnsi" w:cstheme="minorHAnsi"/>
          <w:sz w:val="24"/>
          <w:szCs w:val="24"/>
        </w:rPr>
        <w:t>Taxation adjustments on the pre-tax cash flows are made as follows: the taxable profit is calculated as the pre-tax cash flow minus the annual capital allowance; corporation tax of 25% is then paid on the taxable profit; and the resulting tax charge is subtracted off the pre-tax cash flow to obtain the after-tax cash flow on which to discount. The 6% discount factors are: Year 1 = 0.9434; Year 2 = 0.8900; Year 3 = 0.8396; Year 4 = 0.7921.</w:t>
      </w:r>
    </w:p>
    <w:p w14:paraId="5AC224EA" w14:textId="0D28E795" w:rsidR="00E97EC7" w:rsidRPr="00C77381" w:rsidRDefault="00800625" w:rsidP="00375BDA">
      <w:pPr>
        <w:pStyle w:val="Heading2"/>
        <w:rPr>
          <w:rFonts w:asciiTheme="minorHAnsi" w:hAnsiTheme="minorHAnsi" w:cstheme="minorHAnsi"/>
          <w:color w:val="auto"/>
        </w:rPr>
      </w:pPr>
      <w:bookmarkStart w:id="48" w:name="_Toc227422449"/>
      <w:bookmarkStart w:id="49" w:name="_Toc227443269"/>
      <w:r w:rsidRPr="00C77381">
        <w:rPr>
          <w:rFonts w:asciiTheme="minorHAnsi" w:hAnsiTheme="minorHAnsi" w:cstheme="minorHAnsi"/>
          <w:color w:val="auto"/>
        </w:rPr>
        <w:t xml:space="preserve">B.2  NPV Calculation </w:t>
      </w:r>
      <w:r w:rsidR="00132E45" w:rsidRPr="00C77381">
        <w:rPr>
          <w:rFonts w:asciiTheme="minorHAnsi" w:hAnsiTheme="minorHAnsi" w:cstheme="minorHAnsi"/>
          <w:color w:val="auto"/>
        </w:rPr>
        <w:t>-</w:t>
      </w:r>
      <w:r w:rsidRPr="00C77381">
        <w:rPr>
          <w:rFonts w:asciiTheme="minorHAnsi" w:hAnsiTheme="minorHAnsi" w:cstheme="minorHAnsi"/>
          <w:color w:val="auto"/>
        </w:rPr>
        <w:t xml:space="preserve"> All Three Options</w:t>
      </w:r>
      <w:bookmarkEnd w:id="48"/>
      <w:bookmarkEnd w:id="49"/>
    </w:p>
    <w:p w14:paraId="650F02BE" w14:textId="77777777" w:rsidR="00E97EC7" w:rsidRPr="00C77381" w:rsidRDefault="00E97EC7" w:rsidP="00375BDA">
      <w:pPr>
        <w:spacing w:before="60"/>
        <w:jc w:val="both"/>
        <w:rPr>
          <w:rFonts w:asciiTheme="minorHAnsi" w:hAnsiTheme="minorHAnsi" w:cstheme="minorHAnsi"/>
        </w:rPr>
      </w:pPr>
    </w:p>
    <w:tbl>
      <w:tblPr>
        <w:tblStyle w:val="TableGrid"/>
        <w:tblW w:w="9026" w:type="dxa"/>
        <w:tblLook w:val="04A0" w:firstRow="1" w:lastRow="0" w:firstColumn="1" w:lastColumn="0" w:noHBand="0" w:noVBand="1"/>
      </w:tblPr>
      <w:tblGrid>
        <w:gridCol w:w="2900"/>
        <w:gridCol w:w="2042"/>
        <w:gridCol w:w="2042"/>
        <w:gridCol w:w="2042"/>
      </w:tblGrid>
      <w:tr w:rsidR="00327204" w:rsidRPr="00C77381" w14:paraId="74A8D71B" w14:textId="77777777" w:rsidTr="00ED7AA5">
        <w:tc>
          <w:tcPr>
            <w:tcW w:w="2900" w:type="dxa"/>
          </w:tcPr>
          <w:p w14:paraId="0BE915C8" w14:textId="77777777" w:rsidR="00E97EC7" w:rsidRPr="00C77381" w:rsidRDefault="00800625" w:rsidP="00ED7AA5">
            <w:pPr>
              <w:rPr>
                <w:rFonts w:asciiTheme="minorHAnsi" w:hAnsiTheme="minorHAnsi" w:cstheme="minorHAnsi"/>
                <w:b/>
                <w:bCs/>
              </w:rPr>
            </w:pPr>
            <w:r w:rsidRPr="00C77381">
              <w:rPr>
                <w:rFonts w:asciiTheme="minorHAnsi" w:hAnsiTheme="minorHAnsi" w:cstheme="minorHAnsi"/>
                <w:b/>
                <w:bCs/>
              </w:rPr>
              <w:t>Item</w:t>
            </w:r>
          </w:p>
        </w:tc>
        <w:tc>
          <w:tcPr>
            <w:tcW w:w="2042" w:type="dxa"/>
          </w:tcPr>
          <w:p w14:paraId="07F55C92" w14:textId="77777777" w:rsidR="00E97EC7" w:rsidRPr="00C77381" w:rsidRDefault="00800625" w:rsidP="00ED7AA5">
            <w:pPr>
              <w:rPr>
                <w:rFonts w:asciiTheme="minorHAnsi" w:hAnsiTheme="minorHAnsi" w:cstheme="minorHAnsi"/>
                <w:b/>
                <w:bCs/>
              </w:rPr>
            </w:pPr>
            <w:r w:rsidRPr="00C77381">
              <w:rPr>
                <w:rFonts w:asciiTheme="minorHAnsi" w:hAnsiTheme="minorHAnsi" w:cstheme="minorHAnsi"/>
                <w:b/>
                <w:bCs/>
              </w:rPr>
              <w:t>Option A — Retail (£600k)</w:t>
            </w:r>
          </w:p>
        </w:tc>
        <w:tc>
          <w:tcPr>
            <w:tcW w:w="2042" w:type="dxa"/>
          </w:tcPr>
          <w:p w14:paraId="6AED0861" w14:textId="77777777" w:rsidR="00E97EC7" w:rsidRPr="00C77381" w:rsidRDefault="00800625" w:rsidP="00ED7AA5">
            <w:pPr>
              <w:rPr>
                <w:rFonts w:asciiTheme="minorHAnsi" w:hAnsiTheme="minorHAnsi" w:cstheme="minorHAnsi"/>
                <w:b/>
                <w:bCs/>
              </w:rPr>
            </w:pPr>
            <w:r w:rsidRPr="00C77381">
              <w:rPr>
                <w:rFonts w:asciiTheme="minorHAnsi" w:hAnsiTheme="minorHAnsi" w:cstheme="minorHAnsi"/>
                <w:b/>
                <w:bCs/>
              </w:rPr>
              <w:t>Option B — Internet (£1,000k)</w:t>
            </w:r>
          </w:p>
        </w:tc>
        <w:tc>
          <w:tcPr>
            <w:tcW w:w="2042" w:type="dxa"/>
          </w:tcPr>
          <w:p w14:paraId="22676C0C" w14:textId="77777777" w:rsidR="00E97EC7" w:rsidRPr="00C77381" w:rsidRDefault="00800625" w:rsidP="00ED7AA5">
            <w:pPr>
              <w:rPr>
                <w:rFonts w:asciiTheme="minorHAnsi" w:hAnsiTheme="minorHAnsi" w:cstheme="minorHAnsi"/>
                <w:b/>
                <w:bCs/>
              </w:rPr>
            </w:pPr>
            <w:r w:rsidRPr="00C77381">
              <w:rPr>
                <w:rFonts w:asciiTheme="minorHAnsi" w:hAnsiTheme="minorHAnsi" w:cstheme="minorHAnsi"/>
                <w:b/>
                <w:bCs/>
              </w:rPr>
              <w:t>Option C — Blinds (£1,600k)</w:t>
            </w:r>
          </w:p>
        </w:tc>
      </w:tr>
      <w:tr w:rsidR="00327204" w:rsidRPr="00C77381" w14:paraId="40F6C48C" w14:textId="77777777" w:rsidTr="00ED7AA5">
        <w:tc>
          <w:tcPr>
            <w:tcW w:w="2900" w:type="dxa"/>
          </w:tcPr>
          <w:p w14:paraId="0C51235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Initial Outlay (£000)</w:t>
            </w:r>
          </w:p>
        </w:tc>
        <w:tc>
          <w:tcPr>
            <w:tcW w:w="2042" w:type="dxa"/>
          </w:tcPr>
          <w:p w14:paraId="1FC59640"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-600</w:t>
            </w:r>
          </w:p>
        </w:tc>
        <w:tc>
          <w:tcPr>
            <w:tcW w:w="2042" w:type="dxa"/>
          </w:tcPr>
          <w:p w14:paraId="7A21E05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-1,000</w:t>
            </w:r>
          </w:p>
        </w:tc>
        <w:tc>
          <w:tcPr>
            <w:tcW w:w="2042" w:type="dxa"/>
          </w:tcPr>
          <w:p w14:paraId="00A7D08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-1,600</w:t>
            </w:r>
          </w:p>
        </w:tc>
      </w:tr>
      <w:tr w:rsidR="00327204" w:rsidRPr="00C77381" w14:paraId="0FF30360" w14:textId="77777777" w:rsidTr="00ED7AA5">
        <w:tc>
          <w:tcPr>
            <w:tcW w:w="2900" w:type="dxa"/>
          </w:tcPr>
          <w:p w14:paraId="55DF06F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Capital Allowance p.a. (£000)</w:t>
            </w:r>
          </w:p>
        </w:tc>
        <w:tc>
          <w:tcPr>
            <w:tcW w:w="2042" w:type="dxa"/>
          </w:tcPr>
          <w:p w14:paraId="681B7B2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120</w:t>
            </w:r>
          </w:p>
        </w:tc>
        <w:tc>
          <w:tcPr>
            <w:tcW w:w="2042" w:type="dxa"/>
          </w:tcPr>
          <w:p w14:paraId="014FD126"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200</w:t>
            </w:r>
          </w:p>
        </w:tc>
        <w:tc>
          <w:tcPr>
            <w:tcW w:w="2042" w:type="dxa"/>
          </w:tcPr>
          <w:p w14:paraId="6E1753B4"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320</w:t>
            </w:r>
          </w:p>
        </w:tc>
      </w:tr>
      <w:tr w:rsidR="00327204" w:rsidRPr="00C77381" w14:paraId="00D60E31" w14:textId="77777777" w:rsidTr="00ED7AA5">
        <w:tc>
          <w:tcPr>
            <w:tcW w:w="2900" w:type="dxa"/>
          </w:tcPr>
          <w:p w14:paraId="78D536F0" w14:textId="77777777" w:rsidR="00E97EC7" w:rsidRPr="00C77381" w:rsidRDefault="00E97EC7" w:rsidP="00ED7AA5">
            <w:pPr>
              <w:rPr>
                <w:rFonts w:asciiTheme="minorHAnsi" w:hAnsiTheme="minorHAnsi" w:cstheme="minorHAnsi"/>
              </w:rPr>
            </w:pPr>
          </w:p>
        </w:tc>
        <w:tc>
          <w:tcPr>
            <w:tcW w:w="2042" w:type="dxa"/>
          </w:tcPr>
          <w:p w14:paraId="26A996D1" w14:textId="77777777" w:rsidR="00E97EC7" w:rsidRPr="00C77381" w:rsidRDefault="00E97EC7" w:rsidP="00ED7AA5">
            <w:pPr>
              <w:rPr>
                <w:rFonts w:asciiTheme="minorHAnsi" w:hAnsiTheme="minorHAnsi" w:cstheme="minorHAnsi"/>
              </w:rPr>
            </w:pPr>
          </w:p>
        </w:tc>
        <w:tc>
          <w:tcPr>
            <w:tcW w:w="2042" w:type="dxa"/>
          </w:tcPr>
          <w:p w14:paraId="530B8CB1" w14:textId="77777777" w:rsidR="00E97EC7" w:rsidRPr="00C77381" w:rsidRDefault="00E97EC7" w:rsidP="00ED7AA5">
            <w:pPr>
              <w:rPr>
                <w:rFonts w:asciiTheme="minorHAnsi" w:hAnsiTheme="minorHAnsi" w:cstheme="minorHAnsi"/>
              </w:rPr>
            </w:pPr>
          </w:p>
        </w:tc>
        <w:tc>
          <w:tcPr>
            <w:tcW w:w="2042" w:type="dxa"/>
          </w:tcPr>
          <w:p w14:paraId="7D21480D" w14:textId="77777777" w:rsidR="00E97EC7" w:rsidRPr="00C77381" w:rsidRDefault="00E97EC7" w:rsidP="00ED7AA5">
            <w:pPr>
              <w:rPr>
                <w:rFonts w:asciiTheme="minorHAnsi" w:hAnsiTheme="minorHAnsi" w:cstheme="minorHAnsi"/>
              </w:rPr>
            </w:pPr>
          </w:p>
        </w:tc>
      </w:tr>
      <w:tr w:rsidR="00327204" w:rsidRPr="00C77381" w14:paraId="6B5FD5E7" w14:textId="77777777" w:rsidTr="00ED7AA5">
        <w:tc>
          <w:tcPr>
            <w:tcW w:w="2900" w:type="dxa"/>
          </w:tcPr>
          <w:p w14:paraId="2EEB1DD5"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1: Pre-tax Cash Flow</w:t>
            </w:r>
          </w:p>
        </w:tc>
        <w:tc>
          <w:tcPr>
            <w:tcW w:w="2042" w:type="dxa"/>
          </w:tcPr>
          <w:p w14:paraId="0CE4386B"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200</w:t>
            </w:r>
          </w:p>
        </w:tc>
        <w:tc>
          <w:tcPr>
            <w:tcW w:w="2042" w:type="dxa"/>
          </w:tcPr>
          <w:p w14:paraId="2A551D27"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400</w:t>
            </w:r>
          </w:p>
        </w:tc>
        <w:tc>
          <w:tcPr>
            <w:tcW w:w="2042" w:type="dxa"/>
          </w:tcPr>
          <w:p w14:paraId="1E4C2CC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450</w:t>
            </w:r>
          </w:p>
        </w:tc>
      </w:tr>
      <w:tr w:rsidR="00327204" w:rsidRPr="00C77381" w14:paraId="770A5645" w14:textId="77777777" w:rsidTr="00ED7AA5">
        <w:tc>
          <w:tcPr>
            <w:tcW w:w="2900" w:type="dxa"/>
          </w:tcPr>
          <w:p w14:paraId="569DF92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2: Pre-tax Cash Flow</w:t>
            </w:r>
          </w:p>
        </w:tc>
        <w:tc>
          <w:tcPr>
            <w:tcW w:w="2042" w:type="dxa"/>
          </w:tcPr>
          <w:p w14:paraId="056C944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400</w:t>
            </w:r>
          </w:p>
        </w:tc>
        <w:tc>
          <w:tcPr>
            <w:tcW w:w="2042" w:type="dxa"/>
          </w:tcPr>
          <w:p w14:paraId="31804CD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450</w:t>
            </w:r>
          </w:p>
        </w:tc>
        <w:tc>
          <w:tcPr>
            <w:tcW w:w="2042" w:type="dxa"/>
          </w:tcPr>
          <w:p w14:paraId="2210BC0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700</w:t>
            </w:r>
          </w:p>
        </w:tc>
      </w:tr>
      <w:tr w:rsidR="00327204" w:rsidRPr="00C77381" w14:paraId="2A0C1232" w14:textId="77777777" w:rsidTr="00ED7AA5">
        <w:tc>
          <w:tcPr>
            <w:tcW w:w="2900" w:type="dxa"/>
          </w:tcPr>
          <w:p w14:paraId="629C8D5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3: Pre-tax Cash Flow</w:t>
            </w:r>
          </w:p>
        </w:tc>
        <w:tc>
          <w:tcPr>
            <w:tcW w:w="2042" w:type="dxa"/>
          </w:tcPr>
          <w:p w14:paraId="2AE69786"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500</w:t>
            </w:r>
          </w:p>
        </w:tc>
        <w:tc>
          <w:tcPr>
            <w:tcW w:w="2042" w:type="dxa"/>
          </w:tcPr>
          <w:p w14:paraId="6B4FB88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720</w:t>
            </w:r>
          </w:p>
        </w:tc>
        <w:tc>
          <w:tcPr>
            <w:tcW w:w="2042" w:type="dxa"/>
          </w:tcPr>
          <w:p w14:paraId="6C66425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900</w:t>
            </w:r>
          </w:p>
        </w:tc>
      </w:tr>
      <w:tr w:rsidR="00327204" w:rsidRPr="00C77381" w14:paraId="164C850D" w14:textId="77777777" w:rsidTr="00ED7AA5">
        <w:tc>
          <w:tcPr>
            <w:tcW w:w="2900" w:type="dxa"/>
          </w:tcPr>
          <w:p w14:paraId="2C22D51E"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4: Pre-tax Cash Flow</w:t>
            </w:r>
          </w:p>
        </w:tc>
        <w:tc>
          <w:tcPr>
            <w:tcW w:w="2042" w:type="dxa"/>
          </w:tcPr>
          <w:p w14:paraId="4F56A847"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700</w:t>
            </w:r>
          </w:p>
        </w:tc>
        <w:tc>
          <w:tcPr>
            <w:tcW w:w="2042" w:type="dxa"/>
          </w:tcPr>
          <w:p w14:paraId="4A829777"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980</w:t>
            </w:r>
          </w:p>
        </w:tc>
        <w:tc>
          <w:tcPr>
            <w:tcW w:w="2042" w:type="dxa"/>
          </w:tcPr>
          <w:p w14:paraId="0EF98AB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1200</w:t>
            </w:r>
          </w:p>
        </w:tc>
      </w:tr>
      <w:tr w:rsidR="00327204" w:rsidRPr="00C77381" w14:paraId="4974E578" w14:textId="77777777" w:rsidTr="00ED7AA5">
        <w:tc>
          <w:tcPr>
            <w:tcW w:w="2900" w:type="dxa"/>
          </w:tcPr>
          <w:p w14:paraId="1098F807" w14:textId="77777777" w:rsidR="00E97EC7" w:rsidRPr="00C77381" w:rsidRDefault="00E97EC7" w:rsidP="00ED7AA5">
            <w:pPr>
              <w:rPr>
                <w:rFonts w:asciiTheme="minorHAnsi" w:hAnsiTheme="minorHAnsi" w:cstheme="minorHAnsi"/>
              </w:rPr>
            </w:pPr>
          </w:p>
        </w:tc>
        <w:tc>
          <w:tcPr>
            <w:tcW w:w="2042" w:type="dxa"/>
          </w:tcPr>
          <w:p w14:paraId="576FCFC7" w14:textId="77777777" w:rsidR="00E97EC7" w:rsidRPr="00C77381" w:rsidRDefault="00E97EC7" w:rsidP="00ED7AA5">
            <w:pPr>
              <w:rPr>
                <w:rFonts w:asciiTheme="minorHAnsi" w:hAnsiTheme="minorHAnsi" w:cstheme="minorHAnsi"/>
              </w:rPr>
            </w:pPr>
          </w:p>
        </w:tc>
        <w:tc>
          <w:tcPr>
            <w:tcW w:w="2042" w:type="dxa"/>
          </w:tcPr>
          <w:p w14:paraId="7782D7B6" w14:textId="77777777" w:rsidR="00E97EC7" w:rsidRPr="00C77381" w:rsidRDefault="00E97EC7" w:rsidP="00ED7AA5">
            <w:pPr>
              <w:rPr>
                <w:rFonts w:asciiTheme="minorHAnsi" w:hAnsiTheme="minorHAnsi" w:cstheme="minorHAnsi"/>
              </w:rPr>
            </w:pPr>
          </w:p>
        </w:tc>
        <w:tc>
          <w:tcPr>
            <w:tcW w:w="2042" w:type="dxa"/>
          </w:tcPr>
          <w:p w14:paraId="719A59D3" w14:textId="77777777" w:rsidR="00E97EC7" w:rsidRPr="00C77381" w:rsidRDefault="00E97EC7" w:rsidP="00ED7AA5">
            <w:pPr>
              <w:rPr>
                <w:rFonts w:asciiTheme="minorHAnsi" w:hAnsiTheme="minorHAnsi" w:cstheme="minorHAnsi"/>
              </w:rPr>
            </w:pPr>
          </w:p>
        </w:tc>
      </w:tr>
      <w:tr w:rsidR="00327204" w:rsidRPr="00C77381" w14:paraId="557F3415" w14:textId="77777777" w:rsidTr="00ED7AA5">
        <w:tc>
          <w:tcPr>
            <w:tcW w:w="2900" w:type="dxa"/>
          </w:tcPr>
          <w:p w14:paraId="2494032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1: After-tax Cash Flow</w:t>
            </w:r>
          </w:p>
        </w:tc>
        <w:tc>
          <w:tcPr>
            <w:tcW w:w="2042" w:type="dxa"/>
          </w:tcPr>
          <w:p w14:paraId="5D4927A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180.0</w:t>
            </w:r>
          </w:p>
        </w:tc>
        <w:tc>
          <w:tcPr>
            <w:tcW w:w="2042" w:type="dxa"/>
          </w:tcPr>
          <w:p w14:paraId="5A8459D6"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350.0</w:t>
            </w:r>
          </w:p>
        </w:tc>
        <w:tc>
          <w:tcPr>
            <w:tcW w:w="2042" w:type="dxa"/>
          </w:tcPr>
          <w:p w14:paraId="22774AD9"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417.5</w:t>
            </w:r>
          </w:p>
        </w:tc>
      </w:tr>
      <w:tr w:rsidR="00327204" w:rsidRPr="00C77381" w14:paraId="15753BF6" w14:textId="77777777" w:rsidTr="00ED7AA5">
        <w:tc>
          <w:tcPr>
            <w:tcW w:w="2900" w:type="dxa"/>
          </w:tcPr>
          <w:p w14:paraId="0BFDEDE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2: After-tax Cash Flow</w:t>
            </w:r>
          </w:p>
        </w:tc>
        <w:tc>
          <w:tcPr>
            <w:tcW w:w="2042" w:type="dxa"/>
          </w:tcPr>
          <w:p w14:paraId="279BD24B"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330.0</w:t>
            </w:r>
          </w:p>
        </w:tc>
        <w:tc>
          <w:tcPr>
            <w:tcW w:w="2042" w:type="dxa"/>
          </w:tcPr>
          <w:p w14:paraId="1FDF3CE6"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387.5</w:t>
            </w:r>
          </w:p>
        </w:tc>
        <w:tc>
          <w:tcPr>
            <w:tcW w:w="2042" w:type="dxa"/>
          </w:tcPr>
          <w:p w14:paraId="522FF921"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605.0</w:t>
            </w:r>
          </w:p>
        </w:tc>
      </w:tr>
      <w:tr w:rsidR="00327204" w:rsidRPr="00C77381" w14:paraId="58A5AC5A" w14:textId="77777777" w:rsidTr="00ED7AA5">
        <w:tc>
          <w:tcPr>
            <w:tcW w:w="2900" w:type="dxa"/>
          </w:tcPr>
          <w:p w14:paraId="4D89FF1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3: After-tax Cash Flow</w:t>
            </w:r>
          </w:p>
        </w:tc>
        <w:tc>
          <w:tcPr>
            <w:tcW w:w="2042" w:type="dxa"/>
          </w:tcPr>
          <w:p w14:paraId="420C146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405.0</w:t>
            </w:r>
          </w:p>
        </w:tc>
        <w:tc>
          <w:tcPr>
            <w:tcW w:w="2042" w:type="dxa"/>
          </w:tcPr>
          <w:p w14:paraId="6478C28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590.0</w:t>
            </w:r>
          </w:p>
        </w:tc>
        <w:tc>
          <w:tcPr>
            <w:tcW w:w="2042" w:type="dxa"/>
          </w:tcPr>
          <w:p w14:paraId="07CCD8CC"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755.0</w:t>
            </w:r>
          </w:p>
        </w:tc>
      </w:tr>
      <w:tr w:rsidR="00327204" w:rsidRPr="00C77381" w14:paraId="0C1A8465" w14:textId="77777777" w:rsidTr="00ED7AA5">
        <w:tc>
          <w:tcPr>
            <w:tcW w:w="2900" w:type="dxa"/>
          </w:tcPr>
          <w:p w14:paraId="66D1D2E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4: After-tax Cash Flow</w:t>
            </w:r>
          </w:p>
        </w:tc>
        <w:tc>
          <w:tcPr>
            <w:tcW w:w="2042" w:type="dxa"/>
          </w:tcPr>
          <w:p w14:paraId="1A9502CC"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555.0</w:t>
            </w:r>
          </w:p>
        </w:tc>
        <w:tc>
          <w:tcPr>
            <w:tcW w:w="2042" w:type="dxa"/>
          </w:tcPr>
          <w:p w14:paraId="619910E4"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785.0</w:t>
            </w:r>
          </w:p>
        </w:tc>
        <w:tc>
          <w:tcPr>
            <w:tcW w:w="2042" w:type="dxa"/>
          </w:tcPr>
          <w:p w14:paraId="4829F14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980.0</w:t>
            </w:r>
          </w:p>
        </w:tc>
      </w:tr>
      <w:tr w:rsidR="00327204" w:rsidRPr="00C77381" w14:paraId="7B0E4BBA" w14:textId="77777777" w:rsidTr="00ED7AA5">
        <w:tc>
          <w:tcPr>
            <w:tcW w:w="2900" w:type="dxa"/>
          </w:tcPr>
          <w:p w14:paraId="7055C85E" w14:textId="77777777" w:rsidR="00E97EC7" w:rsidRPr="00C77381" w:rsidRDefault="00E97EC7" w:rsidP="00ED7AA5">
            <w:pPr>
              <w:rPr>
                <w:rFonts w:asciiTheme="minorHAnsi" w:hAnsiTheme="minorHAnsi" w:cstheme="minorHAnsi"/>
              </w:rPr>
            </w:pPr>
          </w:p>
        </w:tc>
        <w:tc>
          <w:tcPr>
            <w:tcW w:w="2042" w:type="dxa"/>
          </w:tcPr>
          <w:p w14:paraId="25F4A866" w14:textId="77777777" w:rsidR="00E97EC7" w:rsidRPr="00C77381" w:rsidRDefault="00E97EC7" w:rsidP="00ED7AA5">
            <w:pPr>
              <w:rPr>
                <w:rFonts w:asciiTheme="minorHAnsi" w:hAnsiTheme="minorHAnsi" w:cstheme="minorHAnsi"/>
              </w:rPr>
            </w:pPr>
          </w:p>
        </w:tc>
        <w:tc>
          <w:tcPr>
            <w:tcW w:w="2042" w:type="dxa"/>
          </w:tcPr>
          <w:p w14:paraId="35ED1A69" w14:textId="77777777" w:rsidR="00E97EC7" w:rsidRPr="00C77381" w:rsidRDefault="00E97EC7" w:rsidP="00ED7AA5">
            <w:pPr>
              <w:rPr>
                <w:rFonts w:asciiTheme="minorHAnsi" w:hAnsiTheme="minorHAnsi" w:cstheme="minorHAnsi"/>
              </w:rPr>
            </w:pPr>
          </w:p>
        </w:tc>
        <w:tc>
          <w:tcPr>
            <w:tcW w:w="2042" w:type="dxa"/>
          </w:tcPr>
          <w:p w14:paraId="641B0150" w14:textId="77777777" w:rsidR="00E97EC7" w:rsidRPr="00C77381" w:rsidRDefault="00E97EC7" w:rsidP="00ED7AA5">
            <w:pPr>
              <w:rPr>
                <w:rFonts w:asciiTheme="minorHAnsi" w:hAnsiTheme="minorHAnsi" w:cstheme="minorHAnsi"/>
              </w:rPr>
            </w:pPr>
          </w:p>
        </w:tc>
      </w:tr>
      <w:tr w:rsidR="00327204" w:rsidRPr="00C77381" w14:paraId="02EF2C01" w14:textId="77777777" w:rsidTr="00ED7AA5">
        <w:tc>
          <w:tcPr>
            <w:tcW w:w="2900" w:type="dxa"/>
          </w:tcPr>
          <w:p w14:paraId="6E7C0D76" w14:textId="22BB1464"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1: PV (DF @6% = 0.9434)</w:t>
            </w:r>
          </w:p>
        </w:tc>
        <w:tc>
          <w:tcPr>
            <w:tcW w:w="2042" w:type="dxa"/>
          </w:tcPr>
          <w:p w14:paraId="281D617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169.81</w:t>
            </w:r>
          </w:p>
        </w:tc>
        <w:tc>
          <w:tcPr>
            <w:tcW w:w="2042" w:type="dxa"/>
          </w:tcPr>
          <w:p w14:paraId="0A3157AC"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330.19</w:t>
            </w:r>
          </w:p>
        </w:tc>
        <w:tc>
          <w:tcPr>
            <w:tcW w:w="2042" w:type="dxa"/>
          </w:tcPr>
          <w:p w14:paraId="21FD0680"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393.87</w:t>
            </w:r>
          </w:p>
        </w:tc>
      </w:tr>
      <w:tr w:rsidR="00327204" w:rsidRPr="00C77381" w14:paraId="7E2C12E4" w14:textId="77777777" w:rsidTr="00ED7AA5">
        <w:tc>
          <w:tcPr>
            <w:tcW w:w="2900" w:type="dxa"/>
          </w:tcPr>
          <w:p w14:paraId="2C77CB20" w14:textId="7E09FCCB"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2: PV (DF @6% = 0.89)</w:t>
            </w:r>
          </w:p>
        </w:tc>
        <w:tc>
          <w:tcPr>
            <w:tcW w:w="2042" w:type="dxa"/>
          </w:tcPr>
          <w:p w14:paraId="0AB85D47"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293.70</w:t>
            </w:r>
          </w:p>
        </w:tc>
        <w:tc>
          <w:tcPr>
            <w:tcW w:w="2042" w:type="dxa"/>
          </w:tcPr>
          <w:p w14:paraId="5DDF1E5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344.88</w:t>
            </w:r>
          </w:p>
        </w:tc>
        <w:tc>
          <w:tcPr>
            <w:tcW w:w="2042" w:type="dxa"/>
          </w:tcPr>
          <w:p w14:paraId="539B0C1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538.45</w:t>
            </w:r>
          </w:p>
        </w:tc>
      </w:tr>
      <w:tr w:rsidR="00327204" w:rsidRPr="00C77381" w14:paraId="6CFAA6BF" w14:textId="77777777" w:rsidTr="00ED7AA5">
        <w:tc>
          <w:tcPr>
            <w:tcW w:w="2900" w:type="dxa"/>
          </w:tcPr>
          <w:p w14:paraId="7BDD9FAC" w14:textId="5629EFE5"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3: PV (DF @6% = 0.8396)</w:t>
            </w:r>
          </w:p>
        </w:tc>
        <w:tc>
          <w:tcPr>
            <w:tcW w:w="2042" w:type="dxa"/>
          </w:tcPr>
          <w:p w14:paraId="00438A97"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340.04</w:t>
            </w:r>
          </w:p>
        </w:tc>
        <w:tc>
          <w:tcPr>
            <w:tcW w:w="2042" w:type="dxa"/>
          </w:tcPr>
          <w:p w14:paraId="3A28752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495.36</w:t>
            </w:r>
          </w:p>
        </w:tc>
        <w:tc>
          <w:tcPr>
            <w:tcW w:w="2042" w:type="dxa"/>
          </w:tcPr>
          <w:p w14:paraId="3D226E9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633.90</w:t>
            </w:r>
          </w:p>
        </w:tc>
      </w:tr>
      <w:tr w:rsidR="00327204" w:rsidRPr="00C77381" w14:paraId="7EFD7CA4" w14:textId="77777777" w:rsidTr="00ED7AA5">
        <w:tc>
          <w:tcPr>
            <w:tcW w:w="2900" w:type="dxa"/>
          </w:tcPr>
          <w:p w14:paraId="66DBD72F" w14:textId="21E4F8A3"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Year 4: PV (DF @6% = 0.7921)</w:t>
            </w:r>
          </w:p>
        </w:tc>
        <w:tc>
          <w:tcPr>
            <w:tcW w:w="2042" w:type="dxa"/>
          </w:tcPr>
          <w:p w14:paraId="1ADB123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439.62</w:t>
            </w:r>
          </w:p>
        </w:tc>
        <w:tc>
          <w:tcPr>
            <w:tcW w:w="2042" w:type="dxa"/>
          </w:tcPr>
          <w:p w14:paraId="6155E61F"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621.80</w:t>
            </w:r>
          </w:p>
        </w:tc>
        <w:tc>
          <w:tcPr>
            <w:tcW w:w="2042" w:type="dxa"/>
          </w:tcPr>
          <w:p w14:paraId="376A2AEC"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776.26</w:t>
            </w:r>
          </w:p>
        </w:tc>
      </w:tr>
      <w:tr w:rsidR="00327204" w:rsidRPr="00C77381" w14:paraId="23E47D8A" w14:textId="77777777" w:rsidTr="00ED7AA5">
        <w:tc>
          <w:tcPr>
            <w:tcW w:w="2900" w:type="dxa"/>
          </w:tcPr>
          <w:p w14:paraId="5DA3A8C5" w14:textId="77777777" w:rsidR="00E97EC7" w:rsidRPr="00C77381" w:rsidRDefault="00E97EC7" w:rsidP="00ED7AA5">
            <w:pPr>
              <w:rPr>
                <w:rFonts w:asciiTheme="minorHAnsi" w:hAnsiTheme="minorHAnsi" w:cstheme="minorHAnsi"/>
              </w:rPr>
            </w:pPr>
          </w:p>
        </w:tc>
        <w:tc>
          <w:tcPr>
            <w:tcW w:w="2042" w:type="dxa"/>
          </w:tcPr>
          <w:p w14:paraId="6A8E7DE2" w14:textId="77777777" w:rsidR="00E97EC7" w:rsidRPr="00C77381" w:rsidRDefault="00E97EC7" w:rsidP="00ED7AA5">
            <w:pPr>
              <w:rPr>
                <w:rFonts w:asciiTheme="minorHAnsi" w:hAnsiTheme="minorHAnsi" w:cstheme="minorHAnsi"/>
              </w:rPr>
            </w:pPr>
          </w:p>
        </w:tc>
        <w:tc>
          <w:tcPr>
            <w:tcW w:w="2042" w:type="dxa"/>
          </w:tcPr>
          <w:p w14:paraId="77802BA7" w14:textId="77777777" w:rsidR="00E97EC7" w:rsidRPr="00C77381" w:rsidRDefault="00E97EC7" w:rsidP="00ED7AA5">
            <w:pPr>
              <w:rPr>
                <w:rFonts w:asciiTheme="minorHAnsi" w:hAnsiTheme="minorHAnsi" w:cstheme="minorHAnsi"/>
              </w:rPr>
            </w:pPr>
          </w:p>
        </w:tc>
        <w:tc>
          <w:tcPr>
            <w:tcW w:w="2042" w:type="dxa"/>
          </w:tcPr>
          <w:p w14:paraId="0B179CBC" w14:textId="77777777" w:rsidR="00E97EC7" w:rsidRPr="00C77381" w:rsidRDefault="00E97EC7" w:rsidP="00ED7AA5">
            <w:pPr>
              <w:rPr>
                <w:rFonts w:asciiTheme="minorHAnsi" w:hAnsiTheme="minorHAnsi" w:cstheme="minorHAnsi"/>
              </w:rPr>
            </w:pPr>
          </w:p>
        </w:tc>
      </w:tr>
      <w:tr w:rsidR="00327204" w:rsidRPr="00C77381" w14:paraId="79451B15" w14:textId="77777777" w:rsidTr="00ED7AA5">
        <w:tc>
          <w:tcPr>
            <w:tcW w:w="2900" w:type="dxa"/>
          </w:tcPr>
          <w:p w14:paraId="0FB0D52D"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Total Present Value (£000)</w:t>
            </w:r>
          </w:p>
        </w:tc>
        <w:tc>
          <w:tcPr>
            <w:tcW w:w="2042" w:type="dxa"/>
          </w:tcPr>
          <w:p w14:paraId="0DEEE21D"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1243.17</w:t>
            </w:r>
          </w:p>
        </w:tc>
        <w:tc>
          <w:tcPr>
            <w:tcW w:w="2042" w:type="dxa"/>
          </w:tcPr>
          <w:p w14:paraId="20651FF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1792.23</w:t>
            </w:r>
          </w:p>
        </w:tc>
        <w:tc>
          <w:tcPr>
            <w:tcW w:w="2042" w:type="dxa"/>
          </w:tcPr>
          <w:p w14:paraId="62873D3C"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2342.48</w:t>
            </w:r>
          </w:p>
        </w:tc>
      </w:tr>
      <w:tr w:rsidR="00327204" w:rsidRPr="00C77381" w14:paraId="67143BF9" w14:textId="77777777" w:rsidTr="00ED7AA5">
        <w:tc>
          <w:tcPr>
            <w:tcW w:w="2900" w:type="dxa"/>
          </w:tcPr>
          <w:p w14:paraId="6B2CF13B"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Less: Initial Investment</w:t>
            </w:r>
          </w:p>
        </w:tc>
        <w:tc>
          <w:tcPr>
            <w:tcW w:w="2042" w:type="dxa"/>
          </w:tcPr>
          <w:p w14:paraId="362F6756"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-600.00</w:t>
            </w:r>
          </w:p>
        </w:tc>
        <w:tc>
          <w:tcPr>
            <w:tcW w:w="2042" w:type="dxa"/>
          </w:tcPr>
          <w:p w14:paraId="539C0E4E"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-1,000.00</w:t>
            </w:r>
          </w:p>
        </w:tc>
        <w:tc>
          <w:tcPr>
            <w:tcW w:w="2042" w:type="dxa"/>
          </w:tcPr>
          <w:p w14:paraId="24DDABCA"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-1,600.00</w:t>
            </w:r>
          </w:p>
        </w:tc>
      </w:tr>
      <w:tr w:rsidR="00327204" w:rsidRPr="00C77381" w14:paraId="708D9494" w14:textId="77777777" w:rsidTr="00ED7AA5">
        <w:tc>
          <w:tcPr>
            <w:tcW w:w="2900" w:type="dxa"/>
          </w:tcPr>
          <w:p w14:paraId="0E4DA643"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NET PRESENT VALUE (£000)</w:t>
            </w:r>
          </w:p>
        </w:tc>
        <w:tc>
          <w:tcPr>
            <w:tcW w:w="2042" w:type="dxa"/>
          </w:tcPr>
          <w:p w14:paraId="53F013E8"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643.17</w:t>
            </w:r>
          </w:p>
        </w:tc>
        <w:tc>
          <w:tcPr>
            <w:tcW w:w="2042" w:type="dxa"/>
          </w:tcPr>
          <w:p w14:paraId="3C3894A2"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792.23</w:t>
            </w:r>
          </w:p>
        </w:tc>
        <w:tc>
          <w:tcPr>
            <w:tcW w:w="2042" w:type="dxa"/>
          </w:tcPr>
          <w:p w14:paraId="61AACD29" w14:textId="77777777" w:rsidR="00E97EC7" w:rsidRPr="00C77381" w:rsidRDefault="00800625" w:rsidP="00ED7AA5">
            <w:pPr>
              <w:rPr>
                <w:rFonts w:asciiTheme="minorHAnsi" w:hAnsiTheme="minorHAnsi" w:cstheme="minorHAnsi"/>
              </w:rPr>
            </w:pPr>
            <w:r w:rsidRPr="00C77381">
              <w:rPr>
                <w:rFonts w:asciiTheme="minorHAnsi" w:hAnsiTheme="minorHAnsi" w:cstheme="minorHAnsi"/>
                <w:sz w:val="18"/>
                <w:szCs w:val="18"/>
              </w:rPr>
              <w:t>742.48</w:t>
            </w:r>
          </w:p>
        </w:tc>
      </w:tr>
    </w:tbl>
    <w:p w14:paraId="0289E72F" w14:textId="77777777" w:rsidR="00E97EC7" w:rsidRPr="00C77381" w:rsidRDefault="00E97EC7" w:rsidP="00375BDA">
      <w:pPr>
        <w:spacing w:before="140"/>
        <w:jc w:val="both"/>
        <w:rPr>
          <w:rFonts w:asciiTheme="minorHAnsi" w:hAnsiTheme="minorHAnsi" w:cstheme="minorHAnsi"/>
        </w:rPr>
      </w:pPr>
    </w:p>
    <w:p w14:paraId="7F769B76" w14:textId="77777777" w:rsidR="00E97EC7" w:rsidRPr="00C77381" w:rsidRDefault="00800625" w:rsidP="00375BDA">
      <w:pPr>
        <w:pStyle w:val="Heading2"/>
        <w:rPr>
          <w:rFonts w:asciiTheme="minorHAnsi" w:hAnsiTheme="minorHAnsi" w:cstheme="minorHAnsi"/>
          <w:color w:val="auto"/>
        </w:rPr>
      </w:pPr>
      <w:bookmarkStart w:id="50" w:name="_Toc227422450"/>
      <w:bookmarkStart w:id="51" w:name="_Toc227443270"/>
      <w:r w:rsidRPr="00C77381">
        <w:rPr>
          <w:rFonts w:asciiTheme="minorHAnsi" w:hAnsiTheme="minorHAnsi" w:cstheme="minorHAnsi"/>
          <w:color w:val="auto"/>
        </w:rPr>
        <w:lastRenderedPageBreak/>
        <w:t>B.3  Results and Board Recommendation</w:t>
      </w:r>
      <w:bookmarkEnd w:id="50"/>
      <w:bookmarkEnd w:id="51"/>
    </w:p>
    <w:p w14:paraId="6202E723" w14:textId="77777777"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The NPV analysis shows the following results:</w:t>
      </w:r>
    </w:p>
    <w:p w14:paraId="246A12B1" w14:textId="7C9EDC8C"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Option A (Retail Expansion, £600k):            NPV  =  £643.17k</w:t>
      </w:r>
    </w:p>
    <w:p w14:paraId="145BD623" w14:textId="757FEC27"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Option B (Internet Sales, £1,000k): </w:t>
      </w:r>
      <w:r w:rsidRPr="00C77381">
        <w:rPr>
          <w:rFonts w:asciiTheme="minorHAnsi" w:hAnsiTheme="minorHAnsi" w:cstheme="minorHAnsi"/>
          <w:b/>
          <w:bCs/>
          <w:sz w:val="24"/>
          <w:szCs w:val="24"/>
        </w:rPr>
        <w:t xml:space="preserve">           NPV  =  £792.23k</w:t>
      </w:r>
      <w:r w:rsidRPr="00C77381">
        <w:rPr>
          <w:rFonts w:asciiTheme="minorHAnsi" w:hAnsiTheme="minorHAnsi" w:cstheme="minorHAnsi"/>
          <w:sz w:val="24"/>
          <w:szCs w:val="24"/>
        </w:rPr>
        <w:t xml:space="preserve">      </w:t>
      </w:r>
      <w:r w:rsidRPr="00C77381">
        <w:rPr>
          <w:sz w:val="24"/>
          <w:szCs w:val="24"/>
        </w:rPr>
        <w:t>◄</w:t>
      </w:r>
      <w:r w:rsidRPr="00C77381">
        <w:rPr>
          <w:rFonts w:asciiTheme="minorHAnsi" w:hAnsiTheme="minorHAnsi" w:cstheme="minorHAnsi"/>
          <w:sz w:val="24"/>
          <w:szCs w:val="24"/>
        </w:rPr>
        <w:t xml:space="preserve">  RECOMMENDED</w:t>
      </w:r>
    </w:p>
    <w:p w14:paraId="2232BB48" w14:textId="479399C4"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Option C (Blinds Production, £1,600k):         NPV  =  £742.48k</w:t>
      </w:r>
    </w:p>
    <w:p w14:paraId="0F478656" w14:textId="77777777" w:rsidR="009C237F" w:rsidRPr="00C77381" w:rsidRDefault="009C237F" w:rsidP="00375BDA">
      <w:pPr>
        <w:jc w:val="both"/>
        <w:rPr>
          <w:rFonts w:asciiTheme="minorHAnsi" w:hAnsiTheme="minorHAnsi" w:cstheme="minorHAnsi"/>
          <w:sz w:val="24"/>
          <w:szCs w:val="24"/>
        </w:rPr>
      </w:pPr>
    </w:p>
    <w:p w14:paraId="45F9482A" w14:textId="77777777"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The preferred investment is option B- development of an internet sales channel. It produces the best Net Present Value, of £792.23k, which is the highest addition to shareholder wealth in present-value terms, after full allowance to the time value of money, 6% cost of capital, corporation tax at 25 percent and ordinary-line capital allowances. Although B seems to have the second-highest initial investment of 1,000,000, its after-tax cash flow analysis outweighs this capital investment throughout the four-year period of appraisal.</w:t>
      </w:r>
    </w:p>
    <w:p w14:paraId="16DE4993" w14:textId="07525292" w:rsidR="00E97EC7"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Option C produces the maximum absolute pre-tax revenues in the four years but has a higher initial investment of £1,600,000 hence lowering its NPV to be 742.48k. The lowest NPV of 643.17k is obtained in option A where there is the lowest initial outlay and lower projected revenues. The hierarchy of the NPV is clear: B &gt; C &gt; A. It is therefore recommended that the Board invest in Option B, which aligns with the structural change towards online retail in the home furnishings market in the long term and provides a more scalable, lower-cost pathway to growth than does either a physical retail expansion or a complete manufacturing diversification </w:t>
      </w:r>
      <w:proofErr w:type="spellStart"/>
      <w:r w:rsidRPr="00C77381">
        <w:rPr>
          <w:rFonts w:asciiTheme="minorHAnsi" w:hAnsiTheme="minorHAnsi" w:cstheme="minorHAnsi"/>
          <w:sz w:val="24"/>
          <w:szCs w:val="24"/>
        </w:rPr>
        <w:t>programme</w:t>
      </w:r>
      <w:proofErr w:type="spellEnd"/>
      <w:r w:rsidRPr="00C77381">
        <w:rPr>
          <w:rFonts w:asciiTheme="minorHAnsi" w:hAnsiTheme="minorHAnsi" w:cstheme="minorHAnsi"/>
          <w:sz w:val="24"/>
          <w:szCs w:val="24"/>
        </w:rPr>
        <w:t>.</w:t>
      </w:r>
    </w:p>
    <w:p w14:paraId="68B9413A" w14:textId="77777777" w:rsidR="00E97EC7" w:rsidRPr="00C77381" w:rsidRDefault="00800625" w:rsidP="00375BDA">
      <w:pPr>
        <w:pStyle w:val="Heading1"/>
        <w:rPr>
          <w:rFonts w:asciiTheme="minorHAnsi" w:hAnsiTheme="minorHAnsi" w:cstheme="minorHAnsi"/>
          <w:color w:val="auto"/>
        </w:rPr>
      </w:pPr>
      <w:bookmarkStart w:id="52" w:name="_Toc227422451"/>
      <w:bookmarkStart w:id="53" w:name="_Toc227443271"/>
      <w:r w:rsidRPr="00C77381">
        <w:rPr>
          <w:rFonts w:asciiTheme="minorHAnsi" w:hAnsiTheme="minorHAnsi" w:cstheme="minorHAnsi"/>
          <w:color w:val="auto"/>
        </w:rPr>
        <w:t>Section C:  Internal Rate of Return — Option B</w:t>
      </w:r>
      <w:bookmarkEnd w:id="52"/>
      <w:bookmarkEnd w:id="53"/>
    </w:p>
    <w:p w14:paraId="26082A16" w14:textId="77777777" w:rsidR="00E97EC7" w:rsidRPr="00C77381" w:rsidRDefault="00800625" w:rsidP="00375BDA">
      <w:pPr>
        <w:pStyle w:val="Heading2"/>
        <w:rPr>
          <w:rFonts w:asciiTheme="minorHAnsi" w:hAnsiTheme="minorHAnsi" w:cstheme="minorHAnsi"/>
          <w:color w:val="auto"/>
        </w:rPr>
      </w:pPr>
      <w:bookmarkStart w:id="54" w:name="_Toc227422452"/>
      <w:bookmarkStart w:id="55" w:name="_Toc227443272"/>
      <w:r w:rsidRPr="00C77381">
        <w:rPr>
          <w:rFonts w:asciiTheme="minorHAnsi" w:hAnsiTheme="minorHAnsi" w:cstheme="minorHAnsi"/>
          <w:color w:val="auto"/>
        </w:rPr>
        <w:t>C.1  Method</w:t>
      </w:r>
      <w:bookmarkEnd w:id="54"/>
      <w:bookmarkEnd w:id="55"/>
    </w:p>
    <w:p w14:paraId="5C01E802" w14:textId="77777777"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Internal Rate of Return (IRR) refers to the discount rate in which the Net Present Value of a project is equal to 0. It is a percentage of the expected </w:t>
      </w:r>
      <w:proofErr w:type="spellStart"/>
      <w:r w:rsidRPr="00C77381">
        <w:rPr>
          <w:rFonts w:asciiTheme="minorHAnsi" w:hAnsiTheme="minorHAnsi" w:cstheme="minorHAnsi"/>
          <w:sz w:val="24"/>
          <w:szCs w:val="24"/>
        </w:rPr>
        <w:t>annualised</w:t>
      </w:r>
      <w:proofErr w:type="spellEnd"/>
      <w:r w:rsidRPr="00C77381">
        <w:rPr>
          <w:rFonts w:asciiTheme="minorHAnsi" w:hAnsiTheme="minorHAnsi" w:cstheme="minorHAnsi"/>
          <w:sz w:val="24"/>
          <w:szCs w:val="24"/>
        </w:rPr>
        <w:t xml:space="preserve"> capital input to give a percentage of the expected </w:t>
      </w:r>
      <w:proofErr w:type="spellStart"/>
      <w:r w:rsidRPr="00C77381">
        <w:rPr>
          <w:rFonts w:asciiTheme="minorHAnsi" w:hAnsiTheme="minorHAnsi" w:cstheme="minorHAnsi"/>
          <w:sz w:val="24"/>
          <w:szCs w:val="24"/>
        </w:rPr>
        <w:t>annualised</w:t>
      </w:r>
      <w:proofErr w:type="spellEnd"/>
      <w:r w:rsidRPr="00C77381">
        <w:rPr>
          <w:rFonts w:asciiTheme="minorHAnsi" w:hAnsiTheme="minorHAnsi" w:cstheme="minorHAnsi"/>
          <w:sz w:val="24"/>
          <w:szCs w:val="24"/>
        </w:rPr>
        <w:t xml:space="preserve"> return and is computed here by linear interpolation between two trial discounts. Pilot testing of the NPV of option B indicates that the NPV changes to negative between discount rates of 30 and 35 per cent; such trial rates are thus used to interpolate.</w:t>
      </w:r>
    </w:p>
    <w:p w14:paraId="24342108" w14:textId="502E8F3C" w:rsidR="00E97EC7"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IRR  ≈  r₁  +  [ NPV(r₁)  /  (NPV(r₁) – NPV(r₂)) ]  ×  (r₂ – r₁)</w:t>
      </w:r>
    </w:p>
    <w:p w14:paraId="7EE4089E" w14:textId="77777777" w:rsidR="00E97EC7" w:rsidRPr="00C77381" w:rsidRDefault="00800625" w:rsidP="00375BDA">
      <w:pPr>
        <w:pStyle w:val="Heading2"/>
        <w:rPr>
          <w:rFonts w:asciiTheme="minorHAnsi" w:hAnsiTheme="minorHAnsi" w:cstheme="minorHAnsi"/>
          <w:color w:val="auto"/>
        </w:rPr>
      </w:pPr>
      <w:bookmarkStart w:id="56" w:name="_Toc227422453"/>
      <w:bookmarkStart w:id="57" w:name="_Toc227443273"/>
      <w:r w:rsidRPr="00C77381">
        <w:rPr>
          <w:rFonts w:asciiTheme="minorHAnsi" w:hAnsiTheme="minorHAnsi" w:cstheme="minorHAnsi"/>
          <w:color w:val="auto"/>
        </w:rPr>
        <w:t>C.2  Calculation Table</w:t>
      </w:r>
      <w:bookmarkEnd w:id="56"/>
      <w:bookmarkEnd w:id="57"/>
    </w:p>
    <w:p w14:paraId="0D2B9800" w14:textId="77777777" w:rsidR="00E97EC7" w:rsidRPr="00C77381" w:rsidRDefault="00E97EC7" w:rsidP="00375BDA">
      <w:pPr>
        <w:spacing w:before="60"/>
        <w:jc w:val="both"/>
        <w:rPr>
          <w:rFonts w:asciiTheme="minorHAnsi" w:hAnsiTheme="minorHAnsi" w:cstheme="minorHAnsi"/>
        </w:rPr>
      </w:pPr>
    </w:p>
    <w:tbl>
      <w:tblPr>
        <w:tblStyle w:val="TableGrid"/>
        <w:tblW w:w="9026" w:type="dxa"/>
        <w:tblLook w:val="04A0" w:firstRow="1" w:lastRow="0" w:firstColumn="1" w:lastColumn="0" w:noHBand="0" w:noVBand="1"/>
      </w:tblPr>
      <w:tblGrid>
        <w:gridCol w:w="1500"/>
        <w:gridCol w:w="1700"/>
        <w:gridCol w:w="1200"/>
        <w:gridCol w:w="1713"/>
        <w:gridCol w:w="1200"/>
        <w:gridCol w:w="1713"/>
      </w:tblGrid>
      <w:tr w:rsidR="00327204" w:rsidRPr="00C77381" w14:paraId="392ACF1B" w14:textId="77777777" w:rsidTr="00ED7AA5">
        <w:tc>
          <w:tcPr>
            <w:tcW w:w="1500" w:type="dxa"/>
          </w:tcPr>
          <w:p w14:paraId="5C73028D"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Year</w:t>
            </w:r>
          </w:p>
        </w:tc>
        <w:tc>
          <w:tcPr>
            <w:tcW w:w="1700" w:type="dxa"/>
          </w:tcPr>
          <w:p w14:paraId="4335D129"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After-tax CF (£000)</w:t>
            </w:r>
          </w:p>
        </w:tc>
        <w:tc>
          <w:tcPr>
            <w:tcW w:w="1200" w:type="dxa"/>
          </w:tcPr>
          <w:p w14:paraId="02A5E7FE"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DF @ 30%</w:t>
            </w:r>
          </w:p>
        </w:tc>
        <w:tc>
          <w:tcPr>
            <w:tcW w:w="1713" w:type="dxa"/>
          </w:tcPr>
          <w:p w14:paraId="31C1A370"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PV @ 30% (£000)</w:t>
            </w:r>
          </w:p>
        </w:tc>
        <w:tc>
          <w:tcPr>
            <w:tcW w:w="1200" w:type="dxa"/>
          </w:tcPr>
          <w:p w14:paraId="6CA7C0F3"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DF @ 35%</w:t>
            </w:r>
          </w:p>
        </w:tc>
        <w:tc>
          <w:tcPr>
            <w:tcW w:w="1713" w:type="dxa"/>
          </w:tcPr>
          <w:p w14:paraId="7AA22322" w14:textId="77777777" w:rsidR="00E97EC7" w:rsidRPr="00C77381" w:rsidRDefault="00800625" w:rsidP="00ED7AA5">
            <w:pPr>
              <w:rPr>
                <w:rFonts w:asciiTheme="minorHAnsi" w:hAnsiTheme="minorHAnsi" w:cstheme="minorHAnsi"/>
              </w:rPr>
            </w:pPr>
            <w:r w:rsidRPr="00C77381">
              <w:rPr>
                <w:rFonts w:asciiTheme="minorHAnsi" w:eastAsia="Palatino Linotype" w:hAnsiTheme="minorHAnsi" w:cstheme="minorHAnsi"/>
                <w:b/>
                <w:bCs/>
                <w:sz w:val="20"/>
                <w:szCs w:val="20"/>
              </w:rPr>
              <w:t>PV @ 35% (£000)</w:t>
            </w:r>
          </w:p>
        </w:tc>
      </w:tr>
      <w:tr w:rsidR="00327204" w:rsidRPr="00C77381" w14:paraId="5AC38C73" w14:textId="77777777" w:rsidTr="00ED7AA5">
        <w:tc>
          <w:tcPr>
            <w:tcW w:w="1500" w:type="dxa"/>
          </w:tcPr>
          <w:p w14:paraId="3A580D1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1</w:t>
            </w:r>
          </w:p>
        </w:tc>
        <w:tc>
          <w:tcPr>
            <w:tcW w:w="1700" w:type="dxa"/>
          </w:tcPr>
          <w:p w14:paraId="5EFBBDE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350.0</w:t>
            </w:r>
          </w:p>
        </w:tc>
        <w:tc>
          <w:tcPr>
            <w:tcW w:w="1200" w:type="dxa"/>
          </w:tcPr>
          <w:p w14:paraId="7AB0C20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0.7692</w:t>
            </w:r>
          </w:p>
        </w:tc>
        <w:tc>
          <w:tcPr>
            <w:tcW w:w="1713" w:type="dxa"/>
          </w:tcPr>
          <w:p w14:paraId="6A11279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269.22</w:t>
            </w:r>
          </w:p>
        </w:tc>
        <w:tc>
          <w:tcPr>
            <w:tcW w:w="1200" w:type="dxa"/>
          </w:tcPr>
          <w:p w14:paraId="2F29A98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0.7407</w:t>
            </w:r>
          </w:p>
        </w:tc>
        <w:tc>
          <w:tcPr>
            <w:tcW w:w="1713" w:type="dxa"/>
          </w:tcPr>
          <w:p w14:paraId="6C5A2ED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259.25</w:t>
            </w:r>
          </w:p>
        </w:tc>
      </w:tr>
      <w:tr w:rsidR="00327204" w:rsidRPr="00C77381" w14:paraId="1E29AD78" w14:textId="77777777" w:rsidTr="00ED7AA5">
        <w:tc>
          <w:tcPr>
            <w:tcW w:w="1500" w:type="dxa"/>
          </w:tcPr>
          <w:p w14:paraId="1AF0075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2</w:t>
            </w:r>
          </w:p>
        </w:tc>
        <w:tc>
          <w:tcPr>
            <w:tcW w:w="1700" w:type="dxa"/>
          </w:tcPr>
          <w:p w14:paraId="0556A69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387.5</w:t>
            </w:r>
          </w:p>
        </w:tc>
        <w:tc>
          <w:tcPr>
            <w:tcW w:w="1200" w:type="dxa"/>
          </w:tcPr>
          <w:p w14:paraId="6840DC3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0.5917</w:t>
            </w:r>
          </w:p>
        </w:tc>
        <w:tc>
          <w:tcPr>
            <w:tcW w:w="1713" w:type="dxa"/>
          </w:tcPr>
          <w:p w14:paraId="1B4D3E7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229.28</w:t>
            </w:r>
          </w:p>
        </w:tc>
        <w:tc>
          <w:tcPr>
            <w:tcW w:w="1200" w:type="dxa"/>
          </w:tcPr>
          <w:p w14:paraId="7D631BB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0.5487</w:t>
            </w:r>
          </w:p>
        </w:tc>
        <w:tc>
          <w:tcPr>
            <w:tcW w:w="1713" w:type="dxa"/>
          </w:tcPr>
          <w:p w14:paraId="5E2A772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212.62</w:t>
            </w:r>
          </w:p>
        </w:tc>
      </w:tr>
      <w:tr w:rsidR="00327204" w:rsidRPr="00C77381" w14:paraId="729D2D84" w14:textId="77777777" w:rsidTr="00ED7AA5">
        <w:tc>
          <w:tcPr>
            <w:tcW w:w="1500" w:type="dxa"/>
          </w:tcPr>
          <w:p w14:paraId="3FF0A51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3</w:t>
            </w:r>
          </w:p>
        </w:tc>
        <w:tc>
          <w:tcPr>
            <w:tcW w:w="1700" w:type="dxa"/>
          </w:tcPr>
          <w:p w14:paraId="0DF95A2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590.0</w:t>
            </w:r>
          </w:p>
        </w:tc>
        <w:tc>
          <w:tcPr>
            <w:tcW w:w="1200" w:type="dxa"/>
          </w:tcPr>
          <w:p w14:paraId="3204C0B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0.4552</w:t>
            </w:r>
          </w:p>
        </w:tc>
        <w:tc>
          <w:tcPr>
            <w:tcW w:w="1713" w:type="dxa"/>
          </w:tcPr>
          <w:p w14:paraId="7B61326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268.57</w:t>
            </w:r>
          </w:p>
        </w:tc>
        <w:tc>
          <w:tcPr>
            <w:tcW w:w="1200" w:type="dxa"/>
          </w:tcPr>
          <w:p w14:paraId="5AD8373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0.4064</w:t>
            </w:r>
          </w:p>
        </w:tc>
        <w:tc>
          <w:tcPr>
            <w:tcW w:w="1713" w:type="dxa"/>
          </w:tcPr>
          <w:p w14:paraId="33CA4A9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239.78</w:t>
            </w:r>
          </w:p>
        </w:tc>
      </w:tr>
      <w:tr w:rsidR="00327204" w:rsidRPr="00C77381" w14:paraId="506C899A" w14:textId="77777777" w:rsidTr="00ED7AA5">
        <w:tc>
          <w:tcPr>
            <w:tcW w:w="1500" w:type="dxa"/>
          </w:tcPr>
          <w:p w14:paraId="12E821E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4</w:t>
            </w:r>
          </w:p>
        </w:tc>
        <w:tc>
          <w:tcPr>
            <w:tcW w:w="1700" w:type="dxa"/>
          </w:tcPr>
          <w:p w14:paraId="6E698BF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785.0</w:t>
            </w:r>
          </w:p>
        </w:tc>
        <w:tc>
          <w:tcPr>
            <w:tcW w:w="1200" w:type="dxa"/>
          </w:tcPr>
          <w:p w14:paraId="622C200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0.3501</w:t>
            </w:r>
          </w:p>
        </w:tc>
        <w:tc>
          <w:tcPr>
            <w:tcW w:w="1713" w:type="dxa"/>
          </w:tcPr>
          <w:p w14:paraId="51D6AD4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274.83</w:t>
            </w:r>
          </w:p>
        </w:tc>
        <w:tc>
          <w:tcPr>
            <w:tcW w:w="1200" w:type="dxa"/>
          </w:tcPr>
          <w:p w14:paraId="33C3323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0.3011</w:t>
            </w:r>
          </w:p>
        </w:tc>
        <w:tc>
          <w:tcPr>
            <w:tcW w:w="1713" w:type="dxa"/>
          </w:tcPr>
          <w:p w14:paraId="626B7B7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236.36</w:t>
            </w:r>
          </w:p>
        </w:tc>
      </w:tr>
      <w:tr w:rsidR="00327204" w:rsidRPr="00C77381" w14:paraId="133D69BA" w14:textId="77777777" w:rsidTr="00ED7AA5">
        <w:tc>
          <w:tcPr>
            <w:tcW w:w="1500" w:type="dxa"/>
          </w:tcPr>
          <w:p w14:paraId="6EE7BF1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Total PV</w:t>
            </w:r>
          </w:p>
        </w:tc>
        <w:tc>
          <w:tcPr>
            <w:tcW w:w="1700" w:type="dxa"/>
          </w:tcPr>
          <w:p w14:paraId="4B9A057B" w14:textId="77777777" w:rsidR="00E97EC7" w:rsidRPr="00C77381" w:rsidRDefault="00E97EC7" w:rsidP="00375BDA">
            <w:pPr>
              <w:jc w:val="both"/>
              <w:rPr>
                <w:rFonts w:asciiTheme="minorHAnsi" w:hAnsiTheme="minorHAnsi" w:cstheme="minorHAnsi"/>
              </w:rPr>
            </w:pPr>
          </w:p>
        </w:tc>
        <w:tc>
          <w:tcPr>
            <w:tcW w:w="1200" w:type="dxa"/>
          </w:tcPr>
          <w:p w14:paraId="6ED127E8" w14:textId="77777777" w:rsidR="00E97EC7" w:rsidRPr="00C77381" w:rsidRDefault="00E97EC7" w:rsidP="00375BDA">
            <w:pPr>
              <w:jc w:val="both"/>
              <w:rPr>
                <w:rFonts w:asciiTheme="minorHAnsi" w:hAnsiTheme="minorHAnsi" w:cstheme="minorHAnsi"/>
              </w:rPr>
            </w:pPr>
          </w:p>
        </w:tc>
        <w:tc>
          <w:tcPr>
            <w:tcW w:w="1713" w:type="dxa"/>
          </w:tcPr>
          <w:p w14:paraId="68F4E28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1041.90</w:t>
            </w:r>
          </w:p>
        </w:tc>
        <w:tc>
          <w:tcPr>
            <w:tcW w:w="1200" w:type="dxa"/>
          </w:tcPr>
          <w:p w14:paraId="15A2F03F" w14:textId="77777777" w:rsidR="00E97EC7" w:rsidRPr="00C77381" w:rsidRDefault="00E97EC7" w:rsidP="00375BDA">
            <w:pPr>
              <w:jc w:val="both"/>
              <w:rPr>
                <w:rFonts w:asciiTheme="minorHAnsi" w:hAnsiTheme="minorHAnsi" w:cstheme="minorHAnsi"/>
              </w:rPr>
            </w:pPr>
          </w:p>
        </w:tc>
        <w:tc>
          <w:tcPr>
            <w:tcW w:w="1713" w:type="dxa"/>
          </w:tcPr>
          <w:p w14:paraId="26E751E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948.01</w:t>
            </w:r>
          </w:p>
        </w:tc>
      </w:tr>
      <w:tr w:rsidR="00327204" w:rsidRPr="00C77381" w14:paraId="0810ABAA" w14:textId="77777777" w:rsidTr="00ED7AA5">
        <w:tc>
          <w:tcPr>
            <w:tcW w:w="1500" w:type="dxa"/>
          </w:tcPr>
          <w:p w14:paraId="360DCC8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NPV</w:t>
            </w:r>
          </w:p>
        </w:tc>
        <w:tc>
          <w:tcPr>
            <w:tcW w:w="1700" w:type="dxa"/>
          </w:tcPr>
          <w:p w14:paraId="4A6B32BA" w14:textId="77777777" w:rsidR="00E97EC7" w:rsidRPr="00C77381" w:rsidRDefault="00E97EC7" w:rsidP="00375BDA">
            <w:pPr>
              <w:jc w:val="both"/>
              <w:rPr>
                <w:rFonts w:asciiTheme="minorHAnsi" w:hAnsiTheme="minorHAnsi" w:cstheme="minorHAnsi"/>
              </w:rPr>
            </w:pPr>
          </w:p>
        </w:tc>
        <w:tc>
          <w:tcPr>
            <w:tcW w:w="1200" w:type="dxa"/>
          </w:tcPr>
          <w:p w14:paraId="0D85D673" w14:textId="77777777" w:rsidR="00E97EC7" w:rsidRPr="00C77381" w:rsidRDefault="00E97EC7" w:rsidP="00375BDA">
            <w:pPr>
              <w:jc w:val="both"/>
              <w:rPr>
                <w:rFonts w:asciiTheme="minorHAnsi" w:hAnsiTheme="minorHAnsi" w:cstheme="minorHAnsi"/>
              </w:rPr>
            </w:pPr>
          </w:p>
        </w:tc>
        <w:tc>
          <w:tcPr>
            <w:tcW w:w="1713" w:type="dxa"/>
          </w:tcPr>
          <w:p w14:paraId="6280BB3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41.90</w:t>
            </w:r>
          </w:p>
        </w:tc>
        <w:tc>
          <w:tcPr>
            <w:tcW w:w="1200" w:type="dxa"/>
          </w:tcPr>
          <w:p w14:paraId="7F9A103A" w14:textId="77777777" w:rsidR="00E97EC7" w:rsidRPr="00C77381" w:rsidRDefault="00E97EC7" w:rsidP="00375BDA">
            <w:pPr>
              <w:jc w:val="both"/>
              <w:rPr>
                <w:rFonts w:asciiTheme="minorHAnsi" w:hAnsiTheme="minorHAnsi" w:cstheme="minorHAnsi"/>
              </w:rPr>
            </w:pPr>
          </w:p>
        </w:tc>
        <w:tc>
          <w:tcPr>
            <w:tcW w:w="1713" w:type="dxa"/>
          </w:tcPr>
          <w:p w14:paraId="546D819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-51.99</w:t>
            </w:r>
          </w:p>
        </w:tc>
      </w:tr>
    </w:tbl>
    <w:p w14:paraId="02964246" w14:textId="77777777" w:rsidR="00E97EC7" w:rsidRPr="00C77381" w:rsidRDefault="00E97EC7" w:rsidP="00375BDA">
      <w:pPr>
        <w:spacing w:before="140"/>
        <w:jc w:val="both"/>
        <w:rPr>
          <w:rFonts w:asciiTheme="minorHAnsi" w:hAnsiTheme="minorHAnsi" w:cstheme="minorHAnsi"/>
        </w:rPr>
      </w:pPr>
    </w:p>
    <w:p w14:paraId="59791CAB" w14:textId="77777777" w:rsidR="00E97EC7" w:rsidRPr="00C77381" w:rsidRDefault="00800625" w:rsidP="00375BDA">
      <w:pPr>
        <w:pStyle w:val="Heading2"/>
        <w:rPr>
          <w:rFonts w:asciiTheme="minorHAnsi" w:hAnsiTheme="minorHAnsi" w:cstheme="minorHAnsi"/>
          <w:color w:val="auto"/>
        </w:rPr>
      </w:pPr>
      <w:bookmarkStart w:id="58" w:name="_Toc227422454"/>
      <w:bookmarkStart w:id="59" w:name="_Toc227443274"/>
      <w:r w:rsidRPr="00C77381">
        <w:rPr>
          <w:rFonts w:asciiTheme="minorHAnsi" w:hAnsiTheme="minorHAnsi" w:cstheme="minorHAnsi"/>
          <w:color w:val="auto"/>
        </w:rPr>
        <w:t>C.3  Result and Interpretation</w:t>
      </w:r>
      <w:bookmarkEnd w:id="58"/>
      <w:bookmarkEnd w:id="59"/>
    </w:p>
    <w:p w14:paraId="749A54C9" w14:textId="77777777" w:rsidR="009C237F"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Applying the formula:   IRR  ≈  30%  +  [  41.90  /  (41.90 – -51.99) ]  ×  5%  ≈  32.23%</w:t>
      </w:r>
    </w:p>
    <w:p w14:paraId="1F8861D7" w14:textId="09A0926C" w:rsidR="00E97EC7" w:rsidRPr="00C77381" w:rsidRDefault="009C237F"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Option B has a rough IRR of 32.23 which is above 6% cost of capital by a standard of 26.23 percentage points. This large margin substantiates the fact that the minimum hurdle rate </w:t>
      </w:r>
      <w:r w:rsidRPr="00C77381">
        <w:rPr>
          <w:rFonts w:asciiTheme="minorHAnsi" w:hAnsiTheme="minorHAnsi" w:cstheme="minorHAnsi"/>
          <w:sz w:val="24"/>
          <w:szCs w:val="24"/>
        </w:rPr>
        <w:lastRenderedPageBreak/>
        <w:t>would be easily met to pay to investors the risk taken in the investment, and that the investment itself would still yield a positive NPV in the event that actual cash flows were significantly below the estimates. The magnitude of the IRR as compared to the cost of capital is another confirmation that the NPV-based recommendation is solid.</w:t>
      </w:r>
    </w:p>
    <w:p w14:paraId="4E1E2F79" w14:textId="77777777" w:rsidR="00E97EC7" w:rsidRPr="00C77381" w:rsidRDefault="00800625" w:rsidP="00375BDA">
      <w:pPr>
        <w:pStyle w:val="Heading1"/>
        <w:rPr>
          <w:rFonts w:asciiTheme="minorHAnsi" w:hAnsiTheme="minorHAnsi" w:cstheme="minorHAnsi"/>
          <w:color w:val="auto"/>
        </w:rPr>
      </w:pPr>
      <w:bookmarkStart w:id="60" w:name="_Toc227422455"/>
      <w:bookmarkStart w:id="61" w:name="_Toc227443275"/>
      <w:r w:rsidRPr="00C77381">
        <w:rPr>
          <w:rFonts w:asciiTheme="minorHAnsi" w:hAnsiTheme="minorHAnsi" w:cstheme="minorHAnsi"/>
          <w:color w:val="auto"/>
        </w:rPr>
        <w:t>Section D:  Interpretation of Results</w:t>
      </w:r>
      <w:bookmarkEnd w:id="60"/>
      <w:bookmarkEnd w:id="61"/>
    </w:p>
    <w:p w14:paraId="771021E6" w14:textId="77777777" w:rsidR="00E97EC7" w:rsidRPr="00C77381" w:rsidRDefault="00800625" w:rsidP="00375BDA">
      <w:pPr>
        <w:pStyle w:val="Heading2"/>
        <w:rPr>
          <w:rFonts w:asciiTheme="minorHAnsi" w:hAnsiTheme="minorHAnsi" w:cstheme="minorHAnsi"/>
          <w:color w:val="auto"/>
        </w:rPr>
      </w:pPr>
      <w:bookmarkStart w:id="62" w:name="_Toc227422456"/>
      <w:bookmarkStart w:id="63" w:name="_Toc227443276"/>
      <w:r w:rsidRPr="00C77381">
        <w:rPr>
          <w:rFonts w:asciiTheme="minorHAnsi" w:hAnsiTheme="minorHAnsi" w:cstheme="minorHAnsi"/>
          <w:color w:val="auto"/>
        </w:rPr>
        <w:t>D.1  The Case for Net Present Value</w:t>
      </w:r>
      <w:bookmarkEnd w:id="62"/>
      <w:bookmarkEnd w:id="63"/>
    </w:p>
    <w:p w14:paraId="725859F0" w14:textId="20E56EA1" w:rsidR="00A015BF" w:rsidRPr="00C77381" w:rsidRDefault="00A015BF" w:rsidP="00375BDA">
      <w:pPr>
        <w:jc w:val="both"/>
        <w:rPr>
          <w:rFonts w:asciiTheme="minorHAnsi" w:hAnsiTheme="minorHAnsi" w:cstheme="minorHAnsi"/>
          <w:sz w:val="24"/>
          <w:szCs w:val="24"/>
        </w:rPr>
      </w:pPr>
      <w:bookmarkStart w:id="64" w:name="_Toc227422457"/>
      <w:r w:rsidRPr="00C77381">
        <w:rPr>
          <w:rFonts w:asciiTheme="minorHAnsi" w:hAnsiTheme="minorHAnsi" w:cstheme="minorHAnsi"/>
          <w:sz w:val="24"/>
          <w:szCs w:val="24"/>
        </w:rPr>
        <w:t>Net Present Value enjoys a unique status as the theoretically best way of capital investment appraisal, with the academic evidence on corporate finance backing up its claims in a comprehensive manner (A</w:t>
      </w:r>
      <w:r w:rsidR="002A2D46">
        <w:rPr>
          <w:rFonts w:asciiTheme="minorHAnsi" w:hAnsiTheme="minorHAnsi" w:cstheme="minorHAnsi"/>
          <w:sz w:val="24"/>
          <w:szCs w:val="24"/>
        </w:rPr>
        <w:t>p</w:t>
      </w:r>
      <w:r w:rsidRPr="00C77381">
        <w:rPr>
          <w:rFonts w:asciiTheme="minorHAnsi" w:hAnsiTheme="minorHAnsi" w:cstheme="minorHAnsi"/>
          <w:sz w:val="24"/>
          <w:szCs w:val="24"/>
        </w:rPr>
        <w:t xml:space="preserve">rill, 2020; </w:t>
      </w:r>
      <w:proofErr w:type="spellStart"/>
      <w:r w:rsidRPr="00C77381">
        <w:rPr>
          <w:rFonts w:asciiTheme="minorHAnsi" w:hAnsiTheme="minorHAnsi" w:cstheme="minorHAnsi"/>
          <w:sz w:val="24"/>
          <w:szCs w:val="24"/>
        </w:rPr>
        <w:t>Mclaney</w:t>
      </w:r>
      <w:proofErr w:type="spellEnd"/>
      <w:r w:rsidRPr="00C77381">
        <w:rPr>
          <w:rFonts w:asciiTheme="minorHAnsi" w:hAnsiTheme="minorHAnsi" w:cstheme="minorHAnsi"/>
          <w:sz w:val="24"/>
          <w:szCs w:val="24"/>
        </w:rPr>
        <w:t>, 2017). The main reasons why this is the case are as follows:</w:t>
      </w:r>
    </w:p>
    <w:p w14:paraId="427F3C95" w14:textId="556874BA" w:rsidR="00A015BF" w:rsidRPr="00C77381" w:rsidRDefault="00A015BF" w:rsidP="00375BDA">
      <w:pPr>
        <w:pStyle w:val="ListParagraph"/>
        <w:numPr>
          <w:ilvl w:val="0"/>
          <w:numId w:val="7"/>
        </w:numPr>
        <w:jc w:val="both"/>
        <w:rPr>
          <w:rFonts w:asciiTheme="minorHAnsi" w:hAnsiTheme="minorHAnsi" w:cstheme="minorHAnsi"/>
          <w:sz w:val="24"/>
          <w:szCs w:val="24"/>
        </w:rPr>
      </w:pPr>
      <w:r w:rsidRPr="00C77381">
        <w:rPr>
          <w:rFonts w:asciiTheme="minorHAnsi" w:hAnsiTheme="minorHAnsi" w:cstheme="minorHAnsi"/>
          <w:sz w:val="24"/>
          <w:szCs w:val="24"/>
        </w:rPr>
        <w:t>The time value of money is properly and accurately included. Discounting future cash flows at the cost of capital, NPV acknowledges that cash receivables in a future date have a lower present-value value than cash receivables in the present day - an economic truth inherent in all markets. This modification is mathematically accurate, and theoretically sound.</w:t>
      </w:r>
    </w:p>
    <w:p w14:paraId="2643E54A" w14:textId="33C37C9B" w:rsidR="00A015BF" w:rsidRPr="00C77381" w:rsidRDefault="00A015BF" w:rsidP="00375BDA">
      <w:pPr>
        <w:pStyle w:val="ListParagraph"/>
        <w:numPr>
          <w:ilvl w:val="0"/>
          <w:numId w:val="7"/>
        </w:numPr>
        <w:jc w:val="both"/>
        <w:rPr>
          <w:rFonts w:asciiTheme="minorHAnsi" w:hAnsiTheme="minorHAnsi" w:cstheme="minorHAnsi"/>
          <w:sz w:val="24"/>
          <w:szCs w:val="24"/>
        </w:rPr>
      </w:pPr>
      <w:r w:rsidRPr="00C77381">
        <w:rPr>
          <w:rFonts w:asciiTheme="minorHAnsi" w:hAnsiTheme="minorHAnsi" w:cstheme="minorHAnsi"/>
          <w:sz w:val="24"/>
          <w:szCs w:val="24"/>
        </w:rPr>
        <w:t xml:space="preserve">NPV gives a direct, absolute value of wealth creation by the shareholders. As opposed to the Payback Period, which gives a period of time, or the Accounting rate of return (ARR) which gives a percentage increase in book values, NPV is in monetary terms the precise increase in firm value that is expected. This is directly applicable to the main financial goal of the Board which is attainment of </w:t>
      </w:r>
      <w:proofErr w:type="spellStart"/>
      <w:r w:rsidRPr="00C77381">
        <w:rPr>
          <w:rFonts w:asciiTheme="minorHAnsi" w:hAnsiTheme="minorHAnsi" w:cstheme="minorHAnsi"/>
          <w:sz w:val="24"/>
          <w:szCs w:val="24"/>
        </w:rPr>
        <w:t>maximisation</w:t>
      </w:r>
      <w:proofErr w:type="spellEnd"/>
      <w:r w:rsidRPr="00C77381">
        <w:rPr>
          <w:rFonts w:asciiTheme="minorHAnsi" w:hAnsiTheme="minorHAnsi" w:cstheme="minorHAnsi"/>
          <w:sz w:val="24"/>
          <w:szCs w:val="24"/>
        </w:rPr>
        <w:t xml:space="preserve"> of the shareholder wealth.</w:t>
      </w:r>
    </w:p>
    <w:p w14:paraId="15C01476" w14:textId="4AD6D37F" w:rsidR="00A015BF" w:rsidRPr="00C77381" w:rsidRDefault="00A015BF" w:rsidP="00375BDA">
      <w:pPr>
        <w:pStyle w:val="ListParagraph"/>
        <w:numPr>
          <w:ilvl w:val="0"/>
          <w:numId w:val="7"/>
        </w:numPr>
        <w:jc w:val="both"/>
        <w:rPr>
          <w:rFonts w:asciiTheme="minorHAnsi" w:hAnsiTheme="minorHAnsi" w:cstheme="minorHAnsi"/>
          <w:sz w:val="24"/>
          <w:szCs w:val="24"/>
        </w:rPr>
      </w:pPr>
      <w:r w:rsidRPr="00C77381">
        <w:rPr>
          <w:rFonts w:asciiTheme="minorHAnsi" w:hAnsiTheme="minorHAnsi" w:cstheme="minorHAnsi"/>
          <w:sz w:val="24"/>
          <w:szCs w:val="24"/>
        </w:rPr>
        <w:t>The discount rate applied in NPV analysis weighted average cost of capital is a correct way of displaying the risk-adjusted minimum return necessary to both debt and equity investors. Projects yielding returns that are greater than this level will create value; NPV makes sure that the acceptance criterion is in practice sound.</w:t>
      </w:r>
    </w:p>
    <w:p w14:paraId="04DDBEC6" w14:textId="63F2B3D8" w:rsidR="00A015BF" w:rsidRPr="00C77381" w:rsidRDefault="00A015BF" w:rsidP="00375BDA">
      <w:pPr>
        <w:pStyle w:val="ListParagraph"/>
        <w:numPr>
          <w:ilvl w:val="0"/>
          <w:numId w:val="7"/>
        </w:numPr>
        <w:jc w:val="both"/>
        <w:rPr>
          <w:rFonts w:asciiTheme="minorHAnsi" w:hAnsiTheme="minorHAnsi" w:cstheme="minorHAnsi"/>
          <w:sz w:val="24"/>
          <w:szCs w:val="24"/>
        </w:rPr>
      </w:pPr>
      <w:r w:rsidRPr="00C77381">
        <w:rPr>
          <w:rFonts w:asciiTheme="minorHAnsi" w:hAnsiTheme="minorHAnsi" w:cstheme="minorHAnsi"/>
          <w:sz w:val="24"/>
          <w:szCs w:val="24"/>
        </w:rPr>
        <w:t>NPV has the additive property: NPVs of independent projects can be added to determine the overall impact on firm value to make coherent decisions about capital budgeting at a portfolio level. This property is not shared by the IRR.</w:t>
      </w:r>
    </w:p>
    <w:p w14:paraId="31D5DA70" w14:textId="04C47932" w:rsidR="00E97EC7" w:rsidRPr="00C77381" w:rsidRDefault="00800625" w:rsidP="00375BDA">
      <w:pPr>
        <w:pStyle w:val="Heading2"/>
        <w:rPr>
          <w:rFonts w:asciiTheme="minorHAnsi" w:hAnsiTheme="minorHAnsi" w:cstheme="minorHAnsi"/>
          <w:color w:val="auto"/>
        </w:rPr>
      </w:pPr>
      <w:bookmarkStart w:id="65" w:name="_Toc227443277"/>
      <w:r w:rsidRPr="00C77381">
        <w:rPr>
          <w:rFonts w:asciiTheme="minorHAnsi" w:hAnsiTheme="minorHAnsi" w:cstheme="minorHAnsi"/>
          <w:color w:val="auto"/>
        </w:rPr>
        <w:t>D.2  The Persistence of Non-Discounting Methods</w:t>
      </w:r>
      <w:bookmarkEnd w:id="64"/>
      <w:bookmarkEnd w:id="65"/>
    </w:p>
    <w:p w14:paraId="79060F77" w14:textId="3B096EB1" w:rsidR="00A015BF" w:rsidRPr="00C77381" w:rsidRDefault="00A015BF" w:rsidP="00375BDA">
      <w:pPr>
        <w:jc w:val="both"/>
        <w:rPr>
          <w:rFonts w:asciiTheme="minorHAnsi" w:hAnsiTheme="minorHAnsi" w:cstheme="minorHAnsi"/>
          <w:sz w:val="24"/>
          <w:szCs w:val="24"/>
        </w:rPr>
      </w:pPr>
      <w:bookmarkStart w:id="66" w:name="_Toc227422458"/>
      <w:r w:rsidRPr="00C77381">
        <w:rPr>
          <w:rFonts w:asciiTheme="minorHAnsi" w:hAnsiTheme="minorHAnsi" w:cstheme="minorHAnsi"/>
          <w:sz w:val="24"/>
          <w:szCs w:val="24"/>
        </w:rPr>
        <w:t>Although theoretically NPV is pre-eminently superior, empirical studies have continuously shown that non-discounting techniques, most notably the Payback Period and the Accounting Rate of Return, continue to be highly popular in practice, especially in smaller and medium sized businesses (A</w:t>
      </w:r>
      <w:r w:rsidR="002A2D46">
        <w:rPr>
          <w:rFonts w:asciiTheme="minorHAnsi" w:hAnsiTheme="minorHAnsi" w:cstheme="minorHAnsi"/>
          <w:sz w:val="24"/>
          <w:szCs w:val="24"/>
        </w:rPr>
        <w:t>p</w:t>
      </w:r>
      <w:r w:rsidRPr="00C77381">
        <w:rPr>
          <w:rFonts w:asciiTheme="minorHAnsi" w:hAnsiTheme="minorHAnsi" w:cstheme="minorHAnsi"/>
          <w:sz w:val="24"/>
          <w:szCs w:val="24"/>
        </w:rPr>
        <w:t>rill, 2020). This persistence is explained by a number of reasons:</w:t>
      </w:r>
    </w:p>
    <w:p w14:paraId="788C3759" w14:textId="36A56EDE" w:rsidR="00A015BF" w:rsidRPr="00C77381" w:rsidRDefault="00A015BF" w:rsidP="00375BDA">
      <w:pPr>
        <w:pStyle w:val="ListParagraph"/>
        <w:numPr>
          <w:ilvl w:val="0"/>
          <w:numId w:val="8"/>
        </w:numPr>
        <w:jc w:val="both"/>
        <w:rPr>
          <w:rFonts w:asciiTheme="minorHAnsi" w:hAnsiTheme="minorHAnsi" w:cstheme="minorHAnsi"/>
          <w:sz w:val="24"/>
          <w:szCs w:val="24"/>
        </w:rPr>
      </w:pPr>
      <w:r w:rsidRPr="00C77381">
        <w:rPr>
          <w:rFonts w:asciiTheme="minorHAnsi" w:hAnsiTheme="minorHAnsi" w:cstheme="minorHAnsi"/>
          <w:b/>
          <w:bCs/>
          <w:sz w:val="24"/>
          <w:szCs w:val="24"/>
        </w:rPr>
        <w:t>Simplicity and communicability:</w:t>
      </w:r>
      <w:r w:rsidRPr="00C77381">
        <w:rPr>
          <w:rFonts w:asciiTheme="minorHAnsi" w:hAnsiTheme="minorHAnsi" w:cstheme="minorHAnsi"/>
          <w:sz w:val="24"/>
          <w:szCs w:val="24"/>
        </w:rPr>
        <w:t xml:space="preserve"> the Payback Period is calculated by dividing the initial investment by the annual cash inflow and does not involve any idea of discounting or present value tables or cost of capital. The outcome is a time frame, which is immediately intuitive and can be communicated to non-financial board members, operational managers and non-financial business owners without any financial expertise.</w:t>
      </w:r>
    </w:p>
    <w:p w14:paraId="3634398F" w14:textId="2F05D997" w:rsidR="00A015BF" w:rsidRPr="00C77381" w:rsidRDefault="00A015BF" w:rsidP="00375BDA">
      <w:pPr>
        <w:pStyle w:val="ListParagraph"/>
        <w:numPr>
          <w:ilvl w:val="0"/>
          <w:numId w:val="8"/>
        </w:numPr>
        <w:jc w:val="both"/>
        <w:rPr>
          <w:rFonts w:asciiTheme="minorHAnsi" w:hAnsiTheme="minorHAnsi" w:cstheme="minorHAnsi"/>
          <w:sz w:val="24"/>
          <w:szCs w:val="24"/>
        </w:rPr>
      </w:pPr>
      <w:r w:rsidRPr="00C77381">
        <w:rPr>
          <w:rFonts w:asciiTheme="minorHAnsi" w:hAnsiTheme="minorHAnsi" w:cstheme="minorHAnsi"/>
          <w:b/>
          <w:bCs/>
          <w:sz w:val="24"/>
          <w:szCs w:val="24"/>
        </w:rPr>
        <w:t>Risk management in Liquidity:</w:t>
      </w:r>
      <w:r w:rsidRPr="00C77381">
        <w:rPr>
          <w:rFonts w:asciiTheme="minorHAnsi" w:hAnsiTheme="minorHAnsi" w:cstheme="minorHAnsi"/>
          <w:sz w:val="24"/>
          <w:szCs w:val="24"/>
        </w:rPr>
        <w:t xml:space="preserve"> Payback Period prioritizes investments that can be recouped in the shortest possible time as practical protection to businesses that have less access to external funding, or where cash-flow pressure is a more immediate issue than wealth </w:t>
      </w:r>
      <w:proofErr w:type="spellStart"/>
      <w:r w:rsidRPr="00C77381">
        <w:rPr>
          <w:rFonts w:asciiTheme="minorHAnsi" w:hAnsiTheme="minorHAnsi" w:cstheme="minorHAnsi"/>
          <w:sz w:val="24"/>
          <w:szCs w:val="24"/>
        </w:rPr>
        <w:t>maximisation</w:t>
      </w:r>
      <w:proofErr w:type="spellEnd"/>
      <w:r w:rsidRPr="00C77381">
        <w:rPr>
          <w:rFonts w:asciiTheme="minorHAnsi" w:hAnsiTheme="minorHAnsi" w:cstheme="minorHAnsi"/>
          <w:sz w:val="24"/>
          <w:szCs w:val="24"/>
        </w:rPr>
        <w:t xml:space="preserve"> in the long run. Capital recovery is quick in volatile trading environments to lessen exposure to unexpected negative events.</w:t>
      </w:r>
    </w:p>
    <w:p w14:paraId="0C90EFE7" w14:textId="5BA8B696" w:rsidR="00A015BF" w:rsidRPr="00C77381" w:rsidRDefault="00A015BF" w:rsidP="00375BDA">
      <w:pPr>
        <w:pStyle w:val="ListParagraph"/>
        <w:numPr>
          <w:ilvl w:val="0"/>
          <w:numId w:val="8"/>
        </w:numPr>
        <w:jc w:val="both"/>
        <w:rPr>
          <w:rFonts w:asciiTheme="minorHAnsi" w:hAnsiTheme="minorHAnsi" w:cstheme="minorHAnsi"/>
          <w:sz w:val="24"/>
          <w:szCs w:val="24"/>
        </w:rPr>
      </w:pPr>
      <w:r w:rsidRPr="00C77381">
        <w:rPr>
          <w:rFonts w:asciiTheme="minorHAnsi" w:hAnsiTheme="minorHAnsi" w:cstheme="minorHAnsi"/>
          <w:b/>
          <w:bCs/>
          <w:sz w:val="24"/>
          <w:szCs w:val="24"/>
        </w:rPr>
        <w:lastRenderedPageBreak/>
        <w:t>Risk proxy role:</w:t>
      </w:r>
      <w:r w:rsidRPr="00C77381">
        <w:rPr>
          <w:rFonts w:asciiTheme="minorHAnsi" w:hAnsiTheme="minorHAnsi" w:cstheme="minorHAnsi"/>
          <w:sz w:val="24"/>
          <w:szCs w:val="24"/>
        </w:rPr>
        <w:t xml:space="preserve"> cash flows in the near term are predictable as compared to those that are expected years three, four, or more. A small payback period thus suggests the limited exposure to forecasting risk which is a convenient but theoretically inefficient proxy of project risk.</w:t>
      </w:r>
    </w:p>
    <w:p w14:paraId="7B143466" w14:textId="4E639D47" w:rsidR="00E97EC7" w:rsidRPr="00C77381" w:rsidRDefault="00800625" w:rsidP="00375BDA">
      <w:pPr>
        <w:pStyle w:val="Heading2"/>
        <w:rPr>
          <w:rFonts w:asciiTheme="minorHAnsi" w:hAnsiTheme="minorHAnsi" w:cstheme="minorHAnsi"/>
          <w:color w:val="auto"/>
        </w:rPr>
      </w:pPr>
      <w:bookmarkStart w:id="67" w:name="_Toc227443278"/>
      <w:r w:rsidRPr="00C77381">
        <w:rPr>
          <w:rFonts w:asciiTheme="minorHAnsi" w:hAnsiTheme="minorHAnsi" w:cstheme="minorHAnsi"/>
          <w:color w:val="auto"/>
        </w:rPr>
        <w:t>D.3  Additional Factors for Board Consideration</w:t>
      </w:r>
      <w:bookmarkEnd w:id="66"/>
      <w:bookmarkEnd w:id="67"/>
    </w:p>
    <w:p w14:paraId="7EA7D238" w14:textId="77777777" w:rsidR="00A015BF" w:rsidRPr="00C77381" w:rsidRDefault="00A015BF" w:rsidP="00375BDA">
      <w:pPr>
        <w:jc w:val="both"/>
        <w:rPr>
          <w:rFonts w:asciiTheme="minorHAnsi" w:hAnsiTheme="minorHAnsi" w:cstheme="minorHAnsi"/>
          <w:sz w:val="24"/>
          <w:szCs w:val="24"/>
        </w:rPr>
      </w:pPr>
      <w:bookmarkStart w:id="68" w:name="_Toc227422459"/>
      <w:r w:rsidRPr="00C77381">
        <w:rPr>
          <w:rFonts w:asciiTheme="minorHAnsi" w:hAnsiTheme="minorHAnsi" w:cstheme="minorHAnsi"/>
          <w:sz w:val="24"/>
          <w:szCs w:val="24"/>
        </w:rPr>
        <w:t xml:space="preserve">The </w:t>
      </w:r>
      <w:proofErr w:type="spellStart"/>
      <w:r w:rsidRPr="00C77381">
        <w:rPr>
          <w:rFonts w:asciiTheme="minorHAnsi" w:hAnsiTheme="minorHAnsi" w:cstheme="minorHAnsi"/>
          <w:sz w:val="24"/>
          <w:szCs w:val="24"/>
        </w:rPr>
        <w:t>favourable</w:t>
      </w:r>
      <w:proofErr w:type="spellEnd"/>
      <w:r w:rsidRPr="00C77381">
        <w:rPr>
          <w:rFonts w:asciiTheme="minorHAnsi" w:hAnsiTheme="minorHAnsi" w:cstheme="minorHAnsi"/>
          <w:sz w:val="24"/>
          <w:szCs w:val="24"/>
        </w:rPr>
        <w:t xml:space="preserve"> IRR and positive NPV are the conditions that one must have but not necessary to make the final investment commitment. Westward Plc Board ought to consider the following qualitative and strategic considerations before going to the next step:</w:t>
      </w:r>
    </w:p>
    <w:p w14:paraId="0738A5C9" w14:textId="599A5684" w:rsidR="00A015BF" w:rsidRPr="00C77381" w:rsidRDefault="00A015BF" w:rsidP="00375BDA">
      <w:pPr>
        <w:pStyle w:val="ListParagraph"/>
        <w:numPr>
          <w:ilvl w:val="0"/>
          <w:numId w:val="9"/>
        </w:numPr>
        <w:jc w:val="both"/>
        <w:rPr>
          <w:rFonts w:asciiTheme="minorHAnsi" w:hAnsiTheme="minorHAnsi" w:cstheme="minorHAnsi"/>
          <w:sz w:val="24"/>
          <w:szCs w:val="24"/>
        </w:rPr>
      </w:pPr>
      <w:r w:rsidRPr="00C77381">
        <w:rPr>
          <w:rFonts w:asciiTheme="minorHAnsi" w:hAnsiTheme="minorHAnsi" w:cstheme="minorHAnsi"/>
          <w:b/>
          <w:bCs/>
          <w:sz w:val="24"/>
          <w:szCs w:val="24"/>
        </w:rPr>
        <w:t xml:space="preserve">Market and competitive analysis: </w:t>
      </w:r>
      <w:r w:rsidRPr="00C77381">
        <w:rPr>
          <w:rFonts w:asciiTheme="minorHAnsi" w:hAnsiTheme="minorHAnsi" w:cstheme="minorHAnsi"/>
          <w:sz w:val="24"/>
          <w:szCs w:val="24"/>
        </w:rPr>
        <w:t>the online market of home furnishings in the UK is expanding, yet it is also being marked by a rise in competition among the traditional retailers, platform-based online stores, and new digital businesses. The capital commitment should be preceded by a thorough market sizing and competitive positioning analysis.</w:t>
      </w:r>
    </w:p>
    <w:p w14:paraId="233CB1D0" w14:textId="7D139D51" w:rsidR="00A015BF" w:rsidRPr="00C77381" w:rsidRDefault="00A015BF" w:rsidP="00375BDA">
      <w:pPr>
        <w:pStyle w:val="ListParagraph"/>
        <w:numPr>
          <w:ilvl w:val="0"/>
          <w:numId w:val="9"/>
        </w:numPr>
        <w:jc w:val="both"/>
        <w:rPr>
          <w:rFonts w:asciiTheme="minorHAnsi" w:hAnsiTheme="minorHAnsi" w:cstheme="minorHAnsi"/>
          <w:sz w:val="24"/>
          <w:szCs w:val="24"/>
        </w:rPr>
      </w:pPr>
      <w:r w:rsidRPr="00C77381">
        <w:rPr>
          <w:rFonts w:asciiTheme="minorHAnsi" w:hAnsiTheme="minorHAnsi" w:cstheme="minorHAnsi"/>
          <w:b/>
          <w:bCs/>
          <w:sz w:val="24"/>
          <w:szCs w:val="24"/>
        </w:rPr>
        <w:t>Operational capability and digital readiness:</w:t>
      </w:r>
      <w:r w:rsidRPr="00C77381">
        <w:rPr>
          <w:rFonts w:asciiTheme="minorHAnsi" w:hAnsiTheme="minorHAnsi" w:cstheme="minorHAnsi"/>
          <w:sz w:val="24"/>
          <w:szCs w:val="24"/>
        </w:rPr>
        <w:t xml:space="preserve"> an efficient e-commerce operation must have skills in web platform development and management, digital marketing, search engine </w:t>
      </w:r>
      <w:proofErr w:type="spellStart"/>
      <w:r w:rsidRPr="00C77381">
        <w:rPr>
          <w:rFonts w:asciiTheme="minorHAnsi" w:hAnsiTheme="minorHAnsi" w:cstheme="minorHAnsi"/>
          <w:sz w:val="24"/>
          <w:szCs w:val="24"/>
        </w:rPr>
        <w:t>optimisation</w:t>
      </w:r>
      <w:proofErr w:type="spellEnd"/>
      <w:r w:rsidRPr="00C77381">
        <w:rPr>
          <w:rFonts w:asciiTheme="minorHAnsi" w:hAnsiTheme="minorHAnsi" w:cstheme="minorHAnsi"/>
          <w:sz w:val="24"/>
          <w:szCs w:val="24"/>
        </w:rPr>
        <w:t>, order fulfilment and logistics, customer service and returns management. The Board has to determine the presence or cost-effectiveness of these capabilities in the business.</w:t>
      </w:r>
    </w:p>
    <w:p w14:paraId="6A7E4F54" w14:textId="6B1A7698" w:rsidR="00A015BF" w:rsidRPr="00C77381" w:rsidRDefault="00A015BF" w:rsidP="00375BDA">
      <w:pPr>
        <w:pStyle w:val="ListParagraph"/>
        <w:numPr>
          <w:ilvl w:val="0"/>
          <w:numId w:val="9"/>
        </w:numPr>
        <w:jc w:val="both"/>
        <w:rPr>
          <w:rFonts w:asciiTheme="minorHAnsi" w:hAnsiTheme="minorHAnsi" w:cstheme="minorHAnsi"/>
          <w:sz w:val="24"/>
          <w:szCs w:val="24"/>
        </w:rPr>
      </w:pPr>
      <w:r w:rsidRPr="00C77381">
        <w:rPr>
          <w:rFonts w:asciiTheme="minorHAnsi" w:hAnsiTheme="minorHAnsi" w:cstheme="minorHAnsi"/>
          <w:b/>
          <w:bCs/>
          <w:sz w:val="24"/>
          <w:szCs w:val="24"/>
        </w:rPr>
        <w:t xml:space="preserve">Channel brand integrity: </w:t>
      </w:r>
      <w:r w:rsidRPr="00C77381">
        <w:rPr>
          <w:rFonts w:asciiTheme="minorHAnsi" w:hAnsiTheme="minorHAnsi" w:cstheme="minorHAnsi"/>
          <w:sz w:val="24"/>
          <w:szCs w:val="24"/>
        </w:rPr>
        <w:t>The brand integrity as a manufacturer of quality curtains has to be maintained in the digital space of Westward Plc. An inadequately constructed or operated online presence is likely to harm the perceived quality of brand, and have negative effects on the online and offline sales channels.</w:t>
      </w:r>
    </w:p>
    <w:p w14:paraId="0AB63065" w14:textId="59792764" w:rsidR="00A015BF" w:rsidRPr="00C77381" w:rsidRDefault="00A015BF" w:rsidP="00375BDA">
      <w:pPr>
        <w:pStyle w:val="ListParagraph"/>
        <w:numPr>
          <w:ilvl w:val="0"/>
          <w:numId w:val="9"/>
        </w:numPr>
        <w:jc w:val="both"/>
        <w:rPr>
          <w:rFonts w:asciiTheme="minorHAnsi" w:hAnsiTheme="minorHAnsi" w:cstheme="minorHAnsi"/>
          <w:sz w:val="24"/>
          <w:szCs w:val="24"/>
        </w:rPr>
      </w:pPr>
      <w:r w:rsidRPr="00C77381">
        <w:rPr>
          <w:rFonts w:asciiTheme="minorHAnsi" w:hAnsiTheme="minorHAnsi" w:cstheme="minorHAnsi"/>
          <w:b/>
          <w:bCs/>
          <w:sz w:val="24"/>
          <w:szCs w:val="24"/>
        </w:rPr>
        <w:t xml:space="preserve">Sensitivity of the cash flows projections: </w:t>
      </w:r>
      <w:r w:rsidRPr="00C77381">
        <w:rPr>
          <w:rFonts w:asciiTheme="minorHAnsi" w:hAnsiTheme="minorHAnsi" w:cstheme="minorHAnsi"/>
          <w:sz w:val="24"/>
          <w:szCs w:val="24"/>
        </w:rPr>
        <w:t>NPV outcome is sensitive to the projected revenues and costs. Formal sensitivity analysis - an experiment to assess the effect of a 10-20% downside on the Year 1 and Year 2 revenues compared to forecast would enable the Board to appreciate the margin of safety in the recommendation prior to capital being incurred.</w:t>
      </w:r>
    </w:p>
    <w:p w14:paraId="75E76EC3" w14:textId="21DB9CDB" w:rsidR="00E97EC7" w:rsidRPr="00C77381" w:rsidRDefault="00800625" w:rsidP="00375BDA">
      <w:pPr>
        <w:pStyle w:val="Heading1"/>
        <w:rPr>
          <w:rFonts w:asciiTheme="minorHAnsi" w:hAnsiTheme="minorHAnsi" w:cstheme="minorHAnsi"/>
          <w:color w:val="auto"/>
        </w:rPr>
      </w:pPr>
      <w:bookmarkStart w:id="69" w:name="_Toc227443279"/>
      <w:r w:rsidRPr="00C77381">
        <w:rPr>
          <w:rFonts w:asciiTheme="minorHAnsi" w:hAnsiTheme="minorHAnsi" w:cstheme="minorHAnsi"/>
          <w:color w:val="auto"/>
        </w:rPr>
        <w:t>Section E:  Capital Rationing — Optimal Investment Policy</w:t>
      </w:r>
      <w:bookmarkEnd w:id="68"/>
      <w:bookmarkEnd w:id="69"/>
    </w:p>
    <w:p w14:paraId="4A911F3B" w14:textId="77777777" w:rsidR="00E97EC7" w:rsidRPr="00C77381" w:rsidRDefault="00800625" w:rsidP="00375BDA">
      <w:pPr>
        <w:pStyle w:val="Heading2"/>
        <w:rPr>
          <w:rFonts w:asciiTheme="minorHAnsi" w:hAnsiTheme="minorHAnsi" w:cstheme="minorHAnsi"/>
          <w:color w:val="auto"/>
        </w:rPr>
      </w:pPr>
      <w:bookmarkStart w:id="70" w:name="_Toc227422460"/>
      <w:bookmarkStart w:id="71" w:name="_Toc227443280"/>
      <w:r w:rsidRPr="00C77381">
        <w:rPr>
          <w:rFonts w:asciiTheme="minorHAnsi" w:hAnsiTheme="minorHAnsi" w:cstheme="minorHAnsi"/>
          <w:color w:val="auto"/>
        </w:rPr>
        <w:t>E.1  Framework</w:t>
      </w:r>
      <w:bookmarkEnd w:id="70"/>
      <w:bookmarkEnd w:id="71"/>
    </w:p>
    <w:p w14:paraId="3F78B28D" w14:textId="77777777" w:rsidR="00A015BF" w:rsidRPr="00C77381" w:rsidRDefault="00A015BF" w:rsidP="00375BDA">
      <w:pPr>
        <w:jc w:val="both"/>
        <w:rPr>
          <w:rFonts w:asciiTheme="minorHAnsi" w:hAnsiTheme="minorHAnsi" w:cstheme="minorHAnsi"/>
          <w:sz w:val="24"/>
          <w:szCs w:val="24"/>
        </w:rPr>
      </w:pPr>
      <w:r w:rsidRPr="00C77381">
        <w:rPr>
          <w:rFonts w:asciiTheme="minorHAnsi" w:hAnsiTheme="minorHAnsi" w:cstheme="minorHAnsi"/>
          <w:sz w:val="24"/>
          <w:szCs w:val="24"/>
        </w:rPr>
        <w:t>Capital rationing occurs when the investment budget of the firm is not large enough to fully finance all the positive-NPV projects at their full magnitude. In this scenario, Westward Plc's total available investment budget is £2,500,000, whilst the aggregate initial cost of all three options at full scale is £3,200,000 (£600,000 + £1,000,000 + £1,600,000). There is a deficit of 700,000 pounds as such against the amount of money to finance the three options fully.</w:t>
      </w:r>
    </w:p>
    <w:p w14:paraId="1466A058" w14:textId="316609F6" w:rsidR="00A015BF" w:rsidRPr="00C77381" w:rsidRDefault="00A015BF" w:rsidP="00375BDA">
      <w:pPr>
        <w:jc w:val="both"/>
        <w:rPr>
          <w:rFonts w:asciiTheme="minorHAnsi" w:hAnsiTheme="minorHAnsi" w:cstheme="minorHAnsi"/>
          <w:sz w:val="24"/>
          <w:szCs w:val="24"/>
        </w:rPr>
      </w:pPr>
      <w:r w:rsidRPr="00C77381">
        <w:rPr>
          <w:rFonts w:asciiTheme="minorHAnsi" w:hAnsiTheme="minorHAnsi" w:cstheme="minorHAnsi"/>
          <w:sz w:val="24"/>
          <w:szCs w:val="24"/>
        </w:rPr>
        <w:t>The Profitability Index (PI) is used to determine the optimal allocation of the constrained budget since the three projects are said to be divisible, that is, a proportional amount of any project can be pursued, costs and revenues increase proportionately. The PI prioritizes the projects by the NPV per pound of capital invested; projects of the highest PI are funded until the available budget is exhausted (A</w:t>
      </w:r>
      <w:r w:rsidR="002A2D46">
        <w:rPr>
          <w:rFonts w:asciiTheme="minorHAnsi" w:hAnsiTheme="minorHAnsi" w:cstheme="minorHAnsi"/>
          <w:sz w:val="24"/>
          <w:szCs w:val="24"/>
        </w:rPr>
        <w:t>p</w:t>
      </w:r>
      <w:r w:rsidRPr="00C77381">
        <w:rPr>
          <w:rFonts w:asciiTheme="minorHAnsi" w:hAnsiTheme="minorHAnsi" w:cstheme="minorHAnsi"/>
          <w:sz w:val="24"/>
          <w:szCs w:val="24"/>
        </w:rPr>
        <w:t>rill, 2020).</w:t>
      </w:r>
    </w:p>
    <w:p w14:paraId="6317A0E5" w14:textId="2FD168CB" w:rsidR="00E97EC7" w:rsidRPr="00C77381" w:rsidRDefault="00A015BF" w:rsidP="00375BDA">
      <w:pPr>
        <w:jc w:val="both"/>
        <w:rPr>
          <w:rFonts w:asciiTheme="minorHAnsi" w:hAnsiTheme="minorHAnsi" w:cstheme="minorHAnsi"/>
          <w:sz w:val="24"/>
          <w:szCs w:val="24"/>
        </w:rPr>
      </w:pPr>
      <w:r w:rsidRPr="00C77381">
        <w:rPr>
          <w:rFonts w:asciiTheme="minorHAnsi" w:hAnsiTheme="minorHAnsi" w:cstheme="minorHAnsi"/>
          <w:sz w:val="24"/>
          <w:szCs w:val="24"/>
        </w:rPr>
        <w:t xml:space="preserve">Index of profitability (PI) = NPV/Initial Capital </w:t>
      </w:r>
      <w:r w:rsidR="002A2D46" w:rsidRPr="00C77381">
        <w:rPr>
          <w:rFonts w:asciiTheme="minorHAnsi" w:hAnsiTheme="minorHAnsi" w:cstheme="minorHAnsi"/>
          <w:sz w:val="24"/>
          <w:szCs w:val="24"/>
        </w:rPr>
        <w:t>Outlay. Lay</w:t>
      </w:r>
    </w:p>
    <w:p w14:paraId="1C8450CD" w14:textId="77777777" w:rsidR="00E97EC7" w:rsidRPr="00C77381" w:rsidRDefault="00800625" w:rsidP="00375BDA">
      <w:pPr>
        <w:pStyle w:val="Heading2"/>
        <w:rPr>
          <w:rFonts w:asciiTheme="minorHAnsi" w:hAnsiTheme="minorHAnsi" w:cstheme="minorHAnsi"/>
          <w:color w:val="auto"/>
        </w:rPr>
      </w:pPr>
      <w:bookmarkStart w:id="72" w:name="_Toc227422461"/>
      <w:bookmarkStart w:id="73" w:name="_Toc227443281"/>
      <w:r w:rsidRPr="00C77381">
        <w:rPr>
          <w:rFonts w:asciiTheme="minorHAnsi" w:hAnsiTheme="minorHAnsi" w:cstheme="minorHAnsi"/>
          <w:color w:val="auto"/>
        </w:rPr>
        <w:t>E.2  Optimal Allocation Table</w:t>
      </w:r>
      <w:bookmarkEnd w:id="72"/>
      <w:bookmarkEnd w:id="73"/>
    </w:p>
    <w:p w14:paraId="1B1C999F" w14:textId="77777777" w:rsidR="00E97EC7" w:rsidRPr="00C77381" w:rsidRDefault="00E97EC7" w:rsidP="00375BDA">
      <w:pPr>
        <w:spacing w:before="60"/>
        <w:jc w:val="both"/>
        <w:rPr>
          <w:rFonts w:asciiTheme="minorHAnsi" w:hAnsiTheme="minorHAnsi" w:cstheme="minorHAnsi"/>
        </w:rPr>
      </w:pPr>
    </w:p>
    <w:tbl>
      <w:tblPr>
        <w:tblStyle w:val="TableGrid"/>
        <w:tblW w:w="9026" w:type="dxa"/>
        <w:tblLook w:val="04A0" w:firstRow="1" w:lastRow="0" w:firstColumn="1" w:lastColumn="0" w:noHBand="0" w:noVBand="1"/>
      </w:tblPr>
      <w:tblGrid>
        <w:gridCol w:w="1800"/>
        <w:gridCol w:w="1500"/>
        <w:gridCol w:w="1500"/>
        <w:gridCol w:w="1600"/>
        <w:gridCol w:w="1600"/>
        <w:gridCol w:w="1026"/>
      </w:tblGrid>
      <w:tr w:rsidR="00327204" w:rsidRPr="00C77381" w14:paraId="5E45D2E3" w14:textId="77777777" w:rsidTr="00ED7AA5">
        <w:tc>
          <w:tcPr>
            <w:tcW w:w="1800" w:type="dxa"/>
          </w:tcPr>
          <w:p w14:paraId="333E37B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Project</w:t>
            </w:r>
          </w:p>
        </w:tc>
        <w:tc>
          <w:tcPr>
            <w:tcW w:w="1500" w:type="dxa"/>
          </w:tcPr>
          <w:p w14:paraId="74ED125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Cost (£000)</w:t>
            </w:r>
          </w:p>
        </w:tc>
        <w:tc>
          <w:tcPr>
            <w:tcW w:w="1500" w:type="dxa"/>
          </w:tcPr>
          <w:p w14:paraId="45E68FA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NPV (£000)</w:t>
            </w:r>
          </w:p>
        </w:tc>
        <w:tc>
          <w:tcPr>
            <w:tcW w:w="1600" w:type="dxa"/>
          </w:tcPr>
          <w:p w14:paraId="39216B3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PI = NPV / Cost</w:t>
            </w:r>
          </w:p>
        </w:tc>
        <w:tc>
          <w:tcPr>
            <w:tcW w:w="1600" w:type="dxa"/>
          </w:tcPr>
          <w:p w14:paraId="521AA7E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NPV Earned (£000)</w:t>
            </w:r>
          </w:p>
        </w:tc>
        <w:tc>
          <w:tcPr>
            <w:tcW w:w="1026" w:type="dxa"/>
          </w:tcPr>
          <w:p w14:paraId="63A8D02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Fraction</w:t>
            </w:r>
          </w:p>
        </w:tc>
      </w:tr>
      <w:tr w:rsidR="00327204" w:rsidRPr="00C77381" w14:paraId="4343789C" w14:textId="77777777" w:rsidTr="00ED7AA5">
        <w:tc>
          <w:tcPr>
            <w:tcW w:w="1800" w:type="dxa"/>
          </w:tcPr>
          <w:p w14:paraId="37B8383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lastRenderedPageBreak/>
              <w:t>Option A</w:t>
            </w:r>
          </w:p>
        </w:tc>
        <w:tc>
          <w:tcPr>
            <w:tcW w:w="1500" w:type="dxa"/>
          </w:tcPr>
          <w:p w14:paraId="31506E9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600</w:t>
            </w:r>
          </w:p>
        </w:tc>
        <w:tc>
          <w:tcPr>
            <w:tcW w:w="1500" w:type="dxa"/>
          </w:tcPr>
          <w:p w14:paraId="75AF78E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643.17</w:t>
            </w:r>
          </w:p>
        </w:tc>
        <w:tc>
          <w:tcPr>
            <w:tcW w:w="1600" w:type="dxa"/>
          </w:tcPr>
          <w:p w14:paraId="67BF601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1.0719</w:t>
            </w:r>
          </w:p>
        </w:tc>
        <w:tc>
          <w:tcPr>
            <w:tcW w:w="1600" w:type="dxa"/>
          </w:tcPr>
          <w:p w14:paraId="33D6F29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643.17</w:t>
            </w:r>
          </w:p>
        </w:tc>
        <w:tc>
          <w:tcPr>
            <w:tcW w:w="1026" w:type="dxa"/>
          </w:tcPr>
          <w:p w14:paraId="5825F56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100%</w:t>
            </w:r>
          </w:p>
        </w:tc>
      </w:tr>
      <w:tr w:rsidR="00327204" w:rsidRPr="00C77381" w14:paraId="45B94462" w14:textId="77777777" w:rsidTr="00ED7AA5">
        <w:tc>
          <w:tcPr>
            <w:tcW w:w="1800" w:type="dxa"/>
          </w:tcPr>
          <w:p w14:paraId="0E76C18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Option B</w:t>
            </w:r>
          </w:p>
        </w:tc>
        <w:tc>
          <w:tcPr>
            <w:tcW w:w="1500" w:type="dxa"/>
          </w:tcPr>
          <w:p w14:paraId="7CEA3A9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1000</w:t>
            </w:r>
          </w:p>
        </w:tc>
        <w:tc>
          <w:tcPr>
            <w:tcW w:w="1500" w:type="dxa"/>
          </w:tcPr>
          <w:p w14:paraId="40D7A78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792.23</w:t>
            </w:r>
          </w:p>
        </w:tc>
        <w:tc>
          <w:tcPr>
            <w:tcW w:w="1600" w:type="dxa"/>
          </w:tcPr>
          <w:p w14:paraId="2C43924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0.7922</w:t>
            </w:r>
          </w:p>
        </w:tc>
        <w:tc>
          <w:tcPr>
            <w:tcW w:w="1600" w:type="dxa"/>
          </w:tcPr>
          <w:p w14:paraId="374FA7A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792.23</w:t>
            </w:r>
          </w:p>
        </w:tc>
        <w:tc>
          <w:tcPr>
            <w:tcW w:w="1026" w:type="dxa"/>
          </w:tcPr>
          <w:p w14:paraId="05DE8C4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100%</w:t>
            </w:r>
          </w:p>
        </w:tc>
      </w:tr>
      <w:tr w:rsidR="00327204" w:rsidRPr="00C77381" w14:paraId="64D17C84" w14:textId="77777777" w:rsidTr="00ED7AA5">
        <w:tc>
          <w:tcPr>
            <w:tcW w:w="1800" w:type="dxa"/>
          </w:tcPr>
          <w:p w14:paraId="6F81385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Option C</w:t>
            </w:r>
          </w:p>
        </w:tc>
        <w:tc>
          <w:tcPr>
            <w:tcW w:w="1500" w:type="dxa"/>
          </w:tcPr>
          <w:p w14:paraId="4B5B728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1600</w:t>
            </w:r>
          </w:p>
        </w:tc>
        <w:tc>
          <w:tcPr>
            <w:tcW w:w="1500" w:type="dxa"/>
          </w:tcPr>
          <w:p w14:paraId="0E45172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742.48</w:t>
            </w:r>
          </w:p>
        </w:tc>
        <w:tc>
          <w:tcPr>
            <w:tcW w:w="1600" w:type="dxa"/>
          </w:tcPr>
          <w:p w14:paraId="0B9728C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0.4641</w:t>
            </w:r>
          </w:p>
        </w:tc>
        <w:tc>
          <w:tcPr>
            <w:tcW w:w="1600" w:type="dxa"/>
          </w:tcPr>
          <w:p w14:paraId="41038DA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417.64</w:t>
            </w:r>
          </w:p>
        </w:tc>
        <w:tc>
          <w:tcPr>
            <w:tcW w:w="1026" w:type="dxa"/>
          </w:tcPr>
          <w:p w14:paraId="405DAD63"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56.3%</w:t>
            </w:r>
          </w:p>
        </w:tc>
      </w:tr>
      <w:tr w:rsidR="00327204" w:rsidRPr="00C77381" w14:paraId="174D30FE" w14:textId="77777777" w:rsidTr="00ED7AA5">
        <w:tc>
          <w:tcPr>
            <w:tcW w:w="1800" w:type="dxa"/>
          </w:tcPr>
          <w:p w14:paraId="53A2ADB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TOTAL</w:t>
            </w:r>
          </w:p>
        </w:tc>
        <w:tc>
          <w:tcPr>
            <w:tcW w:w="1500" w:type="dxa"/>
          </w:tcPr>
          <w:p w14:paraId="22EF368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2,500</w:t>
            </w:r>
          </w:p>
        </w:tc>
        <w:tc>
          <w:tcPr>
            <w:tcW w:w="1500" w:type="dxa"/>
          </w:tcPr>
          <w:p w14:paraId="4E0C765F" w14:textId="77777777" w:rsidR="00E97EC7" w:rsidRPr="00C77381" w:rsidRDefault="00E97EC7" w:rsidP="00375BDA">
            <w:pPr>
              <w:jc w:val="both"/>
              <w:rPr>
                <w:rFonts w:asciiTheme="minorHAnsi" w:hAnsiTheme="minorHAnsi" w:cstheme="minorHAnsi"/>
              </w:rPr>
            </w:pPr>
          </w:p>
        </w:tc>
        <w:tc>
          <w:tcPr>
            <w:tcW w:w="1600" w:type="dxa"/>
          </w:tcPr>
          <w:p w14:paraId="4F25E85D" w14:textId="77777777" w:rsidR="00E97EC7" w:rsidRPr="00C77381" w:rsidRDefault="00E97EC7" w:rsidP="00375BDA">
            <w:pPr>
              <w:jc w:val="both"/>
              <w:rPr>
                <w:rFonts w:asciiTheme="minorHAnsi" w:hAnsiTheme="minorHAnsi" w:cstheme="minorHAnsi"/>
              </w:rPr>
            </w:pPr>
          </w:p>
        </w:tc>
        <w:tc>
          <w:tcPr>
            <w:tcW w:w="1600" w:type="dxa"/>
          </w:tcPr>
          <w:p w14:paraId="7C50070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1853.04</w:t>
            </w:r>
          </w:p>
        </w:tc>
        <w:tc>
          <w:tcPr>
            <w:tcW w:w="1026" w:type="dxa"/>
          </w:tcPr>
          <w:p w14:paraId="252BAB09" w14:textId="77777777" w:rsidR="00E97EC7" w:rsidRPr="00C77381" w:rsidRDefault="00E97EC7" w:rsidP="00375BDA">
            <w:pPr>
              <w:jc w:val="both"/>
              <w:rPr>
                <w:rFonts w:asciiTheme="minorHAnsi" w:hAnsiTheme="minorHAnsi" w:cstheme="minorHAnsi"/>
              </w:rPr>
            </w:pPr>
          </w:p>
        </w:tc>
      </w:tr>
    </w:tbl>
    <w:p w14:paraId="075D4702" w14:textId="77777777" w:rsidR="00E97EC7" w:rsidRPr="00C77381" w:rsidRDefault="00E97EC7" w:rsidP="00375BDA">
      <w:pPr>
        <w:spacing w:before="140"/>
        <w:jc w:val="both"/>
        <w:rPr>
          <w:rFonts w:asciiTheme="minorHAnsi" w:hAnsiTheme="minorHAnsi" w:cstheme="minorHAnsi"/>
        </w:rPr>
      </w:pPr>
    </w:p>
    <w:p w14:paraId="2079DD30" w14:textId="77777777" w:rsidR="00E97EC7" w:rsidRPr="00C77381" w:rsidRDefault="00800625" w:rsidP="00375BDA">
      <w:pPr>
        <w:pStyle w:val="Heading2"/>
        <w:rPr>
          <w:rFonts w:asciiTheme="minorHAnsi" w:hAnsiTheme="minorHAnsi" w:cstheme="minorHAnsi"/>
          <w:color w:val="auto"/>
        </w:rPr>
      </w:pPr>
      <w:bookmarkStart w:id="74" w:name="_Toc227422462"/>
      <w:bookmarkStart w:id="75" w:name="_Toc227443282"/>
      <w:r w:rsidRPr="00C77381">
        <w:rPr>
          <w:rFonts w:asciiTheme="minorHAnsi" w:hAnsiTheme="minorHAnsi" w:cstheme="minorHAnsi"/>
          <w:color w:val="auto"/>
        </w:rPr>
        <w:t>E.3  Conclusion</w:t>
      </w:r>
      <w:bookmarkEnd w:id="74"/>
      <w:bookmarkEnd w:id="75"/>
    </w:p>
    <w:p w14:paraId="20AA36D6" w14:textId="77777777" w:rsidR="0066536A" w:rsidRPr="00C77381" w:rsidRDefault="0066536A" w:rsidP="00375BDA">
      <w:pPr>
        <w:jc w:val="both"/>
        <w:rPr>
          <w:rFonts w:asciiTheme="minorHAnsi" w:hAnsiTheme="minorHAnsi" w:cstheme="minorHAnsi"/>
          <w:b/>
          <w:bCs/>
          <w:sz w:val="24"/>
          <w:szCs w:val="24"/>
        </w:rPr>
      </w:pPr>
      <w:bookmarkStart w:id="76" w:name="_Toc227422463"/>
      <w:r w:rsidRPr="00C77381">
        <w:rPr>
          <w:rFonts w:asciiTheme="minorHAnsi" w:hAnsiTheme="minorHAnsi" w:cstheme="minorHAnsi"/>
          <w:sz w:val="24"/>
          <w:szCs w:val="24"/>
        </w:rPr>
        <w:t>The Profitability Index ranking is: Option A (PI = 1.0719) &gt; Option B (PI = 0.7922) &gt; Option C (PI = 0.4641). The optimal investment policy is therefore: invest 100% in Option A (£600k, NPV earned £643.17k); invest 100% in Option B (£1,000k, NPV earned £792.23k); and invest 56.3% of Option C (£900k, NPV earned £417.64k) with the remaining £900k of the budget. The mathematically optimal result of the given budget of £2,500,000 is this policy will yield an NPV of 1853.04k. The Board ought to observe that these projects are functionally divisible, especially in respect of the manufacturing diversification of the projects in Option C, and that there might need to be operational structuring to carry out the fractional investing on a proportional basis.</w:t>
      </w:r>
    </w:p>
    <w:p w14:paraId="4249C276" w14:textId="1E1EDA52" w:rsidR="00E97EC7" w:rsidRPr="00C77381" w:rsidRDefault="00800625" w:rsidP="00375BDA">
      <w:pPr>
        <w:pStyle w:val="Heading1"/>
        <w:rPr>
          <w:rFonts w:asciiTheme="minorHAnsi" w:hAnsiTheme="minorHAnsi" w:cstheme="minorHAnsi"/>
          <w:color w:val="auto"/>
        </w:rPr>
      </w:pPr>
      <w:bookmarkStart w:id="77" w:name="_Toc227443283"/>
      <w:r w:rsidRPr="00C77381">
        <w:rPr>
          <w:rFonts w:asciiTheme="minorHAnsi" w:hAnsiTheme="minorHAnsi" w:cstheme="minorHAnsi"/>
          <w:color w:val="auto"/>
        </w:rPr>
        <w:t xml:space="preserve">Section F:  Financing the Investment </w:t>
      </w:r>
      <w:proofErr w:type="spellStart"/>
      <w:r w:rsidRPr="00C77381">
        <w:rPr>
          <w:rFonts w:asciiTheme="minorHAnsi" w:hAnsiTheme="minorHAnsi" w:cstheme="minorHAnsi"/>
          <w:color w:val="auto"/>
        </w:rPr>
        <w:t>Programme</w:t>
      </w:r>
      <w:bookmarkEnd w:id="76"/>
      <w:bookmarkEnd w:id="77"/>
      <w:proofErr w:type="spellEnd"/>
    </w:p>
    <w:p w14:paraId="52A01980" w14:textId="77777777" w:rsidR="0066536A" w:rsidRPr="00C77381" w:rsidRDefault="0066536A" w:rsidP="00375BDA">
      <w:pPr>
        <w:jc w:val="both"/>
        <w:rPr>
          <w:rFonts w:asciiTheme="minorHAnsi" w:hAnsiTheme="minorHAnsi" w:cstheme="minorHAnsi"/>
          <w:b/>
          <w:bCs/>
          <w:sz w:val="24"/>
          <w:szCs w:val="24"/>
        </w:rPr>
      </w:pPr>
      <w:bookmarkStart w:id="78" w:name="_Toc227422464"/>
      <w:r w:rsidRPr="00C77381">
        <w:rPr>
          <w:rFonts w:asciiTheme="minorHAnsi" w:hAnsiTheme="minorHAnsi" w:cstheme="minorHAnsi"/>
          <w:sz w:val="24"/>
          <w:szCs w:val="24"/>
        </w:rPr>
        <w:t>The Board of Westward Plc needs to find the most suitable mix of financing instruments to finance the proposed investment. The main sources of finance that can be availed to a company of the profile of Westward Plc are critically evaluated below along with the main pros and cons of each.</w:t>
      </w:r>
    </w:p>
    <w:p w14:paraId="3BD1E895" w14:textId="5F36C13D" w:rsidR="00E97EC7" w:rsidRPr="00C77381" w:rsidRDefault="00800625" w:rsidP="00CF7DDE">
      <w:pPr>
        <w:pStyle w:val="Heading2"/>
        <w:rPr>
          <w:rFonts w:asciiTheme="minorHAnsi" w:hAnsiTheme="minorHAnsi" w:cstheme="minorHAnsi"/>
        </w:rPr>
      </w:pPr>
      <w:bookmarkStart w:id="79" w:name="_Toc227443284"/>
      <w:r w:rsidRPr="00C77381">
        <w:rPr>
          <w:rFonts w:asciiTheme="minorHAnsi" w:hAnsiTheme="minorHAnsi" w:cstheme="minorHAnsi"/>
        </w:rPr>
        <w:t>F.1  Retained Earnings (Internal Finance)</w:t>
      </w:r>
      <w:bookmarkEnd w:id="78"/>
      <w:bookmarkEnd w:id="79"/>
    </w:p>
    <w:p w14:paraId="32278A2B" w14:textId="2043E816" w:rsidR="0066536A" w:rsidRPr="00C77381" w:rsidRDefault="0066536A" w:rsidP="00375BDA">
      <w:pPr>
        <w:jc w:val="both"/>
        <w:rPr>
          <w:rFonts w:asciiTheme="minorHAnsi" w:hAnsiTheme="minorHAnsi" w:cstheme="minorHAnsi"/>
          <w:b/>
          <w:bCs/>
          <w:sz w:val="24"/>
          <w:szCs w:val="24"/>
        </w:rPr>
      </w:pPr>
      <w:bookmarkStart w:id="80" w:name="_Toc227422465"/>
      <w:r w:rsidRPr="00C77381">
        <w:rPr>
          <w:rFonts w:asciiTheme="minorHAnsi" w:hAnsiTheme="minorHAnsi" w:cstheme="minorHAnsi"/>
          <w:sz w:val="24"/>
          <w:szCs w:val="24"/>
        </w:rPr>
        <w:t xml:space="preserve">Accumulated after tax profits reinvestment is the most economical source of investment capital to an existing profitable company. It does not involve dilution of existing ownership, no transaction or issuance cost, no mandatory repayment requirement and no commercial and legal complication of involving outside financiers. An implicit opportunity cost - the foregone amount of money that shareholders would have got had the company paid them a dividend - is an actual economic cost, which the Board must take notice of. The first restriction, which is in practice, is that the amount of retained earnings that is held at any one time is finite, which can lead to the need to finance larger investment </w:t>
      </w:r>
      <w:proofErr w:type="spellStart"/>
      <w:r w:rsidRPr="00C77381">
        <w:rPr>
          <w:rFonts w:asciiTheme="minorHAnsi" w:hAnsiTheme="minorHAnsi" w:cstheme="minorHAnsi"/>
          <w:sz w:val="24"/>
          <w:szCs w:val="24"/>
        </w:rPr>
        <w:t>programmes</w:t>
      </w:r>
      <w:proofErr w:type="spellEnd"/>
      <w:r w:rsidRPr="00C77381">
        <w:rPr>
          <w:rFonts w:asciiTheme="minorHAnsi" w:hAnsiTheme="minorHAnsi" w:cstheme="minorHAnsi"/>
          <w:sz w:val="24"/>
          <w:szCs w:val="24"/>
        </w:rPr>
        <w:t xml:space="preserve"> with additional external funds (A</w:t>
      </w:r>
      <w:r w:rsidR="002A2D46">
        <w:rPr>
          <w:rFonts w:asciiTheme="minorHAnsi" w:hAnsiTheme="minorHAnsi" w:cstheme="minorHAnsi"/>
          <w:sz w:val="24"/>
          <w:szCs w:val="24"/>
        </w:rPr>
        <w:t>p</w:t>
      </w:r>
      <w:r w:rsidRPr="00C77381">
        <w:rPr>
          <w:rFonts w:asciiTheme="minorHAnsi" w:hAnsiTheme="minorHAnsi" w:cstheme="minorHAnsi"/>
          <w:sz w:val="24"/>
          <w:szCs w:val="24"/>
        </w:rPr>
        <w:t>rill, 2020).</w:t>
      </w:r>
    </w:p>
    <w:p w14:paraId="35969599" w14:textId="7741CB77" w:rsidR="00E97EC7" w:rsidRPr="00C77381" w:rsidRDefault="00800625" w:rsidP="00375BDA">
      <w:pPr>
        <w:pStyle w:val="Heading2"/>
        <w:rPr>
          <w:rFonts w:asciiTheme="minorHAnsi" w:hAnsiTheme="minorHAnsi" w:cstheme="minorHAnsi"/>
          <w:color w:val="auto"/>
        </w:rPr>
      </w:pPr>
      <w:bookmarkStart w:id="81" w:name="_Toc227443285"/>
      <w:r w:rsidRPr="00C77381">
        <w:rPr>
          <w:rFonts w:asciiTheme="minorHAnsi" w:hAnsiTheme="minorHAnsi" w:cstheme="minorHAnsi"/>
          <w:color w:val="auto"/>
        </w:rPr>
        <w:t>F.2  Bank Term Loan</w:t>
      </w:r>
      <w:bookmarkEnd w:id="80"/>
      <w:bookmarkEnd w:id="81"/>
    </w:p>
    <w:p w14:paraId="16B4F54A" w14:textId="77777777" w:rsidR="0066536A" w:rsidRPr="00C77381" w:rsidRDefault="0066536A" w:rsidP="00375BDA">
      <w:pPr>
        <w:jc w:val="both"/>
        <w:rPr>
          <w:rFonts w:asciiTheme="minorHAnsi" w:hAnsiTheme="minorHAnsi" w:cstheme="minorHAnsi"/>
          <w:b/>
          <w:bCs/>
          <w:sz w:val="24"/>
          <w:szCs w:val="24"/>
        </w:rPr>
      </w:pPr>
      <w:bookmarkStart w:id="82" w:name="_Toc227422466"/>
      <w:r w:rsidRPr="00C77381">
        <w:rPr>
          <w:rFonts w:asciiTheme="minorHAnsi" w:hAnsiTheme="minorHAnsi" w:cstheme="minorHAnsi"/>
          <w:sz w:val="24"/>
          <w:szCs w:val="24"/>
        </w:rPr>
        <w:t>A commercial bank secured medium term loan is a structured debt financing which is repayable after a specified period at a fixed or variable rate of interest. The amount of interest paid is tax-deductible, which lowers the actual after tax cost of debt to a lower rate than the nominal rate. The disadvantages are the requirement to service principal and interest whether trading is good or bad, the need to secure the asset like a mortgage and assets which can restrict the operational freedom and provision of restrictive financial covenants that restricts the strategic freedom of the management. With the size of investments in question in Westward Plc, such a finance will fit quite well within the risk tolerance of UK commercial banks (</w:t>
      </w:r>
      <w:proofErr w:type="spellStart"/>
      <w:r w:rsidRPr="00C77381">
        <w:rPr>
          <w:rFonts w:asciiTheme="minorHAnsi" w:hAnsiTheme="minorHAnsi" w:cstheme="minorHAnsi"/>
          <w:sz w:val="24"/>
          <w:szCs w:val="24"/>
        </w:rPr>
        <w:t>Mclaney</w:t>
      </w:r>
      <w:proofErr w:type="spellEnd"/>
      <w:r w:rsidRPr="00C77381">
        <w:rPr>
          <w:rFonts w:asciiTheme="minorHAnsi" w:hAnsiTheme="minorHAnsi" w:cstheme="minorHAnsi"/>
          <w:sz w:val="24"/>
          <w:szCs w:val="24"/>
        </w:rPr>
        <w:t>, 2017).</w:t>
      </w:r>
    </w:p>
    <w:p w14:paraId="2EAEE241" w14:textId="762C25D9" w:rsidR="00E97EC7" w:rsidRPr="00C77381" w:rsidRDefault="00800625" w:rsidP="00375BDA">
      <w:pPr>
        <w:pStyle w:val="Heading2"/>
        <w:rPr>
          <w:rFonts w:asciiTheme="minorHAnsi" w:hAnsiTheme="minorHAnsi" w:cstheme="minorHAnsi"/>
          <w:color w:val="auto"/>
        </w:rPr>
      </w:pPr>
      <w:bookmarkStart w:id="83" w:name="_Toc227443286"/>
      <w:r w:rsidRPr="00C77381">
        <w:rPr>
          <w:rFonts w:asciiTheme="minorHAnsi" w:hAnsiTheme="minorHAnsi" w:cstheme="minorHAnsi"/>
          <w:color w:val="auto"/>
        </w:rPr>
        <w:t>F.3  Equity Finance</w:t>
      </w:r>
      <w:bookmarkEnd w:id="82"/>
      <w:bookmarkEnd w:id="83"/>
    </w:p>
    <w:p w14:paraId="3A585BC7" w14:textId="77777777" w:rsidR="0066536A" w:rsidRPr="00C77381" w:rsidRDefault="0066536A" w:rsidP="00375BDA">
      <w:pPr>
        <w:jc w:val="both"/>
        <w:rPr>
          <w:rFonts w:asciiTheme="minorHAnsi" w:hAnsiTheme="minorHAnsi" w:cstheme="minorHAnsi"/>
          <w:b/>
          <w:bCs/>
          <w:sz w:val="24"/>
          <w:szCs w:val="24"/>
        </w:rPr>
      </w:pPr>
      <w:bookmarkStart w:id="84" w:name="_Toc227422467"/>
      <w:r w:rsidRPr="00C77381">
        <w:rPr>
          <w:rFonts w:asciiTheme="minorHAnsi" w:hAnsiTheme="minorHAnsi" w:cstheme="minorHAnsi"/>
          <w:sz w:val="24"/>
          <w:szCs w:val="24"/>
        </w:rPr>
        <w:t xml:space="preserve">New equity capital - funds provided by the private investors, business angels, venture capital funds or a private equity firm are a permanent source of capital with no mandatory repayment </w:t>
      </w:r>
      <w:r w:rsidRPr="00C77381">
        <w:rPr>
          <w:rFonts w:asciiTheme="minorHAnsi" w:hAnsiTheme="minorHAnsi" w:cstheme="minorHAnsi"/>
          <w:sz w:val="24"/>
          <w:szCs w:val="24"/>
        </w:rPr>
        <w:lastRenderedPageBreak/>
        <w:t xml:space="preserve">requirement and no fixed interest rate, so it is a strong source of capital when the initial cash flows could be unpredictable. The great drawbacks are equity investors have to be given a part of the ownership, a board member, and exit rights which are clearly defined, all these limit the management at will and can be in conflict with the long term goals of the existing shareholders. Equity is also usually the costliest source of funds in terms of the rate of investor return required, they are more risky to the holders of the equity compared to those of secured creditors (Ross, </w:t>
      </w:r>
      <w:proofErr w:type="spellStart"/>
      <w:r w:rsidRPr="00C77381">
        <w:rPr>
          <w:rFonts w:asciiTheme="minorHAnsi" w:hAnsiTheme="minorHAnsi" w:cstheme="minorHAnsi"/>
          <w:sz w:val="24"/>
          <w:szCs w:val="24"/>
        </w:rPr>
        <w:t>Westerfield</w:t>
      </w:r>
      <w:proofErr w:type="spellEnd"/>
      <w:r w:rsidRPr="00C77381">
        <w:rPr>
          <w:rFonts w:asciiTheme="minorHAnsi" w:hAnsiTheme="minorHAnsi" w:cstheme="minorHAnsi"/>
          <w:sz w:val="24"/>
          <w:szCs w:val="24"/>
        </w:rPr>
        <w:t xml:space="preserve"> and Jordan, 2011).</w:t>
      </w:r>
    </w:p>
    <w:p w14:paraId="2F2B7DB6" w14:textId="20F38C41" w:rsidR="00E97EC7" w:rsidRPr="00C77381" w:rsidRDefault="00800625" w:rsidP="00375BDA">
      <w:pPr>
        <w:pStyle w:val="Heading2"/>
        <w:rPr>
          <w:rFonts w:asciiTheme="minorHAnsi" w:hAnsiTheme="minorHAnsi" w:cstheme="minorHAnsi"/>
          <w:color w:val="auto"/>
        </w:rPr>
      </w:pPr>
      <w:bookmarkStart w:id="85" w:name="_Toc227443287"/>
      <w:r w:rsidRPr="00C77381">
        <w:rPr>
          <w:rFonts w:asciiTheme="minorHAnsi" w:hAnsiTheme="minorHAnsi" w:cstheme="minorHAnsi"/>
          <w:color w:val="auto"/>
        </w:rPr>
        <w:t>F.4  Asset Finance and Leasing</w:t>
      </w:r>
      <w:bookmarkEnd w:id="84"/>
      <w:bookmarkEnd w:id="85"/>
    </w:p>
    <w:p w14:paraId="210F9066" w14:textId="5F5618C8" w:rsidR="0066536A" w:rsidRPr="00C77381" w:rsidRDefault="0066536A" w:rsidP="00375BDA">
      <w:pPr>
        <w:jc w:val="both"/>
        <w:rPr>
          <w:rFonts w:asciiTheme="minorHAnsi" w:hAnsiTheme="minorHAnsi" w:cstheme="minorHAnsi"/>
          <w:b/>
          <w:bCs/>
          <w:sz w:val="24"/>
          <w:szCs w:val="24"/>
        </w:rPr>
      </w:pPr>
      <w:bookmarkStart w:id="86" w:name="_Toc227422468"/>
      <w:r w:rsidRPr="00C77381">
        <w:rPr>
          <w:rFonts w:asciiTheme="minorHAnsi" w:hAnsiTheme="minorHAnsi" w:cstheme="minorHAnsi"/>
          <w:sz w:val="24"/>
          <w:szCs w:val="24"/>
        </w:rPr>
        <w:t xml:space="preserve">Where aspects of the investment entail acquisition of physical assets e.g. IT infrastructure to support the e-commerce platform, warehouse equipment, or retail fit-out materials leasing and hire purchase options enable Westward Plc to benefit with productive assets without necessarily the high capital cost. The expense is distributed over the useful life of the asset by the periodic lease payments and working capital is maintained to meet operational needs. The overall expense of leasing an asset throughout its life is, however, generally greater than the purchase, the mark-up of the lessor and the financing cost, being fixed within the rental plan. The majority of the leases under IFRS 16 have to be </w:t>
      </w:r>
      <w:proofErr w:type="spellStart"/>
      <w:r w:rsidRPr="00C77381">
        <w:rPr>
          <w:rFonts w:asciiTheme="minorHAnsi" w:hAnsiTheme="minorHAnsi" w:cstheme="minorHAnsi"/>
          <w:sz w:val="24"/>
          <w:szCs w:val="24"/>
        </w:rPr>
        <w:t>recognised</w:t>
      </w:r>
      <w:proofErr w:type="spellEnd"/>
      <w:r w:rsidRPr="00C77381">
        <w:rPr>
          <w:rFonts w:asciiTheme="minorHAnsi" w:hAnsiTheme="minorHAnsi" w:cstheme="minorHAnsi"/>
          <w:sz w:val="24"/>
          <w:szCs w:val="24"/>
        </w:rPr>
        <w:t xml:space="preserve"> in the balance sheet, which will influence the reported gearing ratio (A</w:t>
      </w:r>
      <w:r w:rsidR="002A2D46">
        <w:rPr>
          <w:rFonts w:asciiTheme="minorHAnsi" w:hAnsiTheme="minorHAnsi" w:cstheme="minorHAnsi"/>
          <w:sz w:val="24"/>
          <w:szCs w:val="24"/>
        </w:rPr>
        <w:t>p</w:t>
      </w:r>
      <w:r w:rsidRPr="00C77381">
        <w:rPr>
          <w:rFonts w:asciiTheme="minorHAnsi" w:hAnsiTheme="minorHAnsi" w:cstheme="minorHAnsi"/>
          <w:sz w:val="24"/>
          <w:szCs w:val="24"/>
        </w:rPr>
        <w:t>rill, 2020).</w:t>
      </w:r>
    </w:p>
    <w:p w14:paraId="5168D7BB" w14:textId="489BEE3E" w:rsidR="00E97EC7" w:rsidRPr="00C77381" w:rsidRDefault="00800625" w:rsidP="00375BDA">
      <w:pPr>
        <w:pStyle w:val="Heading2"/>
        <w:rPr>
          <w:rFonts w:asciiTheme="minorHAnsi" w:hAnsiTheme="minorHAnsi" w:cstheme="minorHAnsi"/>
          <w:color w:val="auto"/>
        </w:rPr>
      </w:pPr>
      <w:bookmarkStart w:id="87" w:name="_Toc227443288"/>
      <w:r w:rsidRPr="00C77381">
        <w:rPr>
          <w:rFonts w:asciiTheme="minorHAnsi" w:hAnsiTheme="minorHAnsi" w:cstheme="minorHAnsi"/>
          <w:color w:val="auto"/>
        </w:rPr>
        <w:t>F.5  Government Enterprise Finance Schemes</w:t>
      </w:r>
      <w:bookmarkEnd w:id="86"/>
      <w:bookmarkEnd w:id="87"/>
    </w:p>
    <w:p w14:paraId="6227A6E8" w14:textId="77777777" w:rsidR="0066536A" w:rsidRPr="00C77381" w:rsidRDefault="0066536A" w:rsidP="00375BDA">
      <w:pPr>
        <w:jc w:val="both"/>
        <w:rPr>
          <w:rFonts w:asciiTheme="minorHAnsi" w:hAnsiTheme="minorHAnsi" w:cstheme="minorHAnsi"/>
          <w:sz w:val="24"/>
          <w:szCs w:val="24"/>
        </w:rPr>
      </w:pPr>
      <w:r w:rsidRPr="00C77381">
        <w:rPr>
          <w:rFonts w:asciiTheme="minorHAnsi" w:hAnsiTheme="minorHAnsi" w:cstheme="minorHAnsi"/>
          <w:sz w:val="24"/>
          <w:szCs w:val="24"/>
        </w:rPr>
        <w:t>Westward Plc can apply to be assisted under any of the schemes supported by the UK government -the Enterprise Finance Guarantee, Growth Guarantee Scheme or regional economic development grants of the British Business Bank - especially where the investment is linked to the creation of a new job, development of manufacturing or to exporting. These plans may include concessionary interest rates, partial government guarantees which lessen the actual risk to the lender or non-repayable grant contributions. They however are subject to eligibility requirement, application procedures and lead times which might not be compatible with the investment schedule of the company.</w:t>
      </w:r>
    </w:p>
    <w:p w14:paraId="263AFE68" w14:textId="77777777" w:rsidR="0066536A" w:rsidRPr="00C77381" w:rsidRDefault="0066536A" w:rsidP="00375BDA">
      <w:pPr>
        <w:jc w:val="both"/>
        <w:rPr>
          <w:rFonts w:asciiTheme="minorHAnsi" w:hAnsiTheme="minorHAnsi" w:cstheme="minorHAnsi"/>
          <w:sz w:val="24"/>
          <w:szCs w:val="24"/>
        </w:rPr>
      </w:pPr>
    </w:p>
    <w:p w14:paraId="5FABBE13" w14:textId="403E9361" w:rsidR="00E97EC7" w:rsidRPr="00C77381" w:rsidRDefault="0066536A" w:rsidP="00375BDA">
      <w:pPr>
        <w:jc w:val="both"/>
        <w:rPr>
          <w:rFonts w:asciiTheme="minorHAnsi" w:hAnsiTheme="minorHAnsi" w:cstheme="minorHAnsi"/>
        </w:rPr>
      </w:pPr>
      <w:r w:rsidRPr="00C77381">
        <w:rPr>
          <w:rFonts w:asciiTheme="minorHAnsi" w:hAnsiTheme="minorHAnsi" w:cstheme="minorHAnsi"/>
          <w:sz w:val="24"/>
          <w:szCs w:val="24"/>
        </w:rPr>
        <w:t>Recommended course of action: a blended approach that will be the most judicious financing alternative to Westward Plc will be a combination of available retained earnings - to reduce cost and eliminate ownership dilution - and a structured bank term loan to finance the remaining part of the required capital. The instalment payments on the loan must be designed to correspond to the expected cash flow profile of the selected investment so that debt services can be easily paid even in case of a low-income scenario. The Board ought to have a reasonable liquidity cushion over the investment term, not to over-leverage the balance sheet and consider the option of eligibility to government scheme as a way of trimming the net borrowing requirement.</w:t>
      </w:r>
      <w:r w:rsidR="00800625" w:rsidRPr="00C77381">
        <w:rPr>
          <w:rFonts w:asciiTheme="minorHAnsi" w:hAnsiTheme="minorHAnsi" w:cstheme="minorHAnsi"/>
        </w:rPr>
        <w:br w:type="page"/>
      </w:r>
    </w:p>
    <w:p w14:paraId="5AA7C986" w14:textId="77777777" w:rsidR="00E97EC7" w:rsidRPr="00C77381" w:rsidRDefault="00800625" w:rsidP="00ED7AA5">
      <w:pPr>
        <w:pStyle w:val="Heading1"/>
        <w:rPr>
          <w:rFonts w:asciiTheme="minorHAnsi" w:hAnsiTheme="minorHAnsi" w:cstheme="minorHAnsi"/>
          <w:color w:val="auto"/>
        </w:rPr>
      </w:pPr>
      <w:bookmarkStart w:id="88" w:name="_Toc227422469"/>
      <w:bookmarkStart w:id="89" w:name="_Toc227443289"/>
      <w:r w:rsidRPr="00C77381">
        <w:rPr>
          <w:rFonts w:asciiTheme="minorHAnsi" w:hAnsiTheme="minorHAnsi" w:cstheme="minorHAnsi"/>
          <w:color w:val="auto"/>
        </w:rPr>
        <w:lastRenderedPageBreak/>
        <w:t>References</w:t>
      </w:r>
      <w:bookmarkEnd w:id="88"/>
      <w:bookmarkEnd w:id="89"/>
    </w:p>
    <w:p w14:paraId="71EB05B9"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Abbas, A. (2025). A Study on Receivables Management and Its Impact on Cash Flow. International Journal For Multidisciplinary Research, 7(5). https://doi.org/10.36948/ijfmr.2025.v07i05.56538</w:t>
      </w:r>
    </w:p>
    <w:p w14:paraId="6047878F"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Agrawal, P. (2018). Artificial Intelligence in Drug Discovery and Development. Journal of Pharmacovigilance, 6(2). https://doi.org/10.4172/2329-6887.1000e173</w:t>
      </w:r>
    </w:p>
    <w:p w14:paraId="332874CF"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Al Ghanem, K., Al Qubaisi, N., Al Zaabi, H., Al Dhahmani, L., Al Naqbi, A., Al Dhanhani, H. and Al Shamisi, F. (2021). Financial Analysis of AstraZeneca. SSRN Electronic Journal. https://doi.org/10.2139/ssrn.3895292</w:t>
      </w:r>
    </w:p>
    <w:p w14:paraId="3215E658"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t>Atarina</w:t>
      </w:r>
      <w:proofErr w:type="spellEnd"/>
      <w:r w:rsidRPr="00C77381">
        <w:rPr>
          <w:rFonts w:asciiTheme="minorHAnsi" w:hAnsiTheme="minorHAnsi" w:cstheme="minorHAnsi"/>
          <w:sz w:val="19"/>
          <w:szCs w:val="19"/>
        </w:rPr>
        <w:t xml:space="preserve">, L. and Poniman, P. (2022). </w:t>
      </w:r>
      <w:proofErr w:type="spellStart"/>
      <w:r w:rsidRPr="00C77381">
        <w:rPr>
          <w:rFonts w:asciiTheme="minorHAnsi" w:hAnsiTheme="minorHAnsi" w:cstheme="minorHAnsi"/>
          <w:sz w:val="19"/>
          <w:szCs w:val="19"/>
        </w:rPr>
        <w:t>Analisis</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Perputaran</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Persediaan</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terhadap</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Profitabilitas</w:t>
      </w:r>
      <w:proofErr w:type="spellEnd"/>
      <w:r w:rsidRPr="00C77381">
        <w:rPr>
          <w:rFonts w:asciiTheme="minorHAnsi" w:hAnsiTheme="minorHAnsi" w:cstheme="minorHAnsi"/>
          <w:sz w:val="19"/>
          <w:szCs w:val="19"/>
        </w:rPr>
        <w:t xml:space="preserve"> Perusahaan Farmasi di Bursa </w:t>
      </w:r>
      <w:proofErr w:type="spellStart"/>
      <w:r w:rsidRPr="00C77381">
        <w:rPr>
          <w:rFonts w:asciiTheme="minorHAnsi" w:hAnsiTheme="minorHAnsi" w:cstheme="minorHAnsi"/>
          <w:sz w:val="19"/>
          <w:szCs w:val="19"/>
        </w:rPr>
        <w:t>Efek</w:t>
      </w:r>
      <w:proofErr w:type="spellEnd"/>
      <w:r w:rsidRPr="00C77381">
        <w:rPr>
          <w:rFonts w:asciiTheme="minorHAnsi" w:hAnsiTheme="minorHAnsi" w:cstheme="minorHAnsi"/>
          <w:sz w:val="19"/>
          <w:szCs w:val="19"/>
        </w:rPr>
        <w:t xml:space="preserve"> Indonesia. J-MAS, 7(2), pp.884–884. https://doi.org/10.33087/jmas.v7i2.530</w:t>
      </w:r>
    </w:p>
    <w:p w14:paraId="0D3279D7"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t>Atrill</w:t>
      </w:r>
      <w:proofErr w:type="spellEnd"/>
      <w:r w:rsidRPr="00C77381">
        <w:rPr>
          <w:rFonts w:asciiTheme="minorHAnsi" w:hAnsiTheme="minorHAnsi" w:cstheme="minorHAnsi"/>
          <w:sz w:val="19"/>
          <w:szCs w:val="19"/>
        </w:rPr>
        <w:t xml:space="preserve">, P. (2020). Financial Management for Decision Makers. 9th </w:t>
      </w:r>
      <w:proofErr w:type="spellStart"/>
      <w:r w:rsidRPr="00C77381">
        <w:rPr>
          <w:rFonts w:asciiTheme="minorHAnsi" w:hAnsiTheme="minorHAnsi" w:cstheme="minorHAnsi"/>
          <w:sz w:val="19"/>
          <w:szCs w:val="19"/>
        </w:rPr>
        <w:t>edn</w:t>
      </w:r>
      <w:proofErr w:type="spellEnd"/>
      <w:r w:rsidRPr="00C77381">
        <w:rPr>
          <w:rFonts w:asciiTheme="minorHAnsi" w:hAnsiTheme="minorHAnsi" w:cstheme="minorHAnsi"/>
          <w:sz w:val="19"/>
          <w:szCs w:val="19"/>
        </w:rPr>
        <w:t>. Harlow: Pearson.</w:t>
      </w:r>
    </w:p>
    <w:p w14:paraId="6478E599"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AstraZeneca (2025). Annual Report 2025. Available at: https://www.astrazeneca.com/investor-relations/annual-reports/annual-report-2025.html</w:t>
      </w:r>
    </w:p>
    <w:p w14:paraId="0D0D1D24"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Bernauer, T. and Meins, E. (2002). Scientific Revolution Meets Policy and the Market. SSRN Electronic Journal. https://doi.org/10.2139/ssrn.295481</w:t>
      </w:r>
    </w:p>
    <w:p w14:paraId="4B239989"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Collier, D.M. (2022). Accounting History, 27(2), pp.185–187. https://doi.org/10.1177/10323732221091860</w:t>
      </w:r>
    </w:p>
    <w:p w14:paraId="2FC60419"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t>Dheepalakshmy</w:t>
      </w:r>
      <w:proofErr w:type="spellEnd"/>
      <w:r w:rsidRPr="00C77381">
        <w:rPr>
          <w:rFonts w:asciiTheme="minorHAnsi" w:hAnsiTheme="minorHAnsi" w:cstheme="minorHAnsi"/>
          <w:sz w:val="19"/>
          <w:szCs w:val="19"/>
        </w:rPr>
        <w:t xml:space="preserve">, P. and </w:t>
      </w:r>
      <w:proofErr w:type="spellStart"/>
      <w:r w:rsidRPr="00C77381">
        <w:rPr>
          <w:rFonts w:asciiTheme="minorHAnsi" w:hAnsiTheme="minorHAnsi" w:cstheme="minorHAnsi"/>
          <w:sz w:val="19"/>
          <w:szCs w:val="19"/>
        </w:rPr>
        <w:t>Angelamary</w:t>
      </w:r>
      <w:proofErr w:type="spellEnd"/>
      <w:r w:rsidRPr="00C77381">
        <w:rPr>
          <w:rFonts w:asciiTheme="minorHAnsi" w:hAnsiTheme="minorHAnsi" w:cstheme="minorHAnsi"/>
          <w:sz w:val="19"/>
          <w:szCs w:val="19"/>
        </w:rPr>
        <w:t>, M. (2024). A Study on Comparative Analysis in Sun Pharmaceutical Industries Limited and Dr. Reddy's Laboratories Limited. International Journal For Multidisciplinary Research, 6(6). https://doi.org/10.36948/ijfmr.2024.v06i06.34428</w:t>
      </w:r>
    </w:p>
    <w:p w14:paraId="5A97F910"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Díaz, R.F. and Sanchez-Robles, B. (2020). Non-Parametric Analysis of Efficiency: An Application to the Pharmaceutical Industry. Mathematics, 8(9), p.1522. https://doi.org/10.3390/math8091522</w:t>
      </w:r>
    </w:p>
    <w:p w14:paraId="133ACDAE"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 xml:space="preserve">Drury, C. (2021). Management and Cost Accounting. 11th </w:t>
      </w:r>
      <w:proofErr w:type="spellStart"/>
      <w:r w:rsidRPr="00C77381">
        <w:rPr>
          <w:rFonts w:asciiTheme="minorHAnsi" w:hAnsiTheme="minorHAnsi" w:cstheme="minorHAnsi"/>
          <w:sz w:val="19"/>
          <w:szCs w:val="19"/>
        </w:rPr>
        <w:t>edn</w:t>
      </w:r>
      <w:proofErr w:type="spellEnd"/>
      <w:r w:rsidRPr="00C77381">
        <w:rPr>
          <w:rFonts w:asciiTheme="minorHAnsi" w:hAnsiTheme="minorHAnsi" w:cstheme="minorHAnsi"/>
          <w:sz w:val="19"/>
          <w:szCs w:val="19"/>
        </w:rPr>
        <w:t>. Andover: Cengage Learning EMEA.</w:t>
      </w:r>
    </w:p>
    <w:p w14:paraId="51F15125"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 xml:space="preserve">El </w:t>
      </w:r>
      <w:proofErr w:type="spellStart"/>
      <w:r w:rsidRPr="00C77381">
        <w:rPr>
          <w:rFonts w:asciiTheme="minorHAnsi" w:hAnsiTheme="minorHAnsi" w:cstheme="minorHAnsi"/>
          <w:sz w:val="19"/>
          <w:szCs w:val="19"/>
        </w:rPr>
        <w:t>Vionita</w:t>
      </w:r>
      <w:proofErr w:type="spellEnd"/>
      <w:r w:rsidRPr="00C77381">
        <w:rPr>
          <w:rFonts w:asciiTheme="minorHAnsi" w:hAnsiTheme="minorHAnsi" w:cstheme="minorHAnsi"/>
          <w:sz w:val="19"/>
          <w:szCs w:val="19"/>
        </w:rPr>
        <w:t xml:space="preserve">, R. (2021). </w:t>
      </w:r>
      <w:proofErr w:type="spellStart"/>
      <w:r w:rsidRPr="00C77381">
        <w:rPr>
          <w:rFonts w:asciiTheme="minorHAnsi" w:hAnsiTheme="minorHAnsi" w:cstheme="minorHAnsi"/>
          <w:sz w:val="19"/>
          <w:szCs w:val="19"/>
        </w:rPr>
        <w:t>Analisis</w:t>
      </w:r>
      <w:proofErr w:type="spellEnd"/>
      <w:r w:rsidRPr="00C77381">
        <w:rPr>
          <w:rFonts w:asciiTheme="minorHAnsi" w:hAnsiTheme="minorHAnsi" w:cstheme="minorHAnsi"/>
          <w:sz w:val="19"/>
          <w:szCs w:val="19"/>
        </w:rPr>
        <w:t xml:space="preserve"> Return on Equity </w:t>
      </w:r>
      <w:proofErr w:type="spellStart"/>
      <w:r w:rsidRPr="00C77381">
        <w:rPr>
          <w:rFonts w:asciiTheme="minorHAnsi" w:hAnsiTheme="minorHAnsi" w:cstheme="minorHAnsi"/>
          <w:sz w:val="19"/>
          <w:szCs w:val="19"/>
        </w:rPr>
        <w:t>dalam</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Menilai</w:t>
      </w:r>
      <w:proofErr w:type="spellEnd"/>
      <w:r w:rsidRPr="00C77381">
        <w:rPr>
          <w:rFonts w:asciiTheme="minorHAnsi" w:hAnsiTheme="minorHAnsi" w:cstheme="minorHAnsi"/>
          <w:sz w:val="19"/>
          <w:szCs w:val="19"/>
        </w:rPr>
        <w:t xml:space="preserve"> Harga Saham PT. Astra Internasional TBK. Parameter, 5(2), pp.85–96. https://doi.org/10.37751/parameter.v5i2.151</w:t>
      </w:r>
    </w:p>
    <w:p w14:paraId="31C2D67A"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 xml:space="preserve">Greeshma, Isha and Aithal, P.S. (2025). Strategic Analysis of Sun Pharmaceutical Industries Limited. </w:t>
      </w:r>
      <w:proofErr w:type="spellStart"/>
      <w:r w:rsidRPr="00C77381">
        <w:rPr>
          <w:rFonts w:asciiTheme="minorHAnsi" w:hAnsiTheme="minorHAnsi" w:cstheme="minorHAnsi"/>
          <w:sz w:val="19"/>
          <w:szCs w:val="19"/>
        </w:rPr>
        <w:t>Poornaprajna</w:t>
      </w:r>
      <w:proofErr w:type="spellEnd"/>
      <w:r w:rsidRPr="00C77381">
        <w:rPr>
          <w:rFonts w:asciiTheme="minorHAnsi" w:hAnsiTheme="minorHAnsi" w:cstheme="minorHAnsi"/>
          <w:sz w:val="19"/>
          <w:szCs w:val="19"/>
        </w:rPr>
        <w:t xml:space="preserve"> International Journal of Teaching &amp; Research Case Studies. https://doi.org/10.64818/pijtrcs.3107.8494.0026</w:t>
      </w:r>
    </w:p>
    <w:p w14:paraId="1AAADE97"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I, A. and S, P. (2025). A Study on Receivables Management and Its Impact on Cash Flow. International Journal For Multidisciplinary Research, 7(5). https://doi.org/10.36948/ijfmr.2025.v07i05.56538</w:t>
      </w:r>
    </w:p>
    <w:p w14:paraId="2829F949"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t>Maghfirah</w:t>
      </w:r>
      <w:proofErr w:type="spellEnd"/>
      <w:r w:rsidRPr="00C77381">
        <w:rPr>
          <w:rFonts w:asciiTheme="minorHAnsi" w:hAnsiTheme="minorHAnsi" w:cstheme="minorHAnsi"/>
          <w:sz w:val="19"/>
          <w:szCs w:val="19"/>
        </w:rPr>
        <w:t xml:space="preserve"> Sultan, N., Sahabuddin, R. and </w:t>
      </w:r>
      <w:proofErr w:type="spellStart"/>
      <w:r w:rsidRPr="00C77381">
        <w:rPr>
          <w:rFonts w:asciiTheme="minorHAnsi" w:hAnsiTheme="minorHAnsi" w:cstheme="minorHAnsi"/>
          <w:sz w:val="19"/>
          <w:szCs w:val="19"/>
        </w:rPr>
        <w:t>Nurman</w:t>
      </w:r>
      <w:proofErr w:type="spellEnd"/>
      <w:r w:rsidRPr="00C77381">
        <w:rPr>
          <w:rFonts w:asciiTheme="minorHAnsi" w:hAnsiTheme="minorHAnsi" w:cstheme="minorHAnsi"/>
          <w:sz w:val="19"/>
          <w:szCs w:val="19"/>
        </w:rPr>
        <w:t xml:space="preserve"> (2024). Analyzing the Effect of Liquidity and Solvency Ratios on Profitability at PT Astra International TBK. Bulletin of Management and Business, 5(2), pp.1–15. https://doi.org/10.31328/bmb.v5i2.355</w:t>
      </w:r>
    </w:p>
    <w:p w14:paraId="6D4D225C"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t>Mclaney</w:t>
      </w:r>
      <w:proofErr w:type="spellEnd"/>
      <w:r w:rsidRPr="00C77381">
        <w:rPr>
          <w:rFonts w:asciiTheme="minorHAnsi" w:hAnsiTheme="minorHAnsi" w:cstheme="minorHAnsi"/>
          <w:sz w:val="19"/>
          <w:szCs w:val="19"/>
        </w:rPr>
        <w:t xml:space="preserve">, E. (2017). Business Finance: Theory and Practice. 11th </w:t>
      </w:r>
      <w:proofErr w:type="spellStart"/>
      <w:r w:rsidRPr="00C77381">
        <w:rPr>
          <w:rFonts w:asciiTheme="minorHAnsi" w:hAnsiTheme="minorHAnsi" w:cstheme="minorHAnsi"/>
          <w:sz w:val="19"/>
          <w:szCs w:val="19"/>
        </w:rPr>
        <w:t>edn</w:t>
      </w:r>
      <w:proofErr w:type="spellEnd"/>
      <w:r w:rsidRPr="00C77381">
        <w:rPr>
          <w:rFonts w:asciiTheme="minorHAnsi" w:hAnsiTheme="minorHAnsi" w:cstheme="minorHAnsi"/>
          <w:sz w:val="19"/>
          <w:szCs w:val="19"/>
        </w:rPr>
        <w:t>. Harlow: Pearson.</w:t>
      </w:r>
    </w:p>
    <w:p w14:paraId="432C1025"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Rani, P.B., T. Vamsi, M. Venkata Lakshmi and Naga, K. (2025). Understanding Financial Performance – A Conceptual Framework for Ratio Analysis. TECHNO REVIEW Journal of Technology and Management, 5(1), pp.19–25. https://doi.org/10.31305/trjtm2025.v05.n01.003</w:t>
      </w:r>
    </w:p>
    <w:p w14:paraId="0C742480"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 xml:space="preserve">Ross, S.A., </w:t>
      </w:r>
      <w:proofErr w:type="spellStart"/>
      <w:r w:rsidRPr="00C77381">
        <w:rPr>
          <w:rFonts w:asciiTheme="minorHAnsi" w:hAnsiTheme="minorHAnsi" w:cstheme="minorHAnsi"/>
          <w:sz w:val="19"/>
          <w:szCs w:val="19"/>
        </w:rPr>
        <w:t>Westerfield</w:t>
      </w:r>
      <w:proofErr w:type="spellEnd"/>
      <w:r w:rsidRPr="00C77381">
        <w:rPr>
          <w:rFonts w:asciiTheme="minorHAnsi" w:hAnsiTheme="minorHAnsi" w:cstheme="minorHAnsi"/>
          <w:sz w:val="19"/>
          <w:szCs w:val="19"/>
        </w:rPr>
        <w:t xml:space="preserve">, R. and Jordan, B.D. (2011). Essentials of Corporate Finance. 8th </w:t>
      </w:r>
      <w:proofErr w:type="spellStart"/>
      <w:r w:rsidRPr="00C77381">
        <w:rPr>
          <w:rFonts w:asciiTheme="minorHAnsi" w:hAnsiTheme="minorHAnsi" w:cstheme="minorHAnsi"/>
          <w:sz w:val="19"/>
          <w:szCs w:val="19"/>
        </w:rPr>
        <w:t>edn</w:t>
      </w:r>
      <w:proofErr w:type="spellEnd"/>
      <w:r w:rsidRPr="00C77381">
        <w:rPr>
          <w:rFonts w:asciiTheme="minorHAnsi" w:hAnsiTheme="minorHAnsi" w:cstheme="minorHAnsi"/>
          <w:sz w:val="19"/>
          <w:szCs w:val="19"/>
        </w:rPr>
        <w:t>. New York: McGraw-Hill Irwin.</w:t>
      </w:r>
    </w:p>
    <w:p w14:paraId="5EA8F9CC"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Saini, N. and Bansal, S. (2020). Pharmaceutical Companies and Liquidity Analysis: A Review. International Journal of Economics and Financial Issues, 10(5), pp.236–242. https://doi.org/10.32479/ijefi.10465</w:t>
      </w:r>
    </w:p>
    <w:p w14:paraId="1383E2E6" w14:textId="77777777" w:rsidR="00E97EC7" w:rsidRPr="00C77381" w:rsidRDefault="00800625" w:rsidP="00375BDA">
      <w:pPr>
        <w:spacing w:before="80" w:after="80" w:line="310" w:lineRule="auto"/>
        <w:ind w:left="720" w:hanging="720"/>
        <w:jc w:val="both"/>
        <w:rPr>
          <w:rFonts w:asciiTheme="minorHAnsi" w:hAnsiTheme="minorHAnsi" w:cstheme="minorHAnsi"/>
        </w:rPr>
      </w:pPr>
      <w:r w:rsidRPr="00C77381">
        <w:rPr>
          <w:rFonts w:asciiTheme="minorHAnsi" w:hAnsiTheme="minorHAnsi" w:cstheme="minorHAnsi"/>
          <w:sz w:val="19"/>
          <w:szCs w:val="19"/>
        </w:rPr>
        <w:t xml:space="preserve">Setiawan, E.A., Hidayat, R. and </w:t>
      </w:r>
      <w:proofErr w:type="spellStart"/>
      <w:r w:rsidRPr="00C77381">
        <w:rPr>
          <w:rFonts w:asciiTheme="minorHAnsi" w:hAnsiTheme="minorHAnsi" w:cstheme="minorHAnsi"/>
          <w:sz w:val="19"/>
          <w:szCs w:val="19"/>
        </w:rPr>
        <w:t>Hermuningsih</w:t>
      </w:r>
      <w:proofErr w:type="spellEnd"/>
      <w:r w:rsidRPr="00C77381">
        <w:rPr>
          <w:rFonts w:asciiTheme="minorHAnsi" w:hAnsiTheme="minorHAnsi" w:cstheme="minorHAnsi"/>
          <w:sz w:val="19"/>
          <w:szCs w:val="19"/>
        </w:rPr>
        <w:t xml:space="preserve">, S. (2025). Financial Performance Analysis of PT Astra International. </w:t>
      </w:r>
      <w:proofErr w:type="spellStart"/>
      <w:r w:rsidRPr="00C77381">
        <w:rPr>
          <w:rFonts w:asciiTheme="minorHAnsi" w:hAnsiTheme="minorHAnsi" w:cstheme="minorHAnsi"/>
          <w:sz w:val="19"/>
          <w:szCs w:val="19"/>
        </w:rPr>
        <w:t>Jurnal</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Ilmiah</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Sistem</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Informasi</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Akuntansi</w:t>
      </w:r>
      <w:proofErr w:type="spellEnd"/>
      <w:r w:rsidRPr="00C77381">
        <w:rPr>
          <w:rFonts w:asciiTheme="minorHAnsi" w:hAnsiTheme="minorHAnsi" w:cstheme="minorHAnsi"/>
          <w:sz w:val="19"/>
          <w:szCs w:val="19"/>
        </w:rPr>
        <w:t>, 5(1), pp.16–25. https://doi.org/10.33365/jimasia.v5i1.113</w:t>
      </w:r>
    </w:p>
    <w:p w14:paraId="45A45896" w14:textId="77777777" w:rsidR="00E97EC7" w:rsidRPr="00C77381" w:rsidRDefault="00800625" w:rsidP="00375BDA">
      <w:pPr>
        <w:spacing w:before="80" w:after="80" w:line="310" w:lineRule="auto"/>
        <w:ind w:left="720" w:hanging="720"/>
        <w:jc w:val="both"/>
        <w:rPr>
          <w:rFonts w:asciiTheme="minorHAnsi" w:hAnsiTheme="minorHAnsi" w:cstheme="minorHAnsi"/>
        </w:rPr>
      </w:pPr>
      <w:proofErr w:type="spellStart"/>
      <w:r w:rsidRPr="00C77381">
        <w:rPr>
          <w:rFonts w:asciiTheme="minorHAnsi" w:hAnsiTheme="minorHAnsi" w:cstheme="minorHAnsi"/>
          <w:sz w:val="19"/>
          <w:szCs w:val="19"/>
        </w:rPr>
        <w:lastRenderedPageBreak/>
        <w:t>Sunjoko</w:t>
      </w:r>
      <w:proofErr w:type="spellEnd"/>
      <w:r w:rsidRPr="00C77381">
        <w:rPr>
          <w:rFonts w:asciiTheme="minorHAnsi" w:hAnsiTheme="minorHAnsi" w:cstheme="minorHAnsi"/>
          <w:sz w:val="19"/>
          <w:szCs w:val="19"/>
        </w:rPr>
        <w:t xml:space="preserve">, M.I. and Arilyn, E.J. (2016). Effects of Inventory Turnover on Profitability. </w:t>
      </w:r>
      <w:proofErr w:type="spellStart"/>
      <w:r w:rsidRPr="00C77381">
        <w:rPr>
          <w:rFonts w:asciiTheme="minorHAnsi" w:hAnsiTheme="minorHAnsi" w:cstheme="minorHAnsi"/>
          <w:sz w:val="19"/>
          <w:szCs w:val="19"/>
        </w:rPr>
        <w:t>Jurnal</w:t>
      </w:r>
      <w:proofErr w:type="spellEnd"/>
      <w:r w:rsidRPr="00C77381">
        <w:rPr>
          <w:rFonts w:asciiTheme="minorHAnsi" w:hAnsiTheme="minorHAnsi" w:cstheme="minorHAnsi"/>
          <w:sz w:val="19"/>
          <w:szCs w:val="19"/>
        </w:rPr>
        <w:t xml:space="preserve"> </w:t>
      </w:r>
      <w:proofErr w:type="spellStart"/>
      <w:r w:rsidRPr="00C77381">
        <w:rPr>
          <w:rFonts w:asciiTheme="minorHAnsi" w:hAnsiTheme="minorHAnsi" w:cstheme="minorHAnsi"/>
          <w:sz w:val="19"/>
          <w:szCs w:val="19"/>
        </w:rPr>
        <w:t>Bisnis</w:t>
      </w:r>
      <w:proofErr w:type="spellEnd"/>
      <w:r w:rsidRPr="00C77381">
        <w:rPr>
          <w:rFonts w:asciiTheme="minorHAnsi" w:hAnsiTheme="minorHAnsi" w:cstheme="minorHAnsi"/>
          <w:sz w:val="19"/>
          <w:szCs w:val="19"/>
        </w:rPr>
        <w:t xml:space="preserve"> dan </w:t>
      </w:r>
      <w:proofErr w:type="spellStart"/>
      <w:r w:rsidRPr="00C77381">
        <w:rPr>
          <w:rFonts w:asciiTheme="minorHAnsi" w:hAnsiTheme="minorHAnsi" w:cstheme="minorHAnsi"/>
          <w:sz w:val="19"/>
          <w:szCs w:val="19"/>
        </w:rPr>
        <w:t>Akuntansi</w:t>
      </w:r>
      <w:proofErr w:type="spellEnd"/>
      <w:r w:rsidRPr="00C77381">
        <w:rPr>
          <w:rFonts w:asciiTheme="minorHAnsi" w:hAnsiTheme="minorHAnsi" w:cstheme="minorHAnsi"/>
          <w:sz w:val="19"/>
          <w:szCs w:val="19"/>
        </w:rPr>
        <w:t>, 18(1), pp.79–83. https://doi.org/10.34208/jba.v18i1.40</w:t>
      </w:r>
    </w:p>
    <w:p w14:paraId="4CE753D3"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rPr>
        <w:br w:type="page"/>
      </w:r>
    </w:p>
    <w:p w14:paraId="61879D9E" w14:textId="77777777" w:rsidR="00E97EC7" w:rsidRPr="00C77381" w:rsidRDefault="00800625" w:rsidP="00ED7AA5">
      <w:pPr>
        <w:pStyle w:val="Heading1"/>
        <w:rPr>
          <w:rFonts w:asciiTheme="minorHAnsi" w:hAnsiTheme="minorHAnsi" w:cstheme="minorHAnsi"/>
          <w:color w:val="auto"/>
        </w:rPr>
      </w:pPr>
      <w:bookmarkStart w:id="90" w:name="_Toc227422470"/>
      <w:bookmarkStart w:id="91" w:name="_Toc227443290"/>
      <w:r w:rsidRPr="00C77381">
        <w:rPr>
          <w:rFonts w:asciiTheme="minorHAnsi" w:hAnsiTheme="minorHAnsi" w:cstheme="minorHAnsi"/>
          <w:color w:val="auto"/>
        </w:rPr>
        <w:lastRenderedPageBreak/>
        <w:t>Appendices</w:t>
      </w:r>
      <w:bookmarkEnd w:id="90"/>
      <w:bookmarkEnd w:id="91"/>
    </w:p>
    <w:p w14:paraId="2AB699AE" w14:textId="77777777" w:rsidR="00E97EC7" w:rsidRPr="00C77381" w:rsidRDefault="00800625" w:rsidP="00375BDA">
      <w:pPr>
        <w:pStyle w:val="Heading2"/>
        <w:jc w:val="both"/>
        <w:rPr>
          <w:rFonts w:asciiTheme="minorHAnsi" w:hAnsiTheme="minorHAnsi" w:cstheme="minorHAnsi"/>
          <w:color w:val="auto"/>
        </w:rPr>
      </w:pPr>
      <w:bookmarkStart w:id="92" w:name="_Toc227422471"/>
      <w:bookmarkStart w:id="93" w:name="_Toc227443291"/>
      <w:r w:rsidRPr="00C77381">
        <w:rPr>
          <w:rFonts w:asciiTheme="minorHAnsi" w:hAnsiTheme="minorHAnsi" w:cstheme="minorHAnsi"/>
          <w:color w:val="auto"/>
        </w:rPr>
        <w:t>Appendix A — AstraZeneca Plc: Key Financial Data (FY2024 &amp; FY2025, $m)</w:t>
      </w:r>
      <w:bookmarkEnd w:id="92"/>
      <w:bookmarkEnd w:id="93"/>
    </w:p>
    <w:p w14:paraId="3A32758A" w14:textId="77777777" w:rsidR="00E97EC7" w:rsidRPr="00C77381" w:rsidRDefault="00800625" w:rsidP="00375BDA">
      <w:pPr>
        <w:spacing w:before="100" w:after="100" w:line="360" w:lineRule="auto"/>
        <w:jc w:val="both"/>
        <w:rPr>
          <w:rFonts w:asciiTheme="minorHAnsi" w:hAnsiTheme="minorHAnsi" w:cstheme="minorHAnsi"/>
        </w:rPr>
      </w:pPr>
      <w:r w:rsidRPr="00C77381">
        <w:rPr>
          <w:rFonts w:asciiTheme="minorHAnsi" w:hAnsiTheme="minorHAnsi" w:cstheme="minorHAnsi"/>
        </w:rPr>
        <w:t>Source: AstraZeneca Plc Audited Consolidated Financial Statements, Annual Reports 2024 and 2025. All figures in US dollars ($m).</w:t>
      </w:r>
    </w:p>
    <w:p w14:paraId="3CD3F3FE" w14:textId="77777777" w:rsidR="00E97EC7" w:rsidRPr="00C77381" w:rsidRDefault="00E97EC7" w:rsidP="00375BDA">
      <w:pPr>
        <w:spacing w:before="80"/>
        <w:jc w:val="both"/>
        <w:rPr>
          <w:rFonts w:asciiTheme="minorHAnsi" w:hAnsiTheme="minorHAnsi" w:cstheme="minorHAnsi"/>
        </w:rPr>
      </w:pPr>
    </w:p>
    <w:p w14:paraId="3ADACD36" w14:textId="5BA2E610" w:rsidR="00E97EC7" w:rsidRPr="00C77381" w:rsidRDefault="00AA5197" w:rsidP="00375BDA">
      <w:pPr>
        <w:spacing w:before="140"/>
        <w:jc w:val="both"/>
        <w:rPr>
          <w:rFonts w:asciiTheme="minorHAnsi" w:hAnsiTheme="minorHAnsi" w:cstheme="minorHAnsi"/>
        </w:rPr>
      </w:pPr>
      <w:r w:rsidRPr="00C77381">
        <w:rPr>
          <w:rFonts w:asciiTheme="minorHAnsi" w:hAnsiTheme="minorHAnsi" w:cstheme="minorHAnsi"/>
          <w:noProof/>
        </w:rPr>
        <w:drawing>
          <wp:inline distT="0" distB="0" distL="0" distR="0" wp14:anchorId="1360C9AF" wp14:editId="0C89EF1D">
            <wp:extent cx="4691142" cy="5422789"/>
            <wp:effectExtent l="0" t="0" r="0" b="6985"/>
            <wp:docPr id="38529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95382" name=""/>
                    <pic:cNvPicPr/>
                  </pic:nvPicPr>
                  <pic:blipFill>
                    <a:blip r:embed="rId10"/>
                    <a:stretch>
                      <a:fillRect/>
                    </a:stretch>
                  </pic:blipFill>
                  <pic:spPr>
                    <a:xfrm>
                      <a:off x="0" y="0"/>
                      <a:ext cx="4695904" cy="5428294"/>
                    </a:xfrm>
                    <a:prstGeom prst="rect">
                      <a:avLst/>
                    </a:prstGeom>
                  </pic:spPr>
                </pic:pic>
              </a:graphicData>
            </a:graphic>
          </wp:inline>
        </w:drawing>
      </w:r>
    </w:p>
    <w:p w14:paraId="65B5BEFF" w14:textId="77777777" w:rsidR="00375BDA" w:rsidRPr="00C77381" w:rsidRDefault="00375BDA" w:rsidP="00375BDA">
      <w:pPr>
        <w:ind w:left="720"/>
        <w:jc w:val="both"/>
        <w:rPr>
          <w:rFonts w:asciiTheme="minorHAnsi" w:hAnsiTheme="minorHAnsi" w:cstheme="minorHAnsi"/>
        </w:rPr>
      </w:pPr>
      <w:r w:rsidRPr="00C77381">
        <w:rPr>
          <w:rFonts w:asciiTheme="minorHAnsi" w:hAnsiTheme="minorHAnsi" w:cstheme="minorHAnsi"/>
          <w:noProof/>
        </w:rPr>
        <w:lastRenderedPageBreak/>
        <w:drawing>
          <wp:inline distT="0" distB="0" distL="0" distR="0" wp14:anchorId="5E291F4A" wp14:editId="73F78B01">
            <wp:extent cx="4657793" cy="6332717"/>
            <wp:effectExtent l="171450" t="171450" r="200025" b="201930"/>
            <wp:docPr id="188348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87413" name=""/>
                    <pic:cNvPicPr/>
                  </pic:nvPicPr>
                  <pic:blipFill>
                    <a:blip r:embed="rId11"/>
                    <a:stretch>
                      <a:fillRect/>
                    </a:stretch>
                  </pic:blipFill>
                  <pic:spPr>
                    <a:xfrm>
                      <a:off x="0" y="0"/>
                      <a:ext cx="4695916" cy="638454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86D24CA" w14:textId="77777777" w:rsidR="00375BDA" w:rsidRPr="00C77381" w:rsidRDefault="00375BDA" w:rsidP="00375BDA">
      <w:pPr>
        <w:ind w:left="720"/>
        <w:jc w:val="both"/>
        <w:rPr>
          <w:rFonts w:asciiTheme="minorHAnsi" w:hAnsiTheme="minorHAnsi" w:cstheme="minorHAnsi"/>
        </w:rPr>
      </w:pPr>
      <w:r w:rsidRPr="00C77381">
        <w:rPr>
          <w:rFonts w:asciiTheme="minorHAnsi" w:hAnsiTheme="minorHAnsi" w:cstheme="minorHAnsi"/>
          <w:noProof/>
        </w:rPr>
        <w:lastRenderedPageBreak/>
        <w:drawing>
          <wp:inline distT="0" distB="0" distL="0" distR="0" wp14:anchorId="6E5BD2B5" wp14:editId="70A0AAA0">
            <wp:extent cx="4849350" cy="4408501"/>
            <wp:effectExtent l="171450" t="171450" r="199390" b="201930"/>
            <wp:docPr id="211624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41904" name=""/>
                    <pic:cNvPicPr/>
                  </pic:nvPicPr>
                  <pic:blipFill>
                    <a:blip r:embed="rId12"/>
                    <a:stretch>
                      <a:fillRect/>
                    </a:stretch>
                  </pic:blipFill>
                  <pic:spPr>
                    <a:xfrm>
                      <a:off x="0" y="0"/>
                      <a:ext cx="4854594" cy="441326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Pr="00C77381">
        <w:rPr>
          <w:rFonts w:asciiTheme="minorHAnsi" w:hAnsiTheme="minorHAnsi" w:cstheme="minorHAnsi"/>
        </w:rPr>
        <w:t xml:space="preserve"> </w:t>
      </w:r>
      <w:r w:rsidRPr="00C77381">
        <w:rPr>
          <w:rFonts w:asciiTheme="minorHAnsi" w:hAnsiTheme="minorHAnsi" w:cstheme="minorHAnsi"/>
          <w:noProof/>
        </w:rPr>
        <w:lastRenderedPageBreak/>
        <w:drawing>
          <wp:inline distT="0" distB="0" distL="0" distR="0" wp14:anchorId="0C13473C" wp14:editId="5AA07767">
            <wp:extent cx="4877481" cy="6544588"/>
            <wp:effectExtent l="171450" t="171450" r="189865" b="199390"/>
            <wp:docPr id="64397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74111" name=""/>
                    <pic:cNvPicPr/>
                  </pic:nvPicPr>
                  <pic:blipFill>
                    <a:blip r:embed="rId13"/>
                    <a:stretch>
                      <a:fillRect/>
                    </a:stretch>
                  </pic:blipFill>
                  <pic:spPr>
                    <a:xfrm>
                      <a:off x="0" y="0"/>
                      <a:ext cx="4877481" cy="654458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Pr="00C77381">
        <w:rPr>
          <w:rFonts w:asciiTheme="minorHAnsi" w:hAnsiTheme="minorHAnsi" w:cstheme="minorHAnsi"/>
          <w:noProof/>
        </w:rPr>
        <w:lastRenderedPageBreak/>
        <w:drawing>
          <wp:inline distT="0" distB="0" distL="0" distR="0" wp14:anchorId="59118382" wp14:editId="0FEEEAF2">
            <wp:extent cx="4219575" cy="4419600"/>
            <wp:effectExtent l="171450" t="171450" r="180975" b="190500"/>
            <wp:docPr id="143614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48851" name=""/>
                    <pic:cNvPicPr/>
                  </pic:nvPicPr>
                  <pic:blipFill>
                    <a:blip r:embed="rId14"/>
                    <a:stretch>
                      <a:fillRect/>
                    </a:stretch>
                  </pic:blipFill>
                  <pic:spPr>
                    <a:xfrm>
                      <a:off x="0" y="0"/>
                      <a:ext cx="4220488" cy="442055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F289491" w14:textId="77777777" w:rsidR="00E97EC7" w:rsidRPr="00C77381" w:rsidRDefault="00E97EC7" w:rsidP="00375BDA">
      <w:pPr>
        <w:spacing w:before="140"/>
        <w:jc w:val="both"/>
        <w:rPr>
          <w:rFonts w:asciiTheme="minorHAnsi" w:hAnsiTheme="minorHAnsi" w:cstheme="minorHAnsi"/>
        </w:rPr>
      </w:pPr>
    </w:p>
    <w:p w14:paraId="52D86D58" w14:textId="15C5EFE4" w:rsidR="00E97EC7" w:rsidRPr="00C77381" w:rsidRDefault="00800625" w:rsidP="00375BDA">
      <w:pPr>
        <w:pStyle w:val="Heading2"/>
        <w:jc w:val="both"/>
        <w:rPr>
          <w:rFonts w:asciiTheme="minorHAnsi" w:hAnsiTheme="minorHAnsi" w:cstheme="minorHAnsi"/>
          <w:color w:val="auto"/>
        </w:rPr>
      </w:pPr>
      <w:bookmarkStart w:id="94" w:name="_Toc227422472"/>
      <w:bookmarkStart w:id="95" w:name="_Toc227443292"/>
      <w:r w:rsidRPr="00C77381">
        <w:rPr>
          <w:rFonts w:asciiTheme="minorHAnsi" w:hAnsiTheme="minorHAnsi" w:cstheme="minorHAnsi"/>
          <w:color w:val="auto"/>
        </w:rPr>
        <w:t xml:space="preserve">Appendix B </w:t>
      </w:r>
      <w:r w:rsidR="00ED7AA5" w:rsidRPr="00C77381">
        <w:rPr>
          <w:rFonts w:asciiTheme="minorHAnsi" w:hAnsiTheme="minorHAnsi" w:cstheme="minorHAnsi"/>
          <w:color w:val="auto"/>
        </w:rPr>
        <w:t>-</w:t>
      </w:r>
      <w:r w:rsidRPr="00C77381">
        <w:rPr>
          <w:rFonts w:asciiTheme="minorHAnsi" w:hAnsiTheme="minorHAnsi" w:cstheme="minorHAnsi"/>
          <w:color w:val="auto"/>
        </w:rPr>
        <w:t xml:space="preserve"> AstraZeneca Plc: Ratio Calculations (FY2024 &amp; FY2025)</w:t>
      </w:r>
      <w:bookmarkEnd w:id="94"/>
      <w:bookmarkEnd w:id="95"/>
    </w:p>
    <w:p w14:paraId="53E7ADBF" w14:textId="77777777" w:rsidR="00E97EC7" w:rsidRPr="00C77381" w:rsidRDefault="00E97EC7" w:rsidP="00375BDA">
      <w:pPr>
        <w:spacing w:before="80"/>
        <w:jc w:val="both"/>
        <w:rPr>
          <w:rFonts w:asciiTheme="minorHAnsi" w:hAnsiTheme="minorHAnsi" w:cstheme="minorHAnsi"/>
        </w:rPr>
      </w:pPr>
    </w:p>
    <w:tbl>
      <w:tblPr>
        <w:tblStyle w:val="TableGrid"/>
        <w:tblW w:w="9026" w:type="dxa"/>
        <w:tblLook w:val="04A0" w:firstRow="1" w:lastRow="0" w:firstColumn="1" w:lastColumn="0" w:noHBand="0" w:noVBand="1"/>
      </w:tblPr>
      <w:tblGrid>
        <w:gridCol w:w="3400"/>
        <w:gridCol w:w="2813"/>
        <w:gridCol w:w="2813"/>
      </w:tblGrid>
      <w:tr w:rsidR="00327204" w:rsidRPr="00C77381" w14:paraId="440F3670" w14:textId="77777777" w:rsidTr="00ED7AA5">
        <w:tc>
          <w:tcPr>
            <w:tcW w:w="3400" w:type="dxa"/>
          </w:tcPr>
          <w:p w14:paraId="7A015DF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Ratio Formula</w:t>
            </w:r>
          </w:p>
        </w:tc>
        <w:tc>
          <w:tcPr>
            <w:tcW w:w="2813" w:type="dxa"/>
          </w:tcPr>
          <w:p w14:paraId="217F987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FY 2024 Calculation ($m)</w:t>
            </w:r>
          </w:p>
        </w:tc>
        <w:tc>
          <w:tcPr>
            <w:tcW w:w="2813" w:type="dxa"/>
          </w:tcPr>
          <w:p w14:paraId="3707DF53"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FY 2025 Calculation ($m)</w:t>
            </w:r>
          </w:p>
        </w:tc>
      </w:tr>
      <w:tr w:rsidR="00327204" w:rsidRPr="00C77381" w14:paraId="7C6F21FE" w14:textId="77777777" w:rsidTr="00ED7AA5">
        <w:tc>
          <w:tcPr>
            <w:tcW w:w="3400" w:type="dxa"/>
          </w:tcPr>
          <w:p w14:paraId="16A844E0"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b/>
                <w:bCs/>
                <w:sz w:val="17"/>
                <w:szCs w:val="17"/>
              </w:rPr>
              <w:t>PROFITABILITY RATIOS</w:t>
            </w:r>
          </w:p>
        </w:tc>
        <w:tc>
          <w:tcPr>
            <w:tcW w:w="2813" w:type="dxa"/>
          </w:tcPr>
          <w:p w14:paraId="50670537" w14:textId="77777777" w:rsidR="00E97EC7" w:rsidRPr="00C77381" w:rsidRDefault="00E97EC7" w:rsidP="00375BDA">
            <w:pPr>
              <w:jc w:val="both"/>
              <w:rPr>
                <w:rFonts w:asciiTheme="minorHAnsi" w:hAnsiTheme="minorHAnsi" w:cstheme="minorHAnsi"/>
              </w:rPr>
            </w:pPr>
          </w:p>
        </w:tc>
        <w:tc>
          <w:tcPr>
            <w:tcW w:w="2813" w:type="dxa"/>
          </w:tcPr>
          <w:p w14:paraId="1B3FDF88" w14:textId="77777777" w:rsidR="00E97EC7" w:rsidRPr="00C77381" w:rsidRDefault="00E97EC7" w:rsidP="00375BDA">
            <w:pPr>
              <w:jc w:val="both"/>
              <w:rPr>
                <w:rFonts w:asciiTheme="minorHAnsi" w:hAnsiTheme="minorHAnsi" w:cstheme="minorHAnsi"/>
              </w:rPr>
            </w:pPr>
          </w:p>
        </w:tc>
      </w:tr>
      <w:tr w:rsidR="00327204" w:rsidRPr="00C77381" w14:paraId="73FAB8E8" w14:textId="77777777" w:rsidTr="00ED7AA5">
        <w:tc>
          <w:tcPr>
            <w:tcW w:w="3400" w:type="dxa"/>
          </w:tcPr>
          <w:p w14:paraId="4E781950"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GPM = Gross Profit / Revenue × 100</w:t>
            </w:r>
          </w:p>
        </w:tc>
        <w:tc>
          <w:tcPr>
            <w:tcW w:w="2813" w:type="dxa"/>
          </w:tcPr>
          <w:p w14:paraId="706FFEA2"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43,866 / 54,073 × 100 = 81.12%</w:t>
            </w:r>
          </w:p>
        </w:tc>
        <w:tc>
          <w:tcPr>
            <w:tcW w:w="2813" w:type="dxa"/>
          </w:tcPr>
          <w:p w14:paraId="13886E43"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48,106 / 58,739 × 100 = 81.90%</w:t>
            </w:r>
          </w:p>
        </w:tc>
      </w:tr>
      <w:tr w:rsidR="00327204" w:rsidRPr="00C77381" w14:paraId="48431C12" w14:textId="77777777" w:rsidTr="00ED7AA5">
        <w:tc>
          <w:tcPr>
            <w:tcW w:w="3400" w:type="dxa"/>
          </w:tcPr>
          <w:p w14:paraId="7494A1CD"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OPM = Operating Profit / Revenue × 100</w:t>
            </w:r>
          </w:p>
        </w:tc>
        <w:tc>
          <w:tcPr>
            <w:tcW w:w="2813" w:type="dxa"/>
          </w:tcPr>
          <w:p w14:paraId="051029B1"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10,003 / 54,073 × 100 = 18.50%</w:t>
            </w:r>
          </w:p>
        </w:tc>
        <w:tc>
          <w:tcPr>
            <w:tcW w:w="2813" w:type="dxa"/>
          </w:tcPr>
          <w:p w14:paraId="581C1449"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13,743 / 58,739 × 100 = 23.40%</w:t>
            </w:r>
          </w:p>
        </w:tc>
      </w:tr>
      <w:tr w:rsidR="00327204" w:rsidRPr="00C77381" w14:paraId="70540068" w14:textId="77777777" w:rsidTr="00ED7AA5">
        <w:tc>
          <w:tcPr>
            <w:tcW w:w="3400" w:type="dxa"/>
          </w:tcPr>
          <w:p w14:paraId="5198B96D"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ROCE = Operating Profit / (Total Assets – Current Liabilities) × 100</w:t>
            </w:r>
          </w:p>
        </w:tc>
        <w:tc>
          <w:tcPr>
            <w:tcW w:w="2813" w:type="dxa"/>
          </w:tcPr>
          <w:p w14:paraId="6B0E7119"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10,003 / (104,035–27,866) × 100 = 13.13%</w:t>
            </w:r>
          </w:p>
        </w:tc>
        <w:tc>
          <w:tcPr>
            <w:tcW w:w="2813" w:type="dxa"/>
          </w:tcPr>
          <w:p w14:paraId="2415B881"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13,743 / (114,074–30,617) × 100 = 16.47%</w:t>
            </w:r>
          </w:p>
        </w:tc>
      </w:tr>
      <w:tr w:rsidR="00327204" w:rsidRPr="00C77381" w14:paraId="63E65C6F" w14:textId="77777777" w:rsidTr="00ED7AA5">
        <w:tc>
          <w:tcPr>
            <w:tcW w:w="3400" w:type="dxa"/>
          </w:tcPr>
          <w:p w14:paraId="61A083ED"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b/>
                <w:bCs/>
                <w:sz w:val="17"/>
                <w:szCs w:val="17"/>
              </w:rPr>
              <w:t>LIQUIDITY RATIOS</w:t>
            </w:r>
          </w:p>
        </w:tc>
        <w:tc>
          <w:tcPr>
            <w:tcW w:w="2813" w:type="dxa"/>
          </w:tcPr>
          <w:p w14:paraId="65F1F589" w14:textId="77777777" w:rsidR="00E97EC7" w:rsidRPr="00C77381" w:rsidRDefault="00E97EC7" w:rsidP="00375BDA">
            <w:pPr>
              <w:jc w:val="both"/>
              <w:rPr>
                <w:rFonts w:asciiTheme="minorHAnsi" w:hAnsiTheme="minorHAnsi" w:cstheme="minorHAnsi"/>
              </w:rPr>
            </w:pPr>
          </w:p>
        </w:tc>
        <w:tc>
          <w:tcPr>
            <w:tcW w:w="2813" w:type="dxa"/>
          </w:tcPr>
          <w:p w14:paraId="0E656BD4" w14:textId="77777777" w:rsidR="00E97EC7" w:rsidRPr="00C77381" w:rsidRDefault="00E97EC7" w:rsidP="00375BDA">
            <w:pPr>
              <w:jc w:val="both"/>
              <w:rPr>
                <w:rFonts w:asciiTheme="minorHAnsi" w:hAnsiTheme="minorHAnsi" w:cstheme="minorHAnsi"/>
              </w:rPr>
            </w:pPr>
          </w:p>
        </w:tc>
      </w:tr>
      <w:tr w:rsidR="00327204" w:rsidRPr="00C77381" w14:paraId="10CCF512" w14:textId="77777777" w:rsidTr="00ED7AA5">
        <w:tc>
          <w:tcPr>
            <w:tcW w:w="3400" w:type="dxa"/>
          </w:tcPr>
          <w:p w14:paraId="177505EA"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Current Ratio = Current Assets / Current Liabilities</w:t>
            </w:r>
          </w:p>
        </w:tc>
        <w:tc>
          <w:tcPr>
            <w:tcW w:w="2813" w:type="dxa"/>
          </w:tcPr>
          <w:p w14:paraId="7F709195"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25,827 / 27,866 = 0.93</w:t>
            </w:r>
          </w:p>
        </w:tc>
        <w:tc>
          <w:tcPr>
            <w:tcW w:w="2813" w:type="dxa"/>
          </w:tcPr>
          <w:p w14:paraId="1C8E0E72"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28,723 / 30,617 = 0.94</w:t>
            </w:r>
          </w:p>
        </w:tc>
      </w:tr>
      <w:tr w:rsidR="00327204" w:rsidRPr="00C77381" w14:paraId="1DBD0810" w14:textId="77777777" w:rsidTr="00ED7AA5">
        <w:tc>
          <w:tcPr>
            <w:tcW w:w="3400" w:type="dxa"/>
          </w:tcPr>
          <w:p w14:paraId="21E27C39"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Quick Ratio = (Current Assets – Inventories) / Current Liabilities</w:t>
            </w:r>
          </w:p>
        </w:tc>
        <w:tc>
          <w:tcPr>
            <w:tcW w:w="2813" w:type="dxa"/>
          </w:tcPr>
          <w:p w14:paraId="08C45188"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(25,827–5,288) / 27,866 = 0.74</w:t>
            </w:r>
          </w:p>
        </w:tc>
        <w:tc>
          <w:tcPr>
            <w:tcW w:w="2813" w:type="dxa"/>
          </w:tcPr>
          <w:p w14:paraId="6E787212"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(28,723–6,557) / 30,617 = 0.72</w:t>
            </w:r>
          </w:p>
        </w:tc>
      </w:tr>
      <w:tr w:rsidR="00327204" w:rsidRPr="00C77381" w14:paraId="22F315EB" w14:textId="77777777" w:rsidTr="00ED7AA5">
        <w:tc>
          <w:tcPr>
            <w:tcW w:w="3400" w:type="dxa"/>
          </w:tcPr>
          <w:p w14:paraId="77EB1A76"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b/>
                <w:bCs/>
                <w:sz w:val="17"/>
                <w:szCs w:val="17"/>
              </w:rPr>
              <w:t>GEARING RATIOS</w:t>
            </w:r>
          </w:p>
        </w:tc>
        <w:tc>
          <w:tcPr>
            <w:tcW w:w="2813" w:type="dxa"/>
          </w:tcPr>
          <w:p w14:paraId="11631A1B" w14:textId="77777777" w:rsidR="00E97EC7" w:rsidRPr="00C77381" w:rsidRDefault="00E97EC7" w:rsidP="00375BDA">
            <w:pPr>
              <w:jc w:val="both"/>
              <w:rPr>
                <w:rFonts w:asciiTheme="minorHAnsi" w:hAnsiTheme="minorHAnsi" w:cstheme="minorHAnsi"/>
              </w:rPr>
            </w:pPr>
          </w:p>
        </w:tc>
        <w:tc>
          <w:tcPr>
            <w:tcW w:w="2813" w:type="dxa"/>
          </w:tcPr>
          <w:p w14:paraId="21ED2D64" w14:textId="77777777" w:rsidR="00E97EC7" w:rsidRPr="00C77381" w:rsidRDefault="00E97EC7" w:rsidP="00375BDA">
            <w:pPr>
              <w:jc w:val="both"/>
              <w:rPr>
                <w:rFonts w:asciiTheme="minorHAnsi" w:hAnsiTheme="minorHAnsi" w:cstheme="minorHAnsi"/>
              </w:rPr>
            </w:pPr>
          </w:p>
        </w:tc>
      </w:tr>
      <w:tr w:rsidR="00327204" w:rsidRPr="00C77381" w14:paraId="49FC9A74" w14:textId="77777777" w:rsidTr="00ED7AA5">
        <w:tc>
          <w:tcPr>
            <w:tcW w:w="3400" w:type="dxa"/>
          </w:tcPr>
          <w:p w14:paraId="629CA1E0"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Debt-to-Equity = Total Debt / Total Equity × 100</w:t>
            </w:r>
          </w:p>
        </w:tc>
        <w:tc>
          <w:tcPr>
            <w:tcW w:w="2813" w:type="dxa"/>
          </w:tcPr>
          <w:p w14:paraId="2DFAEF7C"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28,843 / 40,871 × 100 = 70.57%</w:t>
            </w:r>
          </w:p>
        </w:tc>
        <w:tc>
          <w:tcPr>
            <w:tcW w:w="2813" w:type="dxa"/>
          </w:tcPr>
          <w:p w14:paraId="0EC22B1C"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27,819 / 48,719 × 100 = 57.10%</w:t>
            </w:r>
          </w:p>
        </w:tc>
      </w:tr>
      <w:tr w:rsidR="00327204" w:rsidRPr="00C77381" w14:paraId="217034AD" w14:textId="77777777" w:rsidTr="00ED7AA5">
        <w:tc>
          <w:tcPr>
            <w:tcW w:w="3400" w:type="dxa"/>
          </w:tcPr>
          <w:p w14:paraId="7ABE2057"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b/>
                <w:bCs/>
                <w:sz w:val="17"/>
                <w:szCs w:val="17"/>
              </w:rPr>
              <w:t>EFFICIENCY RATIOS</w:t>
            </w:r>
          </w:p>
        </w:tc>
        <w:tc>
          <w:tcPr>
            <w:tcW w:w="2813" w:type="dxa"/>
          </w:tcPr>
          <w:p w14:paraId="6AEB9F64" w14:textId="77777777" w:rsidR="00E97EC7" w:rsidRPr="00C77381" w:rsidRDefault="00E97EC7" w:rsidP="00375BDA">
            <w:pPr>
              <w:jc w:val="both"/>
              <w:rPr>
                <w:rFonts w:asciiTheme="minorHAnsi" w:hAnsiTheme="minorHAnsi" w:cstheme="minorHAnsi"/>
              </w:rPr>
            </w:pPr>
          </w:p>
        </w:tc>
        <w:tc>
          <w:tcPr>
            <w:tcW w:w="2813" w:type="dxa"/>
          </w:tcPr>
          <w:p w14:paraId="6C4EADD8" w14:textId="77777777" w:rsidR="00E97EC7" w:rsidRPr="00C77381" w:rsidRDefault="00E97EC7" w:rsidP="00375BDA">
            <w:pPr>
              <w:jc w:val="both"/>
              <w:rPr>
                <w:rFonts w:asciiTheme="minorHAnsi" w:hAnsiTheme="minorHAnsi" w:cstheme="minorHAnsi"/>
              </w:rPr>
            </w:pPr>
          </w:p>
        </w:tc>
      </w:tr>
      <w:tr w:rsidR="00327204" w:rsidRPr="00C77381" w14:paraId="79029F8F" w14:textId="77777777" w:rsidTr="00ED7AA5">
        <w:tc>
          <w:tcPr>
            <w:tcW w:w="3400" w:type="dxa"/>
          </w:tcPr>
          <w:p w14:paraId="68A19867"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Inventory Turnover = Cost of Sales / Inventories</w:t>
            </w:r>
          </w:p>
        </w:tc>
        <w:tc>
          <w:tcPr>
            <w:tcW w:w="2813" w:type="dxa"/>
          </w:tcPr>
          <w:p w14:paraId="1A60932B"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10,207 / 5,288 = 1.93x</w:t>
            </w:r>
          </w:p>
        </w:tc>
        <w:tc>
          <w:tcPr>
            <w:tcW w:w="2813" w:type="dxa"/>
          </w:tcPr>
          <w:p w14:paraId="05FA93BE"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10,633 / 6,557 = 1.62x</w:t>
            </w:r>
          </w:p>
        </w:tc>
      </w:tr>
      <w:tr w:rsidR="00327204" w:rsidRPr="00C77381" w14:paraId="3E37F65E" w14:textId="77777777" w:rsidTr="00ED7AA5">
        <w:tc>
          <w:tcPr>
            <w:tcW w:w="3400" w:type="dxa"/>
          </w:tcPr>
          <w:p w14:paraId="74B03259"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Receivables Turnover = Revenue / Trade Receivables</w:t>
            </w:r>
          </w:p>
        </w:tc>
        <w:tc>
          <w:tcPr>
            <w:tcW w:w="2813" w:type="dxa"/>
          </w:tcPr>
          <w:p w14:paraId="268874D9"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54,073 / 12,972 = 4.17x</w:t>
            </w:r>
          </w:p>
        </w:tc>
        <w:tc>
          <w:tcPr>
            <w:tcW w:w="2813" w:type="dxa"/>
          </w:tcPr>
          <w:p w14:paraId="5BF76DB1"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58,739 / 15,177 = 3.87x</w:t>
            </w:r>
          </w:p>
        </w:tc>
      </w:tr>
      <w:tr w:rsidR="00327204" w:rsidRPr="00C77381" w14:paraId="12851070" w14:textId="77777777" w:rsidTr="00ED7AA5">
        <w:tc>
          <w:tcPr>
            <w:tcW w:w="3400" w:type="dxa"/>
          </w:tcPr>
          <w:p w14:paraId="03F3508A"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b/>
                <w:bCs/>
                <w:sz w:val="17"/>
                <w:szCs w:val="17"/>
              </w:rPr>
              <w:t>INVESTOR RATIOS</w:t>
            </w:r>
          </w:p>
        </w:tc>
        <w:tc>
          <w:tcPr>
            <w:tcW w:w="2813" w:type="dxa"/>
          </w:tcPr>
          <w:p w14:paraId="28657030" w14:textId="77777777" w:rsidR="00E97EC7" w:rsidRPr="00C77381" w:rsidRDefault="00E97EC7" w:rsidP="00375BDA">
            <w:pPr>
              <w:jc w:val="both"/>
              <w:rPr>
                <w:rFonts w:asciiTheme="minorHAnsi" w:hAnsiTheme="minorHAnsi" w:cstheme="minorHAnsi"/>
              </w:rPr>
            </w:pPr>
          </w:p>
        </w:tc>
        <w:tc>
          <w:tcPr>
            <w:tcW w:w="2813" w:type="dxa"/>
          </w:tcPr>
          <w:p w14:paraId="568DA1CD" w14:textId="77777777" w:rsidR="00E97EC7" w:rsidRPr="00C77381" w:rsidRDefault="00E97EC7" w:rsidP="00375BDA">
            <w:pPr>
              <w:jc w:val="both"/>
              <w:rPr>
                <w:rFonts w:asciiTheme="minorHAnsi" w:hAnsiTheme="minorHAnsi" w:cstheme="minorHAnsi"/>
              </w:rPr>
            </w:pPr>
          </w:p>
        </w:tc>
      </w:tr>
      <w:tr w:rsidR="00327204" w:rsidRPr="00C77381" w14:paraId="3D8B9D8C" w14:textId="77777777" w:rsidTr="00ED7AA5">
        <w:tc>
          <w:tcPr>
            <w:tcW w:w="3400" w:type="dxa"/>
          </w:tcPr>
          <w:p w14:paraId="15D45FCC"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ROE = Net Income / Total Equity × 100</w:t>
            </w:r>
          </w:p>
        </w:tc>
        <w:tc>
          <w:tcPr>
            <w:tcW w:w="2813" w:type="dxa"/>
          </w:tcPr>
          <w:p w14:paraId="0F6BD70D"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7,041 / 40,871 × 100 = 17.23%</w:t>
            </w:r>
          </w:p>
        </w:tc>
        <w:tc>
          <w:tcPr>
            <w:tcW w:w="2813" w:type="dxa"/>
          </w:tcPr>
          <w:p w14:paraId="3725BB34" w14:textId="77777777" w:rsidR="00E97EC7" w:rsidRPr="00C77381" w:rsidRDefault="00800625" w:rsidP="00375BDA">
            <w:pPr>
              <w:jc w:val="both"/>
              <w:rPr>
                <w:rFonts w:asciiTheme="minorHAnsi" w:hAnsiTheme="minorHAnsi" w:cstheme="minorHAnsi"/>
              </w:rPr>
            </w:pPr>
            <w:r w:rsidRPr="00C77381">
              <w:rPr>
                <w:rFonts w:asciiTheme="minorHAnsi" w:hAnsiTheme="minorHAnsi" w:cstheme="minorHAnsi"/>
                <w:sz w:val="17"/>
                <w:szCs w:val="17"/>
              </w:rPr>
              <w:t>10,233 / 48,719 × 100 = 21.00%</w:t>
            </w:r>
          </w:p>
        </w:tc>
      </w:tr>
    </w:tbl>
    <w:p w14:paraId="3027CDAA" w14:textId="77777777" w:rsidR="00E97EC7" w:rsidRPr="00C77381" w:rsidRDefault="00E97EC7" w:rsidP="00375BDA">
      <w:pPr>
        <w:spacing w:before="140"/>
        <w:jc w:val="both"/>
        <w:rPr>
          <w:rFonts w:asciiTheme="minorHAnsi" w:hAnsiTheme="minorHAnsi" w:cstheme="minorHAnsi"/>
        </w:rPr>
      </w:pPr>
    </w:p>
    <w:p w14:paraId="0209C961" w14:textId="561DB655" w:rsidR="00E97EC7" w:rsidRPr="00C77381" w:rsidRDefault="00800625" w:rsidP="00375BDA">
      <w:pPr>
        <w:pStyle w:val="Heading2"/>
        <w:jc w:val="both"/>
        <w:rPr>
          <w:rFonts w:asciiTheme="minorHAnsi" w:hAnsiTheme="minorHAnsi" w:cstheme="minorHAnsi"/>
          <w:color w:val="auto"/>
        </w:rPr>
      </w:pPr>
      <w:bookmarkStart w:id="96" w:name="_Toc227422473"/>
      <w:bookmarkStart w:id="97" w:name="_Toc227443293"/>
      <w:r w:rsidRPr="00C77381">
        <w:rPr>
          <w:rFonts w:asciiTheme="minorHAnsi" w:hAnsiTheme="minorHAnsi" w:cstheme="minorHAnsi"/>
          <w:color w:val="auto"/>
        </w:rPr>
        <w:lastRenderedPageBreak/>
        <w:t xml:space="preserve">Appendix C </w:t>
      </w:r>
      <w:r w:rsidR="00ED7AA5" w:rsidRPr="00C77381">
        <w:rPr>
          <w:rFonts w:asciiTheme="minorHAnsi" w:hAnsiTheme="minorHAnsi" w:cstheme="minorHAnsi"/>
          <w:color w:val="auto"/>
        </w:rPr>
        <w:t>-</w:t>
      </w:r>
      <w:r w:rsidRPr="00C77381">
        <w:rPr>
          <w:rFonts w:asciiTheme="minorHAnsi" w:hAnsiTheme="minorHAnsi" w:cstheme="minorHAnsi"/>
          <w:color w:val="auto"/>
        </w:rPr>
        <w:t xml:space="preserve"> Westward Plc: After-Tax Cash Flow Workings</w:t>
      </w:r>
      <w:bookmarkEnd w:id="96"/>
      <w:bookmarkEnd w:id="97"/>
    </w:p>
    <w:p w14:paraId="4C7F40D0" w14:textId="77777777" w:rsidR="00E97EC7" w:rsidRPr="00C77381" w:rsidRDefault="00800625" w:rsidP="00375BDA">
      <w:pPr>
        <w:spacing w:before="100" w:after="100" w:line="360" w:lineRule="auto"/>
        <w:jc w:val="both"/>
        <w:rPr>
          <w:rFonts w:asciiTheme="minorHAnsi" w:hAnsiTheme="minorHAnsi" w:cstheme="minorHAnsi"/>
        </w:rPr>
      </w:pPr>
      <w:r w:rsidRPr="00C77381">
        <w:rPr>
          <w:rFonts w:asciiTheme="minorHAnsi" w:hAnsiTheme="minorHAnsi" w:cstheme="minorHAnsi"/>
        </w:rPr>
        <w:t>Corporation tax at 25% applied to taxable profit. Taxable profit = pre-tax cash flow less annual capital allowance (20% straight-line of initial investment). Option A: £120,000 p.a.; Option B: £200,000 p.a.; Option C: £320,000 p.a. All figures in £000.</w:t>
      </w:r>
    </w:p>
    <w:p w14:paraId="48E65CB5" w14:textId="77777777" w:rsidR="00E97EC7" w:rsidRPr="00C77381" w:rsidRDefault="00E97EC7" w:rsidP="00375BDA">
      <w:pPr>
        <w:spacing w:before="80"/>
        <w:jc w:val="both"/>
        <w:rPr>
          <w:rFonts w:asciiTheme="minorHAnsi" w:hAnsiTheme="minorHAnsi" w:cstheme="minorHAnsi"/>
        </w:rPr>
      </w:pPr>
    </w:p>
    <w:tbl>
      <w:tblPr>
        <w:tblStyle w:val="TableGrid"/>
        <w:tblW w:w="9026" w:type="dxa"/>
        <w:tblLook w:val="04A0" w:firstRow="1" w:lastRow="0" w:firstColumn="1" w:lastColumn="0" w:noHBand="0" w:noVBand="1"/>
      </w:tblPr>
      <w:tblGrid>
        <w:gridCol w:w="1450"/>
        <w:gridCol w:w="980"/>
        <w:gridCol w:w="1100"/>
        <w:gridCol w:w="1200"/>
        <w:gridCol w:w="1200"/>
        <w:gridCol w:w="1200"/>
        <w:gridCol w:w="1896"/>
      </w:tblGrid>
      <w:tr w:rsidR="00327204" w:rsidRPr="00C77381" w14:paraId="4B2E2CEC" w14:textId="77777777" w:rsidTr="00ED7AA5">
        <w:tc>
          <w:tcPr>
            <w:tcW w:w="1450" w:type="dxa"/>
          </w:tcPr>
          <w:p w14:paraId="487F60D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Option</w:t>
            </w:r>
          </w:p>
        </w:tc>
        <w:tc>
          <w:tcPr>
            <w:tcW w:w="980" w:type="dxa"/>
          </w:tcPr>
          <w:p w14:paraId="59B4320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Year</w:t>
            </w:r>
          </w:p>
        </w:tc>
        <w:tc>
          <w:tcPr>
            <w:tcW w:w="1100" w:type="dxa"/>
          </w:tcPr>
          <w:p w14:paraId="70F07A1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Pre-tax CF</w:t>
            </w:r>
          </w:p>
        </w:tc>
        <w:tc>
          <w:tcPr>
            <w:tcW w:w="1200" w:type="dxa"/>
          </w:tcPr>
          <w:p w14:paraId="54893AC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Cap Allow.</w:t>
            </w:r>
          </w:p>
        </w:tc>
        <w:tc>
          <w:tcPr>
            <w:tcW w:w="1200" w:type="dxa"/>
          </w:tcPr>
          <w:p w14:paraId="2FA1679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Taxable Profit</w:t>
            </w:r>
          </w:p>
        </w:tc>
        <w:tc>
          <w:tcPr>
            <w:tcW w:w="1200" w:type="dxa"/>
          </w:tcPr>
          <w:p w14:paraId="5E110B7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Tax @25%</w:t>
            </w:r>
          </w:p>
        </w:tc>
        <w:tc>
          <w:tcPr>
            <w:tcW w:w="1896" w:type="dxa"/>
          </w:tcPr>
          <w:p w14:paraId="4EF2944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20"/>
                <w:szCs w:val="20"/>
              </w:rPr>
              <w:t>After-tax CF</w:t>
            </w:r>
          </w:p>
        </w:tc>
      </w:tr>
      <w:tr w:rsidR="00327204" w:rsidRPr="00C77381" w14:paraId="1156B7EE" w14:textId="77777777" w:rsidTr="00ED7AA5">
        <w:tc>
          <w:tcPr>
            <w:tcW w:w="1450" w:type="dxa"/>
          </w:tcPr>
          <w:p w14:paraId="457E332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Option A (£600k)</w:t>
            </w:r>
          </w:p>
        </w:tc>
        <w:tc>
          <w:tcPr>
            <w:tcW w:w="980" w:type="dxa"/>
          </w:tcPr>
          <w:p w14:paraId="157C20D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1</w:t>
            </w:r>
          </w:p>
        </w:tc>
        <w:tc>
          <w:tcPr>
            <w:tcW w:w="1100" w:type="dxa"/>
          </w:tcPr>
          <w:p w14:paraId="560516F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1C4E344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£120k</w:t>
            </w:r>
          </w:p>
        </w:tc>
        <w:tc>
          <w:tcPr>
            <w:tcW w:w="1200" w:type="dxa"/>
          </w:tcPr>
          <w:p w14:paraId="7F37827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£80k</w:t>
            </w:r>
          </w:p>
        </w:tc>
        <w:tc>
          <w:tcPr>
            <w:tcW w:w="1200" w:type="dxa"/>
          </w:tcPr>
          <w:p w14:paraId="0F9616A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£20k</w:t>
            </w:r>
          </w:p>
        </w:tc>
        <w:tc>
          <w:tcPr>
            <w:tcW w:w="1896" w:type="dxa"/>
          </w:tcPr>
          <w:p w14:paraId="0BF000A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£180.0k</w:t>
            </w:r>
          </w:p>
        </w:tc>
      </w:tr>
      <w:tr w:rsidR="00327204" w:rsidRPr="00C77381" w14:paraId="378E0359" w14:textId="77777777" w:rsidTr="00ED7AA5">
        <w:tc>
          <w:tcPr>
            <w:tcW w:w="1450" w:type="dxa"/>
          </w:tcPr>
          <w:p w14:paraId="46DAD916" w14:textId="77777777" w:rsidR="00E97EC7" w:rsidRPr="00C77381" w:rsidRDefault="00E97EC7" w:rsidP="00375BDA">
            <w:pPr>
              <w:jc w:val="both"/>
              <w:rPr>
                <w:rFonts w:asciiTheme="minorHAnsi" w:hAnsiTheme="minorHAnsi" w:cstheme="minorHAnsi"/>
              </w:rPr>
            </w:pPr>
          </w:p>
        </w:tc>
        <w:tc>
          <w:tcPr>
            <w:tcW w:w="980" w:type="dxa"/>
          </w:tcPr>
          <w:p w14:paraId="54C7009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2</w:t>
            </w:r>
          </w:p>
        </w:tc>
        <w:tc>
          <w:tcPr>
            <w:tcW w:w="1100" w:type="dxa"/>
          </w:tcPr>
          <w:p w14:paraId="716EE51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£400k</w:t>
            </w:r>
          </w:p>
        </w:tc>
        <w:tc>
          <w:tcPr>
            <w:tcW w:w="1200" w:type="dxa"/>
          </w:tcPr>
          <w:p w14:paraId="465798B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£120k</w:t>
            </w:r>
          </w:p>
        </w:tc>
        <w:tc>
          <w:tcPr>
            <w:tcW w:w="1200" w:type="dxa"/>
          </w:tcPr>
          <w:p w14:paraId="2989A98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£280k</w:t>
            </w:r>
          </w:p>
        </w:tc>
        <w:tc>
          <w:tcPr>
            <w:tcW w:w="1200" w:type="dxa"/>
          </w:tcPr>
          <w:p w14:paraId="213950C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£70k</w:t>
            </w:r>
          </w:p>
        </w:tc>
        <w:tc>
          <w:tcPr>
            <w:tcW w:w="1896" w:type="dxa"/>
          </w:tcPr>
          <w:p w14:paraId="2EDB8BC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£330.0k</w:t>
            </w:r>
          </w:p>
        </w:tc>
      </w:tr>
      <w:tr w:rsidR="00327204" w:rsidRPr="00C77381" w14:paraId="66FFADE6" w14:textId="77777777" w:rsidTr="00ED7AA5">
        <w:tc>
          <w:tcPr>
            <w:tcW w:w="1450" w:type="dxa"/>
          </w:tcPr>
          <w:p w14:paraId="5E232DB2" w14:textId="77777777" w:rsidR="00E97EC7" w:rsidRPr="00C77381" w:rsidRDefault="00E97EC7" w:rsidP="00375BDA">
            <w:pPr>
              <w:jc w:val="both"/>
              <w:rPr>
                <w:rFonts w:asciiTheme="minorHAnsi" w:hAnsiTheme="minorHAnsi" w:cstheme="minorHAnsi"/>
              </w:rPr>
            </w:pPr>
          </w:p>
        </w:tc>
        <w:tc>
          <w:tcPr>
            <w:tcW w:w="980" w:type="dxa"/>
          </w:tcPr>
          <w:p w14:paraId="069CE0A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3</w:t>
            </w:r>
          </w:p>
        </w:tc>
        <w:tc>
          <w:tcPr>
            <w:tcW w:w="1100" w:type="dxa"/>
          </w:tcPr>
          <w:p w14:paraId="4B62479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£500k</w:t>
            </w:r>
          </w:p>
        </w:tc>
        <w:tc>
          <w:tcPr>
            <w:tcW w:w="1200" w:type="dxa"/>
          </w:tcPr>
          <w:p w14:paraId="14617A8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£120k</w:t>
            </w:r>
          </w:p>
        </w:tc>
        <w:tc>
          <w:tcPr>
            <w:tcW w:w="1200" w:type="dxa"/>
          </w:tcPr>
          <w:p w14:paraId="7AA6142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£380k</w:t>
            </w:r>
          </w:p>
        </w:tc>
        <w:tc>
          <w:tcPr>
            <w:tcW w:w="1200" w:type="dxa"/>
          </w:tcPr>
          <w:p w14:paraId="50604C8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£95k</w:t>
            </w:r>
          </w:p>
        </w:tc>
        <w:tc>
          <w:tcPr>
            <w:tcW w:w="1896" w:type="dxa"/>
          </w:tcPr>
          <w:p w14:paraId="1965872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£405.0k</w:t>
            </w:r>
          </w:p>
        </w:tc>
      </w:tr>
      <w:tr w:rsidR="00327204" w:rsidRPr="00C77381" w14:paraId="0E1542B4" w14:textId="77777777" w:rsidTr="00ED7AA5">
        <w:tc>
          <w:tcPr>
            <w:tcW w:w="1450" w:type="dxa"/>
          </w:tcPr>
          <w:p w14:paraId="79BF479D" w14:textId="77777777" w:rsidR="00E97EC7" w:rsidRPr="00C77381" w:rsidRDefault="00E97EC7" w:rsidP="00375BDA">
            <w:pPr>
              <w:jc w:val="both"/>
              <w:rPr>
                <w:rFonts w:asciiTheme="minorHAnsi" w:hAnsiTheme="minorHAnsi" w:cstheme="minorHAnsi"/>
              </w:rPr>
            </w:pPr>
          </w:p>
        </w:tc>
        <w:tc>
          <w:tcPr>
            <w:tcW w:w="980" w:type="dxa"/>
          </w:tcPr>
          <w:p w14:paraId="3A2B43ED"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4</w:t>
            </w:r>
          </w:p>
        </w:tc>
        <w:tc>
          <w:tcPr>
            <w:tcW w:w="1100" w:type="dxa"/>
          </w:tcPr>
          <w:p w14:paraId="28D9B88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£700k</w:t>
            </w:r>
          </w:p>
        </w:tc>
        <w:tc>
          <w:tcPr>
            <w:tcW w:w="1200" w:type="dxa"/>
          </w:tcPr>
          <w:p w14:paraId="438926A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£120k</w:t>
            </w:r>
          </w:p>
        </w:tc>
        <w:tc>
          <w:tcPr>
            <w:tcW w:w="1200" w:type="dxa"/>
          </w:tcPr>
          <w:p w14:paraId="7F9CA80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£580k</w:t>
            </w:r>
          </w:p>
        </w:tc>
        <w:tc>
          <w:tcPr>
            <w:tcW w:w="1200" w:type="dxa"/>
          </w:tcPr>
          <w:p w14:paraId="37E84E0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£145k</w:t>
            </w:r>
          </w:p>
        </w:tc>
        <w:tc>
          <w:tcPr>
            <w:tcW w:w="1896" w:type="dxa"/>
          </w:tcPr>
          <w:p w14:paraId="6605F85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£555.0k</w:t>
            </w:r>
          </w:p>
        </w:tc>
      </w:tr>
      <w:tr w:rsidR="00327204" w:rsidRPr="00C77381" w14:paraId="3720C0DB" w14:textId="77777777" w:rsidTr="00ED7AA5">
        <w:tc>
          <w:tcPr>
            <w:tcW w:w="1450" w:type="dxa"/>
          </w:tcPr>
          <w:p w14:paraId="60ACBB1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Option B (£1,000k)</w:t>
            </w:r>
          </w:p>
        </w:tc>
        <w:tc>
          <w:tcPr>
            <w:tcW w:w="980" w:type="dxa"/>
          </w:tcPr>
          <w:p w14:paraId="5D92816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1</w:t>
            </w:r>
          </w:p>
        </w:tc>
        <w:tc>
          <w:tcPr>
            <w:tcW w:w="1100" w:type="dxa"/>
          </w:tcPr>
          <w:p w14:paraId="587B25A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£400k</w:t>
            </w:r>
          </w:p>
        </w:tc>
        <w:tc>
          <w:tcPr>
            <w:tcW w:w="1200" w:type="dxa"/>
          </w:tcPr>
          <w:p w14:paraId="076084B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1CCF019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4C7C094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£50k</w:t>
            </w:r>
          </w:p>
        </w:tc>
        <w:tc>
          <w:tcPr>
            <w:tcW w:w="1896" w:type="dxa"/>
          </w:tcPr>
          <w:p w14:paraId="4D7C5DA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£350.0k</w:t>
            </w:r>
          </w:p>
        </w:tc>
      </w:tr>
      <w:tr w:rsidR="00327204" w:rsidRPr="00C77381" w14:paraId="354FB44B" w14:textId="77777777" w:rsidTr="00ED7AA5">
        <w:tc>
          <w:tcPr>
            <w:tcW w:w="1450" w:type="dxa"/>
          </w:tcPr>
          <w:p w14:paraId="7E936374" w14:textId="77777777" w:rsidR="00E97EC7" w:rsidRPr="00C77381" w:rsidRDefault="00E97EC7" w:rsidP="00375BDA">
            <w:pPr>
              <w:jc w:val="both"/>
              <w:rPr>
                <w:rFonts w:asciiTheme="minorHAnsi" w:hAnsiTheme="minorHAnsi" w:cstheme="minorHAnsi"/>
              </w:rPr>
            </w:pPr>
          </w:p>
        </w:tc>
        <w:tc>
          <w:tcPr>
            <w:tcW w:w="980" w:type="dxa"/>
          </w:tcPr>
          <w:p w14:paraId="775B476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2</w:t>
            </w:r>
          </w:p>
        </w:tc>
        <w:tc>
          <w:tcPr>
            <w:tcW w:w="1100" w:type="dxa"/>
          </w:tcPr>
          <w:p w14:paraId="03D0558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£450k</w:t>
            </w:r>
          </w:p>
        </w:tc>
        <w:tc>
          <w:tcPr>
            <w:tcW w:w="1200" w:type="dxa"/>
          </w:tcPr>
          <w:p w14:paraId="6A6ECF2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380EB9B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£250k</w:t>
            </w:r>
          </w:p>
        </w:tc>
        <w:tc>
          <w:tcPr>
            <w:tcW w:w="1200" w:type="dxa"/>
          </w:tcPr>
          <w:p w14:paraId="27F8003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£63k</w:t>
            </w:r>
          </w:p>
        </w:tc>
        <w:tc>
          <w:tcPr>
            <w:tcW w:w="1896" w:type="dxa"/>
          </w:tcPr>
          <w:p w14:paraId="702E250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£387.5k</w:t>
            </w:r>
          </w:p>
        </w:tc>
      </w:tr>
      <w:tr w:rsidR="00327204" w:rsidRPr="00C77381" w14:paraId="610F750C" w14:textId="77777777" w:rsidTr="00ED7AA5">
        <w:tc>
          <w:tcPr>
            <w:tcW w:w="1450" w:type="dxa"/>
          </w:tcPr>
          <w:p w14:paraId="4DC47BFC" w14:textId="77777777" w:rsidR="00E97EC7" w:rsidRPr="00C77381" w:rsidRDefault="00E97EC7" w:rsidP="00375BDA">
            <w:pPr>
              <w:jc w:val="both"/>
              <w:rPr>
                <w:rFonts w:asciiTheme="minorHAnsi" w:hAnsiTheme="minorHAnsi" w:cstheme="minorHAnsi"/>
              </w:rPr>
            </w:pPr>
          </w:p>
        </w:tc>
        <w:tc>
          <w:tcPr>
            <w:tcW w:w="980" w:type="dxa"/>
          </w:tcPr>
          <w:p w14:paraId="05D54B1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3</w:t>
            </w:r>
          </w:p>
        </w:tc>
        <w:tc>
          <w:tcPr>
            <w:tcW w:w="1100" w:type="dxa"/>
          </w:tcPr>
          <w:p w14:paraId="62AF65D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£720k</w:t>
            </w:r>
          </w:p>
        </w:tc>
        <w:tc>
          <w:tcPr>
            <w:tcW w:w="1200" w:type="dxa"/>
          </w:tcPr>
          <w:p w14:paraId="7DE2957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788CBE1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£520k</w:t>
            </w:r>
          </w:p>
        </w:tc>
        <w:tc>
          <w:tcPr>
            <w:tcW w:w="1200" w:type="dxa"/>
          </w:tcPr>
          <w:p w14:paraId="4A653353"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£130k</w:t>
            </w:r>
          </w:p>
        </w:tc>
        <w:tc>
          <w:tcPr>
            <w:tcW w:w="1896" w:type="dxa"/>
          </w:tcPr>
          <w:p w14:paraId="276ECF3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£590.0k</w:t>
            </w:r>
          </w:p>
        </w:tc>
      </w:tr>
      <w:tr w:rsidR="00327204" w:rsidRPr="00C77381" w14:paraId="27D92A79" w14:textId="77777777" w:rsidTr="00ED7AA5">
        <w:tc>
          <w:tcPr>
            <w:tcW w:w="1450" w:type="dxa"/>
          </w:tcPr>
          <w:p w14:paraId="290A3CEE" w14:textId="77777777" w:rsidR="00E97EC7" w:rsidRPr="00C77381" w:rsidRDefault="00E97EC7" w:rsidP="00375BDA">
            <w:pPr>
              <w:jc w:val="both"/>
              <w:rPr>
                <w:rFonts w:asciiTheme="minorHAnsi" w:hAnsiTheme="minorHAnsi" w:cstheme="minorHAnsi"/>
              </w:rPr>
            </w:pPr>
          </w:p>
        </w:tc>
        <w:tc>
          <w:tcPr>
            <w:tcW w:w="980" w:type="dxa"/>
          </w:tcPr>
          <w:p w14:paraId="08D03BB3"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4</w:t>
            </w:r>
          </w:p>
        </w:tc>
        <w:tc>
          <w:tcPr>
            <w:tcW w:w="1100" w:type="dxa"/>
          </w:tcPr>
          <w:p w14:paraId="378EEF3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£980k</w:t>
            </w:r>
          </w:p>
        </w:tc>
        <w:tc>
          <w:tcPr>
            <w:tcW w:w="1200" w:type="dxa"/>
          </w:tcPr>
          <w:p w14:paraId="017BB26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£200k</w:t>
            </w:r>
          </w:p>
        </w:tc>
        <w:tc>
          <w:tcPr>
            <w:tcW w:w="1200" w:type="dxa"/>
          </w:tcPr>
          <w:p w14:paraId="0177CD5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£780k</w:t>
            </w:r>
          </w:p>
        </w:tc>
        <w:tc>
          <w:tcPr>
            <w:tcW w:w="1200" w:type="dxa"/>
          </w:tcPr>
          <w:p w14:paraId="6C0D7E1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£195k</w:t>
            </w:r>
          </w:p>
        </w:tc>
        <w:tc>
          <w:tcPr>
            <w:tcW w:w="1896" w:type="dxa"/>
          </w:tcPr>
          <w:p w14:paraId="5CAB048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£785.0k</w:t>
            </w:r>
          </w:p>
        </w:tc>
      </w:tr>
      <w:tr w:rsidR="00327204" w:rsidRPr="00C77381" w14:paraId="0933AF8C" w14:textId="77777777" w:rsidTr="00ED7AA5">
        <w:tc>
          <w:tcPr>
            <w:tcW w:w="1450" w:type="dxa"/>
          </w:tcPr>
          <w:p w14:paraId="513F3AB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b/>
                <w:bCs/>
                <w:sz w:val="19"/>
                <w:szCs w:val="19"/>
              </w:rPr>
              <w:t>Option C (£1,600k)</w:t>
            </w:r>
          </w:p>
        </w:tc>
        <w:tc>
          <w:tcPr>
            <w:tcW w:w="980" w:type="dxa"/>
          </w:tcPr>
          <w:p w14:paraId="01BCB21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1</w:t>
            </w:r>
          </w:p>
        </w:tc>
        <w:tc>
          <w:tcPr>
            <w:tcW w:w="1100" w:type="dxa"/>
          </w:tcPr>
          <w:p w14:paraId="3F08B887"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£450k</w:t>
            </w:r>
          </w:p>
        </w:tc>
        <w:tc>
          <w:tcPr>
            <w:tcW w:w="1200" w:type="dxa"/>
          </w:tcPr>
          <w:p w14:paraId="4C9BF846"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£320k</w:t>
            </w:r>
          </w:p>
        </w:tc>
        <w:tc>
          <w:tcPr>
            <w:tcW w:w="1200" w:type="dxa"/>
          </w:tcPr>
          <w:p w14:paraId="16906F1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£130k</w:t>
            </w:r>
          </w:p>
        </w:tc>
        <w:tc>
          <w:tcPr>
            <w:tcW w:w="1200" w:type="dxa"/>
          </w:tcPr>
          <w:p w14:paraId="3E03BBFF"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£33k</w:t>
            </w:r>
          </w:p>
        </w:tc>
        <w:tc>
          <w:tcPr>
            <w:tcW w:w="1896" w:type="dxa"/>
          </w:tcPr>
          <w:p w14:paraId="3050074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£417.5k</w:t>
            </w:r>
          </w:p>
        </w:tc>
      </w:tr>
      <w:tr w:rsidR="00327204" w:rsidRPr="00C77381" w14:paraId="15E794B1" w14:textId="77777777" w:rsidTr="00ED7AA5">
        <w:tc>
          <w:tcPr>
            <w:tcW w:w="1450" w:type="dxa"/>
          </w:tcPr>
          <w:p w14:paraId="1EE23A4B" w14:textId="77777777" w:rsidR="00E97EC7" w:rsidRPr="00C77381" w:rsidRDefault="00E97EC7" w:rsidP="00375BDA">
            <w:pPr>
              <w:jc w:val="both"/>
              <w:rPr>
                <w:rFonts w:asciiTheme="minorHAnsi" w:hAnsiTheme="minorHAnsi" w:cstheme="minorHAnsi"/>
              </w:rPr>
            </w:pPr>
          </w:p>
        </w:tc>
        <w:tc>
          <w:tcPr>
            <w:tcW w:w="980" w:type="dxa"/>
          </w:tcPr>
          <w:p w14:paraId="67E31E12"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2</w:t>
            </w:r>
          </w:p>
        </w:tc>
        <w:tc>
          <w:tcPr>
            <w:tcW w:w="1100" w:type="dxa"/>
          </w:tcPr>
          <w:p w14:paraId="0F0575A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£700k</w:t>
            </w:r>
          </w:p>
        </w:tc>
        <w:tc>
          <w:tcPr>
            <w:tcW w:w="1200" w:type="dxa"/>
          </w:tcPr>
          <w:p w14:paraId="5F803F38"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£320k</w:t>
            </w:r>
          </w:p>
        </w:tc>
        <w:tc>
          <w:tcPr>
            <w:tcW w:w="1200" w:type="dxa"/>
          </w:tcPr>
          <w:p w14:paraId="56062B3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£380k</w:t>
            </w:r>
          </w:p>
        </w:tc>
        <w:tc>
          <w:tcPr>
            <w:tcW w:w="1200" w:type="dxa"/>
          </w:tcPr>
          <w:p w14:paraId="45B5086B"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£95k</w:t>
            </w:r>
          </w:p>
        </w:tc>
        <w:tc>
          <w:tcPr>
            <w:tcW w:w="1896" w:type="dxa"/>
          </w:tcPr>
          <w:p w14:paraId="4D10BB2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£605.0k</w:t>
            </w:r>
          </w:p>
        </w:tc>
      </w:tr>
      <w:tr w:rsidR="00327204" w:rsidRPr="00C77381" w14:paraId="69693CA8" w14:textId="77777777" w:rsidTr="00ED7AA5">
        <w:tc>
          <w:tcPr>
            <w:tcW w:w="1450" w:type="dxa"/>
          </w:tcPr>
          <w:p w14:paraId="70400A83" w14:textId="77777777" w:rsidR="00E97EC7" w:rsidRPr="00C77381" w:rsidRDefault="00E97EC7" w:rsidP="00375BDA">
            <w:pPr>
              <w:jc w:val="both"/>
              <w:rPr>
                <w:rFonts w:asciiTheme="minorHAnsi" w:hAnsiTheme="minorHAnsi" w:cstheme="minorHAnsi"/>
              </w:rPr>
            </w:pPr>
          </w:p>
        </w:tc>
        <w:tc>
          <w:tcPr>
            <w:tcW w:w="980" w:type="dxa"/>
          </w:tcPr>
          <w:p w14:paraId="63E036F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3</w:t>
            </w:r>
          </w:p>
        </w:tc>
        <w:tc>
          <w:tcPr>
            <w:tcW w:w="1100" w:type="dxa"/>
          </w:tcPr>
          <w:p w14:paraId="2BAA0A89"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£900k</w:t>
            </w:r>
          </w:p>
        </w:tc>
        <w:tc>
          <w:tcPr>
            <w:tcW w:w="1200" w:type="dxa"/>
          </w:tcPr>
          <w:p w14:paraId="3562EAF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£320k</w:t>
            </w:r>
          </w:p>
        </w:tc>
        <w:tc>
          <w:tcPr>
            <w:tcW w:w="1200" w:type="dxa"/>
          </w:tcPr>
          <w:p w14:paraId="2EDC93E5"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£580k</w:t>
            </w:r>
          </w:p>
        </w:tc>
        <w:tc>
          <w:tcPr>
            <w:tcW w:w="1200" w:type="dxa"/>
          </w:tcPr>
          <w:p w14:paraId="5F22785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£145k</w:t>
            </w:r>
          </w:p>
        </w:tc>
        <w:tc>
          <w:tcPr>
            <w:tcW w:w="1896" w:type="dxa"/>
          </w:tcPr>
          <w:p w14:paraId="486F1AF0"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£755.0k</w:t>
            </w:r>
          </w:p>
        </w:tc>
      </w:tr>
      <w:tr w:rsidR="00327204" w:rsidRPr="00C77381" w14:paraId="19628704" w14:textId="77777777" w:rsidTr="00ED7AA5">
        <w:tc>
          <w:tcPr>
            <w:tcW w:w="1450" w:type="dxa"/>
          </w:tcPr>
          <w:p w14:paraId="0548E036" w14:textId="77777777" w:rsidR="00E97EC7" w:rsidRPr="00C77381" w:rsidRDefault="00E97EC7" w:rsidP="00375BDA">
            <w:pPr>
              <w:jc w:val="both"/>
              <w:rPr>
                <w:rFonts w:asciiTheme="minorHAnsi" w:hAnsiTheme="minorHAnsi" w:cstheme="minorHAnsi"/>
              </w:rPr>
            </w:pPr>
          </w:p>
        </w:tc>
        <w:tc>
          <w:tcPr>
            <w:tcW w:w="980" w:type="dxa"/>
          </w:tcPr>
          <w:p w14:paraId="57CE2FAA"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Year 4</w:t>
            </w:r>
          </w:p>
        </w:tc>
        <w:tc>
          <w:tcPr>
            <w:tcW w:w="1100" w:type="dxa"/>
          </w:tcPr>
          <w:p w14:paraId="1C07618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£1200k</w:t>
            </w:r>
          </w:p>
        </w:tc>
        <w:tc>
          <w:tcPr>
            <w:tcW w:w="1200" w:type="dxa"/>
          </w:tcPr>
          <w:p w14:paraId="6234560C"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£320k</w:t>
            </w:r>
          </w:p>
        </w:tc>
        <w:tc>
          <w:tcPr>
            <w:tcW w:w="1200" w:type="dxa"/>
          </w:tcPr>
          <w:p w14:paraId="0CD5EF71"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£880k</w:t>
            </w:r>
          </w:p>
        </w:tc>
        <w:tc>
          <w:tcPr>
            <w:tcW w:w="1200" w:type="dxa"/>
          </w:tcPr>
          <w:p w14:paraId="064F76CE"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£220k</w:t>
            </w:r>
          </w:p>
        </w:tc>
        <w:tc>
          <w:tcPr>
            <w:tcW w:w="1896" w:type="dxa"/>
          </w:tcPr>
          <w:p w14:paraId="318D6B84" w14:textId="77777777" w:rsidR="00E97EC7" w:rsidRPr="00C77381" w:rsidRDefault="00800625" w:rsidP="00375BDA">
            <w:pPr>
              <w:jc w:val="both"/>
              <w:rPr>
                <w:rFonts w:asciiTheme="minorHAnsi" w:hAnsiTheme="minorHAnsi" w:cstheme="minorHAnsi"/>
              </w:rPr>
            </w:pPr>
            <w:r w:rsidRPr="00C77381">
              <w:rPr>
                <w:rFonts w:asciiTheme="minorHAnsi" w:eastAsia="Palatino Linotype" w:hAnsiTheme="minorHAnsi" w:cstheme="minorHAnsi"/>
                <w:sz w:val="19"/>
                <w:szCs w:val="19"/>
              </w:rPr>
              <w:t>£980.0k</w:t>
            </w:r>
          </w:p>
        </w:tc>
      </w:tr>
    </w:tbl>
    <w:p w14:paraId="73E252AE" w14:textId="77777777" w:rsidR="00800625" w:rsidRPr="00C77381" w:rsidRDefault="00800625" w:rsidP="00375BDA">
      <w:pPr>
        <w:jc w:val="both"/>
        <w:rPr>
          <w:rFonts w:asciiTheme="minorHAnsi" w:hAnsiTheme="minorHAnsi" w:cstheme="minorHAnsi"/>
        </w:rPr>
      </w:pPr>
    </w:p>
    <w:sectPr w:rsidR="00800625" w:rsidRPr="00C77381">
      <w:footerReference w:type="default" r:id="rId15"/>
      <w:pgSz w:w="11906" w:h="16838"/>
      <w:pgMar w:top="1300" w:right="1300" w:bottom="13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3CDCB" w14:textId="77777777" w:rsidR="002B1F97" w:rsidRDefault="002B1F97">
      <w:r>
        <w:separator/>
      </w:r>
    </w:p>
  </w:endnote>
  <w:endnote w:type="continuationSeparator" w:id="0">
    <w:p w14:paraId="509F4CD2" w14:textId="77777777" w:rsidR="002B1F97" w:rsidRDefault="002B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058216"/>
      <w:docPartObj>
        <w:docPartGallery w:val="Page Numbers (Bottom of Page)"/>
        <w:docPartUnique/>
      </w:docPartObj>
    </w:sdtPr>
    <w:sdtEndPr>
      <w:rPr>
        <w:noProof/>
      </w:rPr>
    </w:sdtEndPr>
    <w:sdtContent>
      <w:p w14:paraId="4BFDB7C7" w14:textId="54587EC7" w:rsidR="00ED7AA5" w:rsidRDefault="00ED7A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0B239B" w14:textId="77777777" w:rsidR="00ED7AA5" w:rsidRDefault="00ED7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B57F6" w14:textId="77777777" w:rsidR="002B1F97" w:rsidRDefault="002B1F97">
      <w:r>
        <w:separator/>
      </w:r>
    </w:p>
  </w:footnote>
  <w:footnote w:type="continuationSeparator" w:id="0">
    <w:p w14:paraId="7E9EABF6" w14:textId="77777777" w:rsidR="002B1F97" w:rsidRDefault="002B1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4466"/>
    <w:multiLevelType w:val="hybridMultilevel"/>
    <w:tmpl w:val="2260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C4821"/>
    <w:multiLevelType w:val="hybridMultilevel"/>
    <w:tmpl w:val="E10C27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23DB9"/>
    <w:multiLevelType w:val="hybridMultilevel"/>
    <w:tmpl w:val="420A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6208E"/>
    <w:multiLevelType w:val="hybridMultilevel"/>
    <w:tmpl w:val="4A6EC480"/>
    <w:lvl w:ilvl="0" w:tplc="030E9028">
      <w:start w:val="1"/>
      <w:numFmt w:val="bullet"/>
      <w:lvlText w:val="●"/>
      <w:lvlJc w:val="left"/>
      <w:pPr>
        <w:ind w:left="720" w:hanging="360"/>
      </w:pPr>
    </w:lvl>
    <w:lvl w:ilvl="1" w:tplc="EE9C7AA0">
      <w:start w:val="1"/>
      <w:numFmt w:val="bullet"/>
      <w:lvlText w:val="○"/>
      <w:lvlJc w:val="left"/>
      <w:pPr>
        <w:ind w:left="1440" w:hanging="360"/>
      </w:pPr>
    </w:lvl>
    <w:lvl w:ilvl="2" w:tplc="C9F2FDEC">
      <w:start w:val="1"/>
      <w:numFmt w:val="bullet"/>
      <w:lvlText w:val="■"/>
      <w:lvlJc w:val="left"/>
      <w:pPr>
        <w:ind w:left="2160" w:hanging="360"/>
      </w:pPr>
    </w:lvl>
    <w:lvl w:ilvl="3" w:tplc="D2D4A3E4">
      <w:start w:val="1"/>
      <w:numFmt w:val="bullet"/>
      <w:lvlText w:val="●"/>
      <w:lvlJc w:val="left"/>
      <w:pPr>
        <w:ind w:left="2880" w:hanging="360"/>
      </w:pPr>
    </w:lvl>
    <w:lvl w:ilvl="4" w:tplc="F40892A0">
      <w:start w:val="1"/>
      <w:numFmt w:val="bullet"/>
      <w:lvlText w:val="○"/>
      <w:lvlJc w:val="left"/>
      <w:pPr>
        <w:ind w:left="3600" w:hanging="360"/>
      </w:pPr>
    </w:lvl>
    <w:lvl w:ilvl="5" w:tplc="71B6BC64">
      <w:start w:val="1"/>
      <w:numFmt w:val="bullet"/>
      <w:lvlText w:val="■"/>
      <w:lvlJc w:val="left"/>
      <w:pPr>
        <w:ind w:left="4320" w:hanging="360"/>
      </w:pPr>
    </w:lvl>
    <w:lvl w:ilvl="6" w:tplc="C6C4C3D6">
      <w:start w:val="1"/>
      <w:numFmt w:val="bullet"/>
      <w:lvlText w:val="●"/>
      <w:lvlJc w:val="left"/>
      <w:pPr>
        <w:ind w:left="5040" w:hanging="360"/>
      </w:pPr>
    </w:lvl>
    <w:lvl w:ilvl="7" w:tplc="8BD0458E">
      <w:start w:val="1"/>
      <w:numFmt w:val="bullet"/>
      <w:lvlText w:val="●"/>
      <w:lvlJc w:val="left"/>
      <w:pPr>
        <w:ind w:left="5760" w:hanging="360"/>
      </w:pPr>
    </w:lvl>
    <w:lvl w:ilvl="8" w:tplc="E7B6EC0E">
      <w:start w:val="1"/>
      <w:numFmt w:val="bullet"/>
      <w:lvlText w:val="●"/>
      <w:lvlJc w:val="left"/>
      <w:pPr>
        <w:ind w:left="6480" w:hanging="360"/>
      </w:pPr>
    </w:lvl>
  </w:abstractNum>
  <w:abstractNum w:abstractNumId="4" w15:restartNumberingAfterBreak="0">
    <w:nsid w:val="38804A75"/>
    <w:multiLevelType w:val="hybridMultilevel"/>
    <w:tmpl w:val="5CB6073A"/>
    <w:lvl w:ilvl="0" w:tplc="AD2E31F4">
      <w:start w:val="1"/>
      <w:numFmt w:val="bullet"/>
      <w:lvlText w:val="—"/>
      <w:lvlJc w:val="left"/>
      <w:pPr>
        <w:ind w:left="720" w:hanging="360"/>
      </w:pPr>
    </w:lvl>
    <w:lvl w:ilvl="1" w:tplc="B23899A2">
      <w:numFmt w:val="decimal"/>
      <w:lvlText w:val=""/>
      <w:lvlJc w:val="left"/>
    </w:lvl>
    <w:lvl w:ilvl="2" w:tplc="5BE27F04">
      <w:numFmt w:val="decimal"/>
      <w:lvlText w:val=""/>
      <w:lvlJc w:val="left"/>
    </w:lvl>
    <w:lvl w:ilvl="3" w:tplc="1EF4F6EE">
      <w:numFmt w:val="decimal"/>
      <w:lvlText w:val=""/>
      <w:lvlJc w:val="left"/>
    </w:lvl>
    <w:lvl w:ilvl="4" w:tplc="8A52E3A2">
      <w:numFmt w:val="decimal"/>
      <w:lvlText w:val=""/>
      <w:lvlJc w:val="left"/>
    </w:lvl>
    <w:lvl w:ilvl="5" w:tplc="7CBA5DEE">
      <w:numFmt w:val="decimal"/>
      <w:lvlText w:val=""/>
      <w:lvlJc w:val="left"/>
    </w:lvl>
    <w:lvl w:ilvl="6" w:tplc="C6EE3626">
      <w:numFmt w:val="decimal"/>
      <w:lvlText w:val=""/>
      <w:lvlJc w:val="left"/>
    </w:lvl>
    <w:lvl w:ilvl="7" w:tplc="CA4656F6">
      <w:numFmt w:val="decimal"/>
      <w:lvlText w:val=""/>
      <w:lvlJc w:val="left"/>
    </w:lvl>
    <w:lvl w:ilvl="8" w:tplc="B790C090">
      <w:numFmt w:val="decimal"/>
      <w:lvlText w:val=""/>
      <w:lvlJc w:val="left"/>
    </w:lvl>
  </w:abstractNum>
  <w:abstractNum w:abstractNumId="5" w15:restartNumberingAfterBreak="0">
    <w:nsid w:val="3A754ED5"/>
    <w:multiLevelType w:val="hybridMultilevel"/>
    <w:tmpl w:val="0DC8241E"/>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53004EF"/>
    <w:multiLevelType w:val="hybridMultilevel"/>
    <w:tmpl w:val="CA14F98A"/>
    <w:lvl w:ilvl="0" w:tplc="BA2A7904">
      <w:start w:val="1"/>
      <w:numFmt w:val="bullet"/>
      <w:lvlText w:val="•"/>
      <w:lvlJc w:val="left"/>
      <w:pPr>
        <w:ind w:left="720" w:hanging="360"/>
      </w:pPr>
    </w:lvl>
    <w:lvl w:ilvl="1" w:tplc="26887948">
      <w:numFmt w:val="decimal"/>
      <w:lvlText w:val=""/>
      <w:lvlJc w:val="left"/>
    </w:lvl>
    <w:lvl w:ilvl="2" w:tplc="223229B6">
      <w:numFmt w:val="decimal"/>
      <w:lvlText w:val=""/>
      <w:lvlJc w:val="left"/>
    </w:lvl>
    <w:lvl w:ilvl="3" w:tplc="A9BC3F12">
      <w:numFmt w:val="decimal"/>
      <w:lvlText w:val=""/>
      <w:lvlJc w:val="left"/>
    </w:lvl>
    <w:lvl w:ilvl="4" w:tplc="0D688B90">
      <w:numFmt w:val="decimal"/>
      <w:lvlText w:val=""/>
      <w:lvlJc w:val="left"/>
    </w:lvl>
    <w:lvl w:ilvl="5" w:tplc="B5806EE4">
      <w:numFmt w:val="decimal"/>
      <w:lvlText w:val=""/>
      <w:lvlJc w:val="left"/>
    </w:lvl>
    <w:lvl w:ilvl="6" w:tplc="9F585C9A">
      <w:numFmt w:val="decimal"/>
      <w:lvlText w:val=""/>
      <w:lvlJc w:val="left"/>
    </w:lvl>
    <w:lvl w:ilvl="7" w:tplc="08C0EA8A">
      <w:numFmt w:val="decimal"/>
      <w:lvlText w:val=""/>
      <w:lvlJc w:val="left"/>
    </w:lvl>
    <w:lvl w:ilvl="8" w:tplc="68B8DBC6">
      <w:numFmt w:val="decimal"/>
      <w:lvlText w:val=""/>
      <w:lvlJc w:val="left"/>
    </w:lvl>
  </w:abstractNum>
  <w:abstractNum w:abstractNumId="7" w15:restartNumberingAfterBreak="0">
    <w:nsid w:val="5FB859E4"/>
    <w:multiLevelType w:val="hybridMultilevel"/>
    <w:tmpl w:val="618A560A"/>
    <w:lvl w:ilvl="0" w:tplc="32B24B9A">
      <w:start w:val="1"/>
      <w:numFmt w:val="upp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9B719F"/>
    <w:multiLevelType w:val="hybridMultilevel"/>
    <w:tmpl w:val="4D925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E61FCB"/>
    <w:multiLevelType w:val="hybridMultilevel"/>
    <w:tmpl w:val="BACCC974"/>
    <w:lvl w:ilvl="0" w:tplc="155E1A60">
      <w:start w:val="1"/>
      <w:numFmt w:val="lowerLetter"/>
      <w:lvlText w:val="%1."/>
      <w:lvlJc w:val="left"/>
      <w:pPr>
        <w:ind w:left="720" w:hanging="360"/>
      </w:pPr>
    </w:lvl>
    <w:lvl w:ilvl="1" w:tplc="5360E71E">
      <w:numFmt w:val="decimal"/>
      <w:lvlText w:val=""/>
      <w:lvlJc w:val="left"/>
    </w:lvl>
    <w:lvl w:ilvl="2" w:tplc="E7A085DC">
      <w:numFmt w:val="decimal"/>
      <w:lvlText w:val=""/>
      <w:lvlJc w:val="left"/>
    </w:lvl>
    <w:lvl w:ilvl="3" w:tplc="CEC01B76">
      <w:numFmt w:val="decimal"/>
      <w:lvlText w:val=""/>
      <w:lvlJc w:val="left"/>
    </w:lvl>
    <w:lvl w:ilvl="4" w:tplc="FAE81E06">
      <w:numFmt w:val="decimal"/>
      <w:lvlText w:val=""/>
      <w:lvlJc w:val="left"/>
    </w:lvl>
    <w:lvl w:ilvl="5" w:tplc="149AC1D8">
      <w:numFmt w:val="decimal"/>
      <w:lvlText w:val=""/>
      <w:lvlJc w:val="left"/>
    </w:lvl>
    <w:lvl w:ilvl="6" w:tplc="FD680FA2">
      <w:numFmt w:val="decimal"/>
      <w:lvlText w:val=""/>
      <w:lvlJc w:val="left"/>
    </w:lvl>
    <w:lvl w:ilvl="7" w:tplc="F674771E">
      <w:numFmt w:val="decimal"/>
      <w:lvlText w:val=""/>
      <w:lvlJc w:val="left"/>
    </w:lvl>
    <w:lvl w:ilvl="8" w:tplc="4AF4DC6A">
      <w:numFmt w:val="decimal"/>
      <w:lvlText w:val=""/>
      <w:lvlJc w:val="left"/>
    </w:lvl>
  </w:abstractNum>
  <w:num w:numId="1" w16cid:durableId="1691369612">
    <w:abstractNumId w:val="3"/>
    <w:lvlOverride w:ilvl="0">
      <w:startOverride w:val="1"/>
    </w:lvlOverride>
  </w:num>
  <w:num w:numId="2" w16cid:durableId="48310317">
    <w:abstractNumId w:val="4"/>
    <w:lvlOverride w:ilvl="0">
      <w:startOverride w:val="1"/>
    </w:lvlOverride>
  </w:num>
  <w:num w:numId="3" w16cid:durableId="276184563">
    <w:abstractNumId w:val="9"/>
    <w:lvlOverride w:ilvl="0">
      <w:startOverride w:val="1"/>
    </w:lvlOverride>
  </w:num>
  <w:num w:numId="4" w16cid:durableId="1740905988">
    <w:abstractNumId w:val="0"/>
  </w:num>
  <w:num w:numId="5" w16cid:durableId="1035883973">
    <w:abstractNumId w:val="8"/>
  </w:num>
  <w:num w:numId="6" w16cid:durableId="982851529">
    <w:abstractNumId w:val="2"/>
  </w:num>
  <w:num w:numId="7" w16cid:durableId="1429156243">
    <w:abstractNumId w:val="5"/>
  </w:num>
  <w:num w:numId="8" w16cid:durableId="251088471">
    <w:abstractNumId w:val="7"/>
  </w:num>
  <w:num w:numId="9" w16cid:durableId="462846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EC7"/>
    <w:rsid w:val="000A3B60"/>
    <w:rsid w:val="000F17A5"/>
    <w:rsid w:val="00132E45"/>
    <w:rsid w:val="00145A66"/>
    <w:rsid w:val="001A14F8"/>
    <w:rsid w:val="002A2D46"/>
    <w:rsid w:val="002B1F97"/>
    <w:rsid w:val="0032059F"/>
    <w:rsid w:val="00327204"/>
    <w:rsid w:val="00375BDA"/>
    <w:rsid w:val="003F1F37"/>
    <w:rsid w:val="00412126"/>
    <w:rsid w:val="00461FA4"/>
    <w:rsid w:val="004D59E6"/>
    <w:rsid w:val="00504E5C"/>
    <w:rsid w:val="005828AD"/>
    <w:rsid w:val="006417BB"/>
    <w:rsid w:val="0066536A"/>
    <w:rsid w:val="00800625"/>
    <w:rsid w:val="009C237F"/>
    <w:rsid w:val="00A015BF"/>
    <w:rsid w:val="00AA5197"/>
    <w:rsid w:val="00C77381"/>
    <w:rsid w:val="00CC05E9"/>
    <w:rsid w:val="00CF7DDE"/>
    <w:rsid w:val="00D25271"/>
    <w:rsid w:val="00D61585"/>
    <w:rsid w:val="00E97EC7"/>
    <w:rsid w:val="00ED7AA5"/>
    <w:rsid w:val="00F81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4D04"/>
  <w15:docId w15:val="{38A60344-68D9-4BA4-AEB8-541ED156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2E5496"/>
      <w:sz w:val="28"/>
      <w:szCs w:val="28"/>
    </w:rPr>
  </w:style>
  <w:style w:type="paragraph" w:styleId="Heading2">
    <w:name w:val="heading 2"/>
    <w:uiPriority w:val="9"/>
    <w:unhideWhenUsed/>
    <w:qFormat/>
    <w:pPr>
      <w:spacing w:before="240" w:after="80"/>
      <w:outlineLvl w:val="1"/>
    </w:pPr>
    <w:rPr>
      <w:b/>
      <w:bCs/>
      <w:color w:val="1F3864"/>
      <w:sz w:val="24"/>
      <w:szCs w:val="24"/>
    </w:rPr>
  </w:style>
  <w:style w:type="paragraph" w:styleId="Heading3">
    <w:name w:val="heading 3"/>
    <w:uiPriority w:val="9"/>
    <w:unhideWhenUsed/>
    <w:qFormat/>
    <w:pPr>
      <w:spacing w:before="200" w:after="60"/>
      <w:outlineLvl w:val="2"/>
    </w:pPr>
    <w:rPr>
      <w:b/>
      <w:bCs/>
      <w:color w:val="33333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25271"/>
    <w:pPr>
      <w:spacing w:after="100"/>
    </w:pPr>
  </w:style>
  <w:style w:type="paragraph" w:styleId="TOC2">
    <w:name w:val="toc 2"/>
    <w:basedOn w:val="Normal"/>
    <w:next w:val="Normal"/>
    <w:autoRedefine/>
    <w:uiPriority w:val="39"/>
    <w:unhideWhenUsed/>
    <w:rsid w:val="00D25271"/>
    <w:pPr>
      <w:spacing w:after="100"/>
      <w:ind w:left="220"/>
    </w:pPr>
  </w:style>
  <w:style w:type="paragraph" w:styleId="TOC3">
    <w:name w:val="toc 3"/>
    <w:basedOn w:val="Normal"/>
    <w:next w:val="Normal"/>
    <w:autoRedefine/>
    <w:uiPriority w:val="39"/>
    <w:unhideWhenUsed/>
    <w:rsid w:val="00D25271"/>
    <w:pPr>
      <w:spacing w:after="100"/>
      <w:ind w:left="440"/>
    </w:pPr>
  </w:style>
  <w:style w:type="paragraph" w:styleId="NoSpacing">
    <w:name w:val="No Spacing"/>
    <w:link w:val="NoSpacingChar"/>
    <w:uiPriority w:val="1"/>
    <w:qFormat/>
    <w:rsid w:val="00D25271"/>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D25271"/>
    <w:rPr>
      <w:rFonts w:asciiTheme="minorHAnsi" w:eastAsiaTheme="minorEastAsia" w:hAnsiTheme="minorHAnsi" w:cstheme="minorBidi"/>
    </w:rPr>
  </w:style>
  <w:style w:type="paragraph" w:styleId="Header">
    <w:name w:val="header"/>
    <w:basedOn w:val="Normal"/>
    <w:link w:val="HeaderChar"/>
    <w:uiPriority w:val="99"/>
    <w:unhideWhenUsed/>
    <w:rsid w:val="00D25271"/>
    <w:pPr>
      <w:tabs>
        <w:tab w:val="center" w:pos="4680"/>
        <w:tab w:val="right" w:pos="9360"/>
      </w:tabs>
    </w:pPr>
  </w:style>
  <w:style w:type="character" w:customStyle="1" w:styleId="HeaderChar">
    <w:name w:val="Header Char"/>
    <w:basedOn w:val="DefaultParagraphFont"/>
    <w:link w:val="Header"/>
    <w:uiPriority w:val="99"/>
    <w:rsid w:val="00D25271"/>
  </w:style>
  <w:style w:type="paragraph" w:styleId="Footer">
    <w:name w:val="footer"/>
    <w:basedOn w:val="Normal"/>
    <w:link w:val="FooterChar"/>
    <w:uiPriority w:val="99"/>
    <w:unhideWhenUsed/>
    <w:rsid w:val="00D25271"/>
    <w:pPr>
      <w:tabs>
        <w:tab w:val="center" w:pos="4680"/>
        <w:tab w:val="right" w:pos="9360"/>
      </w:tabs>
    </w:pPr>
  </w:style>
  <w:style w:type="character" w:customStyle="1" w:styleId="FooterChar">
    <w:name w:val="Footer Char"/>
    <w:basedOn w:val="DefaultParagraphFont"/>
    <w:link w:val="Footer"/>
    <w:uiPriority w:val="99"/>
    <w:rsid w:val="00D25271"/>
  </w:style>
  <w:style w:type="table" w:styleId="TableGrid">
    <w:name w:val="Table Grid"/>
    <w:basedOn w:val="TableNormal"/>
    <w:uiPriority w:val="39"/>
    <w:rsid w:val="00D25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D7AA5"/>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409F463CC64A639F04E053D49F4A67"/>
        <w:category>
          <w:name w:val="General"/>
          <w:gallery w:val="placeholder"/>
        </w:category>
        <w:types>
          <w:type w:val="bbPlcHdr"/>
        </w:types>
        <w:behaviors>
          <w:behavior w:val="content"/>
        </w:behaviors>
        <w:guid w:val="{739DB96E-9D25-4929-A713-EA7E1BF0EFF7}"/>
      </w:docPartPr>
      <w:docPartBody>
        <w:p w:rsidR="007B574B" w:rsidRDefault="00050A7F" w:rsidP="00050A7F">
          <w:pPr>
            <w:pStyle w:val="69409F463CC64A639F04E053D49F4A6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A7F"/>
    <w:rsid w:val="00050A7F"/>
    <w:rsid w:val="0032059F"/>
    <w:rsid w:val="00412126"/>
    <w:rsid w:val="005705A0"/>
    <w:rsid w:val="005877FA"/>
    <w:rsid w:val="00733414"/>
    <w:rsid w:val="007B574B"/>
    <w:rsid w:val="00DF2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409F463CC64A639F04E053D49F4A67">
    <w:name w:val="69409F463CC64A639F04E053D49F4A67"/>
    <w:rsid w:val="00050A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95D1CA1-2157-4126-BC64-6A2926986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7116</Words>
  <Characters>40564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FINANCIAL PERFORMANCE ANALYSIS OF ASTRAZENECA PLC &amp; CAPITAL INVESTMENT APPRAISAL FOR BEARD PLC</vt:lpstr>
    </vt:vector>
  </TitlesOfParts>
  <Company/>
  <LinksUpToDate>false</LinksUpToDate>
  <CharactersWithSpaces>47585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ANALYSIS OF ASTRAZENECA PLC &amp; CAPITAL INVESTMENT APPRAISAL FOR Westward PLC</dc:title>
  <dc:creator>Shahed Rayhan</dc:creator>
  <cp:lastModifiedBy>Shahed Rayhan</cp:lastModifiedBy>
  <cp:revision>3</cp:revision>
  <dcterms:created xsi:type="dcterms:W3CDTF">2026-04-20T01:50:00Z</dcterms:created>
  <dcterms:modified xsi:type="dcterms:W3CDTF">2026-04-20T14:33:00Z</dcterms:modified>
</cp:coreProperties>
</file>