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F623756" w:rsidR="008D658A" w:rsidRDefault="007937D2" w:rsidP="007937D2">
      <w:pPr>
        <w:jc w:val="right"/>
        <w:rPr>
          <w:rFonts w:ascii="Times New Roman" w:eastAsia="Times New Roman" w:hAnsi="Times New Roman" w:cs="Times New Roman"/>
          <w:b/>
          <w:sz w:val="40"/>
          <w:szCs w:val="40"/>
        </w:rPr>
      </w:pPr>
      <w:r>
        <w:rPr>
          <w:noProof/>
          <w:bdr w:val="none" w:sz="0" w:space="0" w:color="auto" w:frame="1"/>
          <w:lang w:val="en-IN"/>
        </w:rPr>
        <w:drawing>
          <wp:inline distT="0" distB="0" distL="0" distR="0" wp14:anchorId="25F1DFDF" wp14:editId="25433D81">
            <wp:extent cx="1724025" cy="981153"/>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cover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30901" cy="985066"/>
                    </a:xfrm>
                    <a:prstGeom prst="rect">
                      <a:avLst/>
                    </a:prstGeom>
                    <a:noFill/>
                    <a:ln>
                      <a:noFill/>
                    </a:ln>
                  </pic:spPr>
                </pic:pic>
              </a:graphicData>
            </a:graphic>
          </wp:inline>
        </w:drawing>
      </w:r>
    </w:p>
    <w:p w14:paraId="00000002" w14:textId="335EAE45" w:rsidR="008D658A" w:rsidRDefault="008D658A">
      <w:pPr>
        <w:jc w:val="center"/>
        <w:rPr>
          <w:rFonts w:ascii="Times New Roman" w:eastAsia="Times New Roman" w:hAnsi="Times New Roman" w:cs="Times New Roman"/>
          <w:b/>
          <w:sz w:val="40"/>
          <w:szCs w:val="40"/>
        </w:rPr>
      </w:pPr>
    </w:p>
    <w:p w14:paraId="00000003" w14:textId="2219EF29" w:rsidR="008D658A" w:rsidRDefault="007937D2">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  </w:t>
      </w:r>
      <w:r w:rsidR="008700F2">
        <w:rPr>
          <w:rFonts w:ascii="Times New Roman" w:eastAsia="Times New Roman" w:hAnsi="Times New Roman" w:cs="Times New Roman"/>
          <w:b/>
          <w:sz w:val="40"/>
          <w:szCs w:val="40"/>
        </w:rPr>
        <w:t>Criminal law</w:t>
      </w:r>
    </w:p>
    <w:p w14:paraId="00000004" w14:textId="77777777" w:rsidR="008D658A" w:rsidRDefault="008700F2">
      <w:pPr>
        <w:jc w:val="center"/>
        <w:rPr>
          <w:rFonts w:ascii="Times New Roman" w:eastAsia="Times New Roman" w:hAnsi="Times New Roman" w:cs="Times New Roman"/>
          <w:b/>
          <w:sz w:val="40"/>
          <w:szCs w:val="40"/>
        </w:rPr>
      </w:pPr>
      <w:r w:rsidRPr="002D57C3">
        <w:rPr>
          <w:rFonts w:ascii="Times New Roman" w:eastAsia="Times New Roman" w:hAnsi="Times New Roman" w:cs="Times New Roman"/>
          <w:b/>
          <w:sz w:val="40"/>
          <w:szCs w:val="40"/>
        </w:rPr>
        <w:t>Module</w:t>
      </w:r>
      <w:r>
        <w:rPr>
          <w:rFonts w:ascii="Times New Roman" w:eastAsia="Times New Roman" w:hAnsi="Times New Roman" w:cs="Times New Roman"/>
          <w:b/>
          <w:sz w:val="40"/>
          <w:szCs w:val="40"/>
        </w:rPr>
        <w:t xml:space="preserve"> code: BMPL4009 </w:t>
      </w:r>
    </w:p>
    <w:p w14:paraId="00000005" w14:textId="77777777" w:rsidR="008D658A" w:rsidRDefault="008D658A"/>
    <w:p w14:paraId="00000006" w14:textId="77777777" w:rsidR="008D658A" w:rsidRDefault="008D658A"/>
    <w:p w14:paraId="00000007" w14:textId="77777777" w:rsidR="008D658A" w:rsidRDefault="008D658A"/>
    <w:p w14:paraId="00000008" w14:textId="3E19588A" w:rsidR="008D658A" w:rsidRPr="00DA5A7E" w:rsidRDefault="002752D7">
      <w:pPr>
        <w:rPr>
          <w:sz w:val="40"/>
          <w:szCs w:val="40"/>
        </w:rPr>
      </w:pPr>
      <w:r>
        <w:t xml:space="preserve">                                                  </w:t>
      </w:r>
      <w:r w:rsidR="00270CDE">
        <w:t xml:space="preserve">        </w:t>
      </w:r>
      <w:r>
        <w:t xml:space="preserve">           </w:t>
      </w:r>
      <w:r w:rsidR="00DA5A7E">
        <w:rPr>
          <w:rFonts w:ascii="Times New Roman" w:hAnsi="Times New Roman" w:cs="Times New Roman"/>
          <w:b/>
          <w:bCs/>
          <w:sz w:val="40"/>
          <w:szCs w:val="40"/>
        </w:rPr>
        <w:t xml:space="preserve">Student </w:t>
      </w:r>
      <w:r w:rsidR="00270CDE">
        <w:rPr>
          <w:rFonts w:ascii="Times New Roman" w:hAnsi="Times New Roman" w:cs="Times New Roman"/>
          <w:b/>
          <w:bCs/>
          <w:sz w:val="40"/>
          <w:szCs w:val="40"/>
        </w:rPr>
        <w:t xml:space="preserve">Name: Daniel Anghel               </w:t>
      </w:r>
    </w:p>
    <w:p w14:paraId="00000009" w14:textId="333EEA86" w:rsidR="008D658A" w:rsidRDefault="00F67299">
      <w:r>
        <w:t xml:space="preserve"> </w:t>
      </w:r>
    </w:p>
    <w:p w14:paraId="1EC0EDEC" w14:textId="5143D5FF" w:rsidR="00F67299" w:rsidRPr="003C4CF0" w:rsidRDefault="00F67299">
      <w:pPr>
        <w:rPr>
          <w:rFonts w:ascii="Times New Roman" w:hAnsi="Times New Roman" w:cs="Times New Roman"/>
          <w:b/>
          <w:bCs/>
          <w:sz w:val="40"/>
          <w:szCs w:val="40"/>
        </w:rPr>
      </w:pPr>
      <w:r>
        <w:t xml:space="preserve">                                                                     </w:t>
      </w:r>
      <w:r w:rsidR="003C4CF0">
        <w:rPr>
          <w:rFonts w:ascii="Times New Roman" w:hAnsi="Times New Roman" w:cs="Times New Roman"/>
          <w:b/>
          <w:bCs/>
          <w:sz w:val="40"/>
          <w:szCs w:val="40"/>
        </w:rPr>
        <w:t>Student ID</w:t>
      </w:r>
      <w:r w:rsidR="00FB36E6">
        <w:rPr>
          <w:rFonts w:ascii="Times New Roman" w:hAnsi="Times New Roman" w:cs="Times New Roman"/>
          <w:b/>
          <w:bCs/>
          <w:sz w:val="40"/>
          <w:szCs w:val="40"/>
        </w:rPr>
        <w:t>: 2224081</w:t>
      </w:r>
    </w:p>
    <w:p w14:paraId="0000000A" w14:textId="77777777" w:rsidR="008D658A" w:rsidRDefault="008D658A"/>
    <w:p w14:paraId="0000000B" w14:textId="77777777" w:rsidR="008D658A" w:rsidRDefault="008D658A"/>
    <w:p w14:paraId="0000000C" w14:textId="77777777" w:rsidR="008D658A" w:rsidRDefault="008D658A"/>
    <w:p w14:paraId="0000000D" w14:textId="77777777" w:rsidR="008D658A" w:rsidRDefault="008D658A"/>
    <w:p w14:paraId="0000000E" w14:textId="77777777" w:rsidR="008D658A" w:rsidRDefault="008D658A"/>
    <w:p w14:paraId="0000000F" w14:textId="77777777" w:rsidR="008D658A" w:rsidRDefault="008D658A"/>
    <w:p w14:paraId="00000010" w14:textId="77777777" w:rsidR="008D658A" w:rsidRDefault="008D658A"/>
    <w:p w14:paraId="00000011" w14:textId="77777777" w:rsidR="008D658A" w:rsidRDefault="008D658A"/>
    <w:p w14:paraId="00000012" w14:textId="77777777" w:rsidR="008D658A" w:rsidRDefault="008D658A"/>
    <w:p w14:paraId="00000013" w14:textId="77777777" w:rsidR="008D658A" w:rsidRDefault="008D658A"/>
    <w:p w14:paraId="00000014" w14:textId="77777777" w:rsidR="008D658A" w:rsidRDefault="008D658A"/>
    <w:p w14:paraId="00000015" w14:textId="77777777" w:rsidR="008D658A" w:rsidRDefault="008D658A"/>
    <w:p w14:paraId="00000016" w14:textId="77777777" w:rsidR="008D658A" w:rsidRDefault="008D658A"/>
    <w:p w14:paraId="00000017" w14:textId="77777777" w:rsidR="008D658A" w:rsidRDefault="008D658A"/>
    <w:p w14:paraId="00000018" w14:textId="77777777" w:rsidR="008D658A" w:rsidRDefault="008D658A"/>
    <w:p w14:paraId="00000019" w14:textId="77777777" w:rsidR="008D658A" w:rsidRDefault="008D658A"/>
    <w:p w14:paraId="0000001A" w14:textId="77777777" w:rsidR="008D658A" w:rsidRDefault="008D658A"/>
    <w:p w14:paraId="0000001B" w14:textId="77777777" w:rsidR="008D658A" w:rsidRDefault="008D658A"/>
    <w:p w14:paraId="0000001C" w14:textId="77777777" w:rsidR="008D658A" w:rsidRDefault="008D658A"/>
    <w:p w14:paraId="0000001D" w14:textId="77777777" w:rsidR="008D658A" w:rsidRDefault="008D658A"/>
    <w:p w14:paraId="0000001E" w14:textId="77777777" w:rsidR="008D658A" w:rsidRDefault="008D658A"/>
    <w:p w14:paraId="0000001F" w14:textId="77777777" w:rsidR="008D658A" w:rsidRDefault="008D658A"/>
    <w:p w14:paraId="00000020" w14:textId="77777777" w:rsidR="008D658A" w:rsidRDefault="008D658A"/>
    <w:p w14:paraId="00000021" w14:textId="77777777" w:rsidR="008D658A" w:rsidRDefault="008D658A"/>
    <w:p w14:paraId="00000022" w14:textId="77777777" w:rsidR="008D658A" w:rsidRDefault="008D658A"/>
    <w:p w14:paraId="00000023" w14:textId="77777777" w:rsidR="008D658A" w:rsidRDefault="008D658A"/>
    <w:p w14:paraId="00000024" w14:textId="77777777" w:rsidR="008D658A" w:rsidRDefault="008D658A"/>
    <w:p w14:paraId="00000025" w14:textId="77777777" w:rsidR="008D658A" w:rsidRDefault="008D658A"/>
    <w:p w14:paraId="0000002E" w14:textId="77777777" w:rsidR="008D658A" w:rsidRDefault="008700F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After analysing the case study it can be said that several criminal offenses were committed by Vinnie and he is potentially liable for committing the crime. According to the case study, he has committed burglary, criminal damage, possession of a firearm with the intention to endanger life, murder, and attempted Murder.</w:t>
      </w:r>
    </w:p>
    <w:p w14:paraId="0000002F" w14:textId="77777777" w:rsidR="008D658A" w:rsidRDefault="008700F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criminal activity, according to the British English legal system, there are two important elements that could be fulfilled by the accused to commit a crime and those are Actus rues and mens rea. In the United Kingdom for regulations of criminal activities, there are two types of laws common law which is also known as judge-made law, and </w:t>
      </w:r>
      <w:r w:rsidRPr="007937D2">
        <w:rPr>
          <w:rFonts w:ascii="Times New Roman" w:eastAsia="Times New Roman" w:hAnsi="Times New Roman" w:cs="Times New Roman"/>
          <w:b/>
          <w:sz w:val="24"/>
          <w:szCs w:val="24"/>
        </w:rPr>
        <w:t>Criminal Law Act,1967</w:t>
      </w:r>
      <w:r>
        <w:rPr>
          <w:rFonts w:ascii="Times New Roman" w:eastAsia="Times New Roman" w:hAnsi="Times New Roman" w:cs="Times New Roman"/>
          <w:sz w:val="24"/>
          <w:szCs w:val="24"/>
        </w:rPr>
        <w:t xml:space="preserve"> are followed by the criminal courts. Actus reus means the act or omission which is connected with some physical elements according to the statute. This term only includes voluntary acts that can cause certain damages. The meaning of the term is guilty Act (Law.cornell, 2024). Another term mens rea means the guilty mind. It is a mental element or state of mind that influences to committing crime. In criminal law, this concept is used to identify the criminal responsibility of an accused person (ICLR, 2020).</w:t>
      </w:r>
    </w:p>
    <w:p w14:paraId="00000030" w14:textId="77777777" w:rsidR="008D658A" w:rsidRDefault="008700F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Burglary </w:t>
      </w:r>
      <w:r>
        <w:rPr>
          <w:rFonts w:ascii="Times New Roman" w:eastAsia="Times New Roman" w:hAnsi="Times New Roman" w:cs="Times New Roman"/>
          <w:sz w:val="24"/>
          <w:szCs w:val="24"/>
        </w:rPr>
        <w:t xml:space="preserve">is such type of criminal offense that involves a person entering into a building or apartment to commit some illegal activities such as theft. The punishment for committing this crime is a fine of £5,000 or 26 years in prison (Sentencingcouncil, 2024). In the case of </w:t>
      </w:r>
      <w:r>
        <w:rPr>
          <w:rFonts w:ascii="Times New Roman" w:eastAsia="Times New Roman" w:hAnsi="Times New Roman" w:cs="Times New Roman"/>
          <w:b/>
          <w:sz w:val="24"/>
          <w:szCs w:val="24"/>
        </w:rPr>
        <w:t>R v. Collins (1973),</w:t>
      </w:r>
      <w:r>
        <w:rPr>
          <w:rFonts w:ascii="Times New Roman" w:eastAsia="Times New Roman" w:hAnsi="Times New Roman" w:cs="Times New Roman"/>
          <w:sz w:val="24"/>
          <w:szCs w:val="24"/>
        </w:rPr>
        <w:t xml:space="preserve"> it is noticed that the defendant entered the garden premises as a trespasser or without the permission of the owner with the intention of theft. The court mentioned that to establish the offence of Burglary the plaintiff needed to establish that the defendant entered the premises as a trespasser and that he also had the intention to commit theft (LawTeacher, 2013d). In the case of </w:t>
      </w:r>
      <w:r>
        <w:rPr>
          <w:rFonts w:ascii="Times New Roman" w:eastAsia="Times New Roman" w:hAnsi="Times New Roman" w:cs="Times New Roman"/>
          <w:b/>
          <w:sz w:val="24"/>
          <w:szCs w:val="24"/>
        </w:rPr>
        <w:t>R v. Stevens (1972),</w:t>
      </w:r>
      <w:r>
        <w:rPr>
          <w:rFonts w:ascii="Times New Roman" w:eastAsia="Times New Roman" w:hAnsi="Times New Roman" w:cs="Times New Roman"/>
          <w:sz w:val="24"/>
          <w:szCs w:val="24"/>
        </w:rPr>
        <w:t xml:space="preserve"> the defendant was noticed by the plaintiff who was trying to hide under the shed of the plaintiff’s property. He was charged with burglary because he entered into property as trespassers and he did not commit any offense of theft but his intention was to commit theft. These cases mention the important elements of burglary and became important precedents regarding the criminal offense (Law.cornell, 2010).</w:t>
      </w:r>
    </w:p>
    <w:p w14:paraId="00000031" w14:textId="77777777" w:rsidR="008D658A" w:rsidRDefault="008700F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case study Vinnie entered the bedroom of an older person. He entered the room with the intention to steal from the bedroom which means Vinne has the intention to commit this offence which establishes</w:t>
      </w:r>
      <w:r>
        <w:rPr>
          <w:rFonts w:ascii="Times New Roman" w:eastAsia="Times New Roman" w:hAnsi="Times New Roman" w:cs="Times New Roman"/>
          <w:b/>
          <w:sz w:val="24"/>
          <w:szCs w:val="24"/>
        </w:rPr>
        <w:t xml:space="preserve"> actus reus.</w:t>
      </w:r>
      <w:r>
        <w:rPr>
          <w:rFonts w:ascii="Times New Roman" w:eastAsia="Times New Roman" w:hAnsi="Times New Roman" w:cs="Times New Roman"/>
          <w:sz w:val="24"/>
          <w:szCs w:val="24"/>
        </w:rPr>
        <w:t xml:space="preserve"> After entering the room, he started to search for money to steal which could help to reduce the financial struggle that he had faced. He stole the watch which means theft which means appropriation of someone’s property dishonestly without informing the owner. The intention of Vinnie was to deprive the Stolen watch which established the </w:t>
      </w:r>
      <w:r>
        <w:rPr>
          <w:rFonts w:ascii="Times New Roman" w:eastAsia="Times New Roman" w:hAnsi="Times New Roman" w:cs="Times New Roman"/>
          <w:b/>
          <w:sz w:val="24"/>
          <w:szCs w:val="24"/>
        </w:rPr>
        <w:t>mens rea</w:t>
      </w:r>
      <w:r>
        <w:rPr>
          <w:rFonts w:ascii="Times New Roman" w:eastAsia="Times New Roman" w:hAnsi="Times New Roman" w:cs="Times New Roman"/>
          <w:sz w:val="24"/>
          <w:szCs w:val="24"/>
        </w:rPr>
        <w:t xml:space="preserve"> of Vinnie.</w:t>
      </w:r>
    </w:p>
    <w:p w14:paraId="00000032" w14:textId="77777777" w:rsidR="008D658A" w:rsidRDefault="008700F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Criminal Damage </w:t>
      </w:r>
      <w:r>
        <w:rPr>
          <w:rFonts w:ascii="Times New Roman" w:eastAsia="Times New Roman" w:hAnsi="Times New Roman" w:cs="Times New Roman"/>
          <w:sz w:val="24"/>
          <w:szCs w:val="24"/>
        </w:rPr>
        <w:t>means damage to a property by doing painting and by using other ingredients. The damage that can happen because of this offense can be visible but that is not mandatory for all perspectives (Claims, 2017). In the case of</w:t>
      </w:r>
      <w:r>
        <w:rPr>
          <w:rFonts w:ascii="Times New Roman" w:eastAsia="Times New Roman" w:hAnsi="Times New Roman" w:cs="Times New Roman"/>
          <w:b/>
          <w:sz w:val="24"/>
          <w:szCs w:val="24"/>
        </w:rPr>
        <w:t xml:space="preserve"> R v Morphitis (1997</w:t>
      </w:r>
      <w:r>
        <w:rPr>
          <w:rFonts w:ascii="Times New Roman" w:eastAsia="Times New Roman" w:hAnsi="Times New Roman" w:cs="Times New Roman"/>
          <w:sz w:val="24"/>
          <w:szCs w:val="24"/>
        </w:rPr>
        <w:t xml:space="preserve">), the defendant after going to a pub threw a beer glass that spread on the floor. For this reason, a person got injured the court and the person knew the consequence of his activity and for this reason, he was charged with criminal damage. The court mentioned that damage to the property is not considered as criminal damage the injury needs to happen (VLex, (2024b). In the case of </w:t>
      </w:r>
      <w:r>
        <w:rPr>
          <w:rFonts w:ascii="Times New Roman" w:eastAsia="Times New Roman" w:hAnsi="Times New Roman" w:cs="Times New Roman"/>
          <w:b/>
          <w:sz w:val="24"/>
          <w:szCs w:val="24"/>
        </w:rPr>
        <w:t>R v. Smith (1974),</w:t>
      </w:r>
      <w:r>
        <w:rPr>
          <w:rFonts w:ascii="Times New Roman" w:eastAsia="Times New Roman" w:hAnsi="Times New Roman" w:cs="Times New Roman"/>
          <w:sz w:val="24"/>
          <w:szCs w:val="24"/>
        </w:rPr>
        <w:t xml:space="preserve"> the defendant broke the windows of a house entered the room, and caused damage to house items. The court mentioned that the intention of the defendant was to damage the property which clearly mentioned the criminal damage (LawTeacher, 2013e). </w:t>
      </w:r>
    </w:p>
    <w:p w14:paraId="00000033" w14:textId="77777777" w:rsidR="008D658A" w:rsidRDefault="008700F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Vinnie has intentionally damaged the car owned by Louise. He with huge anger used the key and ran his key along the side panel of the car which shows the actus rues of Vinnie. The mens era of Vinnie was to damage the property which belonged to others and the reckless behaviour to damage the property indicates the mens rea.</w:t>
      </w:r>
    </w:p>
    <w:p w14:paraId="00000034" w14:textId="77777777" w:rsidR="008D658A" w:rsidRDefault="008700F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Possession of a Firearm with Intent to Endanger Life</w:t>
      </w:r>
    </w:p>
    <w:p w14:paraId="00000035" w14:textId="77777777" w:rsidR="008D658A" w:rsidRDefault="008700F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w:t>
      </w:r>
      <w:r>
        <w:rPr>
          <w:rFonts w:ascii="Times New Roman" w:eastAsia="Times New Roman" w:hAnsi="Times New Roman" w:cs="Times New Roman"/>
          <w:b/>
          <w:sz w:val="24"/>
          <w:szCs w:val="24"/>
        </w:rPr>
        <w:t>Firearms Act, of 1968,</w:t>
      </w:r>
      <w:r>
        <w:rPr>
          <w:rFonts w:ascii="Times New Roman" w:eastAsia="Times New Roman" w:hAnsi="Times New Roman" w:cs="Times New Roman"/>
          <w:sz w:val="24"/>
          <w:szCs w:val="24"/>
        </w:rPr>
        <w:t xml:space="preserve"> the person has possession of any firearm that can endanger life and cause serious injury to another person, and any property is considered an illegal offense to another (Legislation, 1968). In the case of</w:t>
      </w:r>
      <w:r>
        <w:rPr>
          <w:rFonts w:ascii="Times New Roman" w:eastAsia="Times New Roman" w:hAnsi="Times New Roman" w:cs="Times New Roman"/>
          <w:b/>
          <w:sz w:val="24"/>
          <w:szCs w:val="24"/>
        </w:rPr>
        <w:t xml:space="preserve"> R v Taylor (2006)</w:t>
      </w:r>
      <w:r>
        <w:rPr>
          <w:rFonts w:ascii="Times New Roman" w:eastAsia="Times New Roman" w:hAnsi="Times New Roman" w:cs="Times New Roman"/>
          <w:sz w:val="24"/>
          <w:szCs w:val="24"/>
        </w:rPr>
        <w:t xml:space="preserve">, it is noticed that the defendant was noticed with a shotgun in his possession. He pointed the gun at the police officer and attempted to flee from there the court of appeal mentioned that the offense of possession of a firearm with intent to endanger life needed both the consequences together to prove the crime. Through this case, the precedent was established that defense action and his intention to determine guilt could prove the crime (VLex, 2024a). </w:t>
      </w:r>
      <w:r>
        <w:rPr>
          <w:rFonts w:ascii="Times New Roman" w:eastAsia="Times New Roman" w:hAnsi="Times New Roman" w:cs="Times New Roman"/>
          <w:b/>
          <w:sz w:val="24"/>
          <w:szCs w:val="24"/>
        </w:rPr>
        <w:t>R v Blake (1993)</w:t>
      </w:r>
      <w:r>
        <w:rPr>
          <w:rFonts w:ascii="Times New Roman" w:eastAsia="Times New Roman" w:hAnsi="Times New Roman" w:cs="Times New Roman"/>
          <w:sz w:val="24"/>
          <w:szCs w:val="24"/>
        </w:rPr>
        <w:t xml:space="preserve">, the defendant was found with a firearm in a public area. When the police officer tried to arrest him he pointed the arm and threatened to shoot the court mentioned that this incident gives clear justification for possession of a firearm and intention to endanger life (Publications.parliament, 2024). </w:t>
      </w:r>
    </w:p>
    <w:p w14:paraId="00000036" w14:textId="77777777" w:rsidR="008D658A" w:rsidRDefault="008700F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Vinnie carried a gun in their possession and he pointed his gun toward a police officer this incident directly demonstrates the intention to endanger the life of the police officer which was the actus reus. The mens rea of Vinnie in committing this offense is creating a fear of violence and endangering the life of the police officer, he pointed the gun towards the police officer and took the gestures to shoot him.</w:t>
      </w:r>
    </w:p>
    <w:p w14:paraId="00000037" w14:textId="77777777" w:rsidR="008D658A" w:rsidRDefault="008700F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Attempted Murder </w:t>
      </w:r>
      <w:r>
        <w:rPr>
          <w:rFonts w:ascii="Times New Roman" w:eastAsia="Times New Roman" w:hAnsi="Times New Roman" w:cs="Times New Roman"/>
          <w:sz w:val="24"/>
          <w:szCs w:val="24"/>
        </w:rPr>
        <w:t xml:space="preserve">means an intention to kill a person and commit such activities which particularly shows the intention to kill that person. Intention to cause serious harm is also considered as the intention to kill the person alone (Adamlawsolicitors, 2023). Section 1(1) of the </w:t>
      </w:r>
      <w:r>
        <w:rPr>
          <w:rFonts w:ascii="Times New Roman" w:eastAsia="Times New Roman" w:hAnsi="Times New Roman" w:cs="Times New Roman"/>
          <w:b/>
          <w:sz w:val="24"/>
          <w:szCs w:val="24"/>
        </w:rPr>
        <w:t>Criminal Attempts Act, of 1981</w:t>
      </w:r>
      <w:r>
        <w:rPr>
          <w:rFonts w:ascii="Times New Roman" w:eastAsia="Times New Roman" w:hAnsi="Times New Roman" w:cs="Times New Roman"/>
          <w:sz w:val="24"/>
          <w:szCs w:val="24"/>
        </w:rPr>
        <w:t xml:space="preserve"> mentioned the attempted murder and the maximum punishment for it. In the case of </w:t>
      </w:r>
      <w:r>
        <w:rPr>
          <w:rFonts w:ascii="Times New Roman" w:eastAsia="Times New Roman" w:hAnsi="Times New Roman" w:cs="Times New Roman"/>
          <w:b/>
          <w:sz w:val="24"/>
          <w:szCs w:val="24"/>
        </w:rPr>
        <w:t xml:space="preserve">R v Whybrow(1951), </w:t>
      </w:r>
      <w:r>
        <w:rPr>
          <w:rFonts w:ascii="Times New Roman" w:eastAsia="Times New Roman" w:hAnsi="Times New Roman" w:cs="Times New Roman"/>
          <w:sz w:val="24"/>
          <w:szCs w:val="24"/>
        </w:rPr>
        <w:t xml:space="preserve">it was noticed by the court that the defendant intended to kill his wife by placing a gas pipeline in the bedroom at the time of sleeping. The Court of Appeal mentioned that grievous bodily harm is enough situation to prove attempted murder when the defendant has no intention to kill the person (Simple Studying, 2022). In the case of </w:t>
      </w:r>
      <w:r>
        <w:rPr>
          <w:rFonts w:ascii="Times New Roman" w:eastAsia="Times New Roman" w:hAnsi="Times New Roman" w:cs="Times New Roman"/>
          <w:b/>
          <w:sz w:val="24"/>
          <w:szCs w:val="24"/>
        </w:rPr>
        <w:t>R. Gotts (1992),</w:t>
      </w:r>
      <w:r>
        <w:rPr>
          <w:rFonts w:ascii="Times New Roman" w:eastAsia="Times New Roman" w:hAnsi="Times New Roman" w:cs="Times New Roman"/>
          <w:sz w:val="24"/>
          <w:szCs w:val="24"/>
        </w:rPr>
        <w:t xml:space="preserve"> the defendant hired a person mentally impaired to kill his mother, and the person acted with a hammer but failed. The Court of Appeal mentioned that if any person provoked or incited a person to kill someone then that person would be charged for attempted murder. This rule is applied in this case and the son was charged with attempted murder of his mother (LawTeacher, 2013c).</w:t>
      </w:r>
    </w:p>
    <w:p w14:paraId="00000038" w14:textId="77777777" w:rsidR="008D658A" w:rsidRDefault="008700F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Vinnie’s initiative to shoot the police officer potentially establishes that he wanted to commit an attempt to murder which establishes actus reus. The intention to kill the police and some substantial steps to kill him and his action which result killing of Mrs.Quinn without the proper intention to kill her establishes mens rea of Vinnie to commit an attempt to murder.</w:t>
      </w:r>
    </w:p>
    <w:p w14:paraId="00000039" w14:textId="77777777" w:rsidR="008D658A" w:rsidRDefault="008700F2">
      <w:pPr>
        <w:spacing w:line="360" w:lineRule="auto"/>
        <w:jc w:val="both"/>
        <w:rPr>
          <w:rFonts w:ascii="Times New Roman" w:eastAsia="Times New Roman" w:hAnsi="Times New Roman" w:cs="Times New Roman"/>
          <w:color w:val="212529"/>
          <w:sz w:val="24"/>
          <w:szCs w:val="24"/>
          <w:highlight w:val="white"/>
        </w:rPr>
      </w:pPr>
      <w:r>
        <w:rPr>
          <w:rFonts w:ascii="Times New Roman" w:eastAsia="Times New Roman" w:hAnsi="Times New Roman" w:cs="Times New Roman"/>
          <w:b/>
          <w:sz w:val="24"/>
          <w:szCs w:val="24"/>
        </w:rPr>
        <w:t xml:space="preserve">Murder </w:t>
      </w:r>
      <w:r>
        <w:rPr>
          <w:rFonts w:ascii="Times New Roman" w:eastAsia="Times New Roman" w:hAnsi="Times New Roman" w:cs="Times New Roman"/>
          <w:sz w:val="24"/>
          <w:szCs w:val="24"/>
        </w:rPr>
        <w:t xml:space="preserve">means intentionally killing a person and doing some activity that indicates the person can die at any time. The maximum punishment for murder is life imprisonment for the unlawful killing of a reasonable person (LexisNexis, 2024). In the case of </w:t>
      </w:r>
      <w:r>
        <w:rPr>
          <w:rFonts w:ascii="Times New Roman" w:eastAsia="Times New Roman" w:hAnsi="Times New Roman" w:cs="Times New Roman"/>
          <w:b/>
          <w:color w:val="212529"/>
          <w:sz w:val="24"/>
          <w:szCs w:val="24"/>
          <w:highlight w:val="white"/>
        </w:rPr>
        <w:t xml:space="preserve">R v Woollin [1999] AC 82, </w:t>
      </w:r>
      <w:r>
        <w:rPr>
          <w:rFonts w:ascii="Times New Roman" w:eastAsia="Times New Roman" w:hAnsi="Times New Roman" w:cs="Times New Roman"/>
          <w:color w:val="212529"/>
          <w:sz w:val="24"/>
          <w:szCs w:val="24"/>
          <w:highlight w:val="white"/>
        </w:rPr>
        <w:t>the defendant threw his three-month-old baby in the ground of frustration to stop crying the baby. The baby died by fracturing the skull. The court accepted that the defendant did not have the intention to kill but because of his anger and the result of their action, the baby got serious harm. The lower court declared the crime as murder. However, the Court of Appeal reduced the conviction from murder to manslaughter (</w:t>
      </w:r>
      <w:r>
        <w:rPr>
          <w:rFonts w:ascii="Times New Roman" w:eastAsia="Times New Roman" w:hAnsi="Times New Roman" w:cs="Times New Roman"/>
          <w:sz w:val="24"/>
          <w:szCs w:val="24"/>
        </w:rPr>
        <w:t>LawTeacher, 2023a)</w:t>
      </w:r>
      <w:r>
        <w:rPr>
          <w:rFonts w:ascii="Times New Roman" w:eastAsia="Times New Roman" w:hAnsi="Times New Roman" w:cs="Times New Roman"/>
          <w:color w:val="212529"/>
          <w:sz w:val="24"/>
          <w:szCs w:val="24"/>
          <w:highlight w:val="white"/>
        </w:rPr>
        <w:t xml:space="preserve">. In the case of </w:t>
      </w:r>
      <w:r>
        <w:rPr>
          <w:rFonts w:ascii="Roboto" w:eastAsia="Roboto" w:hAnsi="Roboto" w:cs="Roboto"/>
          <w:color w:val="212529"/>
          <w:sz w:val="24"/>
          <w:szCs w:val="24"/>
          <w:highlight w:val="white"/>
        </w:rPr>
        <w:t xml:space="preserve"> </w:t>
      </w:r>
      <w:r>
        <w:rPr>
          <w:rFonts w:ascii="Times New Roman" w:eastAsia="Times New Roman" w:hAnsi="Times New Roman" w:cs="Times New Roman"/>
          <w:b/>
          <w:color w:val="212529"/>
          <w:sz w:val="24"/>
          <w:szCs w:val="24"/>
          <w:highlight w:val="white"/>
        </w:rPr>
        <w:t xml:space="preserve">R v Vickers [1957] 2 QB 664, </w:t>
      </w:r>
      <w:r>
        <w:rPr>
          <w:rFonts w:ascii="Times New Roman" w:eastAsia="Times New Roman" w:hAnsi="Times New Roman" w:cs="Times New Roman"/>
          <w:color w:val="212529"/>
          <w:sz w:val="24"/>
          <w:szCs w:val="24"/>
          <w:highlight w:val="white"/>
        </w:rPr>
        <w:t>the Court of Appeal mentioned that the defendant could be convicted of the murder after establishing the fact that the murder had been committed with the proper intention to kill the person or cause such bodily harm by which the injured person could die. The sufficient reason for establishing the mens rea for murder is mandatory to call an incident as murder. The intention to cause grievous hurt must show the willingness to accept the substantial risk (</w:t>
      </w:r>
      <w:r>
        <w:rPr>
          <w:rFonts w:ascii="Times New Roman" w:eastAsia="Times New Roman" w:hAnsi="Times New Roman" w:cs="Times New Roman"/>
          <w:sz w:val="24"/>
          <w:szCs w:val="24"/>
        </w:rPr>
        <w:t>LawTeacher, 2013b)</w:t>
      </w:r>
      <w:r>
        <w:rPr>
          <w:rFonts w:ascii="Times New Roman" w:eastAsia="Times New Roman" w:hAnsi="Times New Roman" w:cs="Times New Roman"/>
          <w:color w:val="212529"/>
          <w:sz w:val="24"/>
          <w:szCs w:val="24"/>
          <w:highlight w:val="white"/>
        </w:rPr>
        <w:t>.</w:t>
      </w:r>
    </w:p>
    <w:p w14:paraId="0000003A" w14:textId="77777777" w:rsidR="008D658A" w:rsidRDefault="008700F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Vinnie fired his gun toward the police officer through the letterbox and for the consequences of the incident Mrs Quinn died which establishes the Actus reus of Vinnie to commit the offence of murder. Though it was not the intention for Vinnie to kill Mrs, Quinn the action of shooting toward the police officer establishes his intention to kill the person which establishes mens rea to commit murder. According to the doctrine of transferred malice Vinnie’s intention was to kill the police officer and as a result, the unintentional killing of Mrs. Quinn happened which establishes the mens rea.</w:t>
      </w:r>
    </w:p>
    <w:p w14:paraId="0000003B" w14:textId="77777777" w:rsidR="008D658A" w:rsidRDefault="008700F2">
      <w:pPr>
        <w:spacing w:line="360" w:lineRule="auto"/>
        <w:jc w:val="both"/>
        <w:rPr>
          <w:rFonts w:ascii="Times New Roman" w:eastAsia="Times New Roman" w:hAnsi="Times New Roman" w:cs="Times New Roman"/>
          <w:b/>
          <w:sz w:val="24"/>
          <w:szCs w:val="24"/>
        </w:rPr>
      </w:pPr>
      <w:r>
        <w:br w:type="page"/>
      </w:r>
    </w:p>
    <w:p w14:paraId="0000003C" w14:textId="77777777" w:rsidR="008D658A" w:rsidRDefault="008700F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2E88F6DD" w14:textId="6FF26771"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Adamlawsolicitors, (2023) </w:t>
      </w:r>
      <w:r>
        <w:rPr>
          <w:rFonts w:ascii="Times New Roman" w:eastAsia="Times New Roman" w:hAnsi="Times New Roman" w:cs="Times New Roman"/>
          <w:i/>
          <w:sz w:val="24"/>
          <w:szCs w:val="24"/>
        </w:rPr>
        <w:t>Attempted murder solicitors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Adam Law Solicitors</w:t>
      </w:r>
      <w:r>
        <w:rPr>
          <w:rFonts w:ascii="Times New Roman" w:eastAsia="Times New Roman" w:hAnsi="Times New Roman" w:cs="Times New Roman"/>
          <w:sz w:val="24"/>
          <w:szCs w:val="24"/>
        </w:rPr>
        <w:t>. Available at: https://www.adamlawsolicitors.co.uk/criminal-defence/attempted-murder/#:~:text=It%20is%20an%20indictable%20only,an%20intention%20to%20kill%20alone. (Accessed: 19 March 2024).</w:t>
      </w:r>
    </w:p>
    <w:p w14:paraId="57733D79"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Claims, (2017) </w:t>
      </w:r>
      <w:r>
        <w:rPr>
          <w:rFonts w:ascii="Times New Roman" w:eastAsia="Times New Roman" w:hAnsi="Times New Roman" w:cs="Times New Roman"/>
          <w:i/>
          <w:sz w:val="24"/>
          <w:szCs w:val="24"/>
        </w:rPr>
        <w:t>Criminal damage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claims.co.uk TM</w:t>
      </w:r>
      <w:r>
        <w:rPr>
          <w:rFonts w:ascii="Times New Roman" w:eastAsia="Times New Roman" w:hAnsi="Times New Roman" w:cs="Times New Roman"/>
          <w:sz w:val="24"/>
          <w:szCs w:val="24"/>
        </w:rPr>
        <w:t xml:space="preserve">. Available at: https://www.claims.co.uk/knowledge-base/offences/criminal-damage#:~:text=Criminal%20damage%20has%2C%20therefore%2C%20included,even%20if%20it%20not%20visible. (Accessed: 19 March 2024). </w:t>
      </w:r>
    </w:p>
    <w:p w14:paraId="7B0A25D7"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ICLR, (2020) </w:t>
      </w:r>
      <w:r>
        <w:rPr>
          <w:rFonts w:ascii="Times New Roman" w:eastAsia="Times New Roman" w:hAnsi="Times New Roman" w:cs="Times New Roman"/>
          <w:i/>
          <w:sz w:val="24"/>
          <w:szCs w:val="24"/>
        </w:rPr>
        <w:t>Mens Rea and actus reus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ICLR</w:t>
      </w:r>
      <w:r>
        <w:rPr>
          <w:rFonts w:ascii="Times New Roman" w:eastAsia="Times New Roman" w:hAnsi="Times New Roman" w:cs="Times New Roman"/>
          <w:sz w:val="24"/>
          <w:szCs w:val="24"/>
        </w:rPr>
        <w:t>. Available at: https://www.iclr.co.uk/knowledge/glossary/mens-rea-and-actus-reus/#:~:text=Mens%20rea%20is%20often%20described,such%20as%20recklessness%20or%20negligence. (Accessed: 19 March 2024).</w:t>
      </w:r>
    </w:p>
    <w:p w14:paraId="4F5AB5F8"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Law.cornell, (2010) </w:t>
      </w:r>
      <w:r>
        <w:rPr>
          <w:rFonts w:ascii="Times New Roman" w:eastAsia="Times New Roman" w:hAnsi="Times New Roman" w:cs="Times New Roman"/>
          <w:i/>
          <w:sz w:val="24"/>
          <w:szCs w:val="24"/>
        </w:rPr>
        <w:t>United States v. Stevens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Legal Information Institute</w:t>
      </w:r>
      <w:r>
        <w:rPr>
          <w:rFonts w:ascii="Times New Roman" w:eastAsia="Times New Roman" w:hAnsi="Times New Roman" w:cs="Times New Roman"/>
          <w:sz w:val="24"/>
          <w:szCs w:val="24"/>
        </w:rPr>
        <w:t xml:space="preserve">. Available at: https://www.law.cornell.edu/supct/html/08-769.ZD.html (Accessed: 19 March 2024). </w:t>
      </w:r>
    </w:p>
    <w:p w14:paraId="6603D783"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Law.cornell, (2024) </w:t>
      </w:r>
      <w:r>
        <w:rPr>
          <w:rFonts w:ascii="Times New Roman" w:eastAsia="Times New Roman" w:hAnsi="Times New Roman" w:cs="Times New Roman"/>
          <w:i/>
          <w:sz w:val="24"/>
          <w:szCs w:val="24"/>
        </w:rPr>
        <w:t>Actus reus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Legal Information Institute</w:t>
      </w:r>
      <w:r>
        <w:rPr>
          <w:rFonts w:ascii="Times New Roman" w:eastAsia="Times New Roman" w:hAnsi="Times New Roman" w:cs="Times New Roman"/>
          <w:sz w:val="24"/>
          <w:szCs w:val="24"/>
        </w:rPr>
        <w:t>. Available at: https://www.law.cornell.edu/wex/actus_reus#:~:text=Actus%20reus%20refers%20to%20the,causing%20a%20criminally%20proscribed%20result. (Accessed: 19 March 2024).</w:t>
      </w:r>
    </w:p>
    <w:p w14:paraId="3C6FB66C"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LawTeacher. (2023a) November. R v Woollin. [online]. Available from: https://www.lawteacher.net/cases/r-v-woollin.php?vref=1 [Accessed 19 March 2024]. </w:t>
      </w:r>
    </w:p>
    <w:p w14:paraId="24B6346A"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LawTeacher. November (2013b). Murder and Unlawful Killing Cases. [online]. Available from: https://www.lawteacher.net/cases/murder.php?vref=1 [Accessed 19 March 2024].</w:t>
      </w:r>
    </w:p>
    <w:p w14:paraId="7D057E8D"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LawTeacher. November (2013c). R v Gotts - 1982. [online]. Available from: https://www.lawteacher.net/cases/r-v-gotts.php?vref=1 [Accessed 19 March 2024]. </w:t>
      </w:r>
    </w:p>
    <w:p w14:paraId="56D4E254"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LawTeacher. November (2013d). R v Collins - 1973. [online]. Available from: https://www.lawteacher.net/cases/r-v-collins.php?vref=1 [Accessed 19 March 2024].</w:t>
      </w:r>
    </w:p>
    <w:p w14:paraId="3FFB9B24"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LawTeacher. November (2013e). R v Smith - 1974. [online]. Available from: https://www.lawteacher.net/cases/r-v-smith-1974.php?vref=1 [Accessed 19 March 2024]. </w:t>
      </w:r>
    </w:p>
    <w:p w14:paraId="327B79C3"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Legislation, (1968) </w:t>
      </w:r>
      <w:r>
        <w:rPr>
          <w:rFonts w:ascii="Times New Roman" w:eastAsia="Times New Roman" w:hAnsi="Times New Roman" w:cs="Times New Roman"/>
          <w:i/>
          <w:sz w:val="24"/>
          <w:szCs w:val="24"/>
        </w:rPr>
        <w:t>Firearms act 1968</w:t>
      </w:r>
      <w:r>
        <w:rPr>
          <w:rFonts w:ascii="Times New Roman" w:eastAsia="Times New Roman" w:hAnsi="Times New Roman" w:cs="Times New Roman"/>
          <w:sz w:val="24"/>
          <w:szCs w:val="24"/>
        </w:rPr>
        <w:t>. Available at: https://www.legislation.gov.uk/ukpga/1968/27/part/I/crossheading/prevention-of-crime-and-preservation-of-public-safety/enacted?view=plain (Accessed: 19 March 2024).</w:t>
      </w:r>
    </w:p>
    <w:p w14:paraId="45FB04D5"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LexisNexis, (2024) </w:t>
      </w:r>
      <w:r>
        <w:rPr>
          <w:rFonts w:ascii="Times New Roman" w:eastAsia="Times New Roman" w:hAnsi="Times New Roman" w:cs="Times New Roman"/>
          <w:i/>
          <w:sz w:val="24"/>
          <w:szCs w:val="24"/>
        </w:rPr>
        <w:t>Murder definition: Legal glossary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LexisNexis</w:t>
      </w:r>
      <w:r>
        <w:rPr>
          <w:rFonts w:ascii="Times New Roman" w:eastAsia="Times New Roman" w:hAnsi="Times New Roman" w:cs="Times New Roman"/>
          <w:sz w:val="24"/>
          <w:szCs w:val="24"/>
        </w:rPr>
        <w:t>. Available at: https://www.lexisnexis.co.uk/legal/glossary/murder (Accessed: 19 March 2024).</w:t>
      </w:r>
    </w:p>
    <w:p w14:paraId="49F534CC"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Publications.parliament, (2024) </w:t>
      </w:r>
      <w:r>
        <w:rPr>
          <w:rFonts w:ascii="Times New Roman" w:eastAsia="Times New Roman" w:hAnsi="Times New Roman" w:cs="Times New Roman"/>
          <w:i/>
          <w:sz w:val="24"/>
          <w:szCs w:val="24"/>
        </w:rPr>
        <w:t>House of Lords - her majesty’s attorney general V. Blake and another</w:t>
      </w:r>
      <w:r>
        <w:rPr>
          <w:rFonts w:ascii="Times New Roman" w:eastAsia="Times New Roman" w:hAnsi="Times New Roman" w:cs="Times New Roman"/>
          <w:sz w:val="24"/>
          <w:szCs w:val="24"/>
        </w:rPr>
        <w:t>. Available at: https://publications.parliament.uk/pa/ld199900/ldjudgmt/jd000727/blake-1.htm (Accessed: 19 March 2024).</w:t>
      </w:r>
    </w:p>
    <w:p w14:paraId="5EF752A5"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Sentencingcouncil, (2024) </w:t>
      </w:r>
      <w:r>
        <w:rPr>
          <w:rFonts w:ascii="Times New Roman" w:eastAsia="Times New Roman" w:hAnsi="Times New Roman" w:cs="Times New Roman"/>
          <w:i/>
          <w:sz w:val="24"/>
          <w:szCs w:val="24"/>
        </w:rPr>
        <w:t>Burglary - simple guideline</w:t>
      </w:r>
      <w:r>
        <w:rPr>
          <w:rFonts w:ascii="Times New Roman" w:eastAsia="Times New Roman" w:hAnsi="Times New Roman" w:cs="Times New Roman"/>
          <w:sz w:val="24"/>
          <w:szCs w:val="24"/>
        </w:rPr>
        <w:t>. Available at: https://www.sentencingcouncil.org.uk/wp-content/uploads/Burglary-simple-guideline.pdf (Accessed: 19 March 2024).</w:t>
      </w:r>
    </w:p>
    <w:p w14:paraId="512A6A4B"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Simple Studying, (2022) </w:t>
      </w:r>
      <w:r>
        <w:rPr>
          <w:rFonts w:ascii="Times New Roman" w:eastAsia="Times New Roman" w:hAnsi="Times New Roman" w:cs="Times New Roman"/>
          <w:i/>
          <w:sz w:val="24"/>
          <w:szCs w:val="24"/>
        </w:rPr>
        <w:t>Sign up to maximise your chances to get a first class law degree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Simple Studying</w:t>
      </w:r>
      <w:r>
        <w:rPr>
          <w:rFonts w:ascii="Times New Roman" w:eastAsia="Times New Roman" w:hAnsi="Times New Roman" w:cs="Times New Roman"/>
          <w:sz w:val="24"/>
          <w:szCs w:val="24"/>
        </w:rPr>
        <w:t>. Available at: https://simplestudying.com/r-v-whybrow-1951-35-cr-app-r-141/ (Accessed: 19 March 2024).</w:t>
      </w:r>
    </w:p>
    <w:p w14:paraId="633C9DBB"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VLex, (2024a) </w:t>
      </w:r>
      <w:r>
        <w:rPr>
          <w:rFonts w:ascii="Times New Roman" w:eastAsia="Times New Roman" w:hAnsi="Times New Roman" w:cs="Times New Roman"/>
          <w:i/>
          <w:sz w:val="24"/>
          <w:szCs w:val="24"/>
        </w:rPr>
        <w:t>R v Taylor (stuart)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vLex</w:t>
      </w:r>
      <w:r>
        <w:rPr>
          <w:rFonts w:ascii="Times New Roman" w:eastAsia="Times New Roman" w:hAnsi="Times New Roman" w:cs="Times New Roman"/>
          <w:sz w:val="24"/>
          <w:szCs w:val="24"/>
        </w:rPr>
        <w:t>. Available at: https://vlex.co.uk/vid/r-v-taylor-stuart-793519337 (Accessed: 19 March 2024).</w:t>
      </w:r>
    </w:p>
    <w:p w14:paraId="277BEAA6" w14:textId="77777777" w:rsidR="007937D2" w:rsidRDefault="007937D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VLex, (2024b) </w:t>
      </w:r>
      <w:r>
        <w:rPr>
          <w:rFonts w:ascii="Times New Roman" w:eastAsia="Times New Roman" w:hAnsi="Times New Roman" w:cs="Times New Roman"/>
          <w:i/>
          <w:sz w:val="24"/>
          <w:szCs w:val="24"/>
        </w:rPr>
        <w:t>Morphites v bernasconi and others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vLex</w:t>
      </w:r>
      <w:r>
        <w:rPr>
          <w:rFonts w:ascii="Times New Roman" w:eastAsia="Times New Roman" w:hAnsi="Times New Roman" w:cs="Times New Roman"/>
          <w:sz w:val="24"/>
          <w:szCs w:val="24"/>
        </w:rPr>
        <w:t xml:space="preserve">. Available at: https://vlex.co.uk/vid/morphites-v-bernasconi-and-792632981 (Accessed: 19 March 2024). </w:t>
      </w:r>
    </w:p>
    <w:p w14:paraId="00000051" w14:textId="77777777" w:rsidR="008D658A" w:rsidRDefault="008D658A">
      <w:pPr>
        <w:spacing w:before="240" w:after="240" w:line="360" w:lineRule="auto"/>
        <w:jc w:val="both"/>
        <w:rPr>
          <w:rFonts w:ascii="Times New Roman" w:eastAsia="Times New Roman" w:hAnsi="Times New Roman" w:cs="Times New Roman"/>
          <w:sz w:val="24"/>
          <w:szCs w:val="24"/>
        </w:rPr>
      </w:pPr>
    </w:p>
    <w:p w14:paraId="00000052" w14:textId="77777777" w:rsidR="008D658A" w:rsidRDefault="008700F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3" w14:textId="77777777" w:rsidR="008D658A" w:rsidRDefault="008700F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5" w14:textId="1747A9F9" w:rsidR="008D658A" w:rsidRDefault="008D658A" w:rsidP="007937D2">
      <w:pPr>
        <w:spacing w:before="240" w:after="240" w:line="360" w:lineRule="auto"/>
        <w:jc w:val="both"/>
        <w:rPr>
          <w:rFonts w:ascii="Times New Roman" w:eastAsia="Times New Roman" w:hAnsi="Times New Roman" w:cs="Times New Roman"/>
          <w:sz w:val="24"/>
          <w:szCs w:val="24"/>
        </w:rPr>
      </w:pPr>
    </w:p>
    <w:sectPr w:rsidR="008D658A" w:rsidSect="007937D2">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07FF9" w14:textId="77777777" w:rsidR="008700F2" w:rsidRDefault="008700F2" w:rsidP="007937D2">
      <w:pPr>
        <w:spacing w:line="240" w:lineRule="auto"/>
      </w:pPr>
      <w:r>
        <w:separator/>
      </w:r>
    </w:p>
  </w:endnote>
  <w:endnote w:type="continuationSeparator" w:id="0">
    <w:p w14:paraId="5F03EC24" w14:textId="77777777" w:rsidR="008700F2" w:rsidRDefault="008700F2" w:rsidP="007937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2FF" w:usb1="5000217F" w:usb2="00000021"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4378353"/>
      <w:docPartObj>
        <w:docPartGallery w:val="Page Numbers (Bottom of Page)"/>
        <w:docPartUnique/>
      </w:docPartObj>
    </w:sdtPr>
    <w:sdtEndPr/>
    <w:sdtContent>
      <w:sdt>
        <w:sdtPr>
          <w:id w:val="860082579"/>
          <w:docPartObj>
            <w:docPartGallery w:val="Page Numbers (Top of Page)"/>
            <w:docPartUnique/>
          </w:docPartObj>
        </w:sdtPr>
        <w:sdtEndPr/>
        <w:sdtContent>
          <w:p w14:paraId="74DA55B2" w14:textId="33597CEB" w:rsidR="007937D2" w:rsidRDefault="007937D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7</w:t>
            </w:r>
            <w:r>
              <w:rPr>
                <w:b/>
                <w:bCs/>
                <w:sz w:val="24"/>
                <w:szCs w:val="24"/>
              </w:rPr>
              <w:fldChar w:fldCharType="end"/>
            </w:r>
          </w:p>
        </w:sdtContent>
      </w:sdt>
    </w:sdtContent>
  </w:sdt>
  <w:p w14:paraId="46707372" w14:textId="77777777" w:rsidR="007937D2" w:rsidRDefault="00793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E9999" w14:textId="77777777" w:rsidR="008700F2" w:rsidRDefault="008700F2" w:rsidP="007937D2">
      <w:pPr>
        <w:spacing w:line="240" w:lineRule="auto"/>
      </w:pPr>
      <w:r>
        <w:separator/>
      </w:r>
    </w:p>
  </w:footnote>
  <w:footnote w:type="continuationSeparator" w:id="0">
    <w:p w14:paraId="245C85E1" w14:textId="77777777" w:rsidR="008700F2" w:rsidRDefault="008700F2" w:rsidP="007937D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D658A"/>
    <w:rsid w:val="00270CDE"/>
    <w:rsid w:val="002752D7"/>
    <w:rsid w:val="002D57C3"/>
    <w:rsid w:val="003C4CF0"/>
    <w:rsid w:val="007937D2"/>
    <w:rsid w:val="007A67B2"/>
    <w:rsid w:val="008700F2"/>
    <w:rsid w:val="008D658A"/>
    <w:rsid w:val="00A930DE"/>
    <w:rsid w:val="00DA5A7E"/>
    <w:rsid w:val="00E75ABD"/>
    <w:rsid w:val="00EA563A"/>
    <w:rsid w:val="00F67299"/>
    <w:rsid w:val="00FB36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BD6D"/>
  <w15:docId w15:val="{D606726C-C526-6A4A-A327-8CBB5A6BE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937D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7D2"/>
    <w:rPr>
      <w:rFonts w:ascii="Tahoma" w:hAnsi="Tahoma" w:cs="Tahoma"/>
      <w:sz w:val="16"/>
      <w:szCs w:val="16"/>
    </w:rPr>
  </w:style>
  <w:style w:type="paragraph" w:styleId="Header">
    <w:name w:val="header"/>
    <w:basedOn w:val="Normal"/>
    <w:link w:val="HeaderChar"/>
    <w:uiPriority w:val="99"/>
    <w:unhideWhenUsed/>
    <w:rsid w:val="007937D2"/>
    <w:pPr>
      <w:tabs>
        <w:tab w:val="center" w:pos="4513"/>
        <w:tab w:val="right" w:pos="9026"/>
      </w:tabs>
      <w:spacing w:line="240" w:lineRule="auto"/>
    </w:pPr>
  </w:style>
  <w:style w:type="character" w:customStyle="1" w:styleId="HeaderChar">
    <w:name w:val="Header Char"/>
    <w:basedOn w:val="DefaultParagraphFont"/>
    <w:link w:val="Header"/>
    <w:uiPriority w:val="99"/>
    <w:rsid w:val="007937D2"/>
  </w:style>
  <w:style w:type="paragraph" w:styleId="Footer">
    <w:name w:val="footer"/>
    <w:basedOn w:val="Normal"/>
    <w:link w:val="FooterChar"/>
    <w:uiPriority w:val="99"/>
    <w:unhideWhenUsed/>
    <w:rsid w:val="007937D2"/>
    <w:pPr>
      <w:tabs>
        <w:tab w:val="center" w:pos="4513"/>
        <w:tab w:val="right" w:pos="9026"/>
      </w:tabs>
      <w:spacing w:line="240" w:lineRule="auto"/>
    </w:pPr>
  </w:style>
  <w:style w:type="character" w:customStyle="1" w:styleId="FooterChar">
    <w:name w:val="Footer Char"/>
    <w:basedOn w:val="DefaultParagraphFont"/>
    <w:link w:val="Footer"/>
    <w:uiPriority w:val="99"/>
    <w:rsid w:val="007937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1868</Words>
  <Characters>10648</Characters>
  <Application>Microsoft Office Word</Application>
  <DocSecurity>0</DocSecurity>
  <Lines>88</Lines>
  <Paragraphs>24</Paragraphs>
  <ScaleCrop>false</ScaleCrop>
  <Company/>
  <LinksUpToDate>false</LinksUpToDate>
  <CharactersWithSpaces>12492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Ionut Anghel (2224081)</cp:lastModifiedBy>
  <cp:revision>2</cp:revision>
  <dcterms:created xsi:type="dcterms:W3CDTF">2024-03-20T16:13:00Z</dcterms:created>
  <dcterms:modified xsi:type="dcterms:W3CDTF">2024-03-20T16:13:00Z</dcterms:modified>
</cp:coreProperties>
</file>