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177AFA" w14:textId="77777777" w:rsidR="000C21C6" w:rsidRPr="00575CDC" w:rsidRDefault="000C21C6" w:rsidP="00C26A08">
      <w:pPr>
        <w:spacing w:line="360" w:lineRule="auto"/>
        <w:rPr>
          <w:rFonts w:ascii="Arial" w:hAnsi="Arial" w:cs="Arial"/>
          <w:color w:val="000000" w:themeColor="text1"/>
        </w:rPr>
      </w:pPr>
    </w:p>
    <w:p w14:paraId="10634CD6" w14:textId="77777777" w:rsidR="000C21C6" w:rsidRPr="00575CDC" w:rsidRDefault="000C21C6" w:rsidP="00C26A08">
      <w:pPr>
        <w:spacing w:line="360" w:lineRule="auto"/>
        <w:rPr>
          <w:rFonts w:ascii="Arial" w:hAnsi="Arial" w:cs="Arial"/>
          <w:color w:val="000000" w:themeColor="text1"/>
        </w:rPr>
      </w:pPr>
    </w:p>
    <w:p w14:paraId="7FC09D7D" w14:textId="77777777" w:rsidR="000C21C6" w:rsidRPr="00575CDC" w:rsidRDefault="000C21C6" w:rsidP="00C26A08">
      <w:pPr>
        <w:spacing w:line="360" w:lineRule="auto"/>
        <w:rPr>
          <w:rFonts w:ascii="Arial" w:hAnsi="Arial" w:cs="Arial"/>
          <w:color w:val="000000" w:themeColor="text1"/>
        </w:rPr>
      </w:pPr>
    </w:p>
    <w:p w14:paraId="3C189819" w14:textId="77777777" w:rsidR="000C21C6" w:rsidRPr="00575CDC" w:rsidRDefault="000C21C6" w:rsidP="00C26A08">
      <w:pPr>
        <w:spacing w:line="360" w:lineRule="auto"/>
        <w:rPr>
          <w:rFonts w:ascii="Arial" w:hAnsi="Arial" w:cs="Arial"/>
          <w:color w:val="000000" w:themeColor="text1"/>
        </w:rPr>
      </w:pPr>
    </w:p>
    <w:p w14:paraId="281AAAB7" w14:textId="77777777" w:rsidR="000C21C6" w:rsidRPr="00575CDC" w:rsidRDefault="000C21C6" w:rsidP="00C26A08">
      <w:pPr>
        <w:spacing w:line="360" w:lineRule="auto"/>
        <w:rPr>
          <w:rFonts w:ascii="Arial" w:hAnsi="Arial" w:cs="Arial"/>
          <w:color w:val="000000" w:themeColor="text1"/>
        </w:rPr>
      </w:pPr>
    </w:p>
    <w:p w14:paraId="746AD0A6" w14:textId="77777777" w:rsidR="000C21C6" w:rsidRPr="00575CDC" w:rsidRDefault="000C21C6" w:rsidP="00C26A08">
      <w:pPr>
        <w:spacing w:line="360" w:lineRule="auto"/>
        <w:rPr>
          <w:rFonts w:ascii="Arial" w:hAnsi="Arial" w:cs="Arial"/>
          <w:color w:val="000000" w:themeColor="text1"/>
        </w:rPr>
      </w:pPr>
    </w:p>
    <w:p w14:paraId="0F40EE60" w14:textId="5E56249B" w:rsidR="00F2477C" w:rsidRPr="00575CDC" w:rsidRDefault="00955DB6" w:rsidP="00C26A08">
      <w:pPr>
        <w:spacing w:line="360" w:lineRule="auto"/>
        <w:jc w:val="center"/>
        <w:rPr>
          <w:rFonts w:ascii="Arial" w:hAnsi="Arial" w:cs="Arial"/>
          <w:color w:val="000000" w:themeColor="text1"/>
        </w:rPr>
      </w:pPr>
      <w:r w:rsidRPr="00575CDC">
        <w:rPr>
          <w:rFonts w:ascii="Arial" w:hAnsi="Arial" w:cs="Arial"/>
          <w:color w:val="000000" w:themeColor="text1"/>
        </w:rPr>
        <w:t>name</w:t>
      </w:r>
    </w:p>
    <w:p w14:paraId="60C57DA8" w14:textId="29C748F8" w:rsidR="00955DB6" w:rsidRPr="00575CDC" w:rsidRDefault="00955DB6" w:rsidP="00C26A08">
      <w:pPr>
        <w:spacing w:line="360" w:lineRule="auto"/>
        <w:jc w:val="center"/>
        <w:rPr>
          <w:rFonts w:ascii="Arial" w:hAnsi="Arial" w:cs="Arial"/>
          <w:color w:val="000000" w:themeColor="text1"/>
        </w:rPr>
      </w:pPr>
      <w:r w:rsidRPr="00575CDC">
        <w:rPr>
          <w:rFonts w:ascii="Arial" w:hAnsi="Arial" w:cs="Arial"/>
          <w:color w:val="000000" w:themeColor="text1"/>
        </w:rPr>
        <w:t>student</w:t>
      </w:r>
      <w:r w:rsidR="00424182" w:rsidRPr="00575CDC">
        <w:rPr>
          <w:rFonts w:ascii="Arial" w:hAnsi="Arial" w:cs="Arial"/>
          <w:color w:val="000000" w:themeColor="text1"/>
        </w:rPr>
        <w:t xml:space="preserve"> number</w:t>
      </w:r>
    </w:p>
    <w:p w14:paraId="0DF18864" w14:textId="1C4B3CD6" w:rsidR="009F01C8" w:rsidRPr="00575CDC" w:rsidRDefault="009F01C8" w:rsidP="00C26A08">
      <w:pPr>
        <w:spacing w:line="360" w:lineRule="auto"/>
        <w:jc w:val="center"/>
        <w:rPr>
          <w:rFonts w:ascii="Arial" w:hAnsi="Arial" w:cs="Arial"/>
          <w:color w:val="000000" w:themeColor="text1"/>
        </w:rPr>
      </w:pPr>
      <w:r w:rsidRPr="00575CDC">
        <w:rPr>
          <w:rFonts w:ascii="Arial" w:hAnsi="Arial" w:cs="Arial"/>
          <w:color w:val="000000" w:themeColor="text1"/>
        </w:rPr>
        <w:t>LCHS4008</w:t>
      </w:r>
      <w:r w:rsidRPr="00575CDC">
        <w:rPr>
          <w:rFonts w:ascii="Arial" w:hAnsi="Arial" w:cs="Arial"/>
          <w:color w:val="000000" w:themeColor="text1"/>
        </w:rPr>
        <w:t xml:space="preserve"> </w:t>
      </w:r>
      <w:r w:rsidRPr="00575CDC">
        <w:rPr>
          <w:rFonts w:ascii="Arial" w:hAnsi="Arial" w:cs="Arial"/>
          <w:color w:val="000000" w:themeColor="text1"/>
        </w:rPr>
        <w:t>Introduction to Public Health</w:t>
      </w:r>
    </w:p>
    <w:p w14:paraId="5298A03E" w14:textId="750CCE08" w:rsidR="00F2477C" w:rsidRPr="00575CDC" w:rsidRDefault="00C26A08" w:rsidP="00C26A08">
      <w:pPr>
        <w:spacing w:line="360" w:lineRule="auto"/>
        <w:jc w:val="center"/>
        <w:rPr>
          <w:rFonts w:ascii="Arial" w:hAnsi="Arial" w:cs="Arial"/>
          <w:color w:val="000000" w:themeColor="text1"/>
        </w:rPr>
      </w:pPr>
      <w:r w:rsidRPr="00575CDC">
        <w:rPr>
          <w:rFonts w:ascii="Arial" w:hAnsi="Arial" w:cs="Arial"/>
          <w:color w:val="000000" w:themeColor="text1"/>
        </w:rPr>
        <w:t>Dr Patronella Ganza (Module</w:t>
      </w:r>
      <w:r w:rsidRPr="00575CDC">
        <w:rPr>
          <w:rFonts w:ascii="Arial" w:hAnsi="Arial" w:cs="Arial"/>
          <w:color w:val="000000" w:themeColor="text1"/>
        </w:rPr>
        <w:t xml:space="preserve"> </w:t>
      </w:r>
      <w:r w:rsidRPr="00575CDC">
        <w:rPr>
          <w:rFonts w:ascii="Arial" w:hAnsi="Arial" w:cs="Arial"/>
          <w:color w:val="000000" w:themeColor="text1"/>
        </w:rPr>
        <w:t>Leader)</w:t>
      </w:r>
    </w:p>
    <w:p w14:paraId="2BFBF0DD" w14:textId="631BED42" w:rsidR="00F2477C" w:rsidRPr="00575CDC" w:rsidRDefault="00F2477C" w:rsidP="00C26A08">
      <w:pPr>
        <w:spacing w:line="360" w:lineRule="auto"/>
        <w:jc w:val="center"/>
        <w:rPr>
          <w:rFonts w:ascii="Arial" w:hAnsi="Arial" w:cs="Arial"/>
          <w:color w:val="000000" w:themeColor="text1"/>
        </w:rPr>
      </w:pPr>
      <w:r w:rsidRPr="00575CDC">
        <w:rPr>
          <w:rFonts w:ascii="Arial" w:hAnsi="Arial" w:cs="Arial"/>
          <w:color w:val="000000" w:themeColor="text1"/>
        </w:rPr>
        <w:t>Coronary Heart Disease: Measurement, Monitoring, Control and Implications for Health and Social Care Services</w:t>
      </w:r>
    </w:p>
    <w:p w14:paraId="0A3F8099" w14:textId="7B5410F8" w:rsidR="000C21C6" w:rsidRPr="00575CDC" w:rsidRDefault="000C21C6" w:rsidP="00C26A08">
      <w:pPr>
        <w:spacing w:line="360" w:lineRule="auto"/>
        <w:jc w:val="center"/>
        <w:rPr>
          <w:rFonts w:ascii="Arial" w:hAnsi="Arial" w:cs="Arial"/>
          <w:color w:val="000000" w:themeColor="text1"/>
        </w:rPr>
      </w:pPr>
    </w:p>
    <w:p w14:paraId="61E212FF" w14:textId="40D36E69" w:rsidR="000C21C6" w:rsidRPr="00575CDC" w:rsidRDefault="000C21C6" w:rsidP="00C26A08">
      <w:pPr>
        <w:spacing w:line="360" w:lineRule="auto"/>
        <w:jc w:val="center"/>
        <w:rPr>
          <w:rFonts w:ascii="Arial" w:hAnsi="Arial" w:cs="Arial"/>
          <w:b/>
          <w:bCs/>
          <w:i/>
          <w:iCs/>
          <w:color w:val="000000" w:themeColor="text1"/>
        </w:rPr>
      </w:pPr>
      <w:r w:rsidRPr="00575CDC">
        <w:rPr>
          <w:rFonts w:ascii="Arial" w:hAnsi="Arial" w:cs="Arial"/>
          <w:color w:val="000000" w:themeColor="text1"/>
        </w:rPr>
        <w:br w:type="page"/>
      </w:r>
    </w:p>
    <w:p w14:paraId="74053EEC" w14:textId="77777777" w:rsidR="00575CDC" w:rsidRPr="00575CDC" w:rsidRDefault="00575CDC" w:rsidP="00C26A08">
      <w:pPr>
        <w:pStyle w:val="Heading1"/>
        <w:rPr>
          <w:rFonts w:ascii="Arial" w:hAnsi="Arial" w:cs="Arial"/>
          <w:color w:val="000000" w:themeColor="text1"/>
          <w:sz w:val="22"/>
          <w:szCs w:val="22"/>
        </w:rPr>
        <w:sectPr w:rsidR="00575CDC" w:rsidRPr="00575CDC" w:rsidSect="00E27F07">
          <w:pgSz w:w="12240" w:h="15840"/>
          <w:pgMar w:top="1440" w:right="1440" w:bottom="1440" w:left="1440" w:header="720" w:footer="720" w:gutter="0"/>
          <w:cols w:space="720"/>
          <w:docGrid w:linePitch="360"/>
        </w:sectPr>
      </w:pPr>
    </w:p>
    <w:sdt>
      <w:sdtPr>
        <w:rPr>
          <w:rFonts w:ascii="Arial" w:hAnsi="Arial" w:cs="Arial"/>
          <w:color w:val="000000" w:themeColor="text1"/>
          <w:sz w:val="22"/>
          <w:szCs w:val="22"/>
        </w:rPr>
        <w:id w:val="-556237886"/>
        <w:docPartObj>
          <w:docPartGallery w:val="Table of Contents"/>
          <w:docPartUnique/>
        </w:docPartObj>
      </w:sdtPr>
      <w:sdtEndPr>
        <w:rPr>
          <w:rFonts w:eastAsiaTheme="minorHAnsi"/>
          <w:b/>
          <w:bCs/>
          <w:noProof/>
          <w:kern w:val="2"/>
          <w:lang w:val="en-GB"/>
        </w:rPr>
      </w:sdtEndPr>
      <w:sdtContent>
        <w:p w14:paraId="7B9CDFF2" w14:textId="1BAF9433" w:rsidR="00575CDC" w:rsidRPr="00575CDC" w:rsidRDefault="00575CDC" w:rsidP="00575CDC">
          <w:pPr>
            <w:pStyle w:val="TOCHeading"/>
            <w:jc w:val="center"/>
            <w:rPr>
              <w:rFonts w:ascii="Arial" w:hAnsi="Arial" w:cs="Arial"/>
              <w:color w:val="000000" w:themeColor="text1"/>
              <w:sz w:val="22"/>
              <w:szCs w:val="22"/>
            </w:rPr>
          </w:pPr>
          <w:r w:rsidRPr="00575CDC">
            <w:rPr>
              <w:rFonts w:ascii="Arial" w:hAnsi="Arial" w:cs="Arial"/>
              <w:color w:val="000000" w:themeColor="text1"/>
              <w:sz w:val="22"/>
              <w:szCs w:val="22"/>
            </w:rPr>
            <w:t>Table of Contents</w:t>
          </w:r>
        </w:p>
        <w:p w14:paraId="39B69A71" w14:textId="0FF9CD65" w:rsidR="00575CDC" w:rsidRPr="00575CDC" w:rsidRDefault="00575CDC">
          <w:pPr>
            <w:pStyle w:val="TOC1"/>
            <w:tabs>
              <w:tab w:val="right" w:leader="dot" w:pos="9350"/>
            </w:tabs>
            <w:rPr>
              <w:rFonts w:ascii="Arial" w:hAnsi="Arial" w:cs="Arial"/>
              <w:noProof/>
              <w:color w:val="000000" w:themeColor="text1"/>
            </w:rPr>
          </w:pPr>
          <w:r w:rsidRPr="00575CDC">
            <w:rPr>
              <w:rFonts w:ascii="Arial" w:hAnsi="Arial" w:cs="Arial"/>
              <w:color w:val="000000" w:themeColor="text1"/>
            </w:rPr>
            <w:fldChar w:fldCharType="begin"/>
          </w:r>
          <w:r w:rsidRPr="00575CDC">
            <w:rPr>
              <w:rFonts w:ascii="Arial" w:hAnsi="Arial" w:cs="Arial"/>
              <w:color w:val="000000" w:themeColor="text1"/>
            </w:rPr>
            <w:instrText xml:space="preserve"> TOC \o "1-3" \h \z \u </w:instrText>
          </w:r>
          <w:r w:rsidRPr="00575CDC">
            <w:rPr>
              <w:rFonts w:ascii="Arial" w:hAnsi="Arial" w:cs="Arial"/>
              <w:color w:val="000000" w:themeColor="text1"/>
            </w:rPr>
            <w:fldChar w:fldCharType="separate"/>
          </w:r>
          <w:hyperlink w:anchor="_Toc236760099" w:history="1">
            <w:r w:rsidRPr="00575CDC">
              <w:rPr>
                <w:rStyle w:val="Hyperlink"/>
                <w:rFonts w:ascii="Arial" w:hAnsi="Arial" w:cs="Arial"/>
                <w:noProof/>
                <w:color w:val="000000" w:themeColor="text1"/>
              </w:rPr>
              <w:t>1. Introduction</w:t>
            </w:r>
            <w:r w:rsidRPr="00575CDC">
              <w:rPr>
                <w:rFonts w:ascii="Arial" w:hAnsi="Arial" w:cs="Arial"/>
                <w:noProof/>
                <w:webHidden/>
                <w:color w:val="000000" w:themeColor="text1"/>
              </w:rPr>
              <w:tab/>
            </w:r>
            <w:r w:rsidRPr="00575CDC">
              <w:rPr>
                <w:rFonts w:ascii="Arial" w:hAnsi="Arial" w:cs="Arial"/>
                <w:noProof/>
                <w:webHidden/>
                <w:color w:val="000000" w:themeColor="text1"/>
              </w:rPr>
              <w:fldChar w:fldCharType="begin"/>
            </w:r>
            <w:r w:rsidRPr="00575CDC">
              <w:rPr>
                <w:rFonts w:ascii="Arial" w:hAnsi="Arial" w:cs="Arial"/>
                <w:noProof/>
                <w:webHidden/>
                <w:color w:val="000000" w:themeColor="text1"/>
              </w:rPr>
              <w:instrText xml:space="preserve"> PAGEREF _Toc236760099 \h </w:instrText>
            </w:r>
            <w:r w:rsidRPr="00575CDC">
              <w:rPr>
                <w:rFonts w:ascii="Arial" w:hAnsi="Arial" w:cs="Arial"/>
                <w:noProof/>
                <w:webHidden/>
                <w:color w:val="000000" w:themeColor="text1"/>
              </w:rPr>
            </w:r>
            <w:r w:rsidRPr="00575CDC">
              <w:rPr>
                <w:rFonts w:ascii="Arial" w:hAnsi="Arial" w:cs="Arial"/>
                <w:noProof/>
                <w:webHidden/>
                <w:color w:val="000000" w:themeColor="text1"/>
              </w:rPr>
              <w:fldChar w:fldCharType="separate"/>
            </w:r>
            <w:r w:rsidRPr="00575CDC">
              <w:rPr>
                <w:rFonts w:ascii="Arial" w:hAnsi="Arial" w:cs="Arial"/>
                <w:noProof/>
                <w:webHidden/>
                <w:color w:val="000000" w:themeColor="text1"/>
              </w:rPr>
              <w:t>1</w:t>
            </w:r>
            <w:r w:rsidRPr="00575CDC">
              <w:rPr>
                <w:rFonts w:ascii="Arial" w:hAnsi="Arial" w:cs="Arial"/>
                <w:noProof/>
                <w:webHidden/>
                <w:color w:val="000000" w:themeColor="text1"/>
              </w:rPr>
              <w:fldChar w:fldCharType="end"/>
            </w:r>
          </w:hyperlink>
        </w:p>
        <w:p w14:paraId="2D4FA709" w14:textId="7FFBFB76" w:rsidR="00575CDC" w:rsidRPr="00575CDC" w:rsidRDefault="00575CDC">
          <w:pPr>
            <w:pStyle w:val="TOC1"/>
            <w:tabs>
              <w:tab w:val="right" w:leader="dot" w:pos="9350"/>
            </w:tabs>
            <w:rPr>
              <w:rFonts w:ascii="Arial" w:hAnsi="Arial" w:cs="Arial"/>
              <w:noProof/>
              <w:color w:val="000000" w:themeColor="text1"/>
            </w:rPr>
          </w:pPr>
          <w:hyperlink w:anchor="_Toc236760100" w:history="1">
            <w:r w:rsidRPr="00575CDC">
              <w:rPr>
                <w:rStyle w:val="Hyperlink"/>
                <w:rFonts w:ascii="Arial" w:hAnsi="Arial" w:cs="Arial"/>
                <w:noProof/>
                <w:color w:val="000000" w:themeColor="text1"/>
              </w:rPr>
              <w:t>2.1 Two different ways of measuring and monitoring coronary heart disease</w:t>
            </w:r>
            <w:r w:rsidRPr="00575CDC">
              <w:rPr>
                <w:rFonts w:ascii="Arial" w:hAnsi="Arial" w:cs="Arial"/>
                <w:noProof/>
                <w:webHidden/>
                <w:color w:val="000000" w:themeColor="text1"/>
              </w:rPr>
              <w:tab/>
            </w:r>
            <w:r w:rsidRPr="00575CDC">
              <w:rPr>
                <w:rFonts w:ascii="Arial" w:hAnsi="Arial" w:cs="Arial"/>
                <w:noProof/>
                <w:webHidden/>
                <w:color w:val="000000" w:themeColor="text1"/>
              </w:rPr>
              <w:fldChar w:fldCharType="begin"/>
            </w:r>
            <w:r w:rsidRPr="00575CDC">
              <w:rPr>
                <w:rFonts w:ascii="Arial" w:hAnsi="Arial" w:cs="Arial"/>
                <w:noProof/>
                <w:webHidden/>
                <w:color w:val="000000" w:themeColor="text1"/>
              </w:rPr>
              <w:instrText xml:space="preserve"> PAGEREF _Toc236760100 \h </w:instrText>
            </w:r>
            <w:r w:rsidRPr="00575CDC">
              <w:rPr>
                <w:rFonts w:ascii="Arial" w:hAnsi="Arial" w:cs="Arial"/>
                <w:noProof/>
                <w:webHidden/>
                <w:color w:val="000000" w:themeColor="text1"/>
              </w:rPr>
            </w:r>
            <w:r w:rsidRPr="00575CDC">
              <w:rPr>
                <w:rFonts w:ascii="Arial" w:hAnsi="Arial" w:cs="Arial"/>
                <w:noProof/>
                <w:webHidden/>
                <w:color w:val="000000" w:themeColor="text1"/>
              </w:rPr>
              <w:fldChar w:fldCharType="separate"/>
            </w:r>
            <w:r w:rsidRPr="00575CDC">
              <w:rPr>
                <w:rFonts w:ascii="Arial" w:hAnsi="Arial" w:cs="Arial"/>
                <w:noProof/>
                <w:webHidden/>
                <w:color w:val="000000" w:themeColor="text1"/>
              </w:rPr>
              <w:t>1</w:t>
            </w:r>
            <w:r w:rsidRPr="00575CDC">
              <w:rPr>
                <w:rFonts w:ascii="Arial" w:hAnsi="Arial" w:cs="Arial"/>
                <w:noProof/>
                <w:webHidden/>
                <w:color w:val="000000" w:themeColor="text1"/>
              </w:rPr>
              <w:fldChar w:fldCharType="end"/>
            </w:r>
          </w:hyperlink>
        </w:p>
        <w:p w14:paraId="63C7D0C5" w14:textId="4EFF9725" w:rsidR="00575CDC" w:rsidRPr="00575CDC" w:rsidRDefault="00575CDC">
          <w:pPr>
            <w:pStyle w:val="TOC1"/>
            <w:tabs>
              <w:tab w:val="right" w:leader="dot" w:pos="9350"/>
            </w:tabs>
            <w:rPr>
              <w:rFonts w:ascii="Arial" w:hAnsi="Arial" w:cs="Arial"/>
              <w:noProof/>
              <w:color w:val="000000" w:themeColor="text1"/>
            </w:rPr>
          </w:pPr>
          <w:hyperlink w:anchor="_Toc236760101" w:history="1">
            <w:r w:rsidRPr="00575CDC">
              <w:rPr>
                <w:rStyle w:val="Hyperlink"/>
                <w:rFonts w:ascii="Arial" w:hAnsi="Arial" w:cs="Arial"/>
                <w:noProof/>
                <w:color w:val="000000" w:themeColor="text1"/>
              </w:rPr>
              <w:t>2.2 Controlling Coronary Heart Disease</w:t>
            </w:r>
            <w:r w:rsidRPr="00575CDC">
              <w:rPr>
                <w:rFonts w:ascii="Arial" w:hAnsi="Arial" w:cs="Arial"/>
                <w:noProof/>
                <w:webHidden/>
                <w:color w:val="000000" w:themeColor="text1"/>
              </w:rPr>
              <w:tab/>
            </w:r>
            <w:r w:rsidRPr="00575CDC">
              <w:rPr>
                <w:rFonts w:ascii="Arial" w:hAnsi="Arial" w:cs="Arial"/>
                <w:noProof/>
                <w:webHidden/>
                <w:color w:val="000000" w:themeColor="text1"/>
              </w:rPr>
              <w:fldChar w:fldCharType="begin"/>
            </w:r>
            <w:r w:rsidRPr="00575CDC">
              <w:rPr>
                <w:rFonts w:ascii="Arial" w:hAnsi="Arial" w:cs="Arial"/>
                <w:noProof/>
                <w:webHidden/>
                <w:color w:val="000000" w:themeColor="text1"/>
              </w:rPr>
              <w:instrText xml:space="preserve"> PAGEREF _Toc236760101 \h </w:instrText>
            </w:r>
            <w:r w:rsidRPr="00575CDC">
              <w:rPr>
                <w:rFonts w:ascii="Arial" w:hAnsi="Arial" w:cs="Arial"/>
                <w:noProof/>
                <w:webHidden/>
                <w:color w:val="000000" w:themeColor="text1"/>
              </w:rPr>
            </w:r>
            <w:r w:rsidRPr="00575CDC">
              <w:rPr>
                <w:rFonts w:ascii="Arial" w:hAnsi="Arial" w:cs="Arial"/>
                <w:noProof/>
                <w:webHidden/>
                <w:color w:val="000000" w:themeColor="text1"/>
              </w:rPr>
              <w:fldChar w:fldCharType="separate"/>
            </w:r>
            <w:r w:rsidRPr="00575CDC">
              <w:rPr>
                <w:rFonts w:ascii="Arial" w:hAnsi="Arial" w:cs="Arial"/>
                <w:noProof/>
                <w:webHidden/>
                <w:color w:val="000000" w:themeColor="text1"/>
              </w:rPr>
              <w:t>2</w:t>
            </w:r>
            <w:r w:rsidRPr="00575CDC">
              <w:rPr>
                <w:rFonts w:ascii="Arial" w:hAnsi="Arial" w:cs="Arial"/>
                <w:noProof/>
                <w:webHidden/>
                <w:color w:val="000000" w:themeColor="text1"/>
              </w:rPr>
              <w:fldChar w:fldCharType="end"/>
            </w:r>
          </w:hyperlink>
        </w:p>
        <w:p w14:paraId="03A100DE" w14:textId="0F7C7552" w:rsidR="00575CDC" w:rsidRPr="00575CDC" w:rsidRDefault="00575CDC">
          <w:pPr>
            <w:pStyle w:val="TOC1"/>
            <w:tabs>
              <w:tab w:val="right" w:leader="dot" w:pos="9350"/>
            </w:tabs>
            <w:rPr>
              <w:rFonts w:ascii="Arial" w:hAnsi="Arial" w:cs="Arial"/>
              <w:noProof/>
              <w:color w:val="000000" w:themeColor="text1"/>
            </w:rPr>
          </w:pPr>
          <w:hyperlink w:anchor="_Toc236760102" w:history="1">
            <w:r w:rsidRPr="00575CDC">
              <w:rPr>
                <w:rStyle w:val="Hyperlink"/>
                <w:rFonts w:ascii="Arial" w:hAnsi="Arial" w:cs="Arial"/>
                <w:noProof/>
                <w:color w:val="000000" w:themeColor="text1"/>
              </w:rPr>
              <w:t>2.3 Implications of CHD for the individual and for the community.</w:t>
            </w:r>
            <w:r w:rsidRPr="00575CDC">
              <w:rPr>
                <w:rFonts w:ascii="Arial" w:hAnsi="Arial" w:cs="Arial"/>
                <w:noProof/>
                <w:webHidden/>
                <w:color w:val="000000" w:themeColor="text1"/>
              </w:rPr>
              <w:tab/>
            </w:r>
            <w:r w:rsidRPr="00575CDC">
              <w:rPr>
                <w:rFonts w:ascii="Arial" w:hAnsi="Arial" w:cs="Arial"/>
                <w:noProof/>
                <w:webHidden/>
                <w:color w:val="000000" w:themeColor="text1"/>
              </w:rPr>
              <w:fldChar w:fldCharType="begin"/>
            </w:r>
            <w:r w:rsidRPr="00575CDC">
              <w:rPr>
                <w:rFonts w:ascii="Arial" w:hAnsi="Arial" w:cs="Arial"/>
                <w:noProof/>
                <w:webHidden/>
                <w:color w:val="000000" w:themeColor="text1"/>
              </w:rPr>
              <w:instrText xml:space="preserve"> PAGEREF _Toc236760102 \h </w:instrText>
            </w:r>
            <w:r w:rsidRPr="00575CDC">
              <w:rPr>
                <w:rFonts w:ascii="Arial" w:hAnsi="Arial" w:cs="Arial"/>
                <w:noProof/>
                <w:webHidden/>
                <w:color w:val="000000" w:themeColor="text1"/>
              </w:rPr>
            </w:r>
            <w:r w:rsidRPr="00575CDC">
              <w:rPr>
                <w:rFonts w:ascii="Arial" w:hAnsi="Arial" w:cs="Arial"/>
                <w:noProof/>
                <w:webHidden/>
                <w:color w:val="000000" w:themeColor="text1"/>
              </w:rPr>
              <w:fldChar w:fldCharType="separate"/>
            </w:r>
            <w:r w:rsidRPr="00575CDC">
              <w:rPr>
                <w:rFonts w:ascii="Arial" w:hAnsi="Arial" w:cs="Arial"/>
                <w:noProof/>
                <w:webHidden/>
                <w:color w:val="000000" w:themeColor="text1"/>
              </w:rPr>
              <w:t>3</w:t>
            </w:r>
            <w:r w:rsidRPr="00575CDC">
              <w:rPr>
                <w:rFonts w:ascii="Arial" w:hAnsi="Arial" w:cs="Arial"/>
                <w:noProof/>
                <w:webHidden/>
                <w:color w:val="000000" w:themeColor="text1"/>
              </w:rPr>
              <w:fldChar w:fldCharType="end"/>
            </w:r>
          </w:hyperlink>
        </w:p>
        <w:p w14:paraId="52AAFC52" w14:textId="7DF19275" w:rsidR="00575CDC" w:rsidRPr="00575CDC" w:rsidRDefault="00575CDC">
          <w:pPr>
            <w:pStyle w:val="TOC1"/>
            <w:tabs>
              <w:tab w:val="right" w:leader="dot" w:pos="9350"/>
            </w:tabs>
            <w:rPr>
              <w:rFonts w:ascii="Arial" w:hAnsi="Arial" w:cs="Arial"/>
              <w:noProof/>
              <w:color w:val="000000" w:themeColor="text1"/>
            </w:rPr>
          </w:pPr>
          <w:hyperlink w:anchor="_Toc236760103" w:history="1">
            <w:r w:rsidRPr="00575CDC">
              <w:rPr>
                <w:rStyle w:val="Hyperlink"/>
                <w:rFonts w:ascii="Arial" w:hAnsi="Arial" w:cs="Arial"/>
                <w:noProof/>
                <w:color w:val="000000" w:themeColor="text1"/>
              </w:rPr>
              <w:t>2.4 Health and Social Care Support Services Required.</w:t>
            </w:r>
            <w:r w:rsidRPr="00575CDC">
              <w:rPr>
                <w:rFonts w:ascii="Arial" w:hAnsi="Arial" w:cs="Arial"/>
                <w:noProof/>
                <w:webHidden/>
                <w:color w:val="000000" w:themeColor="text1"/>
              </w:rPr>
              <w:tab/>
            </w:r>
            <w:r w:rsidRPr="00575CDC">
              <w:rPr>
                <w:rFonts w:ascii="Arial" w:hAnsi="Arial" w:cs="Arial"/>
                <w:noProof/>
                <w:webHidden/>
                <w:color w:val="000000" w:themeColor="text1"/>
              </w:rPr>
              <w:fldChar w:fldCharType="begin"/>
            </w:r>
            <w:r w:rsidRPr="00575CDC">
              <w:rPr>
                <w:rFonts w:ascii="Arial" w:hAnsi="Arial" w:cs="Arial"/>
                <w:noProof/>
                <w:webHidden/>
                <w:color w:val="000000" w:themeColor="text1"/>
              </w:rPr>
              <w:instrText xml:space="preserve"> PAGEREF _Toc236760103 \h </w:instrText>
            </w:r>
            <w:r w:rsidRPr="00575CDC">
              <w:rPr>
                <w:rFonts w:ascii="Arial" w:hAnsi="Arial" w:cs="Arial"/>
                <w:noProof/>
                <w:webHidden/>
                <w:color w:val="000000" w:themeColor="text1"/>
              </w:rPr>
            </w:r>
            <w:r w:rsidRPr="00575CDC">
              <w:rPr>
                <w:rFonts w:ascii="Arial" w:hAnsi="Arial" w:cs="Arial"/>
                <w:noProof/>
                <w:webHidden/>
                <w:color w:val="000000" w:themeColor="text1"/>
              </w:rPr>
              <w:fldChar w:fldCharType="separate"/>
            </w:r>
            <w:r w:rsidRPr="00575CDC">
              <w:rPr>
                <w:rFonts w:ascii="Arial" w:hAnsi="Arial" w:cs="Arial"/>
                <w:noProof/>
                <w:webHidden/>
                <w:color w:val="000000" w:themeColor="text1"/>
              </w:rPr>
              <w:t>4</w:t>
            </w:r>
            <w:r w:rsidRPr="00575CDC">
              <w:rPr>
                <w:rFonts w:ascii="Arial" w:hAnsi="Arial" w:cs="Arial"/>
                <w:noProof/>
                <w:webHidden/>
                <w:color w:val="000000" w:themeColor="text1"/>
              </w:rPr>
              <w:fldChar w:fldCharType="end"/>
            </w:r>
          </w:hyperlink>
        </w:p>
        <w:p w14:paraId="049EAE0F" w14:textId="29016330" w:rsidR="00575CDC" w:rsidRPr="00575CDC" w:rsidRDefault="00575CDC">
          <w:pPr>
            <w:pStyle w:val="TOC1"/>
            <w:tabs>
              <w:tab w:val="right" w:leader="dot" w:pos="9350"/>
            </w:tabs>
            <w:rPr>
              <w:rFonts w:ascii="Arial" w:hAnsi="Arial" w:cs="Arial"/>
              <w:noProof/>
              <w:color w:val="000000" w:themeColor="text1"/>
            </w:rPr>
          </w:pPr>
          <w:hyperlink w:anchor="_Toc236760104" w:history="1">
            <w:r w:rsidRPr="00575CDC">
              <w:rPr>
                <w:rStyle w:val="Hyperlink"/>
                <w:rFonts w:ascii="Arial" w:hAnsi="Arial" w:cs="Arial"/>
                <w:noProof/>
                <w:color w:val="000000" w:themeColor="text1"/>
              </w:rPr>
              <w:t>3. Conclusion</w:t>
            </w:r>
            <w:r w:rsidRPr="00575CDC">
              <w:rPr>
                <w:rFonts w:ascii="Arial" w:hAnsi="Arial" w:cs="Arial"/>
                <w:noProof/>
                <w:webHidden/>
                <w:color w:val="000000" w:themeColor="text1"/>
              </w:rPr>
              <w:tab/>
            </w:r>
            <w:r w:rsidRPr="00575CDC">
              <w:rPr>
                <w:rFonts w:ascii="Arial" w:hAnsi="Arial" w:cs="Arial"/>
                <w:noProof/>
                <w:webHidden/>
                <w:color w:val="000000" w:themeColor="text1"/>
              </w:rPr>
              <w:fldChar w:fldCharType="begin"/>
            </w:r>
            <w:r w:rsidRPr="00575CDC">
              <w:rPr>
                <w:rFonts w:ascii="Arial" w:hAnsi="Arial" w:cs="Arial"/>
                <w:noProof/>
                <w:webHidden/>
                <w:color w:val="000000" w:themeColor="text1"/>
              </w:rPr>
              <w:instrText xml:space="preserve"> PAGEREF _Toc236760104 \h </w:instrText>
            </w:r>
            <w:r w:rsidRPr="00575CDC">
              <w:rPr>
                <w:rFonts w:ascii="Arial" w:hAnsi="Arial" w:cs="Arial"/>
                <w:noProof/>
                <w:webHidden/>
                <w:color w:val="000000" w:themeColor="text1"/>
              </w:rPr>
            </w:r>
            <w:r w:rsidRPr="00575CDC">
              <w:rPr>
                <w:rFonts w:ascii="Arial" w:hAnsi="Arial" w:cs="Arial"/>
                <w:noProof/>
                <w:webHidden/>
                <w:color w:val="000000" w:themeColor="text1"/>
              </w:rPr>
              <w:fldChar w:fldCharType="separate"/>
            </w:r>
            <w:r w:rsidRPr="00575CDC">
              <w:rPr>
                <w:rFonts w:ascii="Arial" w:hAnsi="Arial" w:cs="Arial"/>
                <w:noProof/>
                <w:webHidden/>
                <w:color w:val="000000" w:themeColor="text1"/>
              </w:rPr>
              <w:t>5</w:t>
            </w:r>
            <w:r w:rsidRPr="00575CDC">
              <w:rPr>
                <w:rFonts w:ascii="Arial" w:hAnsi="Arial" w:cs="Arial"/>
                <w:noProof/>
                <w:webHidden/>
                <w:color w:val="000000" w:themeColor="text1"/>
              </w:rPr>
              <w:fldChar w:fldCharType="end"/>
            </w:r>
          </w:hyperlink>
        </w:p>
        <w:p w14:paraId="568827E0" w14:textId="0009D126" w:rsidR="00575CDC" w:rsidRPr="00575CDC" w:rsidRDefault="00575CDC">
          <w:pPr>
            <w:pStyle w:val="TOC1"/>
            <w:tabs>
              <w:tab w:val="right" w:leader="dot" w:pos="9350"/>
            </w:tabs>
            <w:rPr>
              <w:rFonts w:ascii="Arial" w:hAnsi="Arial" w:cs="Arial"/>
              <w:noProof/>
              <w:color w:val="000000" w:themeColor="text1"/>
            </w:rPr>
          </w:pPr>
          <w:hyperlink w:anchor="_Toc236760105" w:history="1">
            <w:r w:rsidRPr="00575CDC">
              <w:rPr>
                <w:rStyle w:val="Hyperlink"/>
                <w:rFonts w:ascii="Arial" w:hAnsi="Arial" w:cs="Arial"/>
                <w:noProof/>
                <w:color w:val="000000" w:themeColor="text1"/>
              </w:rPr>
              <w:t>Reference</w:t>
            </w:r>
            <w:r w:rsidRPr="00575CDC">
              <w:rPr>
                <w:rFonts w:ascii="Arial" w:hAnsi="Arial" w:cs="Arial"/>
                <w:noProof/>
                <w:webHidden/>
                <w:color w:val="000000" w:themeColor="text1"/>
              </w:rPr>
              <w:tab/>
            </w:r>
            <w:r w:rsidRPr="00575CDC">
              <w:rPr>
                <w:rFonts w:ascii="Arial" w:hAnsi="Arial" w:cs="Arial"/>
                <w:noProof/>
                <w:webHidden/>
                <w:color w:val="000000" w:themeColor="text1"/>
              </w:rPr>
              <w:fldChar w:fldCharType="begin"/>
            </w:r>
            <w:r w:rsidRPr="00575CDC">
              <w:rPr>
                <w:rFonts w:ascii="Arial" w:hAnsi="Arial" w:cs="Arial"/>
                <w:noProof/>
                <w:webHidden/>
                <w:color w:val="000000" w:themeColor="text1"/>
              </w:rPr>
              <w:instrText xml:space="preserve"> PAGEREF _Toc236760105 \h </w:instrText>
            </w:r>
            <w:r w:rsidRPr="00575CDC">
              <w:rPr>
                <w:rFonts w:ascii="Arial" w:hAnsi="Arial" w:cs="Arial"/>
                <w:noProof/>
                <w:webHidden/>
                <w:color w:val="000000" w:themeColor="text1"/>
              </w:rPr>
            </w:r>
            <w:r w:rsidRPr="00575CDC">
              <w:rPr>
                <w:rFonts w:ascii="Arial" w:hAnsi="Arial" w:cs="Arial"/>
                <w:noProof/>
                <w:webHidden/>
                <w:color w:val="000000" w:themeColor="text1"/>
              </w:rPr>
              <w:fldChar w:fldCharType="separate"/>
            </w:r>
            <w:r w:rsidRPr="00575CDC">
              <w:rPr>
                <w:rFonts w:ascii="Arial" w:hAnsi="Arial" w:cs="Arial"/>
                <w:noProof/>
                <w:webHidden/>
                <w:color w:val="000000" w:themeColor="text1"/>
              </w:rPr>
              <w:t>6</w:t>
            </w:r>
            <w:r w:rsidRPr="00575CDC">
              <w:rPr>
                <w:rFonts w:ascii="Arial" w:hAnsi="Arial" w:cs="Arial"/>
                <w:noProof/>
                <w:webHidden/>
                <w:color w:val="000000" w:themeColor="text1"/>
              </w:rPr>
              <w:fldChar w:fldCharType="end"/>
            </w:r>
          </w:hyperlink>
        </w:p>
        <w:p w14:paraId="4C4833EF" w14:textId="13A9610B" w:rsidR="00575CDC" w:rsidRPr="00575CDC" w:rsidRDefault="00575CDC">
          <w:pPr>
            <w:rPr>
              <w:rFonts w:ascii="Arial" w:hAnsi="Arial" w:cs="Arial"/>
              <w:color w:val="000000" w:themeColor="text1"/>
            </w:rPr>
          </w:pPr>
          <w:r w:rsidRPr="00575CDC">
            <w:rPr>
              <w:rFonts w:ascii="Arial" w:hAnsi="Arial" w:cs="Arial"/>
              <w:b/>
              <w:bCs/>
              <w:noProof/>
              <w:color w:val="000000" w:themeColor="text1"/>
            </w:rPr>
            <w:fldChar w:fldCharType="end"/>
          </w:r>
        </w:p>
      </w:sdtContent>
    </w:sdt>
    <w:p w14:paraId="084BE537" w14:textId="77777777" w:rsidR="00575CDC" w:rsidRPr="00575CDC" w:rsidRDefault="00575CDC" w:rsidP="00C26A08">
      <w:pPr>
        <w:pStyle w:val="Heading1"/>
        <w:rPr>
          <w:rFonts w:ascii="Arial" w:hAnsi="Arial" w:cs="Arial"/>
          <w:color w:val="000000" w:themeColor="text1"/>
          <w:sz w:val="22"/>
          <w:szCs w:val="22"/>
        </w:rPr>
        <w:sectPr w:rsidR="00575CDC" w:rsidRPr="00575CDC" w:rsidSect="00E27F07">
          <w:pgSz w:w="12240" w:h="15840"/>
          <w:pgMar w:top="1440" w:right="1440" w:bottom="1440" w:left="1440" w:header="720" w:footer="720" w:gutter="0"/>
          <w:cols w:space="720"/>
          <w:docGrid w:linePitch="360"/>
        </w:sectPr>
      </w:pPr>
    </w:p>
    <w:p w14:paraId="7CAF518A" w14:textId="188282D6" w:rsidR="00514307" w:rsidRPr="00575CDC" w:rsidRDefault="00514307" w:rsidP="00C26A08">
      <w:pPr>
        <w:pStyle w:val="Heading1"/>
        <w:rPr>
          <w:rFonts w:ascii="Arial" w:hAnsi="Arial" w:cs="Arial"/>
          <w:color w:val="000000" w:themeColor="text1"/>
          <w:sz w:val="22"/>
          <w:szCs w:val="22"/>
        </w:rPr>
      </w:pPr>
      <w:bookmarkStart w:id="0" w:name="_Toc236760099"/>
      <w:r w:rsidRPr="00575CDC">
        <w:rPr>
          <w:rFonts w:ascii="Arial" w:hAnsi="Arial" w:cs="Arial"/>
          <w:color w:val="000000" w:themeColor="text1"/>
          <w:sz w:val="22"/>
          <w:szCs w:val="22"/>
        </w:rPr>
        <w:t>1. Introduction</w:t>
      </w:r>
      <w:bookmarkEnd w:id="0"/>
      <w:r w:rsidRPr="00575CDC">
        <w:rPr>
          <w:rFonts w:ascii="Arial" w:hAnsi="Arial" w:cs="Arial"/>
          <w:color w:val="000000" w:themeColor="text1"/>
          <w:sz w:val="22"/>
          <w:szCs w:val="22"/>
        </w:rPr>
        <w:t xml:space="preserve"> </w:t>
      </w:r>
    </w:p>
    <w:p w14:paraId="35FFAD35" w14:textId="77777777" w:rsidR="00011704" w:rsidRPr="00575CDC" w:rsidRDefault="00011704" w:rsidP="00C26A08">
      <w:pPr>
        <w:spacing w:line="360" w:lineRule="auto"/>
        <w:ind w:firstLine="720"/>
        <w:jc w:val="both"/>
        <w:rPr>
          <w:rFonts w:ascii="Arial" w:hAnsi="Arial" w:cs="Arial"/>
          <w:color w:val="000000" w:themeColor="text1"/>
        </w:rPr>
      </w:pPr>
      <w:r w:rsidRPr="00575CDC">
        <w:rPr>
          <w:rFonts w:ascii="Arial" w:hAnsi="Arial" w:cs="Arial"/>
          <w:color w:val="000000" w:themeColor="text1"/>
        </w:rPr>
        <w:t>Cardiovascular disease refers to a group of diseases that affects the heart and blood vessels, with coronary heart disease (CHD) being an example of a cardiovascular disease that is characterised by the development of fatty plaques in the coronary arteries, which reduces blood supply and oxygen delivery to the myocardium (NICE, 2023). These symptoms range from angina, dyspnoea, fatigue, palpitation of the heart, myocardial infarction to the absence of any symptoms until a big cardiac event happens (</w:t>
      </w:r>
      <w:proofErr w:type="spellStart"/>
      <w:r w:rsidRPr="00575CDC">
        <w:rPr>
          <w:rFonts w:ascii="Arial" w:hAnsi="Arial" w:cs="Arial"/>
          <w:color w:val="000000" w:themeColor="text1"/>
        </w:rPr>
        <w:t>Knuuti</w:t>
      </w:r>
      <w:proofErr w:type="spellEnd"/>
      <w:r w:rsidRPr="00575CDC">
        <w:rPr>
          <w:rFonts w:ascii="Arial" w:hAnsi="Arial" w:cs="Arial"/>
          <w:color w:val="000000" w:themeColor="text1"/>
        </w:rPr>
        <w:t xml:space="preserve"> et al., 2024). CHD is a significant global public health problem as cardiovascular diseases affect more than 500 million people and responsible for around 20.5 million deaths each year around the world (World Heart Federation, 2024). CHD affects approximately 2.3 million individuals in the UK and places a significant burden on healthcare and the economy, requiring the NHS and society to allocate considerable resources to managing CHD (British Heart Foundation, 2025). This report, therefore, explores methods of measuring, monitoring and controlling CHD critically, as well as the impact of CHD on communities and the health and social care services needed to address those affected. </w:t>
      </w:r>
    </w:p>
    <w:p w14:paraId="2CA4ACF0" w14:textId="6AED7E16" w:rsidR="00011704" w:rsidRPr="00575CDC" w:rsidRDefault="00A87D4E" w:rsidP="00C26A08">
      <w:pPr>
        <w:pStyle w:val="Heading1"/>
        <w:rPr>
          <w:rFonts w:ascii="Arial" w:hAnsi="Arial" w:cs="Arial"/>
          <w:color w:val="000000" w:themeColor="text1"/>
          <w:sz w:val="22"/>
          <w:szCs w:val="22"/>
        </w:rPr>
      </w:pPr>
      <w:bookmarkStart w:id="1" w:name="_Toc236760100"/>
      <w:r w:rsidRPr="00575CDC">
        <w:rPr>
          <w:rFonts w:ascii="Arial" w:hAnsi="Arial" w:cs="Arial"/>
          <w:color w:val="000000" w:themeColor="text1"/>
          <w:sz w:val="22"/>
          <w:szCs w:val="22"/>
        </w:rPr>
        <w:t>2.1 T</w:t>
      </w:r>
      <w:r w:rsidR="00011704" w:rsidRPr="00575CDC">
        <w:rPr>
          <w:rFonts w:ascii="Arial" w:hAnsi="Arial" w:cs="Arial"/>
          <w:color w:val="000000" w:themeColor="text1"/>
          <w:sz w:val="22"/>
          <w:szCs w:val="22"/>
        </w:rPr>
        <w:t>wo different ways of measuring and monitoring coronary heart disease</w:t>
      </w:r>
      <w:bookmarkEnd w:id="1"/>
      <w:r w:rsidR="00011704" w:rsidRPr="00575CDC">
        <w:rPr>
          <w:rFonts w:ascii="Arial" w:hAnsi="Arial" w:cs="Arial"/>
          <w:color w:val="000000" w:themeColor="text1"/>
          <w:sz w:val="22"/>
          <w:szCs w:val="22"/>
        </w:rPr>
        <w:t xml:space="preserve"> </w:t>
      </w:r>
    </w:p>
    <w:p w14:paraId="448B2F21" w14:textId="6ED31F05" w:rsidR="00011704" w:rsidRPr="00575CDC" w:rsidRDefault="00011704" w:rsidP="00C26A08">
      <w:pPr>
        <w:spacing w:line="360" w:lineRule="auto"/>
        <w:ind w:firstLine="720"/>
        <w:jc w:val="both"/>
        <w:rPr>
          <w:rFonts w:ascii="Arial" w:hAnsi="Arial" w:cs="Arial"/>
          <w:color w:val="000000" w:themeColor="text1"/>
        </w:rPr>
      </w:pPr>
      <w:r w:rsidRPr="00575CDC">
        <w:rPr>
          <w:rFonts w:ascii="Arial" w:hAnsi="Arial" w:cs="Arial"/>
          <w:color w:val="000000" w:themeColor="text1"/>
        </w:rPr>
        <w:t>To ensure the early detection and slowing of the progression of coronary heart disease (CHD), a combination of clinical assessment, diagnostic investigations and population-level surveillance is needed to measure and monitor CHD. Detailed medical and family history are taken to identify non-modifiable risk factors (such as age and genetic factors) and lifestyle factors (such as smoking, lack of physical activity, diet) initial clinical assessment (NICE, 2023). Routine physical examination, blood pressure monitoring and body mass index (BMI) measurement are performed to detect hypertension and obesity, which are both associated with a high risk for cardiovascular disease (</w:t>
      </w:r>
      <w:proofErr w:type="spellStart"/>
      <w:r w:rsidRPr="00575CDC">
        <w:rPr>
          <w:rFonts w:ascii="Arial" w:hAnsi="Arial" w:cs="Arial"/>
          <w:color w:val="000000" w:themeColor="text1"/>
        </w:rPr>
        <w:t>Visseren</w:t>
      </w:r>
      <w:proofErr w:type="spellEnd"/>
      <w:r w:rsidRPr="00575CDC">
        <w:rPr>
          <w:rFonts w:ascii="Arial" w:hAnsi="Arial" w:cs="Arial"/>
          <w:color w:val="000000" w:themeColor="text1"/>
        </w:rPr>
        <w:t xml:space="preserve"> et al., 2021).</w:t>
      </w:r>
    </w:p>
    <w:p w14:paraId="6581AF68" w14:textId="77777777" w:rsidR="00FA1B6A" w:rsidRPr="00575CDC" w:rsidRDefault="00011704" w:rsidP="00C26A08">
      <w:pPr>
        <w:spacing w:line="360" w:lineRule="auto"/>
        <w:ind w:firstLine="720"/>
        <w:jc w:val="both"/>
        <w:rPr>
          <w:rFonts w:ascii="Arial" w:hAnsi="Arial" w:cs="Arial"/>
          <w:color w:val="000000" w:themeColor="text1"/>
        </w:rPr>
      </w:pPr>
      <w:r w:rsidRPr="00575CDC">
        <w:rPr>
          <w:rFonts w:ascii="Arial" w:hAnsi="Arial" w:cs="Arial"/>
          <w:color w:val="000000" w:themeColor="text1"/>
        </w:rPr>
        <w:t>Diagnostic investigations are objective and show the severity of the disease and how the heart is working. Arrhythmias and myocardial ischaemia can be detected by electrocardiography (ECG) and echocardiography can be used to assess cardiac structure and ventricular function (Papadopoulos et al. 2018). CT coronary angiography is recommended as the primary investigation for the stable chest pain when used due to its high diagnostic accuracy, however, invasive coronary angiography is the gold standard for the diagnosis of significant coronary artery stenosis for guiding revascularisation (NICE, 2023). Blood biomarkers, such as cardiac troponin help to diagnose acute myocardial infarction, and lipid profiles and blood glucose or HbA1c measurements evaluate modifiable risk factors for CHD development (</w:t>
      </w:r>
      <w:proofErr w:type="spellStart"/>
      <w:r w:rsidRPr="00575CDC">
        <w:rPr>
          <w:rFonts w:ascii="Arial" w:hAnsi="Arial" w:cs="Arial"/>
          <w:color w:val="000000" w:themeColor="text1"/>
        </w:rPr>
        <w:t>Vrints</w:t>
      </w:r>
      <w:proofErr w:type="spellEnd"/>
      <w:r w:rsidRPr="00575CDC">
        <w:rPr>
          <w:rFonts w:ascii="Arial" w:hAnsi="Arial" w:cs="Arial"/>
          <w:color w:val="000000" w:themeColor="text1"/>
        </w:rPr>
        <w:t xml:space="preserve"> et al. 2024).</w:t>
      </w:r>
    </w:p>
    <w:p w14:paraId="3A8C27FF" w14:textId="74150585" w:rsidR="00011704" w:rsidRPr="00575CDC" w:rsidRDefault="00011704" w:rsidP="00C26A08">
      <w:pPr>
        <w:spacing w:line="360" w:lineRule="auto"/>
        <w:ind w:firstLine="720"/>
        <w:jc w:val="both"/>
        <w:rPr>
          <w:rFonts w:ascii="Arial" w:hAnsi="Arial" w:cs="Arial"/>
          <w:color w:val="000000" w:themeColor="text1"/>
        </w:rPr>
      </w:pPr>
      <w:r w:rsidRPr="00575CDC">
        <w:rPr>
          <w:rFonts w:ascii="Arial" w:hAnsi="Arial" w:cs="Arial"/>
          <w:color w:val="000000" w:themeColor="text1"/>
        </w:rPr>
        <w:t>The NHS Health Check Programme and QRISK3 calculator are able to spot at the population level those who are at a higher risk of cardiovascular disease before symptoms occur. In addition, monitoring of disease prevalence, outcomes and healthcare performance (NHS England, 2024) is undertaken through the Quality and Outcomes Framework (QOF), Office for National Statistics (ONS) mortality data and national cardiovascular audits and public health surveillance systems. Risk prediction tools are useful for making preventive interventions but can underestimate risk in some ethnic groups and/or in people with atypical presentations. The need for clinical judgement, diagnostic testing and public health surveillance to complement each other to provide a full picture of detecting asymptomatic disease and enhancing long term cardiovascular outcomes is therefore highlighted (Hippisley-Cox et al., 2017; NICE, 2023).</w:t>
      </w:r>
    </w:p>
    <w:p w14:paraId="33312ECF" w14:textId="46482DAB" w:rsidR="00FA1B6A" w:rsidRPr="00575CDC" w:rsidRDefault="00FA1B6A" w:rsidP="00C26A08">
      <w:pPr>
        <w:pStyle w:val="Heading1"/>
        <w:rPr>
          <w:rFonts w:ascii="Arial" w:hAnsi="Arial" w:cs="Arial"/>
          <w:color w:val="000000" w:themeColor="text1"/>
          <w:sz w:val="22"/>
          <w:szCs w:val="22"/>
        </w:rPr>
      </w:pPr>
      <w:bookmarkStart w:id="2" w:name="_Toc236760101"/>
      <w:r w:rsidRPr="00575CDC">
        <w:rPr>
          <w:rFonts w:ascii="Arial" w:hAnsi="Arial" w:cs="Arial"/>
          <w:color w:val="000000" w:themeColor="text1"/>
          <w:sz w:val="22"/>
          <w:szCs w:val="22"/>
        </w:rPr>
        <w:t>2.2 Controlling Coronary Heart Disease</w:t>
      </w:r>
      <w:bookmarkEnd w:id="2"/>
      <w:r w:rsidRPr="00575CDC">
        <w:rPr>
          <w:rFonts w:ascii="Arial" w:hAnsi="Arial" w:cs="Arial"/>
          <w:color w:val="000000" w:themeColor="text1"/>
          <w:sz w:val="22"/>
          <w:szCs w:val="22"/>
        </w:rPr>
        <w:t xml:space="preserve"> </w:t>
      </w:r>
    </w:p>
    <w:p w14:paraId="5EED0C77" w14:textId="77777777" w:rsidR="00FA1B6A" w:rsidRPr="00575CDC" w:rsidRDefault="00011704" w:rsidP="00C26A08">
      <w:pPr>
        <w:spacing w:line="360" w:lineRule="auto"/>
        <w:ind w:firstLine="720"/>
        <w:jc w:val="both"/>
        <w:rPr>
          <w:rFonts w:ascii="Arial" w:hAnsi="Arial" w:cs="Arial"/>
          <w:color w:val="000000" w:themeColor="text1"/>
        </w:rPr>
      </w:pPr>
      <w:r w:rsidRPr="00575CDC">
        <w:rPr>
          <w:rFonts w:ascii="Arial" w:hAnsi="Arial" w:cs="Arial"/>
          <w:color w:val="000000" w:themeColor="text1"/>
        </w:rPr>
        <w:t xml:space="preserve">Treatment of CHD is based on primary prevention (preventing the disease in the first place), evidence-based clinical management and public health interventions to decrease the risk of occurrence of CHD and to promote better long-term outcomes (Arnett et al. 2019). Primary prevention is the prevention of disease by altering risk factors. Quitting smoking, following a healthy diet (high in fruits, vegetables and whole grains), exercising regularly, maintaining a healthy weight and limiting alcohol consumption are all effective measures to reduce the risk of atherosclerosis and cardiovascular events (World Health Organization, 2023; </w:t>
      </w:r>
      <w:proofErr w:type="spellStart"/>
      <w:r w:rsidRPr="00575CDC">
        <w:rPr>
          <w:rFonts w:ascii="Arial" w:hAnsi="Arial" w:cs="Arial"/>
          <w:color w:val="000000" w:themeColor="text1"/>
        </w:rPr>
        <w:t>Visseren</w:t>
      </w:r>
      <w:proofErr w:type="spellEnd"/>
      <w:r w:rsidRPr="00575CDC">
        <w:rPr>
          <w:rFonts w:ascii="Arial" w:hAnsi="Arial" w:cs="Arial"/>
          <w:color w:val="000000" w:themeColor="text1"/>
        </w:rPr>
        <w:t xml:space="preserve"> et al., 2021). Lifestyle interventions are more effective if delivered as part of a community-based health promotion programme.</w:t>
      </w:r>
    </w:p>
    <w:p w14:paraId="054E9153" w14:textId="77777777" w:rsidR="00FA1B6A" w:rsidRPr="00575CDC" w:rsidRDefault="00011704" w:rsidP="00C26A08">
      <w:pPr>
        <w:spacing w:line="360" w:lineRule="auto"/>
        <w:ind w:firstLine="720"/>
        <w:jc w:val="both"/>
        <w:rPr>
          <w:rFonts w:ascii="Arial" w:hAnsi="Arial" w:cs="Arial"/>
          <w:color w:val="000000" w:themeColor="text1"/>
        </w:rPr>
      </w:pPr>
      <w:r w:rsidRPr="00575CDC">
        <w:rPr>
          <w:rFonts w:ascii="Arial" w:hAnsi="Arial" w:cs="Arial"/>
          <w:color w:val="000000" w:themeColor="text1"/>
        </w:rPr>
        <w:t>Secondary prevention would involve trying to prevent the onset of cardiac events and the progression of the disease in those who have been diagnosed with CHD. Pharmacological treatment such as statins, antihypertensive drugs and antiplatelet agents (e.g. Aspirin) are indicated to reduce the risk of thrombosis, control blood pressure levels and reduce cholesterol. Good management of the diabetes is also crucial as it leads to vascular damage and cardiovascular complications (NICE, 2023). Patients with severe coronary artery obstruction may benefit from revascularisation procedures like percutaneous coronary intervention (PCI) and coronary artery bypass grafting (CABG), which restore myocardial blood flow, and structured cardiac rehabilitation programmes, which enhance physical functioning, psychological welfare and adherence to medication (</w:t>
      </w:r>
      <w:proofErr w:type="spellStart"/>
      <w:r w:rsidRPr="00575CDC">
        <w:rPr>
          <w:rFonts w:ascii="Arial" w:hAnsi="Arial" w:cs="Arial"/>
          <w:color w:val="000000" w:themeColor="text1"/>
        </w:rPr>
        <w:t>Vrints</w:t>
      </w:r>
      <w:proofErr w:type="spellEnd"/>
      <w:r w:rsidRPr="00575CDC">
        <w:rPr>
          <w:rFonts w:ascii="Arial" w:hAnsi="Arial" w:cs="Arial"/>
          <w:color w:val="000000" w:themeColor="text1"/>
        </w:rPr>
        <w:t xml:space="preserve"> et al. 2024).</w:t>
      </w:r>
    </w:p>
    <w:p w14:paraId="4F4EC04D" w14:textId="010704C4" w:rsidR="00011704" w:rsidRPr="00575CDC" w:rsidRDefault="00011704" w:rsidP="00C26A08">
      <w:pPr>
        <w:spacing w:line="360" w:lineRule="auto"/>
        <w:ind w:firstLine="720"/>
        <w:jc w:val="both"/>
        <w:rPr>
          <w:rFonts w:ascii="Arial" w:hAnsi="Arial" w:cs="Arial"/>
          <w:color w:val="000000" w:themeColor="text1"/>
        </w:rPr>
      </w:pPr>
      <w:r w:rsidRPr="00575CDC">
        <w:rPr>
          <w:rFonts w:ascii="Arial" w:hAnsi="Arial" w:cs="Arial"/>
          <w:color w:val="000000" w:themeColor="text1"/>
        </w:rPr>
        <w:t>The NHS Long Term Plan supports earlier diagnosis and prevention at population level by having an NHS Health Check Programme, cardiovascular risk assessments using QRISK3 and implementing NICE clinical guidelines (NHS England, 2023). Healthier behaviours are also promoted and cardiac symptoms better recognised by public awareness campaigns. Prevention is usually more cost-effective than treatment, as it decreases hospital admission and long-term healthcare cost, and is a process that has to be done irrespective of the disease. Effective disease control, however, relies heavily on patient adherence to medication and lifestyle advice and socioeconomic deprivation and unequal access to healthcare remain a driver to differences in cardiovascular outcomes (British Heart Foundation, 2025; NICE, 2023).</w:t>
      </w:r>
    </w:p>
    <w:p w14:paraId="1B3423AA" w14:textId="1D99206E" w:rsidR="00011704" w:rsidRPr="00575CDC" w:rsidRDefault="00FA1B6A" w:rsidP="00C26A08">
      <w:pPr>
        <w:pStyle w:val="Heading1"/>
        <w:rPr>
          <w:rFonts w:ascii="Arial" w:hAnsi="Arial" w:cs="Arial"/>
          <w:color w:val="000000" w:themeColor="text1"/>
          <w:sz w:val="22"/>
          <w:szCs w:val="22"/>
        </w:rPr>
      </w:pPr>
      <w:bookmarkStart w:id="3" w:name="_Toc236760102"/>
      <w:r w:rsidRPr="00575CDC">
        <w:rPr>
          <w:rFonts w:ascii="Arial" w:hAnsi="Arial" w:cs="Arial"/>
          <w:color w:val="000000" w:themeColor="text1"/>
          <w:sz w:val="22"/>
          <w:szCs w:val="22"/>
        </w:rPr>
        <w:t>2.3 I</w:t>
      </w:r>
      <w:r w:rsidR="00011704" w:rsidRPr="00575CDC">
        <w:rPr>
          <w:rFonts w:ascii="Arial" w:hAnsi="Arial" w:cs="Arial"/>
          <w:color w:val="000000" w:themeColor="text1"/>
          <w:sz w:val="22"/>
          <w:szCs w:val="22"/>
        </w:rPr>
        <w:t>mplications of CHD for the individual and for the community.</w:t>
      </w:r>
      <w:bookmarkEnd w:id="3"/>
      <w:r w:rsidR="00011704" w:rsidRPr="00575CDC">
        <w:rPr>
          <w:rFonts w:ascii="Arial" w:hAnsi="Arial" w:cs="Arial"/>
          <w:color w:val="000000" w:themeColor="text1"/>
          <w:sz w:val="22"/>
          <w:szCs w:val="22"/>
        </w:rPr>
        <w:t xml:space="preserve"> </w:t>
      </w:r>
    </w:p>
    <w:p w14:paraId="33687C56" w14:textId="77777777" w:rsidR="00FA1B6A" w:rsidRPr="00575CDC" w:rsidRDefault="00011704" w:rsidP="00C26A08">
      <w:pPr>
        <w:spacing w:line="360" w:lineRule="auto"/>
        <w:ind w:firstLine="720"/>
        <w:jc w:val="both"/>
        <w:rPr>
          <w:rFonts w:ascii="Arial" w:hAnsi="Arial" w:cs="Arial"/>
          <w:color w:val="000000" w:themeColor="text1"/>
        </w:rPr>
      </w:pPr>
      <w:r w:rsidRPr="00575CDC">
        <w:rPr>
          <w:rFonts w:ascii="Arial" w:hAnsi="Arial" w:cs="Arial"/>
          <w:color w:val="000000" w:themeColor="text1"/>
        </w:rPr>
        <w:t>The impact of coronary heart disease (CHD) is much more than physical, psychological, social and economic, it has a significant impact on families, health services and the wider community/ society (Brandt et al. 2023). Physically, CHD may result in a decrease in mobility, ongoing fatigue, heart failure and frequent hospital admissions as a result of the progression of the disease or complications like myocardial infarction. The consequences of these outcomes can be a loss of ability to function independently and long-term disability, as well as a higher risk of death, especially for older people and those with several other health conditions (NICE, 2023; World Health Organization, 2023).</w:t>
      </w:r>
    </w:p>
    <w:p w14:paraId="43EAF8AD" w14:textId="77777777" w:rsidR="00FA1B6A" w:rsidRPr="00575CDC" w:rsidRDefault="00011704" w:rsidP="00C26A08">
      <w:pPr>
        <w:spacing w:line="360" w:lineRule="auto"/>
        <w:ind w:firstLine="720"/>
        <w:jc w:val="both"/>
        <w:rPr>
          <w:rFonts w:ascii="Arial" w:hAnsi="Arial" w:cs="Arial"/>
          <w:color w:val="000000" w:themeColor="text1"/>
        </w:rPr>
      </w:pPr>
      <w:r w:rsidRPr="00575CDC">
        <w:rPr>
          <w:rFonts w:ascii="Arial" w:hAnsi="Arial" w:cs="Arial"/>
          <w:color w:val="000000" w:themeColor="text1"/>
        </w:rPr>
        <w:t>Psychological effects are also important in the case of CHD. Anxiety, depression and fear of re-occurring cardiac events are common, and may hinder one's confidence in doing daily activities and negatively affect adherence to treatment and rehabilitation programmes (</w:t>
      </w:r>
      <w:proofErr w:type="spellStart"/>
      <w:r w:rsidRPr="00575CDC">
        <w:rPr>
          <w:rFonts w:ascii="Arial" w:hAnsi="Arial" w:cs="Arial"/>
          <w:color w:val="000000" w:themeColor="text1"/>
        </w:rPr>
        <w:t>Vrints</w:t>
      </w:r>
      <w:proofErr w:type="spellEnd"/>
      <w:r w:rsidRPr="00575CDC">
        <w:rPr>
          <w:rFonts w:ascii="Arial" w:hAnsi="Arial" w:cs="Arial"/>
          <w:color w:val="000000" w:themeColor="text1"/>
        </w:rPr>
        <w:t xml:space="preserve"> et al. 2024). This psychological distress could further hinder recovery and quality of life, and further emphasize the importance of integrated mental health care in cardiovascular care.</w:t>
      </w:r>
    </w:p>
    <w:p w14:paraId="257A6692" w14:textId="77777777" w:rsidR="00FA1B6A" w:rsidRPr="00575CDC" w:rsidRDefault="00011704" w:rsidP="00C26A08">
      <w:pPr>
        <w:spacing w:line="360" w:lineRule="auto"/>
        <w:ind w:firstLine="720"/>
        <w:jc w:val="both"/>
        <w:rPr>
          <w:rFonts w:ascii="Arial" w:hAnsi="Arial" w:cs="Arial"/>
          <w:color w:val="000000" w:themeColor="text1"/>
        </w:rPr>
      </w:pPr>
      <w:r w:rsidRPr="00575CDC">
        <w:rPr>
          <w:rFonts w:ascii="Arial" w:hAnsi="Arial" w:cs="Arial"/>
          <w:color w:val="000000" w:themeColor="text1"/>
        </w:rPr>
        <w:t>Socially, CHD can be a very heavy burden on families as they take on care giving roles, they also have to cope with stress and financial worries (Dalir et al. 2020). People can experience a loss of working ability, long periods of sickness absence or early retirement, resulting in a loss of income and a greater sense of isolation. CHD is also very significant at the community level in the use of NHS resources via emergency admissions, specialist interventions, long-term medication and rehabilitation services and the impact on productivity which places additional strain on the economies of the UK (British Heart Foundation, 2025).</w:t>
      </w:r>
    </w:p>
    <w:p w14:paraId="250C8CC6" w14:textId="0BCBD36B" w:rsidR="00011704" w:rsidRPr="00575CDC" w:rsidRDefault="00011704" w:rsidP="00C26A08">
      <w:pPr>
        <w:spacing w:line="360" w:lineRule="auto"/>
        <w:ind w:firstLine="720"/>
        <w:jc w:val="both"/>
        <w:rPr>
          <w:rFonts w:ascii="Arial" w:hAnsi="Arial" w:cs="Arial"/>
          <w:color w:val="000000" w:themeColor="text1"/>
        </w:rPr>
      </w:pPr>
      <w:r w:rsidRPr="00575CDC">
        <w:rPr>
          <w:rFonts w:ascii="Arial" w:hAnsi="Arial" w:cs="Arial"/>
          <w:color w:val="000000" w:themeColor="text1"/>
        </w:rPr>
        <w:t>Not all people are equally affected by CHD. Social determinants such as socioeconomic deprivation, smoking, obesity and ethnicity, are important factors that affect the risk of disease, access to care and health outcomes (Singh et al. 2017). People in poor communities have a higher risk of exposure to factors that can be changed and less access to preventive measures than others, which leads to a higher rate of morbidity and mortality. Therefore, it is vital to tackle inequalities by addressing specific public health issues and ensuring access to health care services is equitable, to reduce the overall burden of CHD (Marmot et al., 2020; NHS England, 2023).</w:t>
      </w:r>
    </w:p>
    <w:p w14:paraId="6D8156C0" w14:textId="24FDDFBB" w:rsidR="00011704" w:rsidRPr="00575CDC" w:rsidRDefault="00FA1B6A" w:rsidP="00C26A08">
      <w:pPr>
        <w:pStyle w:val="Heading1"/>
        <w:rPr>
          <w:rFonts w:ascii="Arial" w:hAnsi="Arial" w:cs="Arial"/>
          <w:color w:val="000000" w:themeColor="text1"/>
          <w:sz w:val="22"/>
          <w:szCs w:val="22"/>
        </w:rPr>
      </w:pPr>
      <w:bookmarkStart w:id="4" w:name="_Toc236760103"/>
      <w:r w:rsidRPr="00575CDC">
        <w:rPr>
          <w:rFonts w:ascii="Arial" w:hAnsi="Arial" w:cs="Arial"/>
          <w:color w:val="000000" w:themeColor="text1"/>
          <w:sz w:val="22"/>
          <w:szCs w:val="22"/>
        </w:rPr>
        <w:t xml:space="preserve">2.4 </w:t>
      </w:r>
      <w:r w:rsidR="00011704" w:rsidRPr="00575CDC">
        <w:rPr>
          <w:rFonts w:ascii="Arial" w:hAnsi="Arial" w:cs="Arial"/>
          <w:color w:val="000000" w:themeColor="text1"/>
          <w:sz w:val="22"/>
          <w:szCs w:val="22"/>
        </w:rPr>
        <w:t>Health and Social Care Support Services Required.</w:t>
      </w:r>
      <w:bookmarkEnd w:id="4"/>
      <w:r w:rsidR="00011704" w:rsidRPr="00575CDC">
        <w:rPr>
          <w:rFonts w:ascii="Arial" w:hAnsi="Arial" w:cs="Arial"/>
          <w:color w:val="000000" w:themeColor="text1"/>
          <w:sz w:val="22"/>
          <w:szCs w:val="22"/>
        </w:rPr>
        <w:t xml:space="preserve"> </w:t>
      </w:r>
    </w:p>
    <w:p w14:paraId="6B1758A6" w14:textId="77777777" w:rsidR="00AA7C33" w:rsidRPr="00575CDC" w:rsidRDefault="00011704" w:rsidP="00C26A08">
      <w:pPr>
        <w:spacing w:line="360" w:lineRule="auto"/>
        <w:ind w:firstLine="720"/>
        <w:jc w:val="both"/>
        <w:rPr>
          <w:rFonts w:ascii="Arial" w:hAnsi="Arial" w:cs="Arial"/>
          <w:color w:val="000000" w:themeColor="text1"/>
        </w:rPr>
      </w:pPr>
      <w:r w:rsidRPr="00575CDC">
        <w:rPr>
          <w:rFonts w:ascii="Arial" w:hAnsi="Arial" w:cs="Arial"/>
          <w:color w:val="000000" w:themeColor="text1"/>
        </w:rPr>
        <w:t xml:space="preserve">To prevent unnecessary complications and ensure optimal outcomes for patients with CHD, a coordinated health and social care service, which addresses the medical, psychological and social needs of patients throughout the trajectory of CHD (Rossi et al. 2023), is required. In primary care, the general practitioner (GP) and practice nurse are crucial in maintaining cardiovascular risk factors by conducting annual reviews, blood pressure and cholesterol checks, optimising medication and </w:t>
      </w:r>
      <w:r w:rsidR="00AA7C33" w:rsidRPr="00575CDC">
        <w:rPr>
          <w:rFonts w:ascii="Arial" w:hAnsi="Arial" w:cs="Arial"/>
          <w:color w:val="000000" w:themeColor="text1"/>
        </w:rPr>
        <w:t>counselling</w:t>
      </w:r>
      <w:r w:rsidRPr="00575CDC">
        <w:rPr>
          <w:rFonts w:ascii="Arial" w:hAnsi="Arial" w:cs="Arial"/>
          <w:color w:val="000000" w:themeColor="text1"/>
        </w:rPr>
        <w:t xml:space="preserve"> on lifestyle. Follow up allows for early detection of complications and helps to ensure long-term adherence to treatments as per NICE (2023).</w:t>
      </w:r>
    </w:p>
    <w:p w14:paraId="76574D96" w14:textId="77777777" w:rsidR="00AA7C33" w:rsidRPr="00575CDC" w:rsidRDefault="00011704" w:rsidP="00C26A08">
      <w:pPr>
        <w:spacing w:line="360" w:lineRule="auto"/>
        <w:ind w:firstLine="720"/>
        <w:jc w:val="both"/>
        <w:rPr>
          <w:rFonts w:ascii="Arial" w:hAnsi="Arial" w:cs="Arial"/>
          <w:color w:val="000000" w:themeColor="text1"/>
        </w:rPr>
      </w:pPr>
      <w:r w:rsidRPr="00575CDC">
        <w:rPr>
          <w:rFonts w:ascii="Arial" w:hAnsi="Arial" w:cs="Arial"/>
          <w:color w:val="000000" w:themeColor="text1"/>
        </w:rPr>
        <w:t xml:space="preserve">The secondary care services are specialist assessment and treatment services delivered by specialist teams including cardiologists, cardiac nurses and cardiac rehabilitation professionals. Cardiologists manage the diagnostic and therapeutic processes of cardiac interventions like percutaneous coronary intervention (PCI) or coronary artery bypass grafting (CABG) and cardiac rehabilitation teams provide patients with supervised exercise training, </w:t>
      </w:r>
      <w:r w:rsidR="00AA7C33" w:rsidRPr="00575CDC">
        <w:rPr>
          <w:rFonts w:ascii="Arial" w:hAnsi="Arial" w:cs="Arial"/>
          <w:color w:val="000000" w:themeColor="text1"/>
        </w:rPr>
        <w:t>counselling</w:t>
      </w:r>
      <w:r w:rsidRPr="00575CDC">
        <w:rPr>
          <w:rFonts w:ascii="Arial" w:hAnsi="Arial" w:cs="Arial"/>
          <w:color w:val="000000" w:themeColor="text1"/>
        </w:rPr>
        <w:t xml:space="preserve"> and self-management training to prevent further cardiovascular events (</w:t>
      </w:r>
      <w:proofErr w:type="spellStart"/>
      <w:r w:rsidRPr="00575CDC">
        <w:rPr>
          <w:rFonts w:ascii="Arial" w:hAnsi="Arial" w:cs="Arial"/>
          <w:color w:val="000000" w:themeColor="text1"/>
        </w:rPr>
        <w:t>Vrints</w:t>
      </w:r>
      <w:proofErr w:type="spellEnd"/>
      <w:r w:rsidRPr="00575CDC">
        <w:rPr>
          <w:rFonts w:ascii="Arial" w:hAnsi="Arial" w:cs="Arial"/>
          <w:color w:val="000000" w:themeColor="text1"/>
        </w:rPr>
        <w:t xml:space="preserve"> et al., 2024). Community based nurses, physiotherapists, occupational therapists, dietitians and pharmacists also work to facilitate recovery, assisting patients to improve their physical function and encouraging them to make healthy lifestyle choices, check that their medicines are taken as prescribed and help them to stay independent and retain their capacity.</w:t>
      </w:r>
    </w:p>
    <w:p w14:paraId="7AA5DE82" w14:textId="476E87AA" w:rsidR="00011704" w:rsidRPr="00575CDC" w:rsidRDefault="00011704" w:rsidP="00C26A08">
      <w:pPr>
        <w:spacing w:line="360" w:lineRule="auto"/>
        <w:ind w:firstLine="720"/>
        <w:jc w:val="both"/>
        <w:rPr>
          <w:rFonts w:ascii="Arial" w:hAnsi="Arial" w:cs="Arial"/>
          <w:color w:val="000000" w:themeColor="text1"/>
        </w:rPr>
      </w:pPr>
      <w:r w:rsidRPr="00575CDC">
        <w:rPr>
          <w:rFonts w:ascii="Arial" w:hAnsi="Arial" w:cs="Arial"/>
          <w:color w:val="000000" w:themeColor="text1"/>
        </w:rPr>
        <w:t>Due to the high rates of anxiety and depression after cardiac events, psychological counselling, anxiety management, depression services and social prescribing is a key need to support emotional wellbeing and engagement in treatment (NHS England, 2023). Social care services, such as assistance with moving around the home, carers, social care workers and independent living services, help people with a reduced mobility or a reduced functional capability. In addition voluntary groups like the British Heart Foundation and local cardiac support groups offer patient and family education, peer support and practical advice for those with a cardiac condition.</w:t>
      </w:r>
    </w:p>
    <w:p w14:paraId="4856222E" w14:textId="09FBE2E7" w:rsidR="00011704" w:rsidRPr="00575CDC" w:rsidRDefault="00011704" w:rsidP="00C26A08">
      <w:pPr>
        <w:spacing w:line="360" w:lineRule="auto"/>
        <w:ind w:firstLine="720"/>
        <w:jc w:val="both"/>
        <w:rPr>
          <w:rFonts w:ascii="Arial" w:hAnsi="Arial" w:cs="Arial"/>
          <w:color w:val="000000" w:themeColor="text1"/>
        </w:rPr>
      </w:pPr>
      <w:r w:rsidRPr="00575CDC">
        <w:rPr>
          <w:rFonts w:ascii="Arial" w:hAnsi="Arial" w:cs="Arial"/>
          <w:color w:val="000000" w:themeColor="text1"/>
        </w:rPr>
        <w:t xml:space="preserve">The integration of health and social care is well suited to the multidisciplinary, </w:t>
      </w:r>
      <w:r w:rsidR="00AA7C33" w:rsidRPr="00575CDC">
        <w:rPr>
          <w:rFonts w:ascii="Arial" w:hAnsi="Arial" w:cs="Arial"/>
          <w:color w:val="000000" w:themeColor="text1"/>
        </w:rPr>
        <w:t>person-centred</w:t>
      </w:r>
      <w:r w:rsidRPr="00575CDC">
        <w:rPr>
          <w:rFonts w:ascii="Arial" w:hAnsi="Arial" w:cs="Arial"/>
          <w:color w:val="000000" w:themeColor="text1"/>
        </w:rPr>
        <w:t xml:space="preserve"> approach, of which it is a core element, that is essential to enhance clinical outcomes and quality of life. But there remains significant work to be done to ensure access to integrated community-based services (British Heart Foundation, 2025), with barriers such as inequalities in health, geographical area and the length of time in waiting for substantial CHD care still to be overcome.</w:t>
      </w:r>
    </w:p>
    <w:p w14:paraId="2B6A096B" w14:textId="77777777" w:rsidR="00011704" w:rsidRPr="00575CDC" w:rsidRDefault="00011704" w:rsidP="00C26A08">
      <w:pPr>
        <w:pStyle w:val="Heading1"/>
        <w:rPr>
          <w:rFonts w:ascii="Arial" w:hAnsi="Arial" w:cs="Arial"/>
          <w:color w:val="000000" w:themeColor="text1"/>
          <w:sz w:val="22"/>
          <w:szCs w:val="22"/>
        </w:rPr>
      </w:pPr>
      <w:bookmarkStart w:id="5" w:name="_Toc236760104"/>
      <w:r w:rsidRPr="00575CDC">
        <w:rPr>
          <w:rFonts w:ascii="Arial" w:hAnsi="Arial" w:cs="Arial"/>
          <w:color w:val="000000" w:themeColor="text1"/>
          <w:sz w:val="22"/>
          <w:szCs w:val="22"/>
        </w:rPr>
        <w:t>3. Conclusion</w:t>
      </w:r>
      <w:bookmarkEnd w:id="5"/>
      <w:r w:rsidRPr="00575CDC">
        <w:rPr>
          <w:rFonts w:ascii="Arial" w:hAnsi="Arial" w:cs="Arial"/>
          <w:color w:val="000000" w:themeColor="text1"/>
          <w:sz w:val="22"/>
          <w:szCs w:val="22"/>
        </w:rPr>
        <w:t xml:space="preserve"> </w:t>
      </w:r>
    </w:p>
    <w:p w14:paraId="5D3BB3E8" w14:textId="0C4C1452" w:rsidR="00AA7C33" w:rsidRPr="00575CDC" w:rsidRDefault="00011704" w:rsidP="00C26A08">
      <w:pPr>
        <w:spacing w:line="360" w:lineRule="auto"/>
        <w:ind w:firstLine="720"/>
        <w:jc w:val="both"/>
        <w:rPr>
          <w:rFonts w:ascii="Arial" w:hAnsi="Arial" w:cs="Arial"/>
          <w:color w:val="000000" w:themeColor="text1"/>
        </w:rPr>
      </w:pPr>
      <w:r w:rsidRPr="00575CDC">
        <w:rPr>
          <w:rFonts w:ascii="Arial" w:hAnsi="Arial" w:cs="Arial"/>
          <w:color w:val="000000" w:themeColor="text1"/>
        </w:rPr>
        <w:t xml:space="preserve">Despite the evolution and advancement of many healthcare services, coronary heart disease (CHD) continues to be one of the major factors leading to both morbidity and mortality in the world, thus burdening individuals, communities and healthcare systems. Clinical assessment, diagnostic investigations and </w:t>
      </w:r>
      <w:r w:rsidR="00AA7C33" w:rsidRPr="00575CDC">
        <w:rPr>
          <w:rFonts w:ascii="Arial" w:hAnsi="Arial" w:cs="Arial"/>
          <w:color w:val="000000" w:themeColor="text1"/>
        </w:rPr>
        <w:t>population-based</w:t>
      </w:r>
      <w:r w:rsidRPr="00575CDC">
        <w:rPr>
          <w:rFonts w:ascii="Arial" w:hAnsi="Arial" w:cs="Arial"/>
          <w:color w:val="000000" w:themeColor="text1"/>
        </w:rPr>
        <w:t xml:space="preserve"> surveillance are effective measures and monitoring, which lead to early diagnosis and timely intervention. In addition, primary prevention strategies, evidence-based pharmacologic therapy and surgery play a major role in the efforts to prevent disease progression and complications. While comprehensive medical treatment is necessary, there is a need for comprehensive support that extends beyond the medical aspects, as CHD has profound physical, psychological, social and economic consequences. Thus, the integrated, person-centred and multidisciplinary health and social care services play a crucial role in achieving better long-term health outcomes, improving quality of life and in reducing inequalities in cardiovascular care.</w:t>
      </w:r>
    </w:p>
    <w:p w14:paraId="5DB456B1" w14:textId="77777777" w:rsidR="00AA7C33" w:rsidRPr="00575CDC" w:rsidRDefault="00AA7C33" w:rsidP="00C26A08">
      <w:pPr>
        <w:spacing w:line="360" w:lineRule="auto"/>
        <w:rPr>
          <w:rFonts w:ascii="Arial" w:hAnsi="Arial" w:cs="Arial"/>
          <w:color w:val="000000" w:themeColor="text1"/>
        </w:rPr>
      </w:pPr>
      <w:r w:rsidRPr="00575CDC">
        <w:rPr>
          <w:rFonts w:ascii="Arial" w:hAnsi="Arial" w:cs="Arial"/>
          <w:color w:val="000000" w:themeColor="text1"/>
        </w:rPr>
        <w:br w:type="page"/>
      </w:r>
    </w:p>
    <w:p w14:paraId="672FD342" w14:textId="678F29F7" w:rsidR="00FA72BE" w:rsidRPr="00575CDC" w:rsidRDefault="00A2108F" w:rsidP="00C26A08">
      <w:pPr>
        <w:pStyle w:val="Heading1"/>
        <w:rPr>
          <w:rFonts w:ascii="Arial" w:hAnsi="Arial" w:cs="Arial"/>
          <w:color w:val="000000" w:themeColor="text1"/>
          <w:sz w:val="22"/>
          <w:szCs w:val="22"/>
        </w:rPr>
      </w:pPr>
      <w:bookmarkStart w:id="6" w:name="_Toc236760105"/>
      <w:r w:rsidRPr="00575CDC">
        <w:rPr>
          <w:rFonts w:ascii="Arial" w:hAnsi="Arial" w:cs="Arial"/>
          <w:color w:val="000000" w:themeColor="text1"/>
          <w:sz w:val="22"/>
          <w:szCs w:val="22"/>
        </w:rPr>
        <w:t>Reference</w:t>
      </w:r>
      <w:bookmarkEnd w:id="6"/>
      <w:r w:rsidRPr="00575CDC">
        <w:rPr>
          <w:rFonts w:ascii="Arial" w:hAnsi="Arial" w:cs="Arial"/>
          <w:color w:val="000000" w:themeColor="text1"/>
          <w:sz w:val="22"/>
          <w:szCs w:val="22"/>
        </w:rPr>
        <w:t xml:space="preserve"> </w:t>
      </w:r>
    </w:p>
    <w:p w14:paraId="30C8839D" w14:textId="77777777" w:rsidR="00FA72BE" w:rsidRPr="00575CDC" w:rsidRDefault="00FA72BE" w:rsidP="00C26A08">
      <w:pPr>
        <w:spacing w:line="360" w:lineRule="auto"/>
        <w:ind w:left="720" w:hanging="720"/>
        <w:jc w:val="both"/>
        <w:rPr>
          <w:rFonts w:ascii="Arial" w:hAnsi="Arial" w:cs="Arial"/>
          <w:color w:val="000000" w:themeColor="text1"/>
        </w:rPr>
      </w:pPr>
      <w:r w:rsidRPr="00575CDC">
        <w:rPr>
          <w:rFonts w:ascii="Arial" w:hAnsi="Arial" w:cs="Arial"/>
          <w:color w:val="000000" w:themeColor="text1"/>
        </w:rPr>
        <w:t>Arnett, D.K., Blumenthal, R.S., Albert, M.A., Buroker, A.B., Goldberger, Z.D., Hahn, E.J., Himmelfarb, C.D., Khera, A., Lloyd-Jones, D., McEvoy, J.W. and Michos, E.D., 2019. 2019 ACC/AHA guideline on the primary prevention of cardiovascular disease: a report of the American College of Cardiology/American Heart Association Task Force on Clinical Practice Guidelines. </w:t>
      </w:r>
      <w:r w:rsidRPr="00575CDC">
        <w:rPr>
          <w:rFonts w:ascii="Arial" w:hAnsi="Arial" w:cs="Arial"/>
          <w:i/>
          <w:iCs/>
          <w:color w:val="000000" w:themeColor="text1"/>
        </w:rPr>
        <w:t>circulation</w:t>
      </w:r>
      <w:r w:rsidRPr="00575CDC">
        <w:rPr>
          <w:rFonts w:ascii="Arial" w:hAnsi="Arial" w:cs="Arial"/>
          <w:color w:val="000000" w:themeColor="text1"/>
        </w:rPr>
        <w:t>, </w:t>
      </w:r>
      <w:r w:rsidRPr="00575CDC">
        <w:rPr>
          <w:rFonts w:ascii="Arial" w:hAnsi="Arial" w:cs="Arial"/>
          <w:i/>
          <w:iCs/>
          <w:color w:val="000000" w:themeColor="text1"/>
        </w:rPr>
        <w:t>140</w:t>
      </w:r>
      <w:r w:rsidRPr="00575CDC">
        <w:rPr>
          <w:rFonts w:ascii="Arial" w:hAnsi="Arial" w:cs="Arial"/>
          <w:color w:val="000000" w:themeColor="text1"/>
        </w:rPr>
        <w:t>(11), pp.e596-e646.</w:t>
      </w:r>
    </w:p>
    <w:p w14:paraId="176DE273" w14:textId="77777777" w:rsidR="00FA72BE" w:rsidRPr="00575CDC" w:rsidRDefault="00FA72BE" w:rsidP="00C26A08">
      <w:pPr>
        <w:spacing w:line="360" w:lineRule="auto"/>
        <w:ind w:left="720" w:hanging="720"/>
        <w:jc w:val="both"/>
        <w:rPr>
          <w:rFonts w:ascii="Arial" w:hAnsi="Arial" w:cs="Arial"/>
          <w:color w:val="000000" w:themeColor="text1"/>
        </w:rPr>
      </w:pPr>
      <w:r w:rsidRPr="00575CDC">
        <w:rPr>
          <w:rFonts w:ascii="Arial" w:hAnsi="Arial" w:cs="Arial"/>
          <w:color w:val="000000" w:themeColor="text1"/>
        </w:rPr>
        <w:t xml:space="preserve">Brandt, E.J., Tobb, K., Cambron, J.C., Ferdinand, K., Douglass, P., Nguyen, P.K., Vijayaraghavan, K., Islam, S., Thamman, R., Rahman, S. and </w:t>
      </w:r>
      <w:proofErr w:type="spellStart"/>
      <w:r w:rsidRPr="00575CDC">
        <w:rPr>
          <w:rFonts w:ascii="Arial" w:hAnsi="Arial" w:cs="Arial"/>
          <w:color w:val="000000" w:themeColor="text1"/>
        </w:rPr>
        <w:t>Pendyal</w:t>
      </w:r>
      <w:proofErr w:type="spellEnd"/>
      <w:r w:rsidRPr="00575CDC">
        <w:rPr>
          <w:rFonts w:ascii="Arial" w:hAnsi="Arial" w:cs="Arial"/>
          <w:color w:val="000000" w:themeColor="text1"/>
        </w:rPr>
        <w:t>, A., 2023. Assessing and addressing social determinants of cardiovascular health: JACC state-of-the-art review. </w:t>
      </w:r>
      <w:r w:rsidRPr="00575CDC">
        <w:rPr>
          <w:rFonts w:ascii="Arial" w:hAnsi="Arial" w:cs="Arial"/>
          <w:i/>
          <w:iCs/>
          <w:color w:val="000000" w:themeColor="text1"/>
        </w:rPr>
        <w:t>Journal of the American College of Cardiology</w:t>
      </w:r>
      <w:r w:rsidRPr="00575CDC">
        <w:rPr>
          <w:rFonts w:ascii="Arial" w:hAnsi="Arial" w:cs="Arial"/>
          <w:color w:val="000000" w:themeColor="text1"/>
        </w:rPr>
        <w:t>, </w:t>
      </w:r>
      <w:r w:rsidRPr="00575CDC">
        <w:rPr>
          <w:rFonts w:ascii="Arial" w:hAnsi="Arial" w:cs="Arial"/>
          <w:i/>
          <w:iCs/>
          <w:color w:val="000000" w:themeColor="text1"/>
        </w:rPr>
        <w:t>81</w:t>
      </w:r>
      <w:r w:rsidRPr="00575CDC">
        <w:rPr>
          <w:rFonts w:ascii="Arial" w:hAnsi="Arial" w:cs="Arial"/>
          <w:color w:val="000000" w:themeColor="text1"/>
        </w:rPr>
        <w:t>(14), pp.1368-1385.</w:t>
      </w:r>
    </w:p>
    <w:p w14:paraId="6D950308" w14:textId="77777777" w:rsidR="00FA72BE" w:rsidRPr="00575CDC" w:rsidRDefault="00FA72BE" w:rsidP="00C26A08">
      <w:pPr>
        <w:spacing w:line="360" w:lineRule="auto"/>
        <w:ind w:left="720" w:hanging="720"/>
        <w:jc w:val="both"/>
        <w:rPr>
          <w:rFonts w:ascii="Arial" w:hAnsi="Arial" w:cs="Arial"/>
          <w:color w:val="000000" w:themeColor="text1"/>
        </w:rPr>
      </w:pPr>
      <w:r w:rsidRPr="00575CDC">
        <w:rPr>
          <w:rFonts w:ascii="Arial" w:hAnsi="Arial" w:cs="Arial"/>
          <w:color w:val="000000" w:themeColor="text1"/>
        </w:rPr>
        <w:t xml:space="preserve">British Heart Foundation. 2025. Cardiovascular Disease Statistics 2025. [Online] Available at: </w:t>
      </w:r>
      <w:hyperlink r:id="rId7" w:history="1">
        <w:r w:rsidRPr="00575CDC">
          <w:rPr>
            <w:rStyle w:val="Hyperlink"/>
            <w:rFonts w:ascii="Arial" w:hAnsi="Arial" w:cs="Arial"/>
            <w:color w:val="000000" w:themeColor="text1"/>
          </w:rPr>
          <w:t>https://www.bhf.org.uk/what-we-do/our-research/heart-statistics/heart-statistics-publications/cardiovascular-disease-statistics-2025</w:t>
        </w:r>
      </w:hyperlink>
    </w:p>
    <w:p w14:paraId="08A23F06" w14:textId="77777777" w:rsidR="00FA72BE" w:rsidRPr="00575CDC" w:rsidRDefault="00FA72BE" w:rsidP="00C26A08">
      <w:pPr>
        <w:spacing w:line="360" w:lineRule="auto"/>
        <w:ind w:left="720" w:hanging="720"/>
        <w:jc w:val="both"/>
        <w:rPr>
          <w:rFonts w:ascii="Arial" w:hAnsi="Arial" w:cs="Arial"/>
          <w:color w:val="000000" w:themeColor="text1"/>
        </w:rPr>
      </w:pPr>
      <w:r w:rsidRPr="00575CDC">
        <w:rPr>
          <w:rFonts w:ascii="Arial" w:hAnsi="Arial" w:cs="Arial"/>
          <w:color w:val="000000" w:themeColor="text1"/>
        </w:rPr>
        <w:t xml:space="preserve">Dalir, Z., Heydari, A., </w:t>
      </w:r>
      <w:proofErr w:type="spellStart"/>
      <w:r w:rsidRPr="00575CDC">
        <w:rPr>
          <w:rFonts w:ascii="Arial" w:hAnsi="Arial" w:cs="Arial"/>
          <w:color w:val="000000" w:themeColor="text1"/>
        </w:rPr>
        <w:t>Kareshki</w:t>
      </w:r>
      <w:proofErr w:type="spellEnd"/>
      <w:r w:rsidRPr="00575CDC">
        <w:rPr>
          <w:rFonts w:ascii="Arial" w:hAnsi="Arial" w:cs="Arial"/>
          <w:color w:val="000000" w:themeColor="text1"/>
        </w:rPr>
        <w:t>, H. and Manzari, Z.S., 2020. Coping with caregiving stress in families of children with congenital heart disease: A qualitative study. </w:t>
      </w:r>
      <w:r w:rsidRPr="00575CDC">
        <w:rPr>
          <w:rFonts w:ascii="Arial" w:hAnsi="Arial" w:cs="Arial"/>
          <w:i/>
          <w:iCs/>
          <w:color w:val="000000" w:themeColor="text1"/>
        </w:rPr>
        <w:t>International journal of community based nursing and midwifery</w:t>
      </w:r>
      <w:r w:rsidRPr="00575CDC">
        <w:rPr>
          <w:rFonts w:ascii="Arial" w:hAnsi="Arial" w:cs="Arial"/>
          <w:color w:val="000000" w:themeColor="text1"/>
        </w:rPr>
        <w:t>, </w:t>
      </w:r>
      <w:r w:rsidRPr="00575CDC">
        <w:rPr>
          <w:rFonts w:ascii="Arial" w:hAnsi="Arial" w:cs="Arial"/>
          <w:i/>
          <w:iCs/>
          <w:color w:val="000000" w:themeColor="text1"/>
        </w:rPr>
        <w:t>8</w:t>
      </w:r>
      <w:r w:rsidRPr="00575CDC">
        <w:rPr>
          <w:rFonts w:ascii="Arial" w:hAnsi="Arial" w:cs="Arial"/>
          <w:color w:val="000000" w:themeColor="text1"/>
        </w:rPr>
        <w:t>(2), p.127.</w:t>
      </w:r>
    </w:p>
    <w:p w14:paraId="5358790F" w14:textId="77777777" w:rsidR="00FA72BE" w:rsidRPr="00575CDC" w:rsidRDefault="00FA72BE" w:rsidP="00C26A08">
      <w:pPr>
        <w:spacing w:line="360" w:lineRule="auto"/>
        <w:ind w:left="720" w:hanging="720"/>
        <w:jc w:val="both"/>
        <w:rPr>
          <w:rFonts w:ascii="Arial" w:hAnsi="Arial" w:cs="Arial"/>
          <w:color w:val="000000" w:themeColor="text1"/>
        </w:rPr>
      </w:pPr>
      <w:r w:rsidRPr="00575CDC">
        <w:rPr>
          <w:rFonts w:ascii="Arial" w:hAnsi="Arial" w:cs="Arial"/>
          <w:color w:val="000000" w:themeColor="text1"/>
        </w:rPr>
        <w:t>Hippisley-Cox, J., Coupland, C. and Brindle, P., 2017. Development and validation of QRISK3 risk prediction algorithms to estimate future risk of cardiovascular disease: prospective cohort study. </w:t>
      </w:r>
      <w:proofErr w:type="spellStart"/>
      <w:r w:rsidRPr="00575CDC">
        <w:rPr>
          <w:rFonts w:ascii="Arial" w:hAnsi="Arial" w:cs="Arial"/>
          <w:i/>
          <w:iCs/>
          <w:color w:val="000000" w:themeColor="text1"/>
        </w:rPr>
        <w:t>bmj</w:t>
      </w:r>
      <w:proofErr w:type="spellEnd"/>
      <w:r w:rsidRPr="00575CDC">
        <w:rPr>
          <w:rFonts w:ascii="Arial" w:hAnsi="Arial" w:cs="Arial"/>
          <w:color w:val="000000" w:themeColor="text1"/>
        </w:rPr>
        <w:t>, </w:t>
      </w:r>
      <w:r w:rsidRPr="00575CDC">
        <w:rPr>
          <w:rFonts w:ascii="Arial" w:hAnsi="Arial" w:cs="Arial"/>
          <w:i/>
          <w:iCs/>
          <w:color w:val="000000" w:themeColor="text1"/>
        </w:rPr>
        <w:t>357</w:t>
      </w:r>
      <w:r w:rsidRPr="00575CDC">
        <w:rPr>
          <w:rFonts w:ascii="Arial" w:hAnsi="Arial" w:cs="Arial"/>
          <w:color w:val="000000" w:themeColor="text1"/>
        </w:rPr>
        <w:t>.</w:t>
      </w:r>
    </w:p>
    <w:p w14:paraId="042910EA" w14:textId="77777777" w:rsidR="00FA72BE" w:rsidRPr="00575CDC" w:rsidRDefault="00FA72BE" w:rsidP="00C26A08">
      <w:pPr>
        <w:spacing w:line="360" w:lineRule="auto"/>
        <w:ind w:left="720" w:hanging="720"/>
        <w:jc w:val="both"/>
        <w:rPr>
          <w:rFonts w:ascii="Arial" w:hAnsi="Arial" w:cs="Arial"/>
          <w:color w:val="000000" w:themeColor="text1"/>
        </w:rPr>
      </w:pPr>
      <w:r w:rsidRPr="00575CDC">
        <w:rPr>
          <w:rFonts w:ascii="Arial" w:hAnsi="Arial" w:cs="Arial"/>
          <w:color w:val="000000" w:themeColor="text1"/>
        </w:rPr>
        <w:t>Marmot, M., 2020. Health equity in England: the Marmot review 10 years on. </w:t>
      </w:r>
      <w:proofErr w:type="spellStart"/>
      <w:r w:rsidRPr="00575CDC">
        <w:rPr>
          <w:rFonts w:ascii="Arial" w:hAnsi="Arial" w:cs="Arial"/>
          <w:i/>
          <w:iCs/>
          <w:color w:val="000000" w:themeColor="text1"/>
        </w:rPr>
        <w:t>Bmj</w:t>
      </w:r>
      <w:proofErr w:type="spellEnd"/>
      <w:r w:rsidRPr="00575CDC">
        <w:rPr>
          <w:rFonts w:ascii="Arial" w:hAnsi="Arial" w:cs="Arial"/>
          <w:color w:val="000000" w:themeColor="text1"/>
        </w:rPr>
        <w:t>, </w:t>
      </w:r>
      <w:r w:rsidRPr="00575CDC">
        <w:rPr>
          <w:rFonts w:ascii="Arial" w:hAnsi="Arial" w:cs="Arial"/>
          <w:i/>
          <w:iCs/>
          <w:color w:val="000000" w:themeColor="text1"/>
        </w:rPr>
        <w:t>368</w:t>
      </w:r>
      <w:r w:rsidRPr="00575CDC">
        <w:rPr>
          <w:rFonts w:ascii="Arial" w:hAnsi="Arial" w:cs="Arial"/>
          <w:color w:val="000000" w:themeColor="text1"/>
        </w:rPr>
        <w:t>.</w:t>
      </w:r>
    </w:p>
    <w:p w14:paraId="367A9A07" w14:textId="77777777" w:rsidR="00FA72BE" w:rsidRPr="00575CDC" w:rsidRDefault="00FA72BE" w:rsidP="00C26A08">
      <w:pPr>
        <w:spacing w:line="360" w:lineRule="auto"/>
        <w:ind w:left="720" w:hanging="720"/>
        <w:jc w:val="both"/>
        <w:rPr>
          <w:rFonts w:ascii="Arial" w:hAnsi="Arial" w:cs="Arial"/>
          <w:color w:val="000000" w:themeColor="text1"/>
        </w:rPr>
      </w:pPr>
      <w:r w:rsidRPr="00575CDC">
        <w:rPr>
          <w:rFonts w:ascii="Arial" w:hAnsi="Arial" w:cs="Arial"/>
          <w:color w:val="000000" w:themeColor="text1"/>
        </w:rPr>
        <w:t xml:space="preserve">National Institute for Health and Care Excellence. 2023. </w:t>
      </w:r>
      <w:r w:rsidRPr="00575CDC">
        <w:rPr>
          <w:rFonts w:ascii="Arial" w:hAnsi="Arial" w:cs="Arial"/>
          <w:i/>
          <w:iCs/>
          <w:color w:val="000000" w:themeColor="text1"/>
        </w:rPr>
        <w:t>Cardiovascular disease: risk assessment and reduction, including lipid modification (NG238)</w:t>
      </w:r>
      <w:r w:rsidRPr="00575CDC">
        <w:rPr>
          <w:rFonts w:ascii="Arial" w:hAnsi="Arial" w:cs="Arial"/>
          <w:color w:val="000000" w:themeColor="text1"/>
        </w:rPr>
        <w:t xml:space="preserve">. London: NICE. Available at: </w:t>
      </w:r>
      <w:hyperlink r:id="rId8" w:history="1">
        <w:r w:rsidRPr="00575CDC">
          <w:rPr>
            <w:rStyle w:val="Hyperlink"/>
            <w:rFonts w:ascii="Arial" w:hAnsi="Arial" w:cs="Arial"/>
            <w:color w:val="000000" w:themeColor="text1"/>
          </w:rPr>
          <w:t>https://www.nice.org.uk/guidance/ng238</w:t>
        </w:r>
      </w:hyperlink>
    </w:p>
    <w:p w14:paraId="1873E127" w14:textId="77777777" w:rsidR="00FA72BE" w:rsidRPr="00575CDC" w:rsidRDefault="00FA72BE" w:rsidP="00C26A08">
      <w:pPr>
        <w:spacing w:line="360" w:lineRule="auto"/>
        <w:ind w:left="720" w:hanging="720"/>
        <w:jc w:val="both"/>
        <w:rPr>
          <w:rFonts w:ascii="Arial" w:hAnsi="Arial" w:cs="Arial"/>
          <w:color w:val="000000" w:themeColor="text1"/>
        </w:rPr>
      </w:pPr>
      <w:r w:rsidRPr="00575CDC">
        <w:rPr>
          <w:rFonts w:ascii="Arial" w:hAnsi="Arial" w:cs="Arial"/>
          <w:color w:val="000000" w:themeColor="text1"/>
        </w:rPr>
        <w:t xml:space="preserve">National Institute for Health and Care Excellence. 2023. </w:t>
      </w:r>
      <w:r w:rsidRPr="00575CDC">
        <w:rPr>
          <w:rFonts w:ascii="Arial" w:hAnsi="Arial" w:cs="Arial"/>
          <w:i/>
          <w:iCs/>
          <w:color w:val="000000" w:themeColor="text1"/>
        </w:rPr>
        <w:t>Cardiovascular disease: risk assessment and reduction, including lipid modification (NG238)</w:t>
      </w:r>
      <w:r w:rsidRPr="00575CDC">
        <w:rPr>
          <w:rFonts w:ascii="Arial" w:hAnsi="Arial" w:cs="Arial"/>
          <w:color w:val="000000" w:themeColor="text1"/>
        </w:rPr>
        <w:t xml:space="preserve">. London: NICE. [Online] Available at: </w:t>
      </w:r>
      <w:hyperlink r:id="rId9" w:history="1">
        <w:r w:rsidRPr="00575CDC">
          <w:rPr>
            <w:rStyle w:val="Hyperlink"/>
            <w:rFonts w:ascii="Arial" w:hAnsi="Arial" w:cs="Arial"/>
            <w:color w:val="000000" w:themeColor="text1"/>
          </w:rPr>
          <w:t>https://www.nice.org.uk/guidance/cg95</w:t>
        </w:r>
      </w:hyperlink>
    </w:p>
    <w:p w14:paraId="30914A25" w14:textId="77777777" w:rsidR="00FA72BE" w:rsidRPr="00575CDC" w:rsidRDefault="00FA72BE" w:rsidP="00C26A08">
      <w:pPr>
        <w:spacing w:line="360" w:lineRule="auto"/>
        <w:ind w:left="720" w:hanging="720"/>
        <w:jc w:val="both"/>
        <w:rPr>
          <w:rFonts w:ascii="Arial" w:hAnsi="Arial" w:cs="Arial"/>
          <w:color w:val="000000" w:themeColor="text1"/>
        </w:rPr>
      </w:pPr>
      <w:r w:rsidRPr="00575CDC">
        <w:rPr>
          <w:rFonts w:ascii="Arial" w:hAnsi="Arial" w:cs="Arial"/>
          <w:color w:val="000000" w:themeColor="text1"/>
        </w:rPr>
        <w:t xml:space="preserve">NHS England. 2023. </w:t>
      </w:r>
      <w:r w:rsidRPr="00575CDC">
        <w:rPr>
          <w:rFonts w:ascii="Arial" w:hAnsi="Arial" w:cs="Arial"/>
          <w:i/>
          <w:iCs/>
          <w:color w:val="000000" w:themeColor="text1"/>
        </w:rPr>
        <w:t>The NHS Long Term Plan</w:t>
      </w:r>
      <w:r w:rsidRPr="00575CDC">
        <w:rPr>
          <w:rFonts w:ascii="Arial" w:hAnsi="Arial" w:cs="Arial"/>
          <w:color w:val="000000" w:themeColor="text1"/>
        </w:rPr>
        <w:t xml:space="preserve">. Available at: </w:t>
      </w:r>
      <w:hyperlink r:id="rId10" w:history="1">
        <w:r w:rsidRPr="00575CDC">
          <w:rPr>
            <w:rStyle w:val="Hyperlink"/>
            <w:rFonts w:ascii="Arial" w:hAnsi="Arial" w:cs="Arial"/>
            <w:color w:val="000000" w:themeColor="text1"/>
          </w:rPr>
          <w:t>https://webarchive.nationalarchives.gov.uk/ukgwa/20250511091243/https://www.longtermplan.nhs.uk/</w:t>
        </w:r>
      </w:hyperlink>
    </w:p>
    <w:p w14:paraId="50D63107" w14:textId="77777777" w:rsidR="00FA72BE" w:rsidRPr="00575CDC" w:rsidRDefault="00FA72BE" w:rsidP="00C26A08">
      <w:pPr>
        <w:spacing w:line="360" w:lineRule="auto"/>
        <w:ind w:left="720" w:hanging="720"/>
        <w:jc w:val="both"/>
        <w:rPr>
          <w:rFonts w:ascii="Arial" w:hAnsi="Arial" w:cs="Arial"/>
          <w:color w:val="000000" w:themeColor="text1"/>
        </w:rPr>
      </w:pPr>
      <w:r w:rsidRPr="00575CDC">
        <w:rPr>
          <w:rFonts w:ascii="Arial" w:hAnsi="Arial" w:cs="Arial"/>
          <w:color w:val="000000" w:themeColor="text1"/>
        </w:rPr>
        <w:t xml:space="preserve">NHS England. 2024. </w:t>
      </w:r>
      <w:r w:rsidRPr="00575CDC">
        <w:rPr>
          <w:rFonts w:ascii="Arial" w:hAnsi="Arial" w:cs="Arial"/>
          <w:i/>
          <w:iCs/>
          <w:color w:val="000000" w:themeColor="text1"/>
        </w:rPr>
        <w:t>NHS Health Check programme</w:t>
      </w:r>
      <w:r w:rsidRPr="00575CDC">
        <w:rPr>
          <w:rFonts w:ascii="Arial" w:hAnsi="Arial" w:cs="Arial"/>
          <w:color w:val="000000" w:themeColor="text1"/>
        </w:rPr>
        <w:t xml:space="preserve">. [Online] Available at: </w:t>
      </w:r>
      <w:hyperlink r:id="rId11" w:history="1">
        <w:r w:rsidRPr="00575CDC">
          <w:rPr>
            <w:rStyle w:val="Hyperlink"/>
            <w:rFonts w:ascii="Arial" w:hAnsi="Arial" w:cs="Arial"/>
            <w:color w:val="000000" w:themeColor="text1"/>
          </w:rPr>
          <w:t>https://www.healthcheck.nhs.uk/</w:t>
        </w:r>
      </w:hyperlink>
    </w:p>
    <w:p w14:paraId="4423AD3D" w14:textId="77777777" w:rsidR="00FA72BE" w:rsidRPr="00575CDC" w:rsidRDefault="00FA72BE" w:rsidP="00C26A08">
      <w:pPr>
        <w:spacing w:line="360" w:lineRule="auto"/>
        <w:ind w:left="720" w:hanging="720"/>
        <w:jc w:val="both"/>
        <w:rPr>
          <w:rFonts w:ascii="Arial" w:hAnsi="Arial" w:cs="Arial"/>
          <w:color w:val="000000" w:themeColor="text1"/>
        </w:rPr>
      </w:pPr>
      <w:r w:rsidRPr="00575CDC">
        <w:rPr>
          <w:rFonts w:ascii="Arial" w:hAnsi="Arial" w:cs="Arial"/>
          <w:color w:val="000000" w:themeColor="text1"/>
        </w:rPr>
        <w:t xml:space="preserve">Office for National Statistics (2024) </w:t>
      </w:r>
      <w:r w:rsidRPr="00575CDC">
        <w:rPr>
          <w:rFonts w:ascii="Arial" w:hAnsi="Arial" w:cs="Arial"/>
          <w:i/>
          <w:iCs/>
          <w:color w:val="000000" w:themeColor="text1"/>
        </w:rPr>
        <w:t xml:space="preserve">Deaths registered in England and Wales: 2023. </w:t>
      </w:r>
      <w:r w:rsidRPr="00575CDC">
        <w:rPr>
          <w:rFonts w:ascii="Arial" w:hAnsi="Arial" w:cs="Arial"/>
          <w:color w:val="000000" w:themeColor="text1"/>
        </w:rPr>
        <w:t xml:space="preserve">[Online] Available at: </w:t>
      </w:r>
      <w:hyperlink r:id="rId12" w:history="1">
        <w:r w:rsidRPr="00575CDC">
          <w:rPr>
            <w:rStyle w:val="Hyperlink"/>
            <w:rFonts w:ascii="Arial" w:hAnsi="Arial" w:cs="Arial"/>
            <w:color w:val="000000" w:themeColor="text1"/>
          </w:rPr>
          <w:t>https://www.ons.gov.uk/peoplepopulationandcommunity/birthsdeathsandmarriages/deaths/bulletins/deathsregistrationsummarytables/2024</w:t>
        </w:r>
      </w:hyperlink>
    </w:p>
    <w:p w14:paraId="27B9D2E1" w14:textId="77777777" w:rsidR="00FA72BE" w:rsidRPr="00575CDC" w:rsidRDefault="00FA72BE" w:rsidP="00C26A08">
      <w:pPr>
        <w:spacing w:line="360" w:lineRule="auto"/>
        <w:ind w:left="720" w:hanging="720"/>
        <w:jc w:val="both"/>
        <w:rPr>
          <w:rFonts w:ascii="Arial" w:hAnsi="Arial" w:cs="Arial"/>
          <w:color w:val="000000" w:themeColor="text1"/>
        </w:rPr>
      </w:pPr>
      <w:r w:rsidRPr="00575CDC">
        <w:rPr>
          <w:rFonts w:ascii="Arial" w:hAnsi="Arial" w:cs="Arial"/>
          <w:color w:val="000000" w:themeColor="text1"/>
        </w:rPr>
        <w:t xml:space="preserve">Papadopoulos, C.H., Oikonomidis, D., Lazaris, E. and </w:t>
      </w:r>
      <w:proofErr w:type="spellStart"/>
      <w:r w:rsidRPr="00575CDC">
        <w:rPr>
          <w:rFonts w:ascii="Arial" w:hAnsi="Arial" w:cs="Arial"/>
          <w:color w:val="000000" w:themeColor="text1"/>
        </w:rPr>
        <w:t>Nihoyannopoulos</w:t>
      </w:r>
      <w:proofErr w:type="spellEnd"/>
      <w:r w:rsidRPr="00575CDC">
        <w:rPr>
          <w:rFonts w:ascii="Arial" w:hAnsi="Arial" w:cs="Arial"/>
          <w:color w:val="000000" w:themeColor="text1"/>
        </w:rPr>
        <w:t>, P., 2018. Echocardiography and cardiac arrhythmias. </w:t>
      </w:r>
      <w:r w:rsidRPr="00575CDC">
        <w:rPr>
          <w:rFonts w:ascii="Arial" w:hAnsi="Arial" w:cs="Arial"/>
          <w:i/>
          <w:iCs/>
          <w:color w:val="000000" w:themeColor="text1"/>
        </w:rPr>
        <w:t>Hellenic Journal of Cardiology</w:t>
      </w:r>
      <w:r w:rsidRPr="00575CDC">
        <w:rPr>
          <w:rFonts w:ascii="Arial" w:hAnsi="Arial" w:cs="Arial"/>
          <w:color w:val="000000" w:themeColor="text1"/>
        </w:rPr>
        <w:t>, </w:t>
      </w:r>
      <w:r w:rsidRPr="00575CDC">
        <w:rPr>
          <w:rFonts w:ascii="Arial" w:hAnsi="Arial" w:cs="Arial"/>
          <w:i/>
          <w:iCs/>
          <w:color w:val="000000" w:themeColor="text1"/>
        </w:rPr>
        <w:t>59</w:t>
      </w:r>
      <w:r w:rsidRPr="00575CDC">
        <w:rPr>
          <w:rFonts w:ascii="Arial" w:hAnsi="Arial" w:cs="Arial"/>
          <w:color w:val="000000" w:themeColor="text1"/>
        </w:rPr>
        <w:t>(3), pp.140-149.</w:t>
      </w:r>
    </w:p>
    <w:p w14:paraId="1EDBD3CA" w14:textId="77777777" w:rsidR="00FA72BE" w:rsidRPr="00575CDC" w:rsidRDefault="00FA72BE" w:rsidP="00C26A08">
      <w:pPr>
        <w:spacing w:line="360" w:lineRule="auto"/>
        <w:ind w:left="720" w:hanging="720"/>
        <w:jc w:val="both"/>
        <w:rPr>
          <w:rFonts w:ascii="Arial" w:hAnsi="Arial" w:cs="Arial"/>
          <w:color w:val="000000" w:themeColor="text1"/>
        </w:rPr>
      </w:pPr>
      <w:r w:rsidRPr="00575CDC">
        <w:rPr>
          <w:rFonts w:ascii="Arial" w:hAnsi="Arial" w:cs="Arial"/>
          <w:color w:val="000000" w:themeColor="text1"/>
        </w:rPr>
        <w:t xml:space="preserve">Rossi, L.P., Granger, B.B., Bruckel, J.T., Crabbe, D.L., Graven, L.J., Newlin, K.S., Streur, M.M., </w:t>
      </w:r>
      <w:proofErr w:type="spellStart"/>
      <w:r w:rsidRPr="00575CDC">
        <w:rPr>
          <w:rFonts w:ascii="Arial" w:hAnsi="Arial" w:cs="Arial"/>
          <w:color w:val="000000" w:themeColor="text1"/>
        </w:rPr>
        <w:t>Vadiveloo</w:t>
      </w:r>
      <w:proofErr w:type="spellEnd"/>
      <w:r w:rsidRPr="00575CDC">
        <w:rPr>
          <w:rFonts w:ascii="Arial" w:hAnsi="Arial" w:cs="Arial"/>
          <w:color w:val="000000" w:themeColor="text1"/>
        </w:rPr>
        <w:t xml:space="preserve">, M.K., Walton-Moss, B.J., Warden, B.A. and </w:t>
      </w:r>
      <w:proofErr w:type="spellStart"/>
      <w:r w:rsidRPr="00575CDC">
        <w:rPr>
          <w:rFonts w:ascii="Arial" w:hAnsi="Arial" w:cs="Arial"/>
          <w:color w:val="000000" w:themeColor="text1"/>
        </w:rPr>
        <w:t>Volgman</w:t>
      </w:r>
      <w:proofErr w:type="spellEnd"/>
      <w:r w:rsidRPr="00575CDC">
        <w:rPr>
          <w:rFonts w:ascii="Arial" w:hAnsi="Arial" w:cs="Arial"/>
          <w:color w:val="000000" w:themeColor="text1"/>
        </w:rPr>
        <w:t>, A.S., 2023. Person-</w:t>
      </w:r>
      <w:proofErr w:type="spellStart"/>
      <w:r w:rsidRPr="00575CDC">
        <w:rPr>
          <w:rFonts w:ascii="Arial" w:hAnsi="Arial" w:cs="Arial"/>
          <w:color w:val="000000" w:themeColor="text1"/>
        </w:rPr>
        <w:t>centered</w:t>
      </w:r>
      <w:proofErr w:type="spellEnd"/>
      <w:r w:rsidRPr="00575CDC">
        <w:rPr>
          <w:rFonts w:ascii="Arial" w:hAnsi="Arial" w:cs="Arial"/>
          <w:color w:val="000000" w:themeColor="text1"/>
        </w:rPr>
        <w:t xml:space="preserve"> models for cardiovascular care: a review of the evidence: a scientific statement from the American Heart Association. </w:t>
      </w:r>
      <w:r w:rsidRPr="00575CDC">
        <w:rPr>
          <w:rFonts w:ascii="Arial" w:hAnsi="Arial" w:cs="Arial"/>
          <w:i/>
          <w:iCs/>
          <w:color w:val="000000" w:themeColor="text1"/>
        </w:rPr>
        <w:t>Circulation</w:t>
      </w:r>
      <w:r w:rsidRPr="00575CDC">
        <w:rPr>
          <w:rFonts w:ascii="Arial" w:hAnsi="Arial" w:cs="Arial"/>
          <w:color w:val="000000" w:themeColor="text1"/>
        </w:rPr>
        <w:t>, </w:t>
      </w:r>
      <w:r w:rsidRPr="00575CDC">
        <w:rPr>
          <w:rFonts w:ascii="Arial" w:hAnsi="Arial" w:cs="Arial"/>
          <w:i/>
          <w:iCs/>
          <w:color w:val="000000" w:themeColor="text1"/>
        </w:rPr>
        <w:t>148</w:t>
      </w:r>
      <w:r w:rsidRPr="00575CDC">
        <w:rPr>
          <w:rFonts w:ascii="Arial" w:hAnsi="Arial" w:cs="Arial"/>
          <w:color w:val="000000" w:themeColor="text1"/>
        </w:rPr>
        <w:t>(6), pp.512-542.</w:t>
      </w:r>
    </w:p>
    <w:p w14:paraId="72589BE2" w14:textId="77777777" w:rsidR="00FA72BE" w:rsidRPr="00575CDC" w:rsidRDefault="00FA72BE" w:rsidP="00C26A08">
      <w:pPr>
        <w:spacing w:line="360" w:lineRule="auto"/>
        <w:ind w:left="720" w:hanging="720"/>
        <w:jc w:val="both"/>
        <w:rPr>
          <w:rFonts w:ascii="Arial" w:hAnsi="Arial" w:cs="Arial"/>
          <w:color w:val="000000" w:themeColor="text1"/>
        </w:rPr>
      </w:pPr>
      <w:r w:rsidRPr="00575CDC">
        <w:rPr>
          <w:rFonts w:ascii="Arial" w:hAnsi="Arial" w:cs="Arial"/>
          <w:color w:val="000000" w:themeColor="text1"/>
        </w:rPr>
        <w:t xml:space="preserve">Singh, G.K., Daus, G.P., Allender, M., Ramey, C.T., Martin, E.K., Perry, C., De Los Reyes, A.A. and </w:t>
      </w:r>
      <w:proofErr w:type="spellStart"/>
      <w:r w:rsidRPr="00575CDC">
        <w:rPr>
          <w:rFonts w:ascii="Arial" w:hAnsi="Arial" w:cs="Arial"/>
          <w:color w:val="000000" w:themeColor="text1"/>
        </w:rPr>
        <w:t>Vedamuthu</w:t>
      </w:r>
      <w:proofErr w:type="spellEnd"/>
      <w:r w:rsidRPr="00575CDC">
        <w:rPr>
          <w:rFonts w:ascii="Arial" w:hAnsi="Arial" w:cs="Arial"/>
          <w:color w:val="000000" w:themeColor="text1"/>
        </w:rPr>
        <w:t>, I.P., 2017. Social determinants of health in the United States: addressing major health inequality trends for the nation, 1935-2016. </w:t>
      </w:r>
      <w:r w:rsidRPr="00575CDC">
        <w:rPr>
          <w:rFonts w:ascii="Arial" w:hAnsi="Arial" w:cs="Arial"/>
          <w:i/>
          <w:iCs/>
          <w:color w:val="000000" w:themeColor="text1"/>
        </w:rPr>
        <w:t>International Journal of MCH and AIDS</w:t>
      </w:r>
      <w:r w:rsidRPr="00575CDC">
        <w:rPr>
          <w:rFonts w:ascii="Arial" w:hAnsi="Arial" w:cs="Arial"/>
          <w:color w:val="000000" w:themeColor="text1"/>
        </w:rPr>
        <w:t>, </w:t>
      </w:r>
      <w:r w:rsidRPr="00575CDC">
        <w:rPr>
          <w:rFonts w:ascii="Arial" w:hAnsi="Arial" w:cs="Arial"/>
          <w:i/>
          <w:iCs/>
          <w:color w:val="000000" w:themeColor="text1"/>
        </w:rPr>
        <w:t>6</w:t>
      </w:r>
      <w:r w:rsidRPr="00575CDC">
        <w:rPr>
          <w:rFonts w:ascii="Arial" w:hAnsi="Arial" w:cs="Arial"/>
          <w:color w:val="000000" w:themeColor="text1"/>
        </w:rPr>
        <w:t>(2), p.139.</w:t>
      </w:r>
    </w:p>
    <w:p w14:paraId="4C613373" w14:textId="77777777" w:rsidR="00FA72BE" w:rsidRPr="00575CDC" w:rsidRDefault="00FA72BE" w:rsidP="00C26A08">
      <w:pPr>
        <w:spacing w:line="360" w:lineRule="auto"/>
        <w:ind w:left="720" w:hanging="720"/>
        <w:jc w:val="both"/>
        <w:rPr>
          <w:rFonts w:ascii="Arial" w:hAnsi="Arial" w:cs="Arial"/>
          <w:color w:val="000000" w:themeColor="text1"/>
        </w:rPr>
      </w:pPr>
      <w:proofErr w:type="spellStart"/>
      <w:r w:rsidRPr="00575CDC">
        <w:rPr>
          <w:rFonts w:ascii="Arial" w:hAnsi="Arial" w:cs="Arial"/>
          <w:color w:val="000000" w:themeColor="text1"/>
        </w:rPr>
        <w:t>Visseren</w:t>
      </w:r>
      <w:proofErr w:type="spellEnd"/>
      <w:r w:rsidRPr="00575CDC">
        <w:rPr>
          <w:rFonts w:ascii="Arial" w:hAnsi="Arial" w:cs="Arial"/>
          <w:color w:val="000000" w:themeColor="text1"/>
        </w:rPr>
        <w:t xml:space="preserve">, F.L., Mach, F., Smulders, Y.M., Carballo, D., Koskinas, K.C., Bäck, M., </w:t>
      </w:r>
      <w:proofErr w:type="spellStart"/>
      <w:r w:rsidRPr="00575CDC">
        <w:rPr>
          <w:rFonts w:ascii="Arial" w:hAnsi="Arial" w:cs="Arial"/>
          <w:color w:val="000000" w:themeColor="text1"/>
        </w:rPr>
        <w:t>Benetos</w:t>
      </w:r>
      <w:proofErr w:type="spellEnd"/>
      <w:r w:rsidRPr="00575CDC">
        <w:rPr>
          <w:rFonts w:ascii="Arial" w:hAnsi="Arial" w:cs="Arial"/>
          <w:color w:val="000000" w:themeColor="text1"/>
        </w:rPr>
        <w:t>, A., Biffi, A., Boavida, J.M., Capodanno, D. and Cosyns, B., 2021. 2021 ESC Guidelines on cardiovascular disease prevention in clinical practice. </w:t>
      </w:r>
      <w:proofErr w:type="spellStart"/>
      <w:r w:rsidRPr="00575CDC">
        <w:rPr>
          <w:rFonts w:ascii="Arial" w:hAnsi="Arial" w:cs="Arial"/>
          <w:i/>
          <w:iCs/>
          <w:color w:val="000000" w:themeColor="text1"/>
        </w:rPr>
        <w:t>Eur</w:t>
      </w:r>
      <w:proofErr w:type="spellEnd"/>
      <w:r w:rsidRPr="00575CDC">
        <w:rPr>
          <w:rFonts w:ascii="Arial" w:hAnsi="Arial" w:cs="Arial"/>
          <w:i/>
          <w:iCs/>
          <w:color w:val="000000" w:themeColor="text1"/>
        </w:rPr>
        <w:t xml:space="preserve"> Heart J</w:t>
      </w:r>
      <w:r w:rsidRPr="00575CDC">
        <w:rPr>
          <w:rFonts w:ascii="Arial" w:hAnsi="Arial" w:cs="Arial"/>
          <w:color w:val="000000" w:themeColor="text1"/>
        </w:rPr>
        <w:t>, </w:t>
      </w:r>
      <w:r w:rsidRPr="00575CDC">
        <w:rPr>
          <w:rFonts w:ascii="Arial" w:hAnsi="Arial" w:cs="Arial"/>
          <w:i/>
          <w:iCs/>
          <w:color w:val="000000" w:themeColor="text1"/>
        </w:rPr>
        <w:t>42</w:t>
      </w:r>
      <w:r w:rsidRPr="00575CDC">
        <w:rPr>
          <w:rFonts w:ascii="Arial" w:hAnsi="Arial" w:cs="Arial"/>
          <w:color w:val="000000" w:themeColor="text1"/>
        </w:rPr>
        <w:t>(34), pp.3227-3337.</w:t>
      </w:r>
    </w:p>
    <w:p w14:paraId="47FF907A" w14:textId="77777777" w:rsidR="00FA72BE" w:rsidRPr="00575CDC" w:rsidRDefault="00FA72BE" w:rsidP="00C26A08">
      <w:pPr>
        <w:spacing w:line="360" w:lineRule="auto"/>
        <w:ind w:left="720" w:hanging="720"/>
        <w:jc w:val="both"/>
        <w:rPr>
          <w:rFonts w:ascii="Arial" w:hAnsi="Arial" w:cs="Arial"/>
          <w:color w:val="000000" w:themeColor="text1"/>
        </w:rPr>
      </w:pPr>
      <w:proofErr w:type="spellStart"/>
      <w:r w:rsidRPr="00575CDC">
        <w:rPr>
          <w:rFonts w:ascii="Arial" w:hAnsi="Arial" w:cs="Arial"/>
          <w:color w:val="000000" w:themeColor="text1"/>
        </w:rPr>
        <w:t>Vrints</w:t>
      </w:r>
      <w:proofErr w:type="spellEnd"/>
      <w:r w:rsidRPr="00575CDC">
        <w:rPr>
          <w:rFonts w:ascii="Arial" w:hAnsi="Arial" w:cs="Arial"/>
          <w:color w:val="000000" w:themeColor="text1"/>
        </w:rPr>
        <w:t>, C., Andreotti, F., Koskinas, K.C., Rossello, X., Adamo, M., Ainslie, J., Banning, A.P., Budaj, A., Buechel, R.R., Chiariello, G.A. and Chieffo, A., 2024. 2024 ESC guidelines for the management of chronic coronary syndromes. </w:t>
      </w:r>
      <w:proofErr w:type="spellStart"/>
      <w:r w:rsidRPr="00575CDC">
        <w:rPr>
          <w:rFonts w:ascii="Arial" w:hAnsi="Arial" w:cs="Arial"/>
          <w:i/>
          <w:iCs/>
          <w:color w:val="000000" w:themeColor="text1"/>
        </w:rPr>
        <w:t>Eur</w:t>
      </w:r>
      <w:proofErr w:type="spellEnd"/>
      <w:r w:rsidRPr="00575CDC">
        <w:rPr>
          <w:rFonts w:ascii="Arial" w:hAnsi="Arial" w:cs="Arial"/>
          <w:i/>
          <w:iCs/>
          <w:color w:val="000000" w:themeColor="text1"/>
        </w:rPr>
        <w:t xml:space="preserve"> Heart J</w:t>
      </w:r>
      <w:r w:rsidRPr="00575CDC">
        <w:rPr>
          <w:rFonts w:ascii="Arial" w:hAnsi="Arial" w:cs="Arial"/>
          <w:color w:val="000000" w:themeColor="text1"/>
        </w:rPr>
        <w:t>, </w:t>
      </w:r>
      <w:r w:rsidRPr="00575CDC">
        <w:rPr>
          <w:rFonts w:ascii="Arial" w:hAnsi="Arial" w:cs="Arial"/>
          <w:i/>
          <w:iCs/>
          <w:color w:val="000000" w:themeColor="text1"/>
        </w:rPr>
        <w:t>45</w:t>
      </w:r>
      <w:r w:rsidRPr="00575CDC">
        <w:rPr>
          <w:rFonts w:ascii="Arial" w:hAnsi="Arial" w:cs="Arial"/>
          <w:color w:val="000000" w:themeColor="text1"/>
        </w:rPr>
        <w:t>(36), pp.3415-3537.</w:t>
      </w:r>
    </w:p>
    <w:p w14:paraId="32568006" w14:textId="77777777" w:rsidR="00FA72BE" w:rsidRPr="00575CDC" w:rsidRDefault="00FA72BE" w:rsidP="00C26A08">
      <w:pPr>
        <w:spacing w:line="360" w:lineRule="auto"/>
        <w:ind w:left="720" w:hanging="720"/>
        <w:jc w:val="both"/>
        <w:rPr>
          <w:rFonts w:ascii="Arial" w:hAnsi="Arial" w:cs="Arial"/>
          <w:color w:val="000000" w:themeColor="text1"/>
        </w:rPr>
      </w:pPr>
      <w:r w:rsidRPr="00575CDC">
        <w:rPr>
          <w:rFonts w:ascii="Arial" w:hAnsi="Arial" w:cs="Arial"/>
          <w:color w:val="000000" w:themeColor="text1"/>
        </w:rPr>
        <w:t xml:space="preserve">World Health Organization. 2023. </w:t>
      </w:r>
      <w:r w:rsidRPr="00575CDC">
        <w:rPr>
          <w:rFonts w:ascii="Arial" w:hAnsi="Arial" w:cs="Arial"/>
          <w:i/>
          <w:iCs/>
          <w:color w:val="000000" w:themeColor="text1"/>
        </w:rPr>
        <w:t>Cardiovascular diseases (CVDs)</w:t>
      </w:r>
      <w:r w:rsidRPr="00575CDC">
        <w:rPr>
          <w:rFonts w:ascii="Arial" w:hAnsi="Arial" w:cs="Arial"/>
          <w:color w:val="000000" w:themeColor="text1"/>
        </w:rPr>
        <w:t xml:space="preserve">. Geneva: World Health Organization. Available at: </w:t>
      </w:r>
      <w:hyperlink r:id="rId13" w:history="1">
        <w:r w:rsidRPr="00575CDC">
          <w:rPr>
            <w:rStyle w:val="Hyperlink"/>
            <w:rFonts w:ascii="Arial" w:hAnsi="Arial" w:cs="Arial"/>
            <w:color w:val="000000" w:themeColor="text1"/>
          </w:rPr>
          <w:t>https://www.who.int/news-room/fact-sheets/detail/cardiovascular-diseases-(cvds)</w:t>
        </w:r>
      </w:hyperlink>
    </w:p>
    <w:p w14:paraId="0247906C" w14:textId="3764A2B3" w:rsidR="00A2108F" w:rsidRPr="00575CDC" w:rsidRDefault="00FA72BE" w:rsidP="00C26A08">
      <w:pPr>
        <w:spacing w:line="360" w:lineRule="auto"/>
        <w:ind w:left="720" w:hanging="720"/>
        <w:jc w:val="both"/>
        <w:rPr>
          <w:rFonts w:ascii="Arial" w:hAnsi="Arial" w:cs="Arial"/>
          <w:color w:val="000000" w:themeColor="text1"/>
        </w:rPr>
      </w:pPr>
      <w:r w:rsidRPr="00575CDC">
        <w:rPr>
          <w:rFonts w:ascii="Arial" w:hAnsi="Arial" w:cs="Arial"/>
          <w:color w:val="000000" w:themeColor="text1"/>
        </w:rPr>
        <w:t xml:space="preserve">World Heart Federation. 2024. </w:t>
      </w:r>
      <w:r w:rsidRPr="00575CDC">
        <w:rPr>
          <w:rFonts w:ascii="Arial" w:hAnsi="Arial" w:cs="Arial"/>
          <w:i/>
          <w:iCs/>
          <w:color w:val="000000" w:themeColor="text1"/>
        </w:rPr>
        <w:t>World Heart Report 2024: From heart health to heart care</w:t>
      </w:r>
      <w:r w:rsidRPr="00575CDC">
        <w:rPr>
          <w:rFonts w:ascii="Arial" w:hAnsi="Arial" w:cs="Arial"/>
          <w:color w:val="000000" w:themeColor="text1"/>
        </w:rPr>
        <w:t xml:space="preserve">. Geneva: World Heart Federation. [Online] Available: </w:t>
      </w:r>
      <w:hyperlink r:id="rId14" w:history="1">
        <w:r w:rsidRPr="00575CDC">
          <w:rPr>
            <w:rStyle w:val="Hyperlink"/>
            <w:rFonts w:ascii="Arial" w:hAnsi="Arial" w:cs="Arial"/>
            <w:color w:val="000000" w:themeColor="text1"/>
          </w:rPr>
          <w:t>https://world-heart-federation.org/resources/world-heart-report-2024/</w:t>
        </w:r>
      </w:hyperlink>
    </w:p>
    <w:sectPr w:rsidR="00A2108F" w:rsidRPr="00575CDC" w:rsidSect="00575CDC">
      <w:headerReference w:type="default" r:id="rId1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8562D9" w14:textId="77777777" w:rsidR="009657E0" w:rsidRDefault="009657E0" w:rsidP="00575CDC">
      <w:pPr>
        <w:spacing w:after="0" w:line="240" w:lineRule="auto"/>
      </w:pPr>
      <w:r>
        <w:separator/>
      </w:r>
    </w:p>
  </w:endnote>
  <w:endnote w:type="continuationSeparator" w:id="0">
    <w:p w14:paraId="0A292F88" w14:textId="77777777" w:rsidR="009657E0" w:rsidRDefault="009657E0" w:rsidP="00575C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64F813" w14:textId="77777777" w:rsidR="009657E0" w:rsidRDefault="009657E0" w:rsidP="00575CDC">
      <w:pPr>
        <w:spacing w:after="0" w:line="240" w:lineRule="auto"/>
      </w:pPr>
      <w:r>
        <w:separator/>
      </w:r>
    </w:p>
  </w:footnote>
  <w:footnote w:type="continuationSeparator" w:id="0">
    <w:p w14:paraId="1BDA90F8" w14:textId="77777777" w:rsidR="009657E0" w:rsidRDefault="009657E0" w:rsidP="00575C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7240634"/>
      <w:docPartObj>
        <w:docPartGallery w:val="Page Numbers (Top of Page)"/>
        <w:docPartUnique/>
      </w:docPartObj>
    </w:sdtPr>
    <w:sdtEndPr>
      <w:rPr>
        <w:noProof/>
      </w:rPr>
    </w:sdtEndPr>
    <w:sdtContent>
      <w:p w14:paraId="6FAA2647" w14:textId="19F75182" w:rsidR="00575CDC" w:rsidRDefault="00575CD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09F5D29" w14:textId="77777777" w:rsidR="00575CDC" w:rsidRDefault="00575CD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25504"/>
    <w:rsid w:val="00011704"/>
    <w:rsid w:val="000C21C6"/>
    <w:rsid w:val="00247994"/>
    <w:rsid w:val="00325504"/>
    <w:rsid w:val="00424182"/>
    <w:rsid w:val="004B5526"/>
    <w:rsid w:val="00514307"/>
    <w:rsid w:val="00575CDC"/>
    <w:rsid w:val="005C72BD"/>
    <w:rsid w:val="006844FB"/>
    <w:rsid w:val="0079553C"/>
    <w:rsid w:val="008A6F4B"/>
    <w:rsid w:val="00955DB6"/>
    <w:rsid w:val="009657E0"/>
    <w:rsid w:val="009F01C8"/>
    <w:rsid w:val="00A2108F"/>
    <w:rsid w:val="00A43D95"/>
    <w:rsid w:val="00A87D4E"/>
    <w:rsid w:val="00AA7C33"/>
    <w:rsid w:val="00B840EF"/>
    <w:rsid w:val="00C26A08"/>
    <w:rsid w:val="00C41B20"/>
    <w:rsid w:val="00C96351"/>
    <w:rsid w:val="00C9766E"/>
    <w:rsid w:val="00CE3341"/>
    <w:rsid w:val="00E27F07"/>
    <w:rsid w:val="00E33202"/>
    <w:rsid w:val="00E7524F"/>
    <w:rsid w:val="00F2477C"/>
    <w:rsid w:val="00FA1B6A"/>
    <w:rsid w:val="00FA72BE"/>
    <w:rsid w:val="00FD3BE1"/>
    <w:rsid w:val="00FF27F0"/>
    <w:rsid w:val="00FF4DE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75ADD"/>
  <w15:chartTrackingRefBased/>
  <w15:docId w15:val="{A736124D-B888-4299-B57C-6E9823E9F2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553C"/>
    <w:pPr>
      <w:spacing w:line="360" w:lineRule="auto"/>
      <w:jc w:val="both"/>
      <w:outlineLvl w:val="0"/>
    </w:pPr>
    <w:rPr>
      <w:rFonts w:ascii="Times New Roman" w:hAnsi="Times New Roman" w:cs="Times New Roman"/>
      <w:b/>
      <w:bCs/>
      <w:i/>
      <w:iCs/>
      <w:sz w:val="24"/>
      <w:szCs w:val="24"/>
    </w:rPr>
  </w:style>
  <w:style w:type="paragraph" w:styleId="Heading2">
    <w:name w:val="heading 2"/>
    <w:basedOn w:val="Normal"/>
    <w:next w:val="Normal"/>
    <w:link w:val="Heading2Char"/>
    <w:uiPriority w:val="9"/>
    <w:semiHidden/>
    <w:unhideWhenUsed/>
    <w:qFormat/>
    <w:rsid w:val="0032550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2550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2550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2550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255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55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55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55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553C"/>
    <w:rPr>
      <w:rFonts w:ascii="Times New Roman" w:hAnsi="Times New Roman" w:cs="Times New Roman"/>
      <w:b/>
      <w:bCs/>
      <w:i/>
      <w:iCs/>
      <w:sz w:val="24"/>
      <w:szCs w:val="24"/>
    </w:rPr>
  </w:style>
  <w:style w:type="character" w:customStyle="1" w:styleId="Heading2Char">
    <w:name w:val="Heading 2 Char"/>
    <w:basedOn w:val="DefaultParagraphFont"/>
    <w:link w:val="Heading2"/>
    <w:uiPriority w:val="9"/>
    <w:semiHidden/>
    <w:rsid w:val="0032550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2550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2550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2550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255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55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55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5504"/>
    <w:rPr>
      <w:rFonts w:eastAsiaTheme="majorEastAsia" w:cstheme="majorBidi"/>
      <w:color w:val="272727" w:themeColor="text1" w:themeTint="D8"/>
    </w:rPr>
  </w:style>
  <w:style w:type="paragraph" w:styleId="Title">
    <w:name w:val="Title"/>
    <w:basedOn w:val="Normal"/>
    <w:next w:val="Normal"/>
    <w:link w:val="TitleChar"/>
    <w:uiPriority w:val="10"/>
    <w:qFormat/>
    <w:rsid w:val="003255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55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55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55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5504"/>
    <w:pPr>
      <w:spacing w:before="160"/>
      <w:jc w:val="center"/>
    </w:pPr>
    <w:rPr>
      <w:i/>
      <w:iCs/>
      <w:color w:val="404040" w:themeColor="text1" w:themeTint="BF"/>
    </w:rPr>
  </w:style>
  <w:style w:type="character" w:customStyle="1" w:styleId="QuoteChar">
    <w:name w:val="Quote Char"/>
    <w:basedOn w:val="DefaultParagraphFont"/>
    <w:link w:val="Quote"/>
    <w:uiPriority w:val="29"/>
    <w:rsid w:val="00325504"/>
    <w:rPr>
      <w:i/>
      <w:iCs/>
      <w:color w:val="404040" w:themeColor="text1" w:themeTint="BF"/>
    </w:rPr>
  </w:style>
  <w:style w:type="paragraph" w:styleId="ListParagraph">
    <w:name w:val="List Paragraph"/>
    <w:basedOn w:val="Normal"/>
    <w:uiPriority w:val="34"/>
    <w:qFormat/>
    <w:rsid w:val="00325504"/>
    <w:pPr>
      <w:ind w:left="720"/>
      <w:contextualSpacing/>
    </w:pPr>
  </w:style>
  <w:style w:type="character" w:styleId="IntenseEmphasis">
    <w:name w:val="Intense Emphasis"/>
    <w:basedOn w:val="DefaultParagraphFont"/>
    <w:uiPriority w:val="21"/>
    <w:qFormat/>
    <w:rsid w:val="00325504"/>
    <w:rPr>
      <w:i/>
      <w:iCs/>
      <w:color w:val="2F5496" w:themeColor="accent1" w:themeShade="BF"/>
    </w:rPr>
  </w:style>
  <w:style w:type="paragraph" w:styleId="IntenseQuote">
    <w:name w:val="Intense Quote"/>
    <w:basedOn w:val="Normal"/>
    <w:next w:val="Normal"/>
    <w:link w:val="IntenseQuoteChar"/>
    <w:uiPriority w:val="30"/>
    <w:qFormat/>
    <w:rsid w:val="0032550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25504"/>
    <w:rPr>
      <w:i/>
      <w:iCs/>
      <w:color w:val="2F5496" w:themeColor="accent1" w:themeShade="BF"/>
    </w:rPr>
  </w:style>
  <w:style w:type="character" w:styleId="IntenseReference">
    <w:name w:val="Intense Reference"/>
    <w:basedOn w:val="DefaultParagraphFont"/>
    <w:uiPriority w:val="32"/>
    <w:qFormat/>
    <w:rsid w:val="00325504"/>
    <w:rPr>
      <w:b/>
      <w:bCs/>
      <w:smallCaps/>
      <w:color w:val="2F5496" w:themeColor="accent1" w:themeShade="BF"/>
      <w:spacing w:val="5"/>
    </w:rPr>
  </w:style>
  <w:style w:type="character" w:styleId="Hyperlink">
    <w:name w:val="Hyperlink"/>
    <w:basedOn w:val="DefaultParagraphFont"/>
    <w:uiPriority w:val="99"/>
    <w:unhideWhenUsed/>
    <w:rsid w:val="00FA72BE"/>
    <w:rPr>
      <w:color w:val="0563C1" w:themeColor="hyperlink"/>
      <w:u w:val="single"/>
    </w:rPr>
  </w:style>
  <w:style w:type="paragraph" w:styleId="Header">
    <w:name w:val="header"/>
    <w:basedOn w:val="Normal"/>
    <w:link w:val="HeaderChar"/>
    <w:uiPriority w:val="99"/>
    <w:unhideWhenUsed/>
    <w:rsid w:val="00575C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5CDC"/>
  </w:style>
  <w:style w:type="paragraph" w:styleId="Footer">
    <w:name w:val="footer"/>
    <w:basedOn w:val="Normal"/>
    <w:link w:val="FooterChar"/>
    <w:uiPriority w:val="99"/>
    <w:unhideWhenUsed/>
    <w:rsid w:val="00575C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5CDC"/>
  </w:style>
  <w:style w:type="paragraph" w:styleId="TOCHeading">
    <w:name w:val="TOC Heading"/>
    <w:basedOn w:val="Heading1"/>
    <w:next w:val="Normal"/>
    <w:uiPriority w:val="39"/>
    <w:unhideWhenUsed/>
    <w:qFormat/>
    <w:rsid w:val="00575CDC"/>
    <w:pPr>
      <w:keepNext/>
      <w:keepLines/>
      <w:spacing w:before="240" w:after="0" w:line="259" w:lineRule="auto"/>
      <w:jc w:val="left"/>
      <w:outlineLvl w:val="9"/>
    </w:pPr>
    <w:rPr>
      <w:rFonts w:asciiTheme="majorHAnsi" w:eastAsiaTheme="majorEastAsia" w:hAnsiTheme="majorHAnsi" w:cstheme="majorBidi"/>
      <w:b w:val="0"/>
      <w:bCs w:val="0"/>
      <w:i w:val="0"/>
      <w:iCs w:val="0"/>
      <w:color w:val="2F5496" w:themeColor="accent1" w:themeShade="BF"/>
      <w:kern w:val="0"/>
      <w:sz w:val="32"/>
      <w:szCs w:val="32"/>
      <w:lang w:val="en-US"/>
    </w:rPr>
  </w:style>
  <w:style w:type="paragraph" w:styleId="TOC1">
    <w:name w:val="toc 1"/>
    <w:basedOn w:val="Normal"/>
    <w:next w:val="Normal"/>
    <w:autoRedefine/>
    <w:uiPriority w:val="39"/>
    <w:unhideWhenUsed/>
    <w:rsid w:val="00575CD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ng238" TargetMode="External"/><Relationship Id="rId13" Type="http://schemas.openxmlformats.org/officeDocument/2006/relationships/hyperlink" Target="https://www.who.int/news-room/fact-sheets/detail/cardiovascular-diseases-(cvds)" TargetMode="External"/><Relationship Id="rId3" Type="http://schemas.openxmlformats.org/officeDocument/2006/relationships/settings" Target="settings.xml"/><Relationship Id="rId7" Type="http://schemas.openxmlformats.org/officeDocument/2006/relationships/hyperlink" Target="https://www.bhf.org.uk/what-we-do/our-research/heart-statistics/heart-statistics-publications/cardiovascular-disease-statistics-2025" TargetMode="External"/><Relationship Id="rId12" Type="http://schemas.openxmlformats.org/officeDocument/2006/relationships/hyperlink" Target="https://www.ons.gov.uk/peoplepopulationandcommunity/birthsdeathsandmarriages/deaths/bulletins/deathsregistrationsummarytables/2024"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healthcheck.nhs.uk/"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ebarchive.nationalarchives.gov.uk/ukgwa/20250511091243/https://www.longtermplan.nhs.uk/" TargetMode="External"/><Relationship Id="rId4" Type="http://schemas.openxmlformats.org/officeDocument/2006/relationships/webSettings" Target="webSettings.xml"/><Relationship Id="rId9" Type="http://schemas.openxmlformats.org/officeDocument/2006/relationships/hyperlink" Target="https://www.nice.org.uk/guidance/cg95" TargetMode="External"/><Relationship Id="rId14" Type="http://schemas.openxmlformats.org/officeDocument/2006/relationships/hyperlink" Target="https://world-heart-federation.org/resources/world-heart-report-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44549B-5823-42BA-A2DF-45317EB28B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9</Pages>
  <Words>2762</Words>
  <Characters>15749</Characters>
  <Application>Microsoft Office Word</Application>
  <DocSecurity>0</DocSecurity>
  <Lines>131</Lines>
  <Paragraphs>36</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1. Introduction </vt:lpstr>
      <vt:lpstr>2.1 Two different ways of measuring and monitoring coronary heart disease </vt:lpstr>
      <vt:lpstr>2.2 Controlling Coronary Heart Disease </vt:lpstr>
      <vt:lpstr>2.3 Implications of CHD for the individual and for the community. </vt:lpstr>
      <vt:lpstr>2.4 Health and Social Care Support Services Required. </vt:lpstr>
      <vt:lpstr>3. Conclusion </vt:lpstr>
      <vt:lpstr>Reference </vt:lpstr>
    </vt:vector>
  </TitlesOfParts>
  <Company/>
  <LinksUpToDate>false</LinksUpToDate>
  <CharactersWithSpaces>18475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CC</dc:creator>
  <cp:keywords/>
  <dc:description/>
  <cp:lastModifiedBy>CC</cp:lastModifiedBy>
  <cp:revision>22</cp:revision>
  <dcterms:created xsi:type="dcterms:W3CDTF">2026-08-04T09:29:00Z</dcterms:created>
  <dcterms:modified xsi:type="dcterms:W3CDTF">2026-08-04T13:21:00Z</dcterms:modified>
</cp:coreProperties>
</file>