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616929" w14:textId="77777777" w:rsidR="00F86972" w:rsidRDefault="008D6F4C">
      <w:pPr>
        <w:rPr>
          <w:sz w:val="32"/>
          <w:szCs w:val="32"/>
        </w:rPr>
      </w:pPr>
      <w:r>
        <w:rPr>
          <w:sz w:val="32"/>
          <w:szCs w:val="32"/>
        </w:rPr>
        <w:t>Fatimah bint Muhammad</w:t>
      </w:r>
    </w:p>
    <w:p w14:paraId="0F0C192C" w14:textId="77777777" w:rsidR="00F86972" w:rsidRDefault="008D6F4C">
      <w:r>
        <w:t>Fatimah was the youngest daughter of Muhammad and Khadija, with her birth being estimated around 605CE,</w:t>
      </w:r>
      <w:r>
        <w:rPr>
          <w:rStyle w:val="FootnoteReference"/>
        </w:rPr>
        <w:footnoteReference w:id="1"/>
      </w:r>
      <w:r>
        <w:t xml:space="preserve"> the same year as the rebuilding of the Ka’ba, and her death being placed around 632CE (11 AH)</w:t>
      </w:r>
      <w:r>
        <w:rPr>
          <w:rStyle w:val="FootnoteReference"/>
        </w:rPr>
        <w:footnoteReference w:id="2"/>
      </w:r>
      <w:r>
        <w:t>, just six months after the death of Muhammad.  She is significant within Islam both i</w:t>
      </w:r>
      <w:r>
        <w:t>n terms of her historical significance and of how close she was with the prophet. She is historically important as she was the only one of Muhammad's children to have sons, and thus continue the bloodline of the prophet, with her significance being highlig</w:t>
      </w:r>
      <w:r>
        <w:t xml:space="preserve">hted by the fact she has been given titles such as </w:t>
      </w:r>
      <w:r>
        <w:rPr>
          <w:i/>
          <w:iCs/>
        </w:rPr>
        <w:t>Zahara</w:t>
      </w:r>
      <w:r>
        <w:t xml:space="preserve"> (the radiant) and </w:t>
      </w:r>
      <w:r>
        <w:rPr>
          <w:i/>
          <w:iCs/>
        </w:rPr>
        <w:t>Batul</w:t>
      </w:r>
      <w:r>
        <w:t xml:space="preserve"> (the virgin).</w:t>
      </w:r>
      <w:r>
        <w:rPr>
          <w:rStyle w:val="FootnoteReference"/>
        </w:rPr>
        <w:footnoteReference w:id="3"/>
      </w:r>
      <w:r>
        <w:t xml:space="preserve"> In addition to this it was reported that Muhammad had said "of all the women in the Universe, four would suffice: Mary, Asiya, Khadija, and Fatima",</w:t>
      </w:r>
      <w:r>
        <w:rPr>
          <w:rStyle w:val="FootnoteReference"/>
        </w:rPr>
        <w:footnoteReference w:id="4"/>
      </w:r>
      <w:r>
        <w:t xml:space="preserve"> highlighting the spiritual significance that Muhammad gave to her. Fatimah also holds a distinctive position within Shi’i theology as a result of her husband, Ali, who the</w:t>
      </w:r>
      <w:r>
        <w:t xml:space="preserve">y believe should have been the first caliph, after the death of Muhammad, rather than Abu Bakr. </w:t>
      </w:r>
    </w:p>
    <w:p w14:paraId="5E2E6734" w14:textId="77777777" w:rsidR="00F86972" w:rsidRDefault="008D6F4C">
      <w:r>
        <w:t>There are relatively few sources on Fatimah in regard to the early Meccan period. This is because she lived mainly a quiet life, undertaking domestic roles,</w:t>
      </w:r>
      <w:r>
        <w:rPr>
          <w:rStyle w:val="FootnoteReference"/>
        </w:rPr>
        <w:footnoteReference w:id="5"/>
      </w:r>
      <w:r>
        <w:t xml:space="preserve"> resulting in her being used as an</w:t>
      </w:r>
      <w:r>
        <w:t xml:space="preserve"> example of the virtues that women should have to be a model wife, daughter, and mother. Despite Fatimah mainly living a quiet life within the Meccan period there are two significant records of her activity. The first is the death of her mother Khadija in </w:t>
      </w:r>
      <w:r>
        <w:t>619 CE that later became known as the Year of Sadness as it was reported that Fatimah was overcome with grief at the death of her mother.</w:t>
      </w:r>
      <w:r>
        <w:rPr>
          <w:rStyle w:val="FootnoteReference"/>
        </w:rPr>
        <w:footnoteReference w:id="6"/>
      </w:r>
      <w:r>
        <w:t xml:space="preserve"> This is because Fatimah was especially close to her mother, which can be highlighted by Fatimah not travelling to live in surrounding villages when she was younger,</w:t>
      </w:r>
      <w:r>
        <w:rPr>
          <w:rStyle w:val="FootnoteReference"/>
        </w:rPr>
        <w:footnoteReference w:id="7"/>
      </w:r>
      <w:r>
        <w:t xml:space="preserve"> and therefore going against the cultural norms at the time. This event was significant within Fatimah’s life, as although she had experienced death before, as both her brothers died in infancy, it still highlig</w:t>
      </w:r>
      <w:r>
        <w:t>hts her sensitivity. The second event that was reported in sources is that she helped clean her father when he had refuse thrown at him by Abu Jahl and his supporters.</w:t>
      </w:r>
      <w:r>
        <w:rPr>
          <w:rStyle w:val="FootnoteReference"/>
        </w:rPr>
        <w:footnoteReference w:id="8"/>
      </w:r>
      <w:r>
        <w:t xml:space="preserve"> This was also significant in how Fatimah is viewed as it again shows </w:t>
      </w:r>
      <w:r>
        <w:t>how she was a model daughter and it also earnt her the title of ‘</w:t>
      </w:r>
      <w:r>
        <w:rPr>
          <w:i/>
          <w:iCs/>
        </w:rPr>
        <w:t>umm Abina’</w:t>
      </w:r>
      <w:r>
        <w:t xml:space="preserve"> or ‘Mother of her father’.</w:t>
      </w:r>
      <w:r>
        <w:rPr>
          <w:rStyle w:val="FootnoteReference"/>
        </w:rPr>
        <w:footnoteReference w:id="9"/>
      </w:r>
      <w:r>
        <w:t xml:space="preserve"> However, there have been debates in more recent scholarship over whether this title refers to he</w:t>
      </w:r>
      <w:r>
        <w:t>r caring for Muhammad, as this event would suggest, or whether it is because she was told that her last descendant would be called Muhammad.</w:t>
      </w:r>
      <w:r>
        <w:rPr>
          <w:rStyle w:val="FootnoteReference"/>
        </w:rPr>
        <w:footnoteReference w:id="10"/>
      </w:r>
      <w:r>
        <w:t xml:space="preserve"> Within the Meccan period, the Siege of Shi’b Abi Talib had a significant effect on Fatimah. This is because as a result of the boycott of doing business with anyone who supports Muhammad there were widespread food shorta</w:t>
      </w:r>
      <w:r>
        <w:t>ges, which had a detrimental effect on Fatimah’s health and is considered a contributing factor in her early death.</w:t>
      </w:r>
      <w:r>
        <w:rPr>
          <w:rStyle w:val="FootnoteReference"/>
        </w:rPr>
        <w:footnoteReference w:id="11"/>
      </w:r>
      <w:r>
        <w:t xml:space="preserve"> </w:t>
      </w:r>
    </w:p>
    <w:p w14:paraId="353A14E7" w14:textId="77777777" w:rsidR="00F86972" w:rsidRDefault="008D6F4C">
      <w:r>
        <w:lastRenderedPageBreak/>
        <w:t>Fatimah moved to Medina in 622 CE</w:t>
      </w:r>
      <w:r>
        <w:rPr>
          <w:rStyle w:val="FootnoteReference"/>
        </w:rPr>
        <w:footnoteReference w:id="12"/>
      </w:r>
      <w:r>
        <w:t xml:space="preserve"> during the Hijra and made the journey approximately two weeks after Muhammad. She travelled with other members of her family including Umm Kulth</w:t>
      </w:r>
      <w:r>
        <w:t>um, A’isha and Asma.</w:t>
      </w:r>
      <w:r>
        <w:rPr>
          <w:rStyle w:val="FootnoteReference"/>
        </w:rPr>
        <w:footnoteReference w:id="13"/>
      </w:r>
      <w:r>
        <w:t xml:space="preserve"> In the second year after the Hijrah, Fatimah received two separate proposals of marriage, one from Abu Bakr and another from </w:t>
      </w:r>
      <w:r>
        <w:softHyphen/>
      </w:r>
      <w:r>
        <w:softHyphen/>
      </w:r>
      <w:r>
        <w:softHyphen/>
      </w:r>
      <w:r>
        <w:softHyphen/>
        <w:t>‘Umar, h</w:t>
      </w:r>
      <w:r>
        <w:t>owever Muhammad rejected these proposals, stating that he was waiting for the right person to marry Fatimah.</w:t>
      </w:r>
      <w:r>
        <w:rPr>
          <w:rStyle w:val="FootnoteReference"/>
        </w:rPr>
        <w:footnoteReference w:id="14"/>
      </w:r>
      <w:r>
        <w:t xml:space="preserve"> Ali later asked Muhammad for Fatimah’s hand in marriage and Muhammad accepted. There are two main reports on how Fatimah responded to the proposal. One is that she remained silent as a sign that she accepted, whereas the second report is that Fatimah p</w:t>
      </w:r>
      <w:r>
        <w:t>rotested the arrangement and that Muhammad had to console her.</w:t>
      </w:r>
      <w:r>
        <w:rPr>
          <w:rStyle w:val="FootnoteReference"/>
        </w:rPr>
        <w:footnoteReference w:id="15"/>
      </w:r>
      <w:r>
        <w:t xml:space="preserve"> The marriage between Fatimah and Ali took </w:t>
      </w:r>
      <w:r>
        <w:t>place at the start of 623 CE (2 AH) when she was aged 19 or 20.</w:t>
      </w:r>
      <w:r>
        <w:rPr>
          <w:rStyle w:val="FootnoteReference"/>
        </w:rPr>
        <w:footnoteReference w:id="16"/>
      </w:r>
      <w:r>
        <w:t xml:space="preserve"> Fatimah’s marriage was different to her sisters’ marriages, as although the ceremony was similar to her sisters’ where there was the fea</w:t>
      </w:r>
      <w:r>
        <w:t>st at the end, she was the only sister not to marry a wealthy man</w:t>
      </w:r>
      <w:r>
        <w:rPr>
          <w:rStyle w:val="FootnoteReference"/>
        </w:rPr>
        <w:footnoteReference w:id="17"/>
      </w:r>
      <w:r>
        <w:t xml:space="preserve"> as Ali was only able to afford the mehr by selling a shield that he owned for four hundred dirhams.</w:t>
      </w:r>
      <w:r>
        <w:rPr>
          <w:rStyle w:val="FootnoteReference"/>
        </w:rPr>
        <w:footnoteReference w:id="18"/>
      </w:r>
      <w:r>
        <w:t xml:space="preserve"> As a result, Fatimah, like many other Muslims at the time, lived in poverty</w:t>
      </w:r>
      <w:r>
        <w:rPr>
          <w:rStyle w:val="FootnoteReference"/>
        </w:rPr>
        <w:footnoteReference w:id="19"/>
      </w:r>
      <w:r>
        <w:t xml:space="preserve"> and the</w:t>
      </w:r>
      <w:r>
        <w:t>refore she was left to do all of the housework without help and had little food, leaving her weak. Despite her poverty there are many stories of Fatimah willingly helping others and gave any food that she did have. This period also highlights how she is se</w:t>
      </w:r>
      <w:r>
        <w:t xml:space="preserve">en as a model wife, as she fulfilled her domestic duties successfully and willingly. Fatimah was also the only of Muhammad's children that allowed Muhammad and Khadijah’s line to continue as she had two surviving daughters, Zaynab and Umm Kulthum, and two </w:t>
      </w:r>
      <w:r>
        <w:t>sons, Hasan and Hasayn.</w:t>
      </w:r>
      <w:r>
        <w:rPr>
          <w:rStyle w:val="FootnoteReference"/>
        </w:rPr>
        <w:footnoteReference w:id="20"/>
      </w:r>
      <w:r>
        <w:t xml:space="preserve"> Through her maternal position she is once again considered a role model to oth</w:t>
      </w:r>
      <w:r>
        <w:t>er Muslim women because of her caring nature, and is also regarded as the ‘Mother of Imams’ in Shi’ism as her sons are highly regarded, and their descendants became the imams in Shi’ism.</w:t>
      </w:r>
      <w:r>
        <w:rPr>
          <w:rStyle w:val="FootnoteReference"/>
        </w:rPr>
        <w:footnoteReference w:id="21"/>
      </w:r>
      <w:r>
        <w:t xml:space="preserve"> Within Shi’ism, Fatimah is also seen as a model example that women should follow because she wore a veil, in particular the chador.</w:t>
      </w:r>
      <w:r>
        <w:rPr>
          <w:rStyle w:val="FootnoteReference"/>
        </w:rPr>
        <w:footnoteReference w:id="22"/>
      </w:r>
      <w:r>
        <w:t xml:space="preserve"> Therefore, Fatimah is again significant as the veil is a key method of expressing Muslim identity and as it can be traced back to</w:t>
      </w:r>
      <w:r>
        <w:t xml:space="preserve"> Fatimah her own practices have become widespread throughout Islam.</w:t>
      </w:r>
    </w:p>
    <w:p w14:paraId="1040A1AF" w14:textId="77777777" w:rsidR="00F86972" w:rsidRDefault="008D6F4C">
      <w:r>
        <w:t>Despite Fatimah being viewed as a perfect example of a wife, her marriage was not without its issues. There were some disputes between Ali and Fatimah that Muhammad had to intervene in. On</w:t>
      </w:r>
      <w:r>
        <w:t>e example is that Ali wanted to marry another woman, as polygamy was common at the time, however Fatimah did not want him to have another wife. As a result, she complained to her father and Muhammad is reported to have said that "Fatima is part of me, so w</w:t>
      </w:r>
      <w:r>
        <w:t>hoever makes her angry makes me angry.”</w:t>
      </w:r>
      <w:r>
        <w:rPr>
          <w:rStyle w:val="FootnoteReference"/>
        </w:rPr>
        <w:footnoteReference w:id="23"/>
      </w:r>
      <w:r>
        <w:t xml:space="preserve"> This event was significant for two reasons. The first is that it shows the closeness of Fatimah to her father, highlighting th</w:t>
      </w:r>
      <w:r>
        <w:t xml:space="preserve">at she did have influence in the community, even if it was </w:t>
      </w:r>
      <w:r>
        <w:lastRenderedPageBreak/>
        <w:t xml:space="preserve">only through Muhammad. Secondly it shows a different side to Fatimah, that she was willing to stand up for herself, as this was one of the first reports of Fatimah being more assertive, other than </w:t>
      </w:r>
      <w:r>
        <w:t xml:space="preserve">when she stood up for her father in Mecca. </w:t>
      </w:r>
    </w:p>
    <w:p w14:paraId="1A878028" w14:textId="77777777" w:rsidR="00F86972" w:rsidRDefault="008D6F4C">
      <w:r>
        <w:t>In addition to this Fatimah played an important role within the Muslim community in Medina. For example, she cared and nursed her father after the Battle of Uhud, where after she heard that her father had been in</w:t>
      </w:r>
      <w:r>
        <w:t>jured in the battle, she dressed his wounds.</w:t>
      </w:r>
      <w:r>
        <w:rPr>
          <w:rStyle w:val="FootnoteReference"/>
        </w:rPr>
        <w:footnoteReference w:id="24"/>
      </w:r>
      <w:r>
        <w:t xml:space="preserve"> However, this is not to say that she was a battlefield nurse, but rather it again highlights her virtues in caring for Muhammad. This was not the only time</w:t>
      </w:r>
      <w:r>
        <w:t xml:space="preserve"> that Fatimah supported the men in a battle: like many other women, Fatimah supported the battle by preparing food and providing encouragement, for example the Battle of the Trench, where Fatimah led women’s prayer,</w:t>
      </w:r>
      <w:r>
        <w:rPr>
          <w:rStyle w:val="FootnoteReference"/>
        </w:rPr>
        <w:footnoteReference w:id="25"/>
      </w:r>
      <w:r>
        <w:t xml:space="preserve"> highlighting that she held an important standing within the Muslim community. Furthermore, Fatimah took part in the Umrah in 628 CE (6 AH) and also took part in liberation of Mecca the following year.</w:t>
      </w:r>
      <w:r>
        <w:rPr>
          <w:rStyle w:val="FootnoteReference"/>
        </w:rPr>
        <w:footnoteReference w:id="26"/>
      </w:r>
      <w:r>
        <w:t xml:space="preserve"> This again highlights that Fatimah took an active role in the Muslim community, especially in the later Medina period when Muhammad was still alive. </w:t>
      </w:r>
    </w:p>
    <w:p w14:paraId="5B4C403E" w14:textId="77777777" w:rsidR="00F86972" w:rsidRDefault="008D6F4C">
      <w:r>
        <w:t>After Muhammad’s death in 632 CE (11 AH), Fatimah became a particularly important individ</w:t>
      </w:r>
      <w:r>
        <w:t xml:space="preserve">ual in Islamic history. This is because after the Prophet’s death, there was a disagreement on who the first caliph should be. The was a large majority that supported Abu Bakr’s claim to be the next leader, whereas Ali, Fatimah’s husband, believed that he </w:t>
      </w:r>
      <w:r>
        <w:t xml:space="preserve">should be the first caliph as a result of his close relation, and direct relationship with the prophet himself. Fatimah also supported Ali’s claim and it was one of the only times that Fatimah took part in political issues. There are reports that Abu Bakr </w:t>
      </w:r>
      <w:r>
        <w:t>and ‘Umar had tried to enter Fatimah’s house, possible trying to burn it down. As a result, Fatimah cried out and threated to unveil her hair,</w:t>
      </w:r>
      <w:r>
        <w:rPr>
          <w:rStyle w:val="FootnoteReference"/>
        </w:rPr>
        <w:footnoteReference w:id="27"/>
      </w:r>
      <w:r>
        <w:t xml:space="preserve"> which was enough to cause Abu Bakr to back down and leave. The events that followed Muhammad's death and who should be the first caliph are important within the Islamic community as it is the basis for the development </w:t>
      </w:r>
      <w:r>
        <w:t>of Shi’ism, and thus the difference in interpretation of Fatimah’s significance. This is because within Shi’ism, Fatimah is held in much higher regard and is also given the title ‘mother of imams’</w:t>
      </w:r>
      <w:r>
        <w:rPr>
          <w:rStyle w:val="FootnoteReference"/>
        </w:rPr>
        <w:footnoteReference w:id="28"/>
      </w:r>
      <w:r>
        <w:t xml:space="preserve"> as all Shi’i imams can be traced back to Fatimah and Ali. Although the disagreement with Abu Bakr did not escalate any further than this, the conflict still continues</w:t>
      </w:r>
      <w:r>
        <w:t xml:space="preserve"> to divide Sunni and Shi’i Muslims today, and there was always a hostility between Fatimah and Abu Bakr, until her death. </w:t>
      </w:r>
    </w:p>
    <w:p w14:paraId="17496FD4" w14:textId="77777777" w:rsidR="00F86972" w:rsidRDefault="008D6F4C">
      <w:r>
        <w:t>Fatimah died around 633 CE (7 AH)</w:t>
      </w:r>
      <w:r>
        <w:rPr>
          <w:rStyle w:val="FootnoteReference"/>
        </w:rPr>
        <w:footnoteReference w:id="29"/>
      </w:r>
      <w:r>
        <w:t>, only six months after Muhammad’s death, however the exact date is uncertain. The death of Fatimah was true</w:t>
      </w:r>
      <w:r>
        <w:t xml:space="preserve"> to Muhammad’s claim of Fatimah being the next family member to join him in the next world.</w:t>
      </w:r>
      <w:r>
        <w:rPr>
          <w:rStyle w:val="FootnoteReference"/>
        </w:rPr>
        <w:footnoteReference w:id="30"/>
      </w:r>
      <w:r>
        <w:t xml:space="preserve"> However, there are different accounts of the manner of her death. The first is tha</w:t>
      </w:r>
      <w:r>
        <w:t>t she was content with the concept of her death, preparing by washing herself and putting on heavy garments and instructing her sister-in-law Asma that her body should not be uncovered after her death.</w:t>
      </w:r>
      <w:r>
        <w:rPr>
          <w:rStyle w:val="FootnoteReference"/>
        </w:rPr>
        <w:footnoteReference w:id="31"/>
      </w:r>
      <w:r>
        <w:t xml:space="preserve"> However, the other reports of her death depict a much more vulnerable and self-conscious Fatimah, as she restricted who saw her during her final days. One exam</w:t>
      </w:r>
      <w:r>
        <w:t xml:space="preserve">ple of this is from </w:t>
      </w:r>
      <w:r>
        <w:rPr>
          <w:rFonts w:cs="Calibri"/>
          <w:shd w:val="clear" w:color="auto" w:fill="FFFFFF"/>
        </w:rPr>
        <w:t>al-Yaʿ</w:t>
      </w:r>
      <w:r>
        <w:rPr>
          <w:rFonts w:cs="Calibri"/>
          <w:shd w:val="clear" w:color="auto" w:fill="FFFFFF"/>
        </w:rPr>
        <w:t>ḳ</w:t>
      </w:r>
      <w:r>
        <w:rPr>
          <w:rFonts w:cs="Calibri"/>
          <w:shd w:val="clear" w:color="auto" w:fill="FFFFFF"/>
        </w:rPr>
        <w:t xml:space="preserve">ūbī that reports Fatimah criticising Muhammad's wives and women of </w:t>
      </w:r>
      <w:r>
        <w:rPr>
          <w:rFonts w:cs="Calibri"/>
          <w:shd w:val="clear" w:color="auto" w:fill="FFFFFF"/>
        </w:rPr>
        <w:lastRenderedPageBreak/>
        <w:t>the Quraish</w:t>
      </w:r>
      <w:r>
        <w:rPr>
          <w:rStyle w:val="FootnoteReference"/>
          <w:rFonts w:cs="Calibri"/>
          <w:shd w:val="clear" w:color="auto" w:fill="FFFFFF"/>
        </w:rPr>
        <w:footnoteReference w:id="32"/>
      </w:r>
      <w:r>
        <w:rPr>
          <w:rFonts w:cs="Calibri"/>
          <w:shd w:val="clear" w:color="auto" w:fill="FFFFFF"/>
        </w:rPr>
        <w:t xml:space="preserve">, presenting Fatimah in a manner that is very different to how she was represented in earlier sources. A second </w:t>
      </w:r>
      <w:r>
        <w:rPr>
          <w:rFonts w:cs="Calibri"/>
          <w:shd w:val="clear" w:color="auto" w:fill="FFFFFF"/>
        </w:rPr>
        <w:t>example is from al-</w:t>
      </w:r>
      <w:r>
        <w:rPr>
          <w:rFonts w:cs="Calibri"/>
          <w:shd w:val="clear" w:color="auto" w:fill="FFFFFF"/>
        </w:rPr>
        <w:t>Ṭ</w:t>
      </w:r>
      <w:r>
        <w:rPr>
          <w:rFonts w:cs="Calibri"/>
          <w:shd w:val="clear" w:color="auto" w:fill="FFFFFF"/>
        </w:rPr>
        <w:t>abarī, that reports that Fatimah had Asma prevent others from entering the house, especially Muhammad's youngest wife A’isha, as she was anxious of others seeing her extreme thinness.</w:t>
      </w:r>
      <w:r>
        <w:rPr>
          <w:rStyle w:val="FootnoteReference"/>
          <w:rFonts w:cs="Calibri"/>
          <w:shd w:val="clear" w:color="auto" w:fill="FFFFFF"/>
        </w:rPr>
        <w:footnoteReference w:id="33"/>
      </w:r>
      <w:r>
        <w:rPr>
          <w:rFonts w:cs="Calibri"/>
          <w:shd w:val="clear" w:color="auto" w:fill="FFFFFF"/>
        </w:rPr>
        <w:t xml:space="preserve"> After her death, she was b</w:t>
      </w:r>
      <w:r>
        <w:rPr>
          <w:rFonts w:cs="Calibri"/>
          <w:shd w:val="clear" w:color="auto" w:fill="FFFFFF"/>
        </w:rPr>
        <w:t>uried in secret during the night, as she had requested. As a result, the burial site of Fatimah is unknown, so to pay respect to her, when on pilgrimage, Shi’i Muslims travel to three points of significance: Fatimah’s house, the Baku, and the Great Mosque.</w:t>
      </w:r>
      <w:r>
        <w:rPr>
          <w:rStyle w:val="FootnoteReference"/>
          <w:rFonts w:cs="Calibri"/>
          <w:shd w:val="clear" w:color="auto" w:fill="FFFFFF"/>
        </w:rPr>
        <w:footnoteReference w:id="34"/>
      </w:r>
    </w:p>
    <w:p w14:paraId="7753E1AB" w14:textId="77777777" w:rsidR="00F86972" w:rsidRDefault="008D6F4C">
      <w:pPr>
        <w:rPr>
          <w:rFonts w:cs="Calibri"/>
          <w:shd w:val="clear" w:color="auto" w:fill="FFFFFF"/>
        </w:rPr>
      </w:pPr>
      <w:r>
        <w:rPr>
          <w:rFonts w:cs="Calibri"/>
          <w:shd w:val="clear" w:color="auto" w:fill="FFFFFF"/>
        </w:rPr>
        <w:t xml:space="preserve">Overall, it is difficult to have a complete picture of Fatimah’s life. This is not only because </w:t>
      </w:r>
      <w:r>
        <w:rPr>
          <w:rFonts w:cs="Calibri"/>
          <w:shd w:val="clear" w:color="auto" w:fill="FFFFFF"/>
        </w:rPr>
        <w:t>there are a varying number of sources for different periods of her life, but mainly because for each report on an event in Fatimah’s life, there is also a contradicting opinion. Furthermore, there is a discrepancy between the significance that Shi’i Muslim</w:t>
      </w:r>
      <w:r>
        <w:rPr>
          <w:rFonts w:cs="Calibri"/>
          <w:shd w:val="clear" w:color="auto" w:fill="FFFFFF"/>
        </w:rPr>
        <w:t>s place on Fatimah compared to Sunni Muslims. However, it can be concluded that Fatimah was significant within the early Muslim community because she was so close to the prophet and because of her support of Ali’s claim to be the first caliph. It could als</w:t>
      </w:r>
      <w:r>
        <w:rPr>
          <w:rFonts w:cs="Calibri"/>
          <w:shd w:val="clear" w:color="auto" w:fill="FFFFFF"/>
        </w:rPr>
        <w:t>o be viewed that Fatimah’s significance is mainly in the attributes that she displayed, and as a result she is used as a role model for other women in both Sunni and Shi’i Islam. Therefore, she is regarded as a highly virtuous woman who was committed to su</w:t>
      </w:r>
      <w:r>
        <w:rPr>
          <w:rFonts w:cs="Calibri"/>
          <w:shd w:val="clear" w:color="auto" w:fill="FFFFFF"/>
        </w:rPr>
        <w:t xml:space="preserve">pporting, </w:t>
      </w:r>
      <w:proofErr w:type="gramStart"/>
      <w:r>
        <w:rPr>
          <w:rFonts w:cs="Calibri"/>
          <w:shd w:val="clear" w:color="auto" w:fill="FFFFFF"/>
        </w:rPr>
        <w:t>following</w:t>
      </w:r>
      <w:proofErr w:type="gramEnd"/>
      <w:r>
        <w:rPr>
          <w:rFonts w:cs="Calibri"/>
          <w:shd w:val="clear" w:color="auto" w:fill="FFFFFF"/>
        </w:rPr>
        <w:t xml:space="preserve"> and defending Islam from an early age, in addition to also caring for Muhammad. </w:t>
      </w:r>
    </w:p>
    <w:p w14:paraId="68054C2A" w14:textId="77777777" w:rsidR="00F86972" w:rsidRDefault="008D6F4C">
      <w:pPr>
        <w:jc w:val="right"/>
        <w:rPr>
          <w:rFonts w:cs="Calibri"/>
          <w:shd w:val="clear" w:color="auto" w:fill="FFFFFF"/>
        </w:rPr>
      </w:pPr>
      <w:r>
        <w:rPr>
          <w:rFonts w:cs="Calibri"/>
          <w:shd w:val="clear" w:color="auto" w:fill="FFFFFF"/>
        </w:rPr>
        <w:tab/>
        <w:t>Word count: 1899</w:t>
      </w:r>
    </w:p>
    <w:p w14:paraId="2E47C897" w14:textId="77777777" w:rsidR="00F86972" w:rsidRDefault="00F86972">
      <w:pPr>
        <w:rPr>
          <w:rFonts w:cs="Calibri"/>
          <w:shd w:val="clear" w:color="auto" w:fill="FFFFFF"/>
        </w:rPr>
      </w:pPr>
    </w:p>
    <w:p w14:paraId="12E720D3" w14:textId="77777777" w:rsidR="00F86972" w:rsidRDefault="008D6F4C">
      <w:r>
        <w:rPr>
          <w:rFonts w:cs="Calibri"/>
          <w:shd w:val="clear" w:color="auto" w:fill="FFFFFF"/>
        </w:rPr>
        <w:t>Bibliography</w:t>
      </w:r>
    </w:p>
    <w:p w14:paraId="47E2FB92" w14:textId="77777777" w:rsidR="00F86972" w:rsidRDefault="008D6F4C">
      <w:r>
        <w:t xml:space="preserve">Al-Bukhari </w:t>
      </w:r>
    </w:p>
    <w:p w14:paraId="69D9DD5D" w14:textId="77777777" w:rsidR="00F86972" w:rsidRDefault="008D6F4C">
      <w:pPr>
        <w:pStyle w:val="FootnoteText"/>
        <w:spacing w:after="240"/>
        <w:rPr>
          <w:sz w:val="22"/>
          <w:szCs w:val="22"/>
        </w:rPr>
      </w:pPr>
      <w:r>
        <w:rPr>
          <w:sz w:val="22"/>
          <w:szCs w:val="22"/>
        </w:rPr>
        <w:t>Al-Sahihain</w:t>
      </w:r>
    </w:p>
    <w:p w14:paraId="660E2401" w14:textId="77777777" w:rsidR="00F86972" w:rsidRDefault="008D6F4C">
      <w:pPr>
        <w:rPr>
          <w:rFonts w:cs="Calibri"/>
          <w:shd w:val="clear" w:color="auto" w:fill="FFFFFF"/>
        </w:rPr>
      </w:pPr>
      <w:r>
        <w:rPr>
          <w:rFonts w:cs="Calibri"/>
          <w:shd w:val="clear" w:color="auto" w:fill="FFFFFF"/>
        </w:rPr>
        <w:t>al-</w:t>
      </w:r>
      <w:r>
        <w:rPr>
          <w:rFonts w:cs="Calibri"/>
          <w:shd w:val="clear" w:color="auto" w:fill="FFFFFF"/>
        </w:rPr>
        <w:t>Ṭ</w:t>
      </w:r>
      <w:r>
        <w:rPr>
          <w:rFonts w:cs="Calibri"/>
          <w:shd w:val="clear" w:color="auto" w:fill="FFFFFF"/>
        </w:rPr>
        <w:t>abarī</w:t>
      </w:r>
    </w:p>
    <w:p w14:paraId="478837CB" w14:textId="77777777" w:rsidR="00F86972" w:rsidRDefault="008D6F4C">
      <w:pPr>
        <w:rPr>
          <w:rFonts w:cs="Calibri"/>
          <w:shd w:val="clear" w:color="auto" w:fill="FFFFFF"/>
        </w:rPr>
      </w:pPr>
      <w:r>
        <w:rPr>
          <w:rFonts w:cs="Calibri"/>
          <w:shd w:val="clear" w:color="auto" w:fill="FFFFFF"/>
        </w:rPr>
        <w:t>al-Yaʿ</w:t>
      </w:r>
      <w:r>
        <w:rPr>
          <w:rFonts w:cs="Calibri"/>
          <w:shd w:val="clear" w:color="auto" w:fill="FFFFFF"/>
        </w:rPr>
        <w:t>ḳ</w:t>
      </w:r>
      <w:r>
        <w:rPr>
          <w:rFonts w:cs="Calibri"/>
          <w:shd w:val="clear" w:color="auto" w:fill="FFFFFF"/>
        </w:rPr>
        <w:t xml:space="preserve">ūbī </w:t>
      </w:r>
    </w:p>
    <w:p w14:paraId="4FD14322" w14:textId="77777777" w:rsidR="00F86972" w:rsidRDefault="008D6F4C">
      <w:pPr>
        <w:pStyle w:val="FootnoteText"/>
        <w:spacing w:after="240"/>
      </w:pPr>
      <w:r>
        <w:rPr>
          <w:sz w:val="22"/>
          <w:szCs w:val="22"/>
        </w:rPr>
        <w:t xml:space="preserve">Anwar, G. “Fatimah”. In </w:t>
      </w:r>
      <w:proofErr w:type="gramStart"/>
      <w:r>
        <w:rPr>
          <w:i/>
          <w:iCs/>
          <w:sz w:val="22"/>
          <w:szCs w:val="22"/>
        </w:rPr>
        <w:t>The</w:t>
      </w:r>
      <w:proofErr w:type="gramEnd"/>
      <w:r>
        <w:rPr>
          <w:i/>
          <w:iCs/>
          <w:sz w:val="22"/>
          <w:szCs w:val="22"/>
        </w:rPr>
        <w:t xml:space="preserve"> Oxford Encyclopaedia of the Islamic World. </w:t>
      </w:r>
      <w:r>
        <w:rPr>
          <w:sz w:val="22"/>
          <w:szCs w:val="22"/>
        </w:rPr>
        <w:t>[onlin</w:t>
      </w:r>
      <w:r>
        <w:rPr>
          <w:sz w:val="22"/>
          <w:szCs w:val="22"/>
        </w:rPr>
        <w:t>e], &lt;</w:t>
      </w:r>
      <w:hyperlink r:id="rId6" w:history="1">
        <w:r>
          <w:rPr>
            <w:rStyle w:val="Hyperlink"/>
            <w:sz w:val="22"/>
            <w:szCs w:val="22"/>
          </w:rPr>
          <w:t>http://www.oxfordislamicstudies.com/article/opr/t243/e108</w:t>
        </w:r>
      </w:hyperlink>
      <w:r>
        <w:rPr>
          <w:sz w:val="22"/>
          <w:szCs w:val="22"/>
        </w:rPr>
        <w:t>&gt;  [Accessed 1 November 2020]</w:t>
      </w:r>
    </w:p>
    <w:p w14:paraId="2A0947C5" w14:textId="77777777" w:rsidR="00F86972" w:rsidRDefault="008D6F4C">
      <w:pPr>
        <w:pStyle w:val="FootnoteText"/>
        <w:spacing w:after="240"/>
      </w:pPr>
      <w:r>
        <w:rPr>
          <w:sz w:val="22"/>
          <w:szCs w:val="22"/>
        </w:rPr>
        <w:t xml:space="preserve">F. Kashani-Sabet, ‘Who is Fatima? Gender, Culture, and Representation in Islam’, </w:t>
      </w:r>
      <w:r>
        <w:rPr>
          <w:i/>
          <w:iCs/>
          <w:sz w:val="22"/>
          <w:szCs w:val="22"/>
        </w:rPr>
        <w:t xml:space="preserve">Journal </w:t>
      </w:r>
      <w:r>
        <w:rPr>
          <w:i/>
          <w:iCs/>
          <w:sz w:val="22"/>
          <w:szCs w:val="22"/>
        </w:rPr>
        <w:t xml:space="preserve">of Middle East Women’s Studies, </w:t>
      </w:r>
      <w:r>
        <w:rPr>
          <w:sz w:val="22"/>
          <w:szCs w:val="22"/>
        </w:rPr>
        <w:t xml:space="preserve">1(2) (2005) pp. 1-24 (p. 2) </w:t>
      </w:r>
      <w:hyperlink r:id="rId7" w:history="1">
        <w:r>
          <w:rPr>
            <w:rStyle w:val="Hyperlink"/>
            <w:sz w:val="22"/>
            <w:szCs w:val="22"/>
          </w:rPr>
          <w:t>https://www.jstor.org/stable/40326855</w:t>
        </w:r>
      </w:hyperlink>
    </w:p>
    <w:p w14:paraId="411310EE" w14:textId="77777777" w:rsidR="00F86972" w:rsidRDefault="008D6F4C">
      <w:r>
        <w:t xml:space="preserve">Fatimah’, in </w:t>
      </w:r>
      <w:r>
        <w:rPr>
          <w:i/>
          <w:iCs/>
        </w:rPr>
        <w:t>The Encyclopaedia of Islam</w:t>
      </w:r>
      <w:r>
        <w:t xml:space="preserve"> Second Edition [online], &lt; referenceworks-brillonline-com.ezpro</w:t>
      </w:r>
      <w:r>
        <w:t>xy.uwtsd.ac.uk &gt; [Accessed 2 November 2020]</w:t>
      </w:r>
    </w:p>
    <w:p w14:paraId="137D556D" w14:textId="77777777" w:rsidR="00F86972" w:rsidRDefault="008D6F4C">
      <w:r>
        <w:t xml:space="preserve">Fatimah’, in </w:t>
      </w:r>
      <w:r>
        <w:rPr>
          <w:i/>
          <w:iCs/>
        </w:rPr>
        <w:t>The Islamic World: Past and Present</w:t>
      </w:r>
      <w:r>
        <w:t>. [online], http://www.oxfordislamicstudies.com/article/opr/t243/e108&gt; [Accessed 1 November 2020]</w:t>
      </w:r>
    </w:p>
    <w:p w14:paraId="4A42FDB4" w14:textId="77777777" w:rsidR="00F86972" w:rsidRDefault="008D6F4C">
      <w:r>
        <w:t xml:space="preserve">Ghandanfar, M. A. (trans. J. Qawi) </w:t>
      </w:r>
      <w:r>
        <w:rPr>
          <w:i/>
          <w:iCs/>
        </w:rPr>
        <w:t>Great Women of Islam</w:t>
      </w:r>
      <w:r>
        <w:t xml:space="preserve">. </w:t>
      </w:r>
      <w:r>
        <w:t xml:space="preserve">(Saudi Arabia: Darussalam, 2001) </w:t>
      </w:r>
    </w:p>
    <w:p w14:paraId="070BCAB2" w14:textId="77777777" w:rsidR="00F86972" w:rsidRDefault="008D6F4C">
      <w:r>
        <w:t xml:space="preserve">Mir-Hosseini, Z. </w:t>
      </w:r>
      <w:r>
        <w:rPr>
          <w:i/>
          <w:iCs/>
        </w:rPr>
        <w:t xml:space="preserve">Islam and Gender: </w:t>
      </w:r>
      <w:proofErr w:type="gramStart"/>
      <w:r>
        <w:rPr>
          <w:i/>
          <w:iCs/>
        </w:rPr>
        <w:t>the</w:t>
      </w:r>
      <w:proofErr w:type="gramEnd"/>
      <w:r>
        <w:rPr>
          <w:i/>
          <w:iCs/>
        </w:rPr>
        <w:t xml:space="preserve"> Religious Debate In Contemporary Iran. </w:t>
      </w:r>
      <w:r>
        <w:t xml:space="preserve">(New York: Princetown University Press, 1999) </w:t>
      </w:r>
    </w:p>
    <w:sectPr w:rsidR="00F86972">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CCF68C" w14:textId="77777777" w:rsidR="008D6F4C" w:rsidRDefault="008D6F4C">
      <w:pPr>
        <w:spacing w:after="0"/>
      </w:pPr>
      <w:r>
        <w:separator/>
      </w:r>
    </w:p>
  </w:endnote>
  <w:endnote w:type="continuationSeparator" w:id="0">
    <w:p w14:paraId="6FCB61D6" w14:textId="77777777" w:rsidR="008D6F4C" w:rsidRDefault="008D6F4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5186E8" w14:textId="77777777" w:rsidR="008D6F4C" w:rsidRDefault="008D6F4C">
      <w:pPr>
        <w:spacing w:after="0"/>
      </w:pPr>
      <w:r>
        <w:rPr>
          <w:color w:val="000000"/>
        </w:rPr>
        <w:separator/>
      </w:r>
    </w:p>
  </w:footnote>
  <w:footnote w:type="continuationSeparator" w:id="0">
    <w:p w14:paraId="14056088" w14:textId="77777777" w:rsidR="008D6F4C" w:rsidRDefault="008D6F4C">
      <w:pPr>
        <w:spacing w:after="0"/>
      </w:pPr>
      <w:r>
        <w:continuationSeparator/>
      </w:r>
    </w:p>
  </w:footnote>
  <w:footnote w:id="1">
    <w:p w14:paraId="267FB747" w14:textId="77777777" w:rsidR="00F86972" w:rsidRDefault="008D6F4C">
      <w:pPr>
        <w:pStyle w:val="FootnoteText"/>
      </w:pPr>
      <w:r>
        <w:rPr>
          <w:rStyle w:val="FootnoteReference"/>
        </w:rPr>
        <w:footnoteRef/>
      </w:r>
      <w:r>
        <w:t xml:space="preserve">‘Fatimah’, in </w:t>
      </w:r>
      <w:r>
        <w:rPr>
          <w:i/>
          <w:iCs/>
        </w:rPr>
        <w:t>The Islamic World: Past and Present</w:t>
      </w:r>
      <w:r>
        <w:t xml:space="preserve">. [online], </w:t>
      </w:r>
      <w:r>
        <w:t>http://www.oxfordislamicstudies.com/article/opr/t243/e108&gt; [Accessed 1 November 2020]</w:t>
      </w:r>
    </w:p>
  </w:footnote>
  <w:footnote w:id="2">
    <w:p w14:paraId="0CA6D68B" w14:textId="77777777" w:rsidR="00F86972" w:rsidRDefault="008D6F4C">
      <w:pPr>
        <w:pStyle w:val="FootnoteText"/>
      </w:pPr>
      <w:r>
        <w:rPr>
          <w:rStyle w:val="FootnoteReference"/>
        </w:rPr>
        <w:footnoteRef/>
      </w:r>
      <w:r>
        <w:t xml:space="preserve">G. Anwar, “Fatimah”. In </w:t>
      </w:r>
      <w:proofErr w:type="gramStart"/>
      <w:r>
        <w:rPr>
          <w:i/>
          <w:iCs/>
        </w:rPr>
        <w:t>The</w:t>
      </w:r>
      <w:proofErr w:type="gramEnd"/>
      <w:r>
        <w:rPr>
          <w:i/>
          <w:iCs/>
        </w:rPr>
        <w:t xml:space="preserve"> Oxford Encyclopaedia of the Islamic World. </w:t>
      </w:r>
      <w:r>
        <w:t>[o</w:t>
      </w:r>
      <w:r>
        <w:t>nline], &lt;</w:t>
      </w:r>
      <w:hyperlink r:id="rId1" w:history="1">
        <w:r>
          <w:rPr>
            <w:rStyle w:val="Hyperlink"/>
          </w:rPr>
          <w:t>http://www.oxfordislamicstudies.com/article/opr/t243/e108</w:t>
        </w:r>
      </w:hyperlink>
      <w:r>
        <w:t>&gt;  [Accessed 1 November 2020]</w:t>
      </w:r>
    </w:p>
  </w:footnote>
  <w:footnote w:id="3">
    <w:p w14:paraId="77814B5D" w14:textId="77777777" w:rsidR="00F86972" w:rsidRDefault="008D6F4C">
      <w:pPr>
        <w:pStyle w:val="FootnoteText"/>
      </w:pPr>
      <w:r>
        <w:rPr>
          <w:rStyle w:val="FootnoteReference"/>
        </w:rPr>
        <w:footnoteRef/>
      </w:r>
      <w:r>
        <w:t xml:space="preserve">G. Anwar, “Fatimah”. In </w:t>
      </w:r>
      <w:proofErr w:type="gramStart"/>
      <w:r>
        <w:rPr>
          <w:i/>
          <w:iCs/>
        </w:rPr>
        <w:t>The</w:t>
      </w:r>
      <w:proofErr w:type="gramEnd"/>
      <w:r>
        <w:rPr>
          <w:i/>
          <w:iCs/>
        </w:rPr>
        <w:t xml:space="preserve"> Oxford Encyclopaedia of the Islamic World. </w:t>
      </w:r>
      <w:r>
        <w:t>[online], &lt;</w:t>
      </w:r>
      <w:hyperlink r:id="rId2" w:history="1">
        <w:r>
          <w:rPr>
            <w:rStyle w:val="Hyperlink"/>
          </w:rPr>
          <w:t>http://www.oxfordislamicstudies.com/article/opr/t243/e108</w:t>
        </w:r>
      </w:hyperlink>
      <w:r>
        <w:t>&gt;  [Accessed 1 November 2020]</w:t>
      </w:r>
    </w:p>
  </w:footnote>
  <w:footnote w:id="4">
    <w:p w14:paraId="363529D1" w14:textId="77777777" w:rsidR="00F86972" w:rsidRDefault="008D6F4C">
      <w:pPr>
        <w:pStyle w:val="FootnoteText"/>
      </w:pPr>
      <w:r>
        <w:rPr>
          <w:rStyle w:val="FootnoteReference"/>
        </w:rPr>
        <w:footnoteRef/>
      </w:r>
      <w:r>
        <w:t xml:space="preserve"> Al-Sahihain, v. </w:t>
      </w:r>
      <w:r>
        <w:t xml:space="preserve">3, the Chapter on the Virtues of Fatima, p. 171; Seir Alam Al-Nabala', v. 2, p. 126 </w:t>
      </w:r>
    </w:p>
  </w:footnote>
  <w:footnote w:id="5">
    <w:p w14:paraId="30921AA8" w14:textId="77777777" w:rsidR="00F86972" w:rsidRDefault="008D6F4C">
      <w:pPr>
        <w:pStyle w:val="FootnoteText"/>
      </w:pPr>
      <w:r>
        <w:rPr>
          <w:rStyle w:val="FootnoteReference"/>
        </w:rPr>
        <w:footnoteRef/>
      </w:r>
      <w:r>
        <w:t xml:space="preserve">‘Fatimah’, in </w:t>
      </w:r>
      <w:r>
        <w:rPr>
          <w:i/>
          <w:iCs/>
        </w:rPr>
        <w:t>The Islamic World: Past and Present.</w:t>
      </w:r>
      <w:r>
        <w:t xml:space="preserve"> [online], </w:t>
      </w:r>
      <w:hyperlink r:id="rId3" w:history="1">
        <w:r>
          <w:rPr>
            <w:rStyle w:val="Hyperlink"/>
          </w:rPr>
          <w:t>http://www.oxfordislamicstudies.com/article/opr/t243/e108</w:t>
        </w:r>
      </w:hyperlink>
      <w:r>
        <w:t>&gt; [Accessed 1 November 2020]</w:t>
      </w:r>
    </w:p>
  </w:footnote>
  <w:footnote w:id="6">
    <w:p w14:paraId="70156FCD" w14:textId="77777777" w:rsidR="00F86972" w:rsidRDefault="008D6F4C">
      <w:pPr>
        <w:pStyle w:val="FootnoteText"/>
      </w:pPr>
      <w:r>
        <w:rPr>
          <w:rStyle w:val="FootnoteReference"/>
        </w:rPr>
        <w:footnoteRef/>
      </w:r>
      <w:r>
        <w:t xml:space="preserve">‘Fatimah’, in </w:t>
      </w:r>
      <w:r>
        <w:rPr>
          <w:i/>
          <w:iCs/>
        </w:rPr>
        <w:t>The Encyclopaedia of Islam</w:t>
      </w:r>
      <w:r>
        <w:t xml:space="preserve"> Second Edition [online], &lt; referenceworks-brillonline-com.ezproxy.uwtsd.ac</w:t>
      </w:r>
      <w:r>
        <w:t>.uk &gt; [Accessed 2 November 2020]</w:t>
      </w:r>
    </w:p>
  </w:footnote>
  <w:footnote w:id="7">
    <w:p w14:paraId="016F0456" w14:textId="77777777" w:rsidR="00F86972" w:rsidRDefault="008D6F4C">
      <w:pPr>
        <w:pStyle w:val="FootnoteText"/>
      </w:pPr>
      <w:r>
        <w:rPr>
          <w:rStyle w:val="FootnoteReference"/>
        </w:rPr>
        <w:footnoteRef/>
      </w:r>
      <w:r>
        <w:t xml:space="preserve"> M. A. </w:t>
      </w:r>
      <w:proofErr w:type="gramStart"/>
      <w:r>
        <w:t>Ghandanfar,(</w:t>
      </w:r>
      <w:proofErr w:type="gramEnd"/>
      <w:r>
        <w:t xml:space="preserve">trans. J. Qawi) </w:t>
      </w:r>
      <w:r>
        <w:rPr>
          <w:i/>
          <w:iCs/>
        </w:rPr>
        <w:t xml:space="preserve">Great Women of </w:t>
      </w:r>
      <w:r>
        <w:rPr>
          <w:i/>
          <w:iCs/>
        </w:rPr>
        <w:t>Islam</w:t>
      </w:r>
      <w:r>
        <w:t>. (Saudi Arabia: Darussalam, 2001) p.147</w:t>
      </w:r>
    </w:p>
  </w:footnote>
  <w:footnote w:id="8">
    <w:p w14:paraId="1B060A45" w14:textId="77777777" w:rsidR="00F86972" w:rsidRDefault="008D6F4C">
      <w:pPr>
        <w:pStyle w:val="FootnoteText"/>
      </w:pPr>
      <w:r>
        <w:rPr>
          <w:rStyle w:val="FootnoteReference"/>
        </w:rPr>
        <w:footnoteRef/>
      </w:r>
      <w:r>
        <w:t xml:space="preserve"> Bukhari ii 300</w:t>
      </w:r>
    </w:p>
  </w:footnote>
  <w:footnote w:id="9">
    <w:p w14:paraId="51C4C74B" w14:textId="77777777" w:rsidR="00F86972" w:rsidRDefault="008D6F4C">
      <w:pPr>
        <w:pStyle w:val="FootnoteText"/>
      </w:pPr>
      <w:r>
        <w:rPr>
          <w:rStyle w:val="FootnoteReference"/>
        </w:rPr>
        <w:footnoteRef/>
      </w:r>
      <w:r>
        <w:t xml:space="preserve"> G. Anwar, “Fatimah”. In </w:t>
      </w:r>
      <w:proofErr w:type="gramStart"/>
      <w:r>
        <w:rPr>
          <w:i/>
          <w:iCs/>
        </w:rPr>
        <w:t>The</w:t>
      </w:r>
      <w:proofErr w:type="gramEnd"/>
      <w:r>
        <w:rPr>
          <w:i/>
          <w:iCs/>
        </w:rPr>
        <w:t xml:space="preserve"> Oxford Encyclopaedia of the Islamic World. </w:t>
      </w:r>
      <w:r>
        <w:t>[online], &lt;</w:t>
      </w:r>
      <w:hyperlink r:id="rId4" w:history="1">
        <w:r>
          <w:rPr>
            <w:rStyle w:val="Hyperlink"/>
          </w:rPr>
          <w:t>http://www.oxfordislamicstudies.com/article/opr/t243/e108</w:t>
        </w:r>
      </w:hyperlink>
      <w:r>
        <w:t>&gt;  [Accessed 1 November 2020]</w:t>
      </w:r>
    </w:p>
  </w:footnote>
  <w:footnote w:id="10">
    <w:p w14:paraId="051E5F81" w14:textId="77777777" w:rsidR="00F86972" w:rsidRDefault="008D6F4C">
      <w:pPr>
        <w:pStyle w:val="FootnoteText"/>
      </w:pPr>
      <w:r>
        <w:rPr>
          <w:rStyle w:val="FootnoteReference"/>
        </w:rPr>
        <w:footnoteRef/>
      </w:r>
      <w:r>
        <w:t xml:space="preserve">‘Fatimah’, in </w:t>
      </w:r>
      <w:r>
        <w:rPr>
          <w:i/>
          <w:iCs/>
        </w:rPr>
        <w:t>The Encyclopaedia of Islam</w:t>
      </w:r>
      <w:r>
        <w:t xml:space="preserve"> Second Edition [online], &lt; referenceworks-brillonline-com.ezproxy.uwtsd</w:t>
      </w:r>
      <w:r>
        <w:t>.ac.uk &gt; [Accessed 2 November 2020]</w:t>
      </w:r>
    </w:p>
  </w:footnote>
  <w:footnote w:id="11">
    <w:p w14:paraId="79428C29" w14:textId="77777777" w:rsidR="00F86972" w:rsidRDefault="008D6F4C">
      <w:pPr>
        <w:pStyle w:val="FootnoteText"/>
      </w:pPr>
      <w:r>
        <w:rPr>
          <w:rStyle w:val="FootnoteReference"/>
        </w:rPr>
        <w:footnoteRef/>
      </w:r>
      <w:r>
        <w:t xml:space="preserve"> M. A. </w:t>
      </w:r>
      <w:proofErr w:type="gramStart"/>
      <w:r>
        <w:t>Ghandanfar,(</w:t>
      </w:r>
      <w:proofErr w:type="gramEnd"/>
      <w:r>
        <w:t>trans. J. Qawi) Great Women of Islam. p.148</w:t>
      </w:r>
    </w:p>
  </w:footnote>
  <w:footnote w:id="12">
    <w:p w14:paraId="0907F8DC" w14:textId="77777777" w:rsidR="00F86972" w:rsidRDefault="008D6F4C">
      <w:pPr>
        <w:pStyle w:val="FootnoteText"/>
      </w:pPr>
      <w:r>
        <w:rPr>
          <w:rStyle w:val="FootnoteReference"/>
        </w:rPr>
        <w:footnoteRef/>
      </w:r>
      <w:r>
        <w:t xml:space="preserve"> ‘Fatimah’, in </w:t>
      </w:r>
      <w:r>
        <w:rPr>
          <w:i/>
          <w:iCs/>
        </w:rPr>
        <w:t>The Islamic World: Pa</w:t>
      </w:r>
      <w:r>
        <w:rPr>
          <w:i/>
          <w:iCs/>
        </w:rPr>
        <w:t>st and Present</w:t>
      </w:r>
      <w:r>
        <w:t>. [online], http://www.oxfordislamicstudies.com/article/opr/t243/e108&gt; [Accessed 1 November 2020]</w:t>
      </w:r>
    </w:p>
  </w:footnote>
  <w:footnote w:id="13">
    <w:p w14:paraId="11E2BC0F" w14:textId="77777777" w:rsidR="00F86972" w:rsidRDefault="008D6F4C">
      <w:pPr>
        <w:pStyle w:val="FootnoteText"/>
      </w:pPr>
      <w:r>
        <w:rPr>
          <w:rStyle w:val="FootnoteReference"/>
        </w:rPr>
        <w:footnoteRef/>
      </w:r>
      <w:r>
        <w:t xml:space="preserve"> S. Giliani, ‘Fatimah Bint Muhammad (PBUH)’, Defence Journal, 15(12) (2012), pp. L1-L9 (p. L4)</w:t>
      </w:r>
    </w:p>
  </w:footnote>
  <w:footnote w:id="14">
    <w:p w14:paraId="42553E67" w14:textId="77777777" w:rsidR="00F86972" w:rsidRDefault="008D6F4C">
      <w:pPr>
        <w:pStyle w:val="FootnoteText"/>
      </w:pPr>
      <w:r>
        <w:rPr>
          <w:rStyle w:val="FootnoteReference"/>
        </w:rPr>
        <w:footnoteRef/>
      </w:r>
      <w:r>
        <w:t xml:space="preserve"> Fatimah’, in </w:t>
      </w:r>
      <w:r>
        <w:rPr>
          <w:i/>
          <w:iCs/>
        </w:rPr>
        <w:t>The Encyclopaedia of Islam</w:t>
      </w:r>
      <w:r>
        <w:t xml:space="preserve"> Second Edition [online], &lt; referenceworks-brillonline-com.ezproxy.uwtsd.ac.uk &gt; [Accessed 2 November 20</w:t>
      </w:r>
      <w:r>
        <w:t>20]</w:t>
      </w:r>
    </w:p>
  </w:footnote>
  <w:footnote w:id="15">
    <w:p w14:paraId="5B47BCAC" w14:textId="77777777" w:rsidR="00F86972" w:rsidRDefault="008D6F4C">
      <w:pPr>
        <w:pStyle w:val="FootnoteText"/>
      </w:pPr>
      <w:r>
        <w:rPr>
          <w:rStyle w:val="FootnoteReference"/>
        </w:rPr>
        <w:footnoteRef/>
      </w:r>
      <w:r>
        <w:t xml:space="preserve"> Fatimah’, in </w:t>
      </w:r>
      <w:r>
        <w:rPr>
          <w:i/>
          <w:iCs/>
        </w:rPr>
        <w:t>The Encyclopaedia of Islam</w:t>
      </w:r>
      <w:r>
        <w:t xml:space="preserve"> Second Edition [online], &lt; referenceworks-brillonline-com.ezproxy.uwtsd.ac.uk &gt; [Accessed 2 November 2020]</w:t>
      </w:r>
    </w:p>
  </w:footnote>
  <w:footnote w:id="16">
    <w:p w14:paraId="6A1E08B8" w14:textId="77777777" w:rsidR="00F86972" w:rsidRDefault="008D6F4C">
      <w:pPr>
        <w:pStyle w:val="FootnoteText"/>
      </w:pPr>
      <w:r>
        <w:rPr>
          <w:rStyle w:val="FootnoteReference"/>
        </w:rPr>
        <w:footnoteRef/>
      </w:r>
      <w:r>
        <w:t xml:space="preserve"> S. Giliani, ‘Fatimah Bint Muhammad (PBUH)’, (p. L4)</w:t>
      </w:r>
    </w:p>
  </w:footnote>
  <w:footnote w:id="17">
    <w:p w14:paraId="1D416CD0" w14:textId="77777777" w:rsidR="00F86972" w:rsidRDefault="008D6F4C">
      <w:pPr>
        <w:pStyle w:val="FootnoteText"/>
      </w:pPr>
      <w:r>
        <w:rPr>
          <w:rStyle w:val="FootnoteReference"/>
        </w:rPr>
        <w:footnoteRef/>
      </w:r>
      <w:r>
        <w:t xml:space="preserve"> S. Giliani, ‘Fatimah Bint Muhammad (PBUH)’, (p. L5)</w:t>
      </w:r>
    </w:p>
  </w:footnote>
  <w:footnote w:id="18">
    <w:p w14:paraId="71F8259A" w14:textId="77777777" w:rsidR="00F86972" w:rsidRDefault="008D6F4C">
      <w:pPr>
        <w:pStyle w:val="FootnoteText"/>
      </w:pPr>
      <w:r>
        <w:rPr>
          <w:rStyle w:val="FootnoteReference"/>
        </w:rPr>
        <w:footnoteRef/>
      </w:r>
      <w:r>
        <w:t xml:space="preserve"> S. Giliani, ‘Fatimah Bint Muha</w:t>
      </w:r>
      <w:r>
        <w:t>mmad (PBUH)’, (p. L4)</w:t>
      </w:r>
    </w:p>
  </w:footnote>
  <w:footnote w:id="19">
    <w:p w14:paraId="57C76E12" w14:textId="77777777" w:rsidR="00F86972" w:rsidRDefault="008D6F4C">
      <w:pPr>
        <w:pStyle w:val="FootnoteText"/>
      </w:pPr>
      <w:r>
        <w:rPr>
          <w:rStyle w:val="FootnoteReference"/>
        </w:rPr>
        <w:footnoteRef/>
      </w:r>
      <w:r>
        <w:t xml:space="preserve"> Fatimah’, in </w:t>
      </w:r>
      <w:r>
        <w:rPr>
          <w:i/>
          <w:iCs/>
        </w:rPr>
        <w:t>The Encyclopaedia of Islam</w:t>
      </w:r>
      <w:r>
        <w:t xml:space="preserve"> Second Edition [online], &lt; referenceworks-brillonline-com.ezproxy.uwtsd.ac.uk &gt; [Accessed 2 November 2020]</w:t>
      </w:r>
    </w:p>
  </w:footnote>
  <w:footnote w:id="20">
    <w:p w14:paraId="18D67C63" w14:textId="77777777" w:rsidR="00F86972" w:rsidRDefault="008D6F4C">
      <w:pPr>
        <w:pStyle w:val="FootnoteText"/>
      </w:pPr>
      <w:r>
        <w:rPr>
          <w:rStyle w:val="FootnoteReference"/>
        </w:rPr>
        <w:footnoteRef/>
      </w:r>
      <w:r>
        <w:t xml:space="preserve"> F. Kashani-Sabet, ‘Who is Fatima? Gender, Culture, and Representation in Islam’, </w:t>
      </w:r>
      <w:r>
        <w:rPr>
          <w:i/>
          <w:iCs/>
        </w:rPr>
        <w:t xml:space="preserve">Journal of Middle East Women’s Studies, </w:t>
      </w:r>
      <w:r>
        <w:t xml:space="preserve">1(2) (2005) pp. 1-24 (p. 2) </w:t>
      </w:r>
    </w:p>
  </w:footnote>
  <w:footnote w:id="21">
    <w:p w14:paraId="776E9F41" w14:textId="77777777" w:rsidR="00F86972" w:rsidRDefault="008D6F4C">
      <w:pPr>
        <w:pStyle w:val="FootnoteText"/>
      </w:pPr>
      <w:r>
        <w:rPr>
          <w:rStyle w:val="FootnoteReference"/>
        </w:rPr>
        <w:footnoteRef/>
      </w:r>
      <w:r>
        <w:t xml:space="preserve"> Fatimah’, in The Islamic World: Past and Present. </w:t>
      </w:r>
      <w:r>
        <w:t>[online], http://www.oxfordislamicstudies.com/article/opr/t243/e108&gt; [Accessed 1 November 2020]</w:t>
      </w:r>
    </w:p>
  </w:footnote>
  <w:footnote w:id="22">
    <w:p w14:paraId="69E070C7" w14:textId="77777777" w:rsidR="00F86972" w:rsidRDefault="008D6F4C">
      <w:pPr>
        <w:pStyle w:val="FootnoteText"/>
      </w:pPr>
      <w:r>
        <w:rPr>
          <w:rStyle w:val="FootnoteReference"/>
        </w:rPr>
        <w:footnoteRef/>
      </w:r>
      <w:r>
        <w:t xml:space="preserve"> Z. </w:t>
      </w:r>
      <w:r>
        <w:t xml:space="preserve">Mir-Hosseini, </w:t>
      </w:r>
      <w:r>
        <w:rPr>
          <w:i/>
          <w:iCs/>
        </w:rPr>
        <w:t xml:space="preserve">Islam and Gender: </w:t>
      </w:r>
      <w:proofErr w:type="gramStart"/>
      <w:r>
        <w:rPr>
          <w:i/>
          <w:iCs/>
        </w:rPr>
        <w:t>the</w:t>
      </w:r>
      <w:proofErr w:type="gramEnd"/>
      <w:r>
        <w:rPr>
          <w:i/>
          <w:iCs/>
        </w:rPr>
        <w:t xml:space="preserve"> Religious Debate In Contemporary Iran. </w:t>
      </w:r>
      <w:r>
        <w:t>(New York: Princetown University Press, 1999) p. 56</w:t>
      </w:r>
    </w:p>
  </w:footnote>
  <w:footnote w:id="23">
    <w:p w14:paraId="62537F59" w14:textId="77777777" w:rsidR="00F86972" w:rsidRDefault="008D6F4C">
      <w:pPr>
        <w:pStyle w:val="FootnoteText"/>
      </w:pPr>
      <w:r>
        <w:rPr>
          <w:rStyle w:val="FootnoteReference"/>
        </w:rPr>
        <w:footnoteRef/>
      </w:r>
      <w:r>
        <w:t xml:space="preserve"> Sahih Al-Bukhari, v. 3, Kitab Al-Fadha'il, Chapter on the Virtues of Fatima, p. 1374.</w:t>
      </w:r>
    </w:p>
  </w:footnote>
  <w:footnote w:id="24">
    <w:p w14:paraId="3849593E" w14:textId="77777777" w:rsidR="00F86972" w:rsidRDefault="008D6F4C">
      <w:pPr>
        <w:pStyle w:val="FootnoteText"/>
      </w:pPr>
      <w:r>
        <w:rPr>
          <w:rStyle w:val="FootnoteReference"/>
        </w:rPr>
        <w:footnoteRef/>
      </w:r>
      <w:r>
        <w:t xml:space="preserve"> S. Giliani, ‘Fatimah Bint Muhammad (PBUH)’, (p. L7)</w:t>
      </w:r>
    </w:p>
  </w:footnote>
  <w:footnote w:id="25">
    <w:p w14:paraId="70F1662E" w14:textId="77777777" w:rsidR="00F86972" w:rsidRDefault="008D6F4C">
      <w:pPr>
        <w:pStyle w:val="FootnoteText"/>
      </w:pPr>
      <w:r>
        <w:rPr>
          <w:rStyle w:val="FootnoteReference"/>
        </w:rPr>
        <w:footnoteRef/>
      </w:r>
      <w:r>
        <w:t xml:space="preserve"> S. Giliani, ‘Fatimah Bint Muhammad (</w:t>
      </w:r>
      <w:r>
        <w:t>PBUH)’, (p. L8)</w:t>
      </w:r>
    </w:p>
  </w:footnote>
  <w:footnote w:id="26">
    <w:p w14:paraId="77E9D790" w14:textId="77777777" w:rsidR="00F86972" w:rsidRDefault="008D6F4C">
      <w:pPr>
        <w:pStyle w:val="FootnoteText"/>
      </w:pPr>
      <w:r>
        <w:rPr>
          <w:rStyle w:val="FootnoteReference"/>
        </w:rPr>
        <w:footnoteRef/>
      </w:r>
      <w:r>
        <w:t xml:space="preserve"> S. Giliani, ‘Fatimah Bint Muhammad </w:t>
      </w:r>
      <w:r>
        <w:t>(PBUH)’, (p. L8)</w:t>
      </w:r>
    </w:p>
  </w:footnote>
  <w:footnote w:id="27">
    <w:p w14:paraId="60FF9C08" w14:textId="77777777" w:rsidR="00F86972" w:rsidRDefault="008D6F4C">
      <w:pPr>
        <w:pStyle w:val="FootnoteText"/>
      </w:pPr>
      <w:r>
        <w:rPr>
          <w:rStyle w:val="FootnoteReference"/>
        </w:rPr>
        <w:footnoteRef/>
      </w:r>
      <w:r>
        <w:t xml:space="preserve"> Fatimah’, in </w:t>
      </w:r>
      <w:r>
        <w:rPr>
          <w:i/>
          <w:iCs/>
        </w:rPr>
        <w:t>The Encyclopaedia of Islam</w:t>
      </w:r>
      <w:r>
        <w:t xml:space="preserve"> Second Edition [online], &lt; referenceworks-brillonline-com.ezproxy.uwt</w:t>
      </w:r>
      <w:r>
        <w:t>sd.ac.uk &gt; [Accessed 2 November 2020]</w:t>
      </w:r>
    </w:p>
  </w:footnote>
  <w:footnote w:id="28">
    <w:p w14:paraId="4911CE53" w14:textId="77777777" w:rsidR="00F86972" w:rsidRDefault="008D6F4C">
      <w:pPr>
        <w:pStyle w:val="FootnoteText"/>
      </w:pPr>
      <w:r>
        <w:rPr>
          <w:rStyle w:val="FootnoteReference"/>
        </w:rPr>
        <w:footnoteRef/>
      </w:r>
      <w:r>
        <w:t xml:space="preserve"> Fatimah’, in </w:t>
      </w:r>
      <w:r>
        <w:rPr>
          <w:i/>
          <w:iCs/>
        </w:rPr>
        <w:t>The Islamic World: Past and Present</w:t>
      </w:r>
      <w:r>
        <w:t xml:space="preserve"> [onlin</w:t>
      </w:r>
      <w:r>
        <w:t>e], http://www.oxfordislamicstudies.com/article/opr/t243/e108&gt; [Accessed 1 November 2020]</w:t>
      </w:r>
    </w:p>
  </w:footnote>
  <w:footnote w:id="29">
    <w:p w14:paraId="4B2523D0" w14:textId="77777777" w:rsidR="00F86972" w:rsidRDefault="008D6F4C">
      <w:pPr>
        <w:pStyle w:val="FootnoteText"/>
      </w:pPr>
      <w:r>
        <w:rPr>
          <w:rStyle w:val="FootnoteReference"/>
        </w:rPr>
        <w:footnoteRef/>
      </w:r>
      <w:r>
        <w:t xml:space="preserve"> G. Anwar, “Fatimah”. In </w:t>
      </w:r>
      <w:proofErr w:type="gramStart"/>
      <w:r>
        <w:rPr>
          <w:i/>
          <w:iCs/>
        </w:rPr>
        <w:t>The</w:t>
      </w:r>
      <w:proofErr w:type="gramEnd"/>
      <w:r>
        <w:rPr>
          <w:i/>
          <w:iCs/>
        </w:rPr>
        <w:t xml:space="preserve"> Oxford Encyclopaedia of the Islamic World. </w:t>
      </w:r>
      <w:r>
        <w:t>[online], &lt;</w:t>
      </w:r>
      <w:hyperlink r:id="rId5" w:history="1">
        <w:r>
          <w:rPr>
            <w:rStyle w:val="Hyperlink"/>
          </w:rPr>
          <w:t>http://www.oxfordislamicstudies.com/article/opr/t243/e108</w:t>
        </w:r>
      </w:hyperlink>
      <w:r>
        <w:t>&gt;  [Accessed 1 November 2020]</w:t>
      </w:r>
    </w:p>
  </w:footnote>
  <w:footnote w:id="30">
    <w:p w14:paraId="6ADBBE59" w14:textId="77777777" w:rsidR="00F86972" w:rsidRDefault="008D6F4C">
      <w:pPr>
        <w:pStyle w:val="FootnoteText"/>
      </w:pPr>
      <w:r>
        <w:rPr>
          <w:rStyle w:val="FootnoteReference"/>
        </w:rPr>
        <w:footnoteRef/>
      </w:r>
      <w:r>
        <w:t xml:space="preserve"> </w:t>
      </w:r>
      <w:r>
        <w:rPr>
          <w:rFonts w:ascii="Verdana" w:hAnsi="Verdana"/>
          <w:color w:val="000000"/>
          <w:sz w:val="17"/>
          <w:szCs w:val="17"/>
        </w:rPr>
        <w:t>Sahih al-Bukhari 3623, 3624: Book 61, Hadith 129: Vol. 4, Book 56, Hadith 819</w:t>
      </w:r>
    </w:p>
  </w:footnote>
  <w:footnote w:id="31">
    <w:p w14:paraId="0B2249BB" w14:textId="77777777" w:rsidR="00F86972" w:rsidRDefault="008D6F4C">
      <w:pPr>
        <w:pStyle w:val="FootnoteText"/>
      </w:pPr>
      <w:r>
        <w:rPr>
          <w:rStyle w:val="FootnoteReference"/>
        </w:rPr>
        <w:footnoteRef/>
      </w:r>
      <w:r>
        <w:t xml:space="preserve"> Fatimah’, in </w:t>
      </w:r>
      <w:r>
        <w:rPr>
          <w:i/>
          <w:iCs/>
        </w:rPr>
        <w:t>The Encyclopaedia of Islam</w:t>
      </w:r>
      <w:r>
        <w:t xml:space="preserve"> Second Edi</w:t>
      </w:r>
      <w:r>
        <w:t>tion [online], &lt; referenceworks-brillonline-com.ezproxy.uwtsd.ac.uk &gt; [Accessed 2 November 2020]</w:t>
      </w:r>
    </w:p>
  </w:footnote>
  <w:footnote w:id="32">
    <w:p w14:paraId="3D7345E7" w14:textId="77777777" w:rsidR="00F86972" w:rsidRDefault="008D6F4C">
      <w:pPr>
        <w:pStyle w:val="FootnoteText"/>
      </w:pPr>
      <w:r>
        <w:rPr>
          <w:rStyle w:val="FootnoteReference"/>
        </w:rPr>
        <w:footnoteRef/>
      </w:r>
      <w:r>
        <w:t xml:space="preserve"> </w:t>
      </w:r>
      <w:r>
        <w:rPr>
          <w:rFonts w:cs="Calibri"/>
          <w:sz w:val="22"/>
          <w:szCs w:val="22"/>
          <w:shd w:val="clear" w:color="auto" w:fill="FFFFFF"/>
        </w:rPr>
        <w:t>al-Yaʿ</w:t>
      </w:r>
      <w:r>
        <w:rPr>
          <w:rFonts w:cs="Calibri"/>
          <w:sz w:val="22"/>
          <w:szCs w:val="22"/>
          <w:shd w:val="clear" w:color="auto" w:fill="FFFFFF"/>
        </w:rPr>
        <w:t>ḳ</w:t>
      </w:r>
      <w:r>
        <w:rPr>
          <w:rFonts w:cs="Calibri"/>
          <w:sz w:val="22"/>
          <w:szCs w:val="22"/>
          <w:shd w:val="clear" w:color="auto" w:fill="FFFFFF"/>
        </w:rPr>
        <w:t>ūbī (ii, 128-30)</w:t>
      </w:r>
    </w:p>
  </w:footnote>
  <w:footnote w:id="33">
    <w:p w14:paraId="0A4D86E3" w14:textId="77777777" w:rsidR="00F86972" w:rsidRDefault="008D6F4C">
      <w:pPr>
        <w:pStyle w:val="FootnoteText"/>
      </w:pPr>
      <w:r>
        <w:rPr>
          <w:rStyle w:val="FootnoteReference"/>
        </w:rPr>
        <w:footnoteRef/>
      </w:r>
      <w:r>
        <w:t xml:space="preserve"> </w:t>
      </w:r>
      <w:r>
        <w:rPr>
          <w:rFonts w:cs="Calibri"/>
          <w:sz w:val="22"/>
          <w:szCs w:val="22"/>
          <w:shd w:val="clear" w:color="auto" w:fill="FFFFFF"/>
        </w:rPr>
        <w:t>al-</w:t>
      </w:r>
      <w:proofErr w:type="gramStart"/>
      <w:r>
        <w:rPr>
          <w:rFonts w:cs="Calibri"/>
          <w:sz w:val="22"/>
          <w:szCs w:val="22"/>
          <w:shd w:val="clear" w:color="auto" w:fill="FFFFFF"/>
        </w:rPr>
        <w:t>Ṭ</w:t>
      </w:r>
      <w:r>
        <w:rPr>
          <w:rFonts w:cs="Calibri"/>
          <w:sz w:val="22"/>
          <w:szCs w:val="22"/>
          <w:shd w:val="clear" w:color="auto" w:fill="FFFFFF"/>
        </w:rPr>
        <w:t>abarī,</w:t>
      </w:r>
      <w:r>
        <w:rPr>
          <w:rFonts w:cs="Calibri"/>
          <w:shd w:val="clear" w:color="auto" w:fill="FFFFFF"/>
        </w:rPr>
        <w:t>(</w:t>
      </w:r>
      <w:proofErr w:type="gramEnd"/>
      <w:r>
        <w:rPr>
          <w:rFonts w:cs="Calibri"/>
          <w:sz w:val="22"/>
          <w:szCs w:val="22"/>
          <w:shd w:val="clear" w:color="auto" w:fill="FFFFFF"/>
        </w:rPr>
        <w:t>iii, 2436</w:t>
      </w:r>
      <w:r>
        <w:rPr>
          <w:rFonts w:cs="Calibri"/>
          <w:shd w:val="clear" w:color="auto" w:fill="FFFFFF"/>
        </w:rPr>
        <w:t>)</w:t>
      </w:r>
    </w:p>
  </w:footnote>
  <w:footnote w:id="34">
    <w:p w14:paraId="5B3C6F61" w14:textId="77777777" w:rsidR="00F86972" w:rsidRDefault="008D6F4C">
      <w:pPr>
        <w:pStyle w:val="FootnoteText"/>
      </w:pPr>
      <w:r>
        <w:rPr>
          <w:rStyle w:val="FootnoteReference"/>
        </w:rPr>
        <w:footnoteRef/>
      </w:r>
      <w:r>
        <w:t xml:space="preserve"> ‘Fatimah’, in </w:t>
      </w:r>
      <w:r>
        <w:rPr>
          <w:i/>
          <w:iCs/>
        </w:rPr>
        <w:t>The Encyclopaedia of Islam</w:t>
      </w:r>
      <w:r>
        <w:t xml:space="preserve"> Second Edition [online], &lt; referenceworks-brillonline-com.ezproxy.uwtsd.ac.uk &gt; [Accessed 2 November 2020]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docVars>
    <w:docVar w:name="__Grammarly_42____i" w:val="H4sIAAAAAAAEAKtWckksSQxILCpxzi/NK1GyMqwFAAEhoTITAAAA"/>
    <w:docVar w:name="__Grammarly_42___1" w:val="H4sIAAAAAAAEAKtWcslP9kxRslIyNDYysTQ1MDE3NjA0NzQyMrVQ0lEKTi0uzszPAykwrAUA+HMskSwAAAA="/>
  </w:docVars>
  <w:rsids>
    <w:rsidRoot w:val="00F86972"/>
    <w:rsid w:val="006B15B2"/>
    <w:rsid w:val="008D6F4C"/>
    <w:rsid w:val="00F869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1FADB"/>
  <w15:docId w15:val="{00A87FAB-E334-47ED-9735-1EE602E2F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pPr>
      <w:spacing w:after="0"/>
    </w:pPr>
    <w:rPr>
      <w:sz w:val="20"/>
      <w:szCs w:val="20"/>
    </w:rPr>
  </w:style>
  <w:style w:type="character" w:customStyle="1" w:styleId="FootnoteTextChar">
    <w:name w:val="Footnote Text Char"/>
    <w:basedOn w:val="DefaultParagraphFont"/>
    <w:rPr>
      <w:sz w:val="20"/>
      <w:szCs w:val="20"/>
    </w:rPr>
  </w:style>
  <w:style w:type="character" w:styleId="FootnoteReference">
    <w:name w:val="footnote reference"/>
    <w:basedOn w:val="DefaultParagraphFont"/>
    <w:rPr>
      <w:position w:val="0"/>
      <w:vertAlign w:val="superscript"/>
    </w:rPr>
  </w:style>
  <w:style w:type="paragraph" w:styleId="Header">
    <w:name w:val="header"/>
    <w:basedOn w:val="Normal"/>
    <w:pPr>
      <w:tabs>
        <w:tab w:val="center" w:pos="4513"/>
        <w:tab w:val="right" w:pos="9026"/>
      </w:tabs>
      <w:spacing w:after="0"/>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pPr>
  </w:style>
  <w:style w:type="character" w:customStyle="1" w:styleId="FooterChar">
    <w:name w:val="Footer Char"/>
    <w:basedOn w:val="DefaultParagraphFont"/>
  </w:style>
  <w:style w:type="character" w:styleId="Emphasis">
    <w:name w:val="Emphasis"/>
    <w:basedOn w:val="DefaultParagraphFont"/>
    <w:rPr>
      <w:i/>
      <w:iCs/>
    </w:rPr>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character" w:styleId="CommentReference">
    <w:name w:val="annotation reference"/>
    <w:basedOn w:val="DefaultParagraphFont"/>
    <w:rPr>
      <w:sz w:val="16"/>
      <w:szCs w:val="16"/>
    </w:rPr>
  </w:style>
  <w:style w:type="paragraph" w:styleId="CommentText">
    <w:name w:val="annotation text"/>
    <w:basedOn w:val="Normal"/>
    <w:rPr>
      <w:sz w:val="20"/>
      <w:szCs w:val="20"/>
    </w:rPr>
  </w:style>
  <w:style w:type="character" w:customStyle="1" w:styleId="CommentTextChar">
    <w:name w:val="Comment Text Char"/>
    <w:basedOn w:val="DefaultParagraphFont"/>
    <w:rPr>
      <w:sz w:val="20"/>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 w:val="20"/>
      <w:szCs w:val="20"/>
    </w:rPr>
  </w:style>
  <w:style w:type="paragraph" w:styleId="BalloonText">
    <w:name w:val="Balloon Text"/>
    <w:basedOn w:val="Normal"/>
    <w:pPr>
      <w:spacing w:after="0"/>
    </w:pPr>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jstor.org/stable/4032685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oxfordislamicstudies.com/article/opr/t243/e108"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oxfordislamicstudies.com/article/opr/t243/e108" TargetMode="External"/><Relationship Id="rId2" Type="http://schemas.openxmlformats.org/officeDocument/2006/relationships/hyperlink" Target="http://www.oxfordislamicstudies.com/article/opr/t243/e108" TargetMode="External"/><Relationship Id="rId1" Type="http://schemas.openxmlformats.org/officeDocument/2006/relationships/hyperlink" Target="http://www.oxfordislamicstudies.com/article/opr/t243/e108" TargetMode="External"/><Relationship Id="rId5" Type="http://schemas.openxmlformats.org/officeDocument/2006/relationships/hyperlink" Target="http://www.oxfordislamicstudies.com/article/opr/t243/e108" TargetMode="External"/><Relationship Id="rId4" Type="http://schemas.openxmlformats.org/officeDocument/2006/relationships/hyperlink" Target="http://www.oxfordislamicstudies.com/article/opr/t243/e10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1808</Words>
  <Characters>10309</Characters>
  <Application>Microsoft Office Word</Application>
  <DocSecurity>0</DocSecurity>
  <Lines>85</Lines>
  <Paragraphs>24</Paragraphs>
  <ScaleCrop>false</ScaleCrop>
  <Company/>
  <LinksUpToDate>false</LinksUpToDate>
  <CharactersWithSpaces>12093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Watts (1901401)</dc:creator>
  <dc:description/>
  <cp:lastModifiedBy>Caitlin Watts (1901401)</cp:lastModifiedBy>
  <cp:revision>2</cp:revision>
  <dcterms:created xsi:type="dcterms:W3CDTF">2020-11-10T17:59:00Z</dcterms:created>
  <dcterms:modified xsi:type="dcterms:W3CDTF">2020-11-10T17:59:00Z</dcterms:modified>
</cp:coreProperties>
</file>