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14B52" w14:textId="77777777" w:rsidR="0085126C" w:rsidRPr="00385F78" w:rsidRDefault="0085126C" w:rsidP="00703A7A">
      <w:pPr>
        <w:spacing w:line="360" w:lineRule="auto"/>
        <w:jc w:val="center"/>
        <w:rPr>
          <w:rFonts w:ascii="Arial" w:hAnsi="Arial" w:cs="Arial"/>
          <w:b/>
          <w:bCs/>
          <w:u w:val="single"/>
        </w:rPr>
      </w:pPr>
      <w:r w:rsidRPr="00385F78">
        <w:rPr>
          <w:rFonts w:ascii="Arial" w:hAnsi="Arial" w:cs="Arial"/>
          <w:noProof/>
        </w:rPr>
        <w:drawing>
          <wp:inline distT="0" distB="0" distL="0" distR="0" wp14:anchorId="76DA65F6" wp14:editId="33868C3F">
            <wp:extent cx="899160" cy="872251"/>
            <wp:effectExtent l="0" t="0" r="0" b="4445"/>
            <wp:docPr id="1028" name="Picture 4" descr="UWTSD : School of Applied Computing | Swansea">
              <a:extLst xmlns:a="http://schemas.openxmlformats.org/drawingml/2006/main">
                <a:ext uri="{FF2B5EF4-FFF2-40B4-BE49-F238E27FC236}">
                  <a16:creationId xmlns:a16="http://schemas.microsoft.com/office/drawing/2014/main" id="{B98646DB-9A73-8710-3134-993E63456C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WTSD : School of Applied Computing | Swansea">
                      <a:extLst>
                        <a:ext uri="{FF2B5EF4-FFF2-40B4-BE49-F238E27FC236}">
                          <a16:creationId xmlns:a16="http://schemas.microsoft.com/office/drawing/2014/main" id="{B98646DB-9A73-8710-3134-993E63456C0A}"/>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07224" cy="880074"/>
                    </a:xfrm>
                    <a:prstGeom prst="rect">
                      <a:avLst/>
                    </a:prstGeom>
                    <a:noFill/>
                  </pic:spPr>
                </pic:pic>
              </a:graphicData>
            </a:graphic>
          </wp:inline>
        </w:drawing>
      </w:r>
    </w:p>
    <w:p w14:paraId="3D735524" w14:textId="77777777" w:rsidR="0085126C" w:rsidRPr="00385F78" w:rsidRDefault="0085126C" w:rsidP="00703A7A">
      <w:pPr>
        <w:spacing w:line="360" w:lineRule="auto"/>
        <w:jc w:val="center"/>
        <w:rPr>
          <w:rFonts w:ascii="Arial" w:hAnsi="Arial" w:cs="Arial"/>
          <w:b/>
          <w:bCs/>
          <w:u w:val="single"/>
        </w:rPr>
      </w:pPr>
    </w:p>
    <w:p w14:paraId="0C962371" w14:textId="383D95DC" w:rsidR="0085126C" w:rsidRPr="00385F78" w:rsidRDefault="0085126C" w:rsidP="00703A7A">
      <w:pPr>
        <w:spacing w:line="360" w:lineRule="auto"/>
        <w:jc w:val="center"/>
        <w:rPr>
          <w:rFonts w:ascii="Arial" w:hAnsi="Arial" w:cs="Arial"/>
          <w:b/>
          <w:bCs/>
          <w:u w:val="single"/>
        </w:rPr>
      </w:pPr>
      <w:r w:rsidRPr="00385F78">
        <w:rPr>
          <w:rFonts w:ascii="Arial" w:hAnsi="Arial" w:cs="Arial"/>
          <w:b/>
          <w:bCs/>
          <w:u w:val="single"/>
        </w:rPr>
        <w:t>UNIVERSITY OF WALES TRINITY SAINT DAVID</w:t>
      </w:r>
    </w:p>
    <w:p w14:paraId="2DAAF742" w14:textId="77777777" w:rsidR="0085126C" w:rsidRPr="00385F78" w:rsidRDefault="0085126C" w:rsidP="00703A7A">
      <w:pPr>
        <w:spacing w:line="360" w:lineRule="auto"/>
        <w:jc w:val="center"/>
        <w:rPr>
          <w:rFonts w:ascii="Arial" w:hAnsi="Arial" w:cs="Arial"/>
          <w:b/>
          <w:bCs/>
          <w:u w:val="single"/>
        </w:rPr>
      </w:pPr>
    </w:p>
    <w:p w14:paraId="7F55D71B" w14:textId="12DC6CC1" w:rsidR="005466D6" w:rsidRPr="00385F78" w:rsidRDefault="0085126C" w:rsidP="00703A7A">
      <w:pPr>
        <w:spacing w:line="360" w:lineRule="auto"/>
        <w:jc w:val="center"/>
        <w:rPr>
          <w:rFonts w:ascii="Arial" w:hAnsi="Arial" w:cs="Arial"/>
          <w:b/>
          <w:bCs/>
          <w:u w:val="single"/>
        </w:rPr>
      </w:pPr>
      <w:r w:rsidRPr="00385F78">
        <w:rPr>
          <w:rFonts w:ascii="Arial" w:hAnsi="Arial" w:cs="Arial"/>
          <w:b/>
          <w:bCs/>
          <w:u w:val="single"/>
        </w:rPr>
        <w:t>COMMUNITY ENGAGEMENT (LCBB4002)</w:t>
      </w:r>
    </w:p>
    <w:p w14:paraId="2D44F06C" w14:textId="77777777" w:rsidR="0085126C" w:rsidRPr="00385F78" w:rsidRDefault="0085126C" w:rsidP="00703A7A">
      <w:pPr>
        <w:spacing w:line="360" w:lineRule="auto"/>
        <w:jc w:val="center"/>
        <w:rPr>
          <w:rFonts w:ascii="Arial" w:hAnsi="Arial" w:cs="Arial"/>
        </w:rPr>
      </w:pPr>
    </w:p>
    <w:p w14:paraId="6A26C7C6" w14:textId="77777777" w:rsidR="0085126C" w:rsidRPr="00385F78" w:rsidRDefault="0085126C" w:rsidP="00703A7A">
      <w:pPr>
        <w:spacing w:line="360" w:lineRule="auto"/>
        <w:jc w:val="center"/>
        <w:rPr>
          <w:rFonts w:ascii="Arial" w:hAnsi="Arial" w:cs="Arial"/>
          <w:b/>
          <w:bCs/>
          <w:u w:val="single"/>
        </w:rPr>
      </w:pPr>
      <w:r w:rsidRPr="00385F78">
        <w:rPr>
          <w:rFonts w:ascii="Arial" w:hAnsi="Arial" w:cs="Arial"/>
          <w:b/>
          <w:bCs/>
          <w:u w:val="single"/>
        </w:rPr>
        <w:t>LECTURER – DR. NADEEM MIRZA</w:t>
      </w:r>
    </w:p>
    <w:p w14:paraId="77EAE445" w14:textId="77777777" w:rsidR="0085126C" w:rsidRPr="00385F78" w:rsidRDefault="0085126C" w:rsidP="00703A7A">
      <w:pPr>
        <w:spacing w:line="360" w:lineRule="auto"/>
        <w:jc w:val="center"/>
        <w:rPr>
          <w:rFonts w:ascii="Arial" w:hAnsi="Arial" w:cs="Arial"/>
          <w:b/>
          <w:bCs/>
          <w:u w:val="single"/>
        </w:rPr>
      </w:pPr>
    </w:p>
    <w:p w14:paraId="09442D5F" w14:textId="77777777" w:rsidR="0085126C" w:rsidRPr="00385F78" w:rsidRDefault="0085126C" w:rsidP="00703A7A">
      <w:pPr>
        <w:spacing w:line="360" w:lineRule="auto"/>
        <w:jc w:val="center"/>
        <w:rPr>
          <w:rFonts w:ascii="Arial" w:hAnsi="Arial" w:cs="Arial"/>
          <w:b/>
          <w:bCs/>
          <w:u w:val="single"/>
        </w:rPr>
      </w:pPr>
      <w:r w:rsidRPr="00385F78">
        <w:rPr>
          <w:rFonts w:ascii="Arial" w:hAnsi="Arial" w:cs="Arial"/>
          <w:b/>
          <w:bCs/>
          <w:u w:val="single"/>
        </w:rPr>
        <w:t>STUDENT NAME – TSONYO TODOROV</w:t>
      </w:r>
    </w:p>
    <w:p w14:paraId="178D4432" w14:textId="77777777" w:rsidR="0085126C" w:rsidRPr="00385F78" w:rsidRDefault="0085126C" w:rsidP="00703A7A">
      <w:pPr>
        <w:spacing w:line="360" w:lineRule="auto"/>
        <w:jc w:val="center"/>
        <w:rPr>
          <w:rFonts w:ascii="Arial" w:hAnsi="Arial" w:cs="Arial"/>
          <w:b/>
          <w:bCs/>
          <w:u w:val="single"/>
        </w:rPr>
      </w:pPr>
    </w:p>
    <w:p w14:paraId="217DEBDC" w14:textId="77777777" w:rsidR="0085126C" w:rsidRPr="00385F78" w:rsidRDefault="0085126C" w:rsidP="00703A7A">
      <w:pPr>
        <w:spacing w:line="360" w:lineRule="auto"/>
        <w:jc w:val="center"/>
        <w:rPr>
          <w:rFonts w:ascii="Arial" w:hAnsi="Arial" w:cs="Arial"/>
          <w:b/>
          <w:bCs/>
          <w:u w:val="single"/>
        </w:rPr>
      </w:pPr>
      <w:r w:rsidRPr="00385F78">
        <w:rPr>
          <w:rFonts w:ascii="Arial" w:hAnsi="Arial" w:cs="Arial"/>
          <w:b/>
          <w:bCs/>
          <w:u w:val="single"/>
        </w:rPr>
        <w:t>STUDENT ID – 2021609</w:t>
      </w:r>
    </w:p>
    <w:p w14:paraId="76CE2B83" w14:textId="77777777" w:rsidR="0085126C" w:rsidRPr="00385F78" w:rsidRDefault="0085126C" w:rsidP="00703A7A">
      <w:pPr>
        <w:spacing w:line="360" w:lineRule="auto"/>
        <w:jc w:val="center"/>
        <w:rPr>
          <w:rFonts w:ascii="Arial" w:hAnsi="Arial" w:cs="Arial"/>
          <w:b/>
          <w:bCs/>
          <w:u w:val="single"/>
        </w:rPr>
      </w:pPr>
    </w:p>
    <w:p w14:paraId="5E684390" w14:textId="77777777" w:rsidR="0085126C" w:rsidRPr="00385F78" w:rsidRDefault="0085126C" w:rsidP="00703A7A">
      <w:pPr>
        <w:spacing w:line="360" w:lineRule="auto"/>
        <w:jc w:val="center"/>
        <w:rPr>
          <w:rFonts w:ascii="Arial" w:hAnsi="Arial" w:cs="Arial"/>
          <w:b/>
          <w:bCs/>
          <w:u w:val="single"/>
        </w:rPr>
      </w:pPr>
      <w:r w:rsidRPr="00385F78">
        <w:rPr>
          <w:rFonts w:ascii="Arial" w:hAnsi="Arial" w:cs="Arial"/>
          <w:b/>
          <w:bCs/>
          <w:u w:val="single"/>
        </w:rPr>
        <w:t>ASSINGMENT 1</w:t>
      </w:r>
    </w:p>
    <w:p w14:paraId="22B3F172" w14:textId="102C4E54" w:rsidR="0085126C" w:rsidRPr="00385F78" w:rsidRDefault="0085126C" w:rsidP="00703A7A">
      <w:pPr>
        <w:spacing w:line="360" w:lineRule="auto"/>
        <w:jc w:val="center"/>
        <w:rPr>
          <w:rFonts w:ascii="Arial" w:hAnsi="Arial" w:cs="Arial"/>
          <w:b/>
          <w:bCs/>
          <w:u w:val="single"/>
        </w:rPr>
      </w:pPr>
    </w:p>
    <w:p w14:paraId="5B8C4192" w14:textId="53DCCAC4" w:rsidR="0085126C" w:rsidRPr="00385F78" w:rsidRDefault="0085126C" w:rsidP="00703A7A">
      <w:pPr>
        <w:spacing w:line="360" w:lineRule="auto"/>
        <w:jc w:val="center"/>
        <w:rPr>
          <w:rFonts w:ascii="Arial" w:hAnsi="Arial" w:cs="Arial"/>
          <w:b/>
          <w:bCs/>
          <w:u w:val="single"/>
        </w:rPr>
      </w:pPr>
      <w:r w:rsidRPr="00385F78">
        <w:rPr>
          <w:rFonts w:ascii="Arial" w:hAnsi="Arial" w:cs="Arial"/>
          <w:b/>
          <w:bCs/>
          <w:u w:val="single"/>
        </w:rPr>
        <w:t>COMMUNITY ENGAGEMENT – HAMMERSMITH AND FULHAM COUNCIL</w:t>
      </w:r>
    </w:p>
    <w:p w14:paraId="585BB472" w14:textId="512651D4" w:rsidR="0085126C" w:rsidRPr="00385F78" w:rsidRDefault="0085126C" w:rsidP="00385F78">
      <w:pPr>
        <w:spacing w:line="360" w:lineRule="auto"/>
        <w:jc w:val="both"/>
        <w:rPr>
          <w:rFonts w:ascii="Arial" w:hAnsi="Arial" w:cs="Arial"/>
          <w:b/>
          <w:bCs/>
          <w:u w:val="single"/>
        </w:rPr>
      </w:pPr>
    </w:p>
    <w:p w14:paraId="461E18BE" w14:textId="0BA80BFD" w:rsidR="0085126C" w:rsidRPr="00385F78" w:rsidRDefault="0085126C" w:rsidP="00385F78">
      <w:pPr>
        <w:spacing w:line="360" w:lineRule="auto"/>
        <w:jc w:val="both"/>
        <w:rPr>
          <w:rFonts w:ascii="Arial" w:hAnsi="Arial" w:cs="Arial"/>
          <w:b/>
          <w:bCs/>
          <w:u w:val="single"/>
        </w:rPr>
      </w:pPr>
    </w:p>
    <w:p w14:paraId="48E0B004" w14:textId="6ECD71C0" w:rsidR="0085126C" w:rsidRPr="00385F78" w:rsidRDefault="0085126C" w:rsidP="00385F78">
      <w:pPr>
        <w:spacing w:line="360" w:lineRule="auto"/>
        <w:jc w:val="both"/>
        <w:rPr>
          <w:rFonts w:ascii="Arial" w:hAnsi="Arial" w:cs="Arial"/>
          <w:b/>
          <w:bCs/>
          <w:u w:val="single"/>
        </w:rPr>
      </w:pPr>
    </w:p>
    <w:p w14:paraId="5A91CCF5" w14:textId="2670B6BC" w:rsidR="0085126C" w:rsidRPr="00385F78" w:rsidRDefault="0085126C" w:rsidP="00385F78">
      <w:pPr>
        <w:spacing w:line="360" w:lineRule="auto"/>
        <w:jc w:val="both"/>
        <w:rPr>
          <w:rFonts w:ascii="Arial" w:hAnsi="Arial" w:cs="Arial"/>
          <w:b/>
          <w:bCs/>
          <w:u w:val="single"/>
        </w:rPr>
      </w:pPr>
    </w:p>
    <w:p w14:paraId="4D1F1B12" w14:textId="3D5E5409" w:rsidR="0085126C" w:rsidRPr="00385F78" w:rsidRDefault="0085126C" w:rsidP="00385F78">
      <w:pPr>
        <w:spacing w:line="360" w:lineRule="auto"/>
        <w:jc w:val="both"/>
        <w:rPr>
          <w:rFonts w:ascii="Arial" w:hAnsi="Arial" w:cs="Arial"/>
          <w:b/>
          <w:bCs/>
          <w:u w:val="single"/>
        </w:rPr>
      </w:pPr>
    </w:p>
    <w:p w14:paraId="66CAB695" w14:textId="09CB5FC1" w:rsidR="0085126C" w:rsidRPr="00385F78" w:rsidRDefault="0085126C" w:rsidP="00385F78">
      <w:pPr>
        <w:spacing w:line="360" w:lineRule="auto"/>
        <w:jc w:val="both"/>
        <w:rPr>
          <w:rFonts w:ascii="Arial" w:hAnsi="Arial" w:cs="Arial"/>
          <w:b/>
          <w:bCs/>
          <w:u w:val="single"/>
        </w:rPr>
      </w:pPr>
    </w:p>
    <w:p w14:paraId="5A25189F" w14:textId="5C2E7DBA" w:rsidR="0085126C" w:rsidRPr="00385F78" w:rsidRDefault="0085126C" w:rsidP="00385F78">
      <w:pPr>
        <w:spacing w:line="360" w:lineRule="auto"/>
        <w:jc w:val="both"/>
        <w:rPr>
          <w:rFonts w:ascii="Arial" w:hAnsi="Arial" w:cs="Arial"/>
          <w:b/>
          <w:bCs/>
          <w:u w:val="single"/>
        </w:rPr>
      </w:pPr>
    </w:p>
    <w:sdt>
      <w:sdtPr>
        <w:rPr>
          <w:rFonts w:ascii="Arial" w:eastAsiaTheme="minorHAnsi" w:hAnsi="Arial" w:cs="Arial"/>
          <w:color w:val="auto"/>
          <w:sz w:val="22"/>
          <w:szCs w:val="22"/>
        </w:rPr>
        <w:id w:val="-824893220"/>
        <w:docPartObj>
          <w:docPartGallery w:val="Table of Contents"/>
          <w:docPartUnique/>
        </w:docPartObj>
      </w:sdtPr>
      <w:sdtEndPr>
        <w:rPr>
          <w:b/>
          <w:bCs/>
          <w:noProof/>
        </w:rPr>
      </w:sdtEndPr>
      <w:sdtContent>
        <w:p w14:paraId="2C28C875" w14:textId="77777777" w:rsidR="0085126C" w:rsidRPr="00385F78" w:rsidRDefault="0085126C" w:rsidP="00703A7A">
          <w:pPr>
            <w:pStyle w:val="TOCHeading"/>
            <w:spacing w:line="360" w:lineRule="auto"/>
            <w:jc w:val="center"/>
            <w:rPr>
              <w:rFonts w:ascii="Arial" w:hAnsi="Arial" w:cs="Arial"/>
              <w:color w:val="auto"/>
              <w:sz w:val="22"/>
              <w:szCs w:val="22"/>
            </w:rPr>
          </w:pPr>
          <w:r w:rsidRPr="00385F78">
            <w:rPr>
              <w:rFonts w:ascii="Arial" w:hAnsi="Arial" w:cs="Arial"/>
              <w:color w:val="auto"/>
              <w:sz w:val="22"/>
              <w:szCs w:val="22"/>
            </w:rPr>
            <w:t>Table of Contents</w:t>
          </w:r>
        </w:p>
        <w:p w14:paraId="339EFA9C" w14:textId="2D979BCB" w:rsidR="0085126C" w:rsidRPr="00385F78" w:rsidRDefault="0085126C" w:rsidP="00385F78">
          <w:pPr>
            <w:spacing w:line="360" w:lineRule="auto"/>
            <w:jc w:val="both"/>
            <w:rPr>
              <w:rFonts w:ascii="Arial" w:hAnsi="Arial" w:cs="Arial"/>
            </w:rPr>
          </w:pPr>
          <w:r w:rsidRPr="00385F78">
            <w:rPr>
              <w:rFonts w:ascii="Arial" w:hAnsi="Arial" w:cs="Arial"/>
            </w:rPr>
            <w:fldChar w:fldCharType="begin"/>
          </w:r>
          <w:r w:rsidRPr="00385F78">
            <w:rPr>
              <w:rFonts w:ascii="Arial" w:hAnsi="Arial" w:cs="Arial"/>
            </w:rPr>
            <w:instrText xml:space="preserve"> TOC \o "1-3" \h \z \u </w:instrText>
          </w:r>
          <w:r w:rsidRPr="00385F78">
            <w:rPr>
              <w:rFonts w:ascii="Arial" w:hAnsi="Arial" w:cs="Arial"/>
            </w:rPr>
            <w:fldChar w:fldCharType="separate"/>
          </w:r>
          <w:hyperlink w:anchor="_Toc129910208" w:history="1">
            <w:r w:rsidRPr="00385F78">
              <w:rPr>
                <w:rStyle w:val="Hyperlink"/>
                <w:rFonts w:ascii="Arial" w:hAnsi="Arial" w:cs="Arial"/>
              </w:rPr>
              <w:t>Introduction</w:t>
            </w:r>
            <w:r w:rsidRPr="00385F78">
              <w:rPr>
                <w:rStyle w:val="Hyperlink"/>
                <w:rFonts w:ascii="Arial" w:hAnsi="Arial" w:cs="Arial"/>
                <w:webHidden/>
              </w:rPr>
              <w:t>……………………………………………………………………………………………p</w:t>
            </w:r>
            <w:r w:rsidR="00703A7A">
              <w:rPr>
                <w:rStyle w:val="Hyperlink"/>
                <w:rFonts w:ascii="Arial" w:hAnsi="Arial" w:cs="Arial"/>
                <w:webHidden/>
              </w:rPr>
              <w:t>.</w:t>
            </w:r>
            <w:r w:rsidRPr="00385F78">
              <w:rPr>
                <w:rStyle w:val="Hyperlink"/>
                <w:rFonts w:ascii="Arial" w:hAnsi="Arial" w:cs="Arial"/>
                <w:webHidden/>
              </w:rPr>
              <w:fldChar w:fldCharType="begin"/>
            </w:r>
            <w:r w:rsidRPr="00385F78">
              <w:rPr>
                <w:rStyle w:val="Hyperlink"/>
                <w:rFonts w:ascii="Arial" w:hAnsi="Arial" w:cs="Arial"/>
                <w:webHidden/>
              </w:rPr>
              <w:instrText xml:space="preserve"> PAGEREF _Toc129910208 \h </w:instrText>
            </w:r>
            <w:r w:rsidRPr="00385F78">
              <w:rPr>
                <w:rStyle w:val="Hyperlink"/>
                <w:rFonts w:ascii="Arial" w:hAnsi="Arial" w:cs="Arial"/>
                <w:webHidden/>
              </w:rPr>
            </w:r>
            <w:r w:rsidRPr="00385F78">
              <w:rPr>
                <w:rStyle w:val="Hyperlink"/>
                <w:rFonts w:ascii="Arial" w:hAnsi="Arial" w:cs="Arial"/>
                <w:webHidden/>
              </w:rPr>
              <w:fldChar w:fldCharType="separate"/>
            </w:r>
            <w:r w:rsidRPr="00385F78">
              <w:rPr>
                <w:rStyle w:val="Hyperlink"/>
                <w:rFonts w:ascii="Arial" w:hAnsi="Arial" w:cs="Arial"/>
                <w:webHidden/>
              </w:rPr>
              <w:t>3</w:t>
            </w:r>
            <w:r w:rsidRPr="00385F78">
              <w:rPr>
                <w:rStyle w:val="Hyperlink"/>
                <w:rFonts w:ascii="Arial" w:hAnsi="Arial" w:cs="Arial"/>
                <w:webHidden/>
              </w:rPr>
              <w:fldChar w:fldCharType="end"/>
            </w:r>
          </w:hyperlink>
        </w:p>
        <w:p w14:paraId="7500FECC" w14:textId="368DE550" w:rsidR="0085126C" w:rsidRPr="00385F78" w:rsidRDefault="0085126C" w:rsidP="00385F78">
          <w:pPr>
            <w:spacing w:line="360" w:lineRule="auto"/>
            <w:jc w:val="both"/>
            <w:rPr>
              <w:rFonts w:ascii="Arial" w:hAnsi="Arial" w:cs="Arial"/>
            </w:rPr>
          </w:pPr>
          <w:r w:rsidRPr="00385F78">
            <w:rPr>
              <w:rFonts w:ascii="Arial" w:hAnsi="Arial" w:cs="Arial"/>
            </w:rPr>
            <w:t>Analysis - Hammersmith and Fulham Council………………………………………………………p</w:t>
          </w:r>
          <w:r w:rsidR="00703A7A">
            <w:rPr>
              <w:rFonts w:ascii="Arial" w:hAnsi="Arial" w:cs="Arial"/>
            </w:rPr>
            <w:t>.</w:t>
          </w:r>
          <w:r w:rsidR="006A4D74">
            <w:rPr>
              <w:rFonts w:ascii="Arial" w:hAnsi="Arial" w:cs="Arial"/>
            </w:rPr>
            <w:t>3</w:t>
          </w:r>
        </w:p>
        <w:p w14:paraId="378B23F5" w14:textId="3FF2268E" w:rsidR="0085126C" w:rsidRPr="00385F78" w:rsidRDefault="0085126C" w:rsidP="00385F78">
          <w:pPr>
            <w:spacing w:line="360" w:lineRule="auto"/>
            <w:jc w:val="both"/>
            <w:rPr>
              <w:rFonts w:ascii="Arial" w:hAnsi="Arial" w:cs="Arial"/>
            </w:rPr>
          </w:pPr>
          <w:r w:rsidRPr="00385F78">
            <w:rPr>
              <w:rFonts w:ascii="Arial" w:hAnsi="Arial" w:cs="Arial"/>
            </w:rPr>
            <w:t>Social issues and use of community engagement principle and stands to deal with the issues. p</w:t>
          </w:r>
          <w:r w:rsidR="00703A7A">
            <w:rPr>
              <w:rFonts w:ascii="Arial" w:hAnsi="Arial" w:cs="Arial"/>
            </w:rPr>
            <w:t>.</w:t>
          </w:r>
          <w:r w:rsidR="004D100C">
            <w:rPr>
              <w:rFonts w:ascii="Arial" w:hAnsi="Arial" w:cs="Arial"/>
            </w:rPr>
            <w:t>4</w:t>
          </w:r>
        </w:p>
        <w:p w14:paraId="094EAD4A" w14:textId="389547AE" w:rsidR="0085126C" w:rsidRPr="00385F78" w:rsidRDefault="0085126C" w:rsidP="00385F78">
          <w:pPr>
            <w:spacing w:line="360" w:lineRule="auto"/>
            <w:jc w:val="both"/>
            <w:rPr>
              <w:rFonts w:ascii="Arial" w:hAnsi="Arial" w:cs="Arial"/>
            </w:rPr>
          </w:pPr>
          <w:r w:rsidRPr="00385F78">
            <w:rPr>
              <w:rFonts w:ascii="Arial" w:hAnsi="Arial" w:cs="Arial"/>
            </w:rPr>
            <w:t>A stakeholder analysis of the council………………………………………………………………... p</w:t>
          </w:r>
          <w:r w:rsidR="00703A7A">
            <w:rPr>
              <w:rFonts w:ascii="Arial" w:hAnsi="Arial" w:cs="Arial"/>
            </w:rPr>
            <w:t>.</w:t>
          </w:r>
          <w:r w:rsidRPr="00385F78">
            <w:rPr>
              <w:rFonts w:ascii="Arial" w:hAnsi="Arial" w:cs="Arial"/>
            </w:rPr>
            <w:t>6</w:t>
          </w:r>
        </w:p>
        <w:p w14:paraId="22944735" w14:textId="4B02D776" w:rsidR="0085126C" w:rsidRPr="00385F78" w:rsidRDefault="00000000" w:rsidP="00385F78">
          <w:pPr>
            <w:spacing w:line="360" w:lineRule="auto"/>
            <w:jc w:val="both"/>
            <w:rPr>
              <w:rFonts w:ascii="Arial" w:hAnsi="Arial" w:cs="Arial"/>
            </w:rPr>
          </w:pPr>
          <w:hyperlink w:anchor="_Toc129910216" w:history="1">
            <w:r w:rsidR="0085126C" w:rsidRPr="00385F78">
              <w:rPr>
                <w:rStyle w:val="Hyperlink"/>
                <w:rFonts w:ascii="Arial" w:hAnsi="Arial" w:cs="Arial"/>
              </w:rPr>
              <w:t>Conclusion</w:t>
            </w:r>
            <w:r w:rsidR="0085126C" w:rsidRPr="00385F78">
              <w:rPr>
                <w:rStyle w:val="Hyperlink"/>
                <w:rFonts w:ascii="Arial" w:hAnsi="Arial" w:cs="Arial"/>
                <w:webHidden/>
              </w:rPr>
              <w:t>……………………………………………………………………………………………..p</w:t>
            </w:r>
            <w:r w:rsidR="00703A7A">
              <w:rPr>
                <w:rStyle w:val="Hyperlink"/>
                <w:rFonts w:ascii="Arial" w:hAnsi="Arial" w:cs="Arial"/>
                <w:webHidden/>
              </w:rPr>
              <w:t>.</w:t>
            </w:r>
            <w:r w:rsidR="004D100C">
              <w:rPr>
                <w:rStyle w:val="Hyperlink"/>
                <w:rFonts w:ascii="Arial" w:hAnsi="Arial" w:cs="Arial"/>
                <w:webHidden/>
              </w:rPr>
              <w:t>9</w:t>
            </w:r>
          </w:hyperlink>
        </w:p>
        <w:p w14:paraId="2D7C85D6" w14:textId="3F63003D" w:rsidR="0085126C" w:rsidRPr="00385F78" w:rsidRDefault="00000000" w:rsidP="00385F78">
          <w:pPr>
            <w:spacing w:line="360" w:lineRule="auto"/>
            <w:jc w:val="both"/>
            <w:rPr>
              <w:rFonts w:ascii="Arial" w:hAnsi="Arial" w:cs="Arial"/>
            </w:rPr>
          </w:pPr>
          <w:hyperlink w:anchor="_Toc129910217" w:history="1">
            <w:r w:rsidR="0085126C" w:rsidRPr="00385F78">
              <w:rPr>
                <w:rStyle w:val="Hyperlink"/>
                <w:rFonts w:ascii="Arial" w:hAnsi="Arial" w:cs="Arial"/>
              </w:rPr>
              <w:t>Reference</w:t>
            </w:r>
            <w:r w:rsidR="004D100C">
              <w:rPr>
                <w:rStyle w:val="Hyperlink"/>
                <w:rFonts w:ascii="Arial" w:hAnsi="Arial" w:cs="Arial"/>
              </w:rPr>
              <w:t>s</w:t>
            </w:r>
            <w:r w:rsidR="0085126C" w:rsidRPr="00385F78">
              <w:rPr>
                <w:rStyle w:val="Hyperlink"/>
                <w:rFonts w:ascii="Arial" w:hAnsi="Arial" w:cs="Arial"/>
                <w:webHidden/>
              </w:rPr>
              <w:t>……………………………………………………………………………………………p</w:t>
            </w:r>
            <w:r w:rsidR="00703A7A">
              <w:rPr>
                <w:rStyle w:val="Hyperlink"/>
                <w:rFonts w:ascii="Arial" w:hAnsi="Arial" w:cs="Arial"/>
                <w:webHidden/>
              </w:rPr>
              <w:t>.</w:t>
            </w:r>
            <w:r w:rsidR="004D100C">
              <w:rPr>
                <w:rStyle w:val="Hyperlink"/>
                <w:rFonts w:ascii="Arial" w:hAnsi="Arial" w:cs="Arial"/>
                <w:webHidden/>
              </w:rPr>
              <w:t>10</w:t>
            </w:r>
          </w:hyperlink>
        </w:p>
        <w:p w14:paraId="1D272475" w14:textId="77777777" w:rsidR="0085126C" w:rsidRPr="00385F78" w:rsidRDefault="0085126C" w:rsidP="00385F78">
          <w:pPr>
            <w:spacing w:line="360" w:lineRule="auto"/>
            <w:jc w:val="both"/>
            <w:rPr>
              <w:rFonts w:ascii="Arial" w:hAnsi="Arial" w:cs="Arial"/>
              <w:b/>
              <w:bCs/>
              <w:noProof/>
            </w:rPr>
          </w:pPr>
          <w:r w:rsidRPr="00385F78">
            <w:rPr>
              <w:rFonts w:ascii="Arial" w:hAnsi="Arial" w:cs="Arial"/>
            </w:rPr>
            <w:fldChar w:fldCharType="end"/>
          </w:r>
        </w:p>
      </w:sdtContent>
    </w:sdt>
    <w:p w14:paraId="7E9A2CF9" w14:textId="5E16A1D6" w:rsidR="0085126C" w:rsidRPr="00385F78" w:rsidRDefault="0085126C" w:rsidP="00385F78">
      <w:pPr>
        <w:spacing w:line="360" w:lineRule="auto"/>
        <w:jc w:val="both"/>
        <w:rPr>
          <w:rFonts w:ascii="Arial" w:hAnsi="Arial" w:cs="Arial"/>
          <w:b/>
          <w:bCs/>
          <w:u w:val="single"/>
        </w:rPr>
      </w:pPr>
    </w:p>
    <w:p w14:paraId="254B8069" w14:textId="7E73B90C" w:rsidR="00EC1915" w:rsidRPr="00385F78" w:rsidRDefault="00EC1915" w:rsidP="00385F78">
      <w:pPr>
        <w:spacing w:line="360" w:lineRule="auto"/>
        <w:jc w:val="both"/>
        <w:rPr>
          <w:rFonts w:ascii="Arial" w:hAnsi="Arial" w:cs="Arial"/>
          <w:b/>
          <w:bCs/>
          <w:u w:val="single"/>
        </w:rPr>
      </w:pPr>
    </w:p>
    <w:p w14:paraId="35E23418" w14:textId="41F54EFD" w:rsidR="00EC1915" w:rsidRPr="00385F78" w:rsidRDefault="00EC1915" w:rsidP="00385F78">
      <w:pPr>
        <w:spacing w:line="360" w:lineRule="auto"/>
        <w:jc w:val="both"/>
        <w:rPr>
          <w:rFonts w:ascii="Arial" w:hAnsi="Arial" w:cs="Arial"/>
          <w:b/>
          <w:bCs/>
          <w:u w:val="single"/>
        </w:rPr>
      </w:pPr>
    </w:p>
    <w:p w14:paraId="7AE42AAE" w14:textId="1E464F32" w:rsidR="00EC1915" w:rsidRPr="00385F78" w:rsidRDefault="00EC1915" w:rsidP="00385F78">
      <w:pPr>
        <w:spacing w:line="360" w:lineRule="auto"/>
        <w:jc w:val="both"/>
        <w:rPr>
          <w:rFonts w:ascii="Arial" w:hAnsi="Arial" w:cs="Arial"/>
          <w:b/>
          <w:bCs/>
          <w:u w:val="single"/>
        </w:rPr>
      </w:pPr>
    </w:p>
    <w:p w14:paraId="0A58FFEB" w14:textId="135E8A2E" w:rsidR="00EC1915" w:rsidRPr="00385F78" w:rsidRDefault="00EC1915" w:rsidP="00385F78">
      <w:pPr>
        <w:spacing w:line="360" w:lineRule="auto"/>
        <w:jc w:val="both"/>
        <w:rPr>
          <w:rFonts w:ascii="Arial" w:hAnsi="Arial" w:cs="Arial"/>
          <w:b/>
          <w:bCs/>
          <w:u w:val="single"/>
        </w:rPr>
      </w:pPr>
    </w:p>
    <w:p w14:paraId="2CE7B5D8" w14:textId="5037DC9C" w:rsidR="00EC1915" w:rsidRPr="00385F78" w:rsidRDefault="00EC1915" w:rsidP="00385F78">
      <w:pPr>
        <w:spacing w:line="360" w:lineRule="auto"/>
        <w:jc w:val="both"/>
        <w:rPr>
          <w:rFonts w:ascii="Arial" w:hAnsi="Arial" w:cs="Arial"/>
          <w:b/>
          <w:bCs/>
          <w:u w:val="single"/>
        </w:rPr>
      </w:pPr>
    </w:p>
    <w:p w14:paraId="0A172EE8" w14:textId="366F32C7" w:rsidR="00EC1915" w:rsidRPr="00385F78" w:rsidRDefault="00EC1915" w:rsidP="00385F78">
      <w:pPr>
        <w:spacing w:line="360" w:lineRule="auto"/>
        <w:jc w:val="both"/>
        <w:rPr>
          <w:rFonts w:ascii="Arial" w:hAnsi="Arial" w:cs="Arial"/>
          <w:b/>
          <w:bCs/>
          <w:u w:val="single"/>
        </w:rPr>
      </w:pPr>
    </w:p>
    <w:p w14:paraId="62FBD47B" w14:textId="72136ADE" w:rsidR="00EC1915" w:rsidRPr="00385F78" w:rsidRDefault="00EC1915" w:rsidP="00385F78">
      <w:pPr>
        <w:spacing w:line="360" w:lineRule="auto"/>
        <w:jc w:val="both"/>
        <w:rPr>
          <w:rFonts w:ascii="Arial" w:hAnsi="Arial" w:cs="Arial"/>
          <w:b/>
          <w:bCs/>
          <w:u w:val="single"/>
        </w:rPr>
      </w:pPr>
    </w:p>
    <w:p w14:paraId="6DF7ADF9" w14:textId="51DA15E1" w:rsidR="00EC1915" w:rsidRPr="00385F78" w:rsidRDefault="00EC1915" w:rsidP="00385F78">
      <w:pPr>
        <w:spacing w:line="360" w:lineRule="auto"/>
        <w:jc w:val="both"/>
        <w:rPr>
          <w:rFonts w:ascii="Arial" w:hAnsi="Arial" w:cs="Arial"/>
          <w:b/>
          <w:bCs/>
          <w:u w:val="single"/>
        </w:rPr>
      </w:pPr>
    </w:p>
    <w:p w14:paraId="36862C49" w14:textId="545DB44D" w:rsidR="00EC1915" w:rsidRPr="00385F78" w:rsidRDefault="00EC1915" w:rsidP="00385F78">
      <w:pPr>
        <w:spacing w:line="360" w:lineRule="auto"/>
        <w:jc w:val="both"/>
        <w:rPr>
          <w:rFonts w:ascii="Arial" w:hAnsi="Arial" w:cs="Arial"/>
          <w:b/>
          <w:bCs/>
          <w:u w:val="single"/>
        </w:rPr>
      </w:pPr>
    </w:p>
    <w:p w14:paraId="29DAC843" w14:textId="49418775" w:rsidR="00EC1915" w:rsidRPr="00385F78" w:rsidRDefault="00EC1915" w:rsidP="00385F78">
      <w:pPr>
        <w:spacing w:line="360" w:lineRule="auto"/>
        <w:jc w:val="both"/>
        <w:rPr>
          <w:rFonts w:ascii="Arial" w:hAnsi="Arial" w:cs="Arial"/>
          <w:b/>
          <w:bCs/>
          <w:u w:val="single"/>
        </w:rPr>
      </w:pPr>
    </w:p>
    <w:p w14:paraId="71F67A87" w14:textId="17C783E2" w:rsidR="00EC1915" w:rsidRPr="00385F78" w:rsidRDefault="00EC1915" w:rsidP="00385F78">
      <w:pPr>
        <w:spacing w:line="360" w:lineRule="auto"/>
        <w:jc w:val="both"/>
        <w:rPr>
          <w:rFonts w:ascii="Arial" w:hAnsi="Arial" w:cs="Arial"/>
          <w:b/>
          <w:bCs/>
          <w:u w:val="single"/>
        </w:rPr>
      </w:pPr>
    </w:p>
    <w:p w14:paraId="5C1B2BDF" w14:textId="196F01C0" w:rsidR="00EC1915" w:rsidRPr="00385F78" w:rsidRDefault="00EC1915" w:rsidP="00385F78">
      <w:pPr>
        <w:spacing w:line="360" w:lineRule="auto"/>
        <w:jc w:val="both"/>
        <w:rPr>
          <w:rFonts w:ascii="Arial" w:hAnsi="Arial" w:cs="Arial"/>
          <w:b/>
          <w:bCs/>
          <w:u w:val="single"/>
        </w:rPr>
      </w:pPr>
    </w:p>
    <w:p w14:paraId="52A2E044" w14:textId="4D826F69" w:rsidR="00EC1915" w:rsidRPr="00385F78" w:rsidRDefault="00EC1915" w:rsidP="00385F78">
      <w:pPr>
        <w:spacing w:line="360" w:lineRule="auto"/>
        <w:jc w:val="both"/>
        <w:rPr>
          <w:rFonts w:ascii="Arial" w:hAnsi="Arial" w:cs="Arial"/>
          <w:b/>
          <w:bCs/>
          <w:u w:val="single"/>
        </w:rPr>
      </w:pPr>
    </w:p>
    <w:p w14:paraId="1FF8FFC4" w14:textId="2E78B5E8" w:rsidR="00EC1915" w:rsidRPr="00385F78" w:rsidRDefault="00EC1915" w:rsidP="00385F78">
      <w:pPr>
        <w:spacing w:line="360" w:lineRule="auto"/>
        <w:jc w:val="both"/>
        <w:rPr>
          <w:rFonts w:ascii="Arial" w:hAnsi="Arial" w:cs="Arial"/>
          <w:b/>
          <w:bCs/>
          <w:u w:val="single"/>
        </w:rPr>
      </w:pPr>
    </w:p>
    <w:p w14:paraId="67E7457E" w14:textId="2E61E62A" w:rsidR="00EC1915" w:rsidRPr="00385F78" w:rsidRDefault="00EC1915" w:rsidP="00385F78">
      <w:pPr>
        <w:spacing w:line="360" w:lineRule="auto"/>
        <w:jc w:val="both"/>
        <w:rPr>
          <w:rFonts w:ascii="Arial" w:hAnsi="Arial" w:cs="Arial"/>
          <w:b/>
          <w:bCs/>
          <w:u w:val="single"/>
        </w:rPr>
      </w:pPr>
    </w:p>
    <w:p w14:paraId="3C84B470" w14:textId="0841BF6C" w:rsidR="00703A7A" w:rsidRPr="00385F78" w:rsidRDefault="00703A7A" w:rsidP="00703A7A">
      <w:pPr>
        <w:spacing w:line="360" w:lineRule="auto"/>
        <w:jc w:val="center"/>
        <w:rPr>
          <w:rFonts w:ascii="Arial" w:hAnsi="Arial" w:cs="Arial"/>
          <w:b/>
          <w:bCs/>
          <w:u w:val="single"/>
        </w:rPr>
      </w:pPr>
      <w:r>
        <w:rPr>
          <w:rFonts w:ascii="Arial" w:hAnsi="Arial" w:cs="Arial"/>
          <w:b/>
          <w:bCs/>
          <w:u w:val="single"/>
        </w:rPr>
        <w:lastRenderedPageBreak/>
        <w:t>INTRODUCTION</w:t>
      </w:r>
    </w:p>
    <w:p w14:paraId="5B5F217F" w14:textId="0F4243DF" w:rsidR="00EC1915" w:rsidRDefault="00EC1915" w:rsidP="00385F78">
      <w:pPr>
        <w:spacing w:line="360" w:lineRule="auto"/>
        <w:jc w:val="both"/>
        <w:rPr>
          <w:rFonts w:ascii="Arial" w:hAnsi="Arial" w:cs="Arial"/>
        </w:rPr>
      </w:pPr>
      <w:r w:rsidRPr="00385F78">
        <w:rPr>
          <w:rFonts w:ascii="Arial" w:hAnsi="Arial" w:cs="Arial"/>
        </w:rPr>
        <w:t xml:space="preserve">For local governments to comprehend the needs and concerns of their inhabitants and create policies and programs that address those issues, effective community participation is crucial. It also serves to establish trust and confidence in the administration, foster social cohesion, and boost community resilience. All stakeholders, especially underrepresented groups and populations who are difficult to reach, should be included in community engagement efforts through a collaborative and inclusive approach. Making sure that </w:t>
      </w:r>
      <w:r w:rsidR="006A4D74" w:rsidRPr="00385F78">
        <w:rPr>
          <w:rFonts w:ascii="Arial" w:hAnsi="Arial" w:cs="Arial"/>
        </w:rPr>
        <w:t>stakeholder’s</w:t>
      </w:r>
      <w:r w:rsidRPr="00385F78">
        <w:rPr>
          <w:rFonts w:ascii="Arial" w:hAnsi="Arial" w:cs="Arial"/>
        </w:rPr>
        <w:t xml:space="preserve"> thoughts and opinions are heard and taken into consideration, also requires good communication, consultation, and feedback </w:t>
      </w:r>
      <w:r w:rsidR="00703A7A" w:rsidRPr="00385F78">
        <w:rPr>
          <w:rFonts w:ascii="Arial" w:hAnsi="Arial" w:cs="Arial"/>
        </w:rPr>
        <w:t>channels. The</w:t>
      </w:r>
      <w:r w:rsidRPr="00385F78">
        <w:rPr>
          <w:rFonts w:ascii="Arial" w:hAnsi="Arial" w:cs="Arial"/>
        </w:rPr>
        <w:t xml:space="preserve"> active participation of local citizens, companies, and community organizations in the various decision-making processes is an essential component of community engagement, which plays an important role in the operation of local governments. A democratic government cannot function without its pillars of openness, accountability, and inclusivity, which are all fostered by an active and engaged community. The Hammersmith and Fulham Council and its approach to community participation are the topics that are discussed in this essay. It investigates the prevalent social concerns in the council, as well as the processes for consultation and communication with stakeholders, as well as the strategic application of input.</w:t>
      </w:r>
    </w:p>
    <w:p w14:paraId="6F20A82A" w14:textId="77777777" w:rsidR="00703A7A" w:rsidRPr="00703A7A" w:rsidRDefault="00703A7A" w:rsidP="00385F78">
      <w:pPr>
        <w:spacing w:line="360" w:lineRule="auto"/>
        <w:jc w:val="both"/>
        <w:rPr>
          <w:rFonts w:ascii="Arial" w:hAnsi="Arial" w:cs="Arial"/>
        </w:rPr>
      </w:pPr>
    </w:p>
    <w:p w14:paraId="6E8FC2AC" w14:textId="125249F5" w:rsidR="00EC1915" w:rsidRPr="00703A7A" w:rsidRDefault="00703A7A" w:rsidP="00703A7A">
      <w:pPr>
        <w:spacing w:line="360" w:lineRule="auto"/>
        <w:jc w:val="center"/>
        <w:rPr>
          <w:rFonts w:ascii="Arial" w:hAnsi="Arial" w:cs="Arial"/>
          <w:b/>
          <w:bCs/>
          <w:u w:val="single"/>
        </w:rPr>
      </w:pPr>
      <w:bookmarkStart w:id="0" w:name="_Hlk130660989"/>
      <w:r w:rsidRPr="00703A7A">
        <w:rPr>
          <w:rFonts w:ascii="Arial" w:hAnsi="Arial" w:cs="Arial"/>
          <w:b/>
          <w:bCs/>
          <w:u w:val="single"/>
        </w:rPr>
        <w:t>ANALYSIS – HAMMERSMITH AND FULHAM COUNCIL</w:t>
      </w:r>
    </w:p>
    <w:bookmarkEnd w:id="0"/>
    <w:p w14:paraId="1C2C22CB" w14:textId="42973F61" w:rsidR="00EC1915" w:rsidRDefault="00EC1915" w:rsidP="00385F78">
      <w:pPr>
        <w:spacing w:line="360" w:lineRule="auto"/>
        <w:jc w:val="both"/>
        <w:rPr>
          <w:rFonts w:ascii="Arial" w:hAnsi="Arial" w:cs="Arial"/>
        </w:rPr>
      </w:pPr>
      <w:r w:rsidRPr="00385F78">
        <w:rPr>
          <w:rFonts w:ascii="Arial" w:hAnsi="Arial" w:cs="Arial"/>
        </w:rPr>
        <w:t xml:space="preserve">In the western region of London, there is a local government organization called Hammersmith and Fulham Council (Redman, 2022). The council is in charge of offering a variety of services to its about 185,000 residents, including housing, education, health, transportation, waste management, and environmental protection. The council is organized into 16 wards, with three council members representing each one. It is governed by a leader and cabinet system (Patel, 2019). The council has highlighted lowering inequality, boosting health and wellbeing, strengthening community safety, and supporting economic growth as its top priorities in its effort to build a fairer, healthier, and more prosperous borough. The council uses a variety of community involvement guidelines and standards to encourage openness, responsibility, and diversity in decision-making. The council consults with stakeholders using a variety of techniques, such as open forums, internet polls, focus groups, and workshops (Pang et al., 2019). The council uses appropriate methods of engagement recognizing that various stakeholders have various needs and expectations. To accomplish its goals, the council also works with other public sector organizations, corporations, and community groups. (Li et al., 2023) The council frequently reports </w:t>
      </w:r>
      <w:r w:rsidRPr="00385F78">
        <w:rPr>
          <w:rFonts w:ascii="Arial" w:hAnsi="Arial" w:cs="Arial"/>
        </w:rPr>
        <w:lastRenderedPageBreak/>
        <w:t>on its progress regarding its strategic aims and uses a variety of indicators and measurements to track its success. In addition to fostering social cohesion and community resilience, the council is dedicated to providing high-quality services that fulfil the needs and aspirations of its citizens.</w:t>
      </w:r>
    </w:p>
    <w:p w14:paraId="3F675669" w14:textId="77777777" w:rsidR="00703A7A" w:rsidRPr="00385F78" w:rsidRDefault="00703A7A" w:rsidP="00385F78">
      <w:pPr>
        <w:spacing w:line="360" w:lineRule="auto"/>
        <w:jc w:val="both"/>
        <w:rPr>
          <w:rFonts w:ascii="Arial" w:hAnsi="Arial" w:cs="Arial"/>
        </w:rPr>
      </w:pPr>
    </w:p>
    <w:p w14:paraId="06BDE9BB" w14:textId="37F81054" w:rsidR="00EC1915" w:rsidRPr="00703A7A" w:rsidRDefault="00703A7A" w:rsidP="00703A7A">
      <w:pPr>
        <w:spacing w:line="360" w:lineRule="auto"/>
        <w:jc w:val="center"/>
        <w:rPr>
          <w:rFonts w:ascii="Arial" w:hAnsi="Arial" w:cs="Arial"/>
          <w:b/>
          <w:bCs/>
          <w:u w:val="single"/>
        </w:rPr>
      </w:pPr>
      <w:r w:rsidRPr="00703A7A">
        <w:rPr>
          <w:rFonts w:ascii="Arial" w:hAnsi="Arial" w:cs="Arial"/>
          <w:b/>
          <w:bCs/>
          <w:u w:val="single"/>
        </w:rPr>
        <w:t>SOCIAL ISSUES AND USE OF COMMUNITY ENGAGEMENT PRINCIPLE AND STANDS TO DEAL WITH THE ISSUES</w:t>
      </w:r>
    </w:p>
    <w:p w14:paraId="50AC22C3" w14:textId="77777777" w:rsidR="007D309B" w:rsidRPr="00385F78" w:rsidRDefault="007D309B" w:rsidP="00385F78">
      <w:pPr>
        <w:spacing w:line="360" w:lineRule="auto"/>
        <w:jc w:val="both"/>
        <w:rPr>
          <w:rFonts w:ascii="Arial" w:hAnsi="Arial" w:cs="Arial"/>
        </w:rPr>
      </w:pPr>
      <w:r w:rsidRPr="00385F78">
        <w:rPr>
          <w:rFonts w:ascii="Arial" w:hAnsi="Arial" w:cs="Arial"/>
        </w:rPr>
        <w:t>The well-being of the citizens is impacted by several social concerns that Hammersmith and Fulham Council must deal with. Housing, education, employment, health, crime, and poverty are just a few of the many industries that these social concerns affect.</w:t>
      </w:r>
    </w:p>
    <w:p w14:paraId="76BE7691" w14:textId="707E7CDB" w:rsidR="007D309B" w:rsidRDefault="007D309B" w:rsidP="00385F78">
      <w:pPr>
        <w:pStyle w:val="ListParagraph"/>
        <w:numPr>
          <w:ilvl w:val="0"/>
          <w:numId w:val="2"/>
        </w:numPr>
        <w:rPr>
          <w:rFonts w:ascii="Arial" w:hAnsi="Arial" w:cs="Arial"/>
          <w:sz w:val="22"/>
        </w:rPr>
      </w:pPr>
      <w:r w:rsidRPr="00385F78">
        <w:rPr>
          <w:rFonts w:ascii="Arial" w:hAnsi="Arial" w:cs="Arial"/>
          <w:sz w:val="22"/>
        </w:rPr>
        <w:t>One of the main social problems in the borough is the lack of decent, affordable housing for locals (Redman, 2022). The shortage of available housing has led to increased rental costs and an increase in the number of homeless persons. The council has implemented several methods to deal with this problem, including the construction of new homes, the renovation of existing homes, and the introduction of rent restrictions. To guarantee that every citizen has access to high-quality, safe, and affordable housing more has to be done.</w:t>
      </w:r>
    </w:p>
    <w:p w14:paraId="3F88DB5D" w14:textId="77777777" w:rsidR="00703A7A" w:rsidRPr="00385F78" w:rsidRDefault="00703A7A" w:rsidP="00703A7A">
      <w:pPr>
        <w:pStyle w:val="ListParagraph"/>
        <w:ind w:left="360"/>
        <w:rPr>
          <w:rFonts w:ascii="Arial" w:hAnsi="Arial" w:cs="Arial"/>
          <w:sz w:val="22"/>
        </w:rPr>
      </w:pPr>
    </w:p>
    <w:p w14:paraId="03D78FD1" w14:textId="578DA76F" w:rsidR="007D309B" w:rsidRDefault="007D309B" w:rsidP="00385F78">
      <w:pPr>
        <w:pStyle w:val="ListParagraph"/>
        <w:numPr>
          <w:ilvl w:val="0"/>
          <w:numId w:val="2"/>
        </w:numPr>
        <w:rPr>
          <w:rFonts w:ascii="Arial" w:hAnsi="Arial" w:cs="Arial"/>
          <w:sz w:val="22"/>
        </w:rPr>
      </w:pPr>
      <w:r w:rsidRPr="00385F78">
        <w:rPr>
          <w:rFonts w:ascii="Arial" w:hAnsi="Arial" w:cs="Arial"/>
          <w:sz w:val="22"/>
        </w:rPr>
        <w:t>Another social issue in the council is education, as certain institutions don</w:t>
      </w:r>
      <w:r w:rsidR="006A4D74">
        <w:rPr>
          <w:rFonts w:ascii="Arial" w:hAnsi="Arial" w:cs="Arial"/>
          <w:sz w:val="22"/>
        </w:rPr>
        <w:t>’</w:t>
      </w:r>
      <w:r w:rsidRPr="00385F78">
        <w:rPr>
          <w:rFonts w:ascii="Arial" w:hAnsi="Arial" w:cs="Arial"/>
          <w:sz w:val="22"/>
        </w:rPr>
        <w:t>t perform well and don</w:t>
      </w:r>
      <w:r w:rsidR="006A4D74">
        <w:rPr>
          <w:rFonts w:ascii="Arial" w:hAnsi="Arial" w:cs="Arial"/>
          <w:sz w:val="22"/>
        </w:rPr>
        <w:t>’</w:t>
      </w:r>
      <w:r w:rsidRPr="00385F78">
        <w:rPr>
          <w:rFonts w:ascii="Arial" w:hAnsi="Arial" w:cs="Arial"/>
          <w:sz w:val="22"/>
        </w:rPr>
        <w:t>t provide pupils with the instruction they need. The council has put forth efforts to raise educational quality and assist struggling institutions. To improve educational outcomes, these initiatives include partnerships with other organisations, mentorship programmes, and teacher training (Marsh, 2018). To ensure that all children have access to high-quality education, the council</w:t>
      </w:r>
      <w:r w:rsidR="006A4D74">
        <w:rPr>
          <w:rFonts w:ascii="Arial" w:hAnsi="Arial" w:cs="Arial"/>
          <w:sz w:val="22"/>
        </w:rPr>
        <w:t>’</w:t>
      </w:r>
      <w:r w:rsidRPr="00385F78">
        <w:rPr>
          <w:rFonts w:ascii="Arial" w:hAnsi="Arial" w:cs="Arial"/>
          <w:sz w:val="22"/>
        </w:rPr>
        <w:t>s educational standards still need to be improved.</w:t>
      </w:r>
    </w:p>
    <w:p w14:paraId="3EB64559" w14:textId="77777777" w:rsidR="00703A7A" w:rsidRPr="00703A7A" w:rsidRDefault="00703A7A" w:rsidP="00703A7A">
      <w:pPr>
        <w:rPr>
          <w:rFonts w:ascii="Arial" w:hAnsi="Arial" w:cs="Arial"/>
        </w:rPr>
      </w:pPr>
    </w:p>
    <w:p w14:paraId="7FB4F134" w14:textId="3E53DAE8" w:rsidR="007D309B" w:rsidRDefault="007D309B" w:rsidP="00385F78">
      <w:pPr>
        <w:pStyle w:val="ListParagraph"/>
        <w:numPr>
          <w:ilvl w:val="0"/>
          <w:numId w:val="2"/>
        </w:numPr>
        <w:rPr>
          <w:rFonts w:ascii="Arial" w:hAnsi="Arial" w:cs="Arial"/>
          <w:sz w:val="22"/>
        </w:rPr>
      </w:pPr>
      <w:r w:rsidRPr="00385F78">
        <w:rPr>
          <w:rFonts w:ascii="Arial" w:hAnsi="Arial" w:cs="Arial"/>
          <w:sz w:val="22"/>
        </w:rPr>
        <w:t>With a high percentage of underemployment and unemployment, employment is a key social concern in the council (Patel, 2019). The council has put in place several programmes to deal with this problem, including collaborations with businesses to open up work opportunities and job training programmes. More employment opportunities must still be created, particularly for young people, to guarantee that all locals have access to respectable employment and salaries.</w:t>
      </w:r>
    </w:p>
    <w:p w14:paraId="3201C0FC" w14:textId="3881AC2C" w:rsidR="00703A7A" w:rsidRDefault="00703A7A" w:rsidP="00703A7A">
      <w:pPr>
        <w:rPr>
          <w:rFonts w:ascii="Arial" w:hAnsi="Arial" w:cs="Arial"/>
        </w:rPr>
      </w:pPr>
    </w:p>
    <w:p w14:paraId="61B6E534" w14:textId="4083F832" w:rsidR="00703A7A" w:rsidRDefault="00703A7A" w:rsidP="00703A7A">
      <w:pPr>
        <w:rPr>
          <w:rFonts w:ascii="Arial" w:hAnsi="Arial" w:cs="Arial"/>
        </w:rPr>
      </w:pPr>
    </w:p>
    <w:p w14:paraId="21D57D1E" w14:textId="77777777" w:rsidR="00703A7A" w:rsidRPr="00703A7A" w:rsidRDefault="00703A7A" w:rsidP="00703A7A">
      <w:pPr>
        <w:rPr>
          <w:rFonts w:ascii="Arial" w:hAnsi="Arial" w:cs="Arial"/>
        </w:rPr>
      </w:pPr>
    </w:p>
    <w:p w14:paraId="5B966581" w14:textId="00F4ABFB" w:rsidR="007D309B" w:rsidRDefault="007D309B" w:rsidP="00385F78">
      <w:pPr>
        <w:pStyle w:val="ListParagraph"/>
        <w:numPr>
          <w:ilvl w:val="0"/>
          <w:numId w:val="2"/>
        </w:numPr>
        <w:rPr>
          <w:rFonts w:ascii="Arial" w:hAnsi="Arial" w:cs="Arial"/>
          <w:sz w:val="22"/>
        </w:rPr>
      </w:pPr>
      <w:r w:rsidRPr="00385F78">
        <w:rPr>
          <w:rFonts w:ascii="Arial" w:hAnsi="Arial" w:cs="Arial"/>
          <w:sz w:val="22"/>
        </w:rPr>
        <w:lastRenderedPageBreak/>
        <w:t>The council</w:t>
      </w:r>
      <w:r w:rsidR="006A4D74">
        <w:rPr>
          <w:rFonts w:ascii="Arial" w:hAnsi="Arial" w:cs="Arial"/>
          <w:sz w:val="22"/>
        </w:rPr>
        <w:t>’</w:t>
      </w:r>
      <w:r w:rsidRPr="00385F78">
        <w:rPr>
          <w:rFonts w:ascii="Arial" w:hAnsi="Arial" w:cs="Arial"/>
          <w:sz w:val="22"/>
        </w:rPr>
        <w:t xml:space="preserve">s </w:t>
      </w:r>
      <w:r w:rsidR="006A4D74" w:rsidRPr="00385F78">
        <w:rPr>
          <w:rFonts w:ascii="Arial" w:hAnsi="Arial" w:cs="Arial"/>
          <w:sz w:val="22"/>
        </w:rPr>
        <w:t>resident’s</w:t>
      </w:r>
      <w:r w:rsidRPr="00385F78">
        <w:rPr>
          <w:rFonts w:ascii="Arial" w:hAnsi="Arial" w:cs="Arial"/>
          <w:sz w:val="22"/>
        </w:rPr>
        <w:t xml:space="preserve"> poor health results and limited access to high-quality healthcare services make health another pressing social concern. The council has unveiled several initiatives, such as expanding access to healthcare services, encouraging healthy lifestyles, and lowering health inequities, to improve health outcomes (Fitzgerald and Primavera, 2013). To improve health outcomes across the borough, it is still necessary to address the underlying social determinants of health, such as poverty, unemployment, and housing.</w:t>
      </w:r>
    </w:p>
    <w:p w14:paraId="34005749" w14:textId="77777777" w:rsidR="00703A7A" w:rsidRPr="00703A7A" w:rsidRDefault="00703A7A" w:rsidP="00703A7A">
      <w:pPr>
        <w:rPr>
          <w:rFonts w:ascii="Arial" w:hAnsi="Arial" w:cs="Arial"/>
        </w:rPr>
      </w:pPr>
    </w:p>
    <w:p w14:paraId="5FEAE08C" w14:textId="273BE17C" w:rsidR="00703A7A" w:rsidRDefault="007D309B" w:rsidP="00703A7A">
      <w:pPr>
        <w:pStyle w:val="ListParagraph"/>
        <w:numPr>
          <w:ilvl w:val="0"/>
          <w:numId w:val="1"/>
        </w:numPr>
        <w:rPr>
          <w:rFonts w:ascii="Arial" w:hAnsi="Arial" w:cs="Arial"/>
          <w:sz w:val="22"/>
        </w:rPr>
      </w:pPr>
      <w:r w:rsidRPr="00385F78">
        <w:rPr>
          <w:rFonts w:ascii="Arial" w:hAnsi="Arial" w:cs="Arial"/>
          <w:sz w:val="22"/>
        </w:rPr>
        <w:t>Another social problem in the council is a crime, which is a problem in particular areas due to high levels of crime and anti-social behaviour (Pang et al., 2019). The council has put up several solutions to deal with this problem, including a stepped-up police presence, CCTV implementation, and community safety efforts. To combat the root causes of crime and antisocial behaviour, such as poverty, social exclusion, and a lack of chances, more work must be done.</w:t>
      </w:r>
    </w:p>
    <w:p w14:paraId="3F461B1A" w14:textId="77777777" w:rsidR="00703A7A" w:rsidRPr="00703A7A" w:rsidRDefault="00703A7A" w:rsidP="00703A7A">
      <w:pPr>
        <w:pStyle w:val="ListParagraph"/>
        <w:ind w:left="360"/>
        <w:rPr>
          <w:rFonts w:ascii="Arial" w:hAnsi="Arial" w:cs="Arial"/>
          <w:sz w:val="22"/>
        </w:rPr>
      </w:pPr>
    </w:p>
    <w:p w14:paraId="0B1339E4" w14:textId="1447C979" w:rsidR="007D309B" w:rsidRPr="00937C09" w:rsidRDefault="007D309B" w:rsidP="00937C09">
      <w:pPr>
        <w:pStyle w:val="ListParagraph"/>
        <w:numPr>
          <w:ilvl w:val="0"/>
          <w:numId w:val="1"/>
        </w:numPr>
        <w:rPr>
          <w:rFonts w:ascii="Arial" w:hAnsi="Arial" w:cs="Arial"/>
        </w:rPr>
      </w:pPr>
      <w:r w:rsidRPr="00937C09">
        <w:rPr>
          <w:rFonts w:ascii="Arial" w:hAnsi="Arial" w:cs="Arial"/>
        </w:rPr>
        <w:t>A significant portion of the population in the council lives in poverty or is at risk of doing so, making it a major social issue. The council has put in place several ways to deal with this problem, including monetary aid, job possibilities, and support for neighborhood programs that fight poverty (</w:t>
      </w:r>
      <w:proofErr w:type="spellStart"/>
      <w:r w:rsidRPr="00937C09">
        <w:rPr>
          <w:rFonts w:ascii="Arial" w:hAnsi="Arial" w:cs="Arial"/>
        </w:rPr>
        <w:t>Dolgon</w:t>
      </w:r>
      <w:proofErr w:type="spellEnd"/>
      <w:r w:rsidRPr="00937C09">
        <w:rPr>
          <w:rFonts w:ascii="Arial" w:hAnsi="Arial" w:cs="Arial"/>
        </w:rPr>
        <w:t xml:space="preserve">, Mitchell and </w:t>
      </w:r>
      <w:proofErr w:type="spellStart"/>
      <w:r w:rsidRPr="00937C09">
        <w:rPr>
          <w:rFonts w:ascii="Arial" w:hAnsi="Arial" w:cs="Arial"/>
        </w:rPr>
        <w:t>Eatman</w:t>
      </w:r>
      <w:proofErr w:type="spellEnd"/>
      <w:r w:rsidRPr="00937C09">
        <w:rPr>
          <w:rFonts w:ascii="Arial" w:hAnsi="Arial" w:cs="Arial"/>
        </w:rPr>
        <w:t xml:space="preserve">, 2019). </w:t>
      </w:r>
      <w:r w:rsidR="00FE7A7E" w:rsidRPr="00937C09">
        <w:rPr>
          <w:rFonts w:ascii="Arial" w:hAnsi="Arial" w:cs="Arial"/>
        </w:rPr>
        <w:t>But</w:t>
      </w:r>
      <w:r w:rsidRPr="00937C09">
        <w:rPr>
          <w:rFonts w:ascii="Arial" w:hAnsi="Arial" w:cs="Arial"/>
        </w:rPr>
        <w:t xml:space="preserve"> more must be done to address the root causes of poverty, which include low pay, substandard housing, and restricted access to opportunities and services.</w:t>
      </w:r>
    </w:p>
    <w:p w14:paraId="7BA09C24" w14:textId="77777777" w:rsidR="007D309B" w:rsidRPr="00385F78" w:rsidRDefault="007D309B" w:rsidP="00385F78">
      <w:pPr>
        <w:spacing w:line="360" w:lineRule="auto"/>
        <w:jc w:val="both"/>
        <w:rPr>
          <w:rFonts w:ascii="Arial" w:hAnsi="Arial" w:cs="Arial"/>
        </w:rPr>
      </w:pPr>
      <w:r w:rsidRPr="00385F78">
        <w:rPr>
          <w:rFonts w:ascii="Arial" w:hAnsi="Arial" w:cs="Arial"/>
          <w:noProof/>
        </w:rPr>
        <w:drawing>
          <wp:inline distT="0" distB="0" distL="0" distR="0" wp14:anchorId="189438EC" wp14:editId="6223DAE3">
            <wp:extent cx="5905500" cy="28956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54F9A37" w14:textId="2D82E570" w:rsidR="007D309B" w:rsidRPr="00385F78" w:rsidRDefault="007D309B" w:rsidP="00703A7A">
      <w:pPr>
        <w:spacing w:line="360" w:lineRule="auto"/>
        <w:jc w:val="center"/>
        <w:rPr>
          <w:rFonts w:ascii="Arial" w:hAnsi="Arial" w:cs="Arial"/>
        </w:rPr>
      </w:pPr>
      <w:r w:rsidRPr="00385F78">
        <w:rPr>
          <w:rFonts w:ascii="Arial" w:hAnsi="Arial" w:cs="Arial"/>
        </w:rPr>
        <w:t>Fig</w:t>
      </w:r>
      <w:r w:rsidR="00FE7A7E" w:rsidRPr="00385F78">
        <w:rPr>
          <w:rFonts w:ascii="Arial" w:hAnsi="Arial" w:cs="Arial"/>
        </w:rPr>
        <w:t>.1</w:t>
      </w:r>
      <w:r w:rsidRPr="00385F78">
        <w:rPr>
          <w:rFonts w:ascii="Arial" w:hAnsi="Arial" w:cs="Arial"/>
        </w:rPr>
        <w:t xml:space="preserve"> (Pang et al., 2019)</w:t>
      </w:r>
    </w:p>
    <w:p w14:paraId="7ACC1D83" w14:textId="77C4AE1E" w:rsidR="00FE7A7E" w:rsidRDefault="007D309B" w:rsidP="00385F78">
      <w:pPr>
        <w:spacing w:line="360" w:lineRule="auto"/>
        <w:jc w:val="both"/>
        <w:rPr>
          <w:rFonts w:ascii="Arial" w:hAnsi="Arial" w:cs="Arial"/>
        </w:rPr>
      </w:pPr>
      <w:r w:rsidRPr="00385F78">
        <w:rPr>
          <w:rFonts w:ascii="Arial" w:hAnsi="Arial" w:cs="Arial"/>
        </w:rPr>
        <w:lastRenderedPageBreak/>
        <w:t>The well-being of the citizens is impacted by several social concerns that Hammersmith and Fulham Council must deal with (Li et al., 2023). Many societal concerns are linked, necessitating an inclusive and cooperative strategy to properly address them. To ensure that all views are heard and that solutions are tailored to the requirements of the community, the council must involve all stakeholders, including citizens, companies, community organizations, and other public sector organizations.</w:t>
      </w:r>
    </w:p>
    <w:p w14:paraId="4F58BFE4" w14:textId="77777777" w:rsidR="00703A7A" w:rsidRPr="00703A7A" w:rsidRDefault="00703A7A" w:rsidP="00703A7A">
      <w:pPr>
        <w:spacing w:line="360" w:lineRule="auto"/>
        <w:jc w:val="center"/>
        <w:rPr>
          <w:rFonts w:ascii="Arial" w:hAnsi="Arial" w:cs="Arial"/>
          <w:u w:val="single"/>
        </w:rPr>
      </w:pPr>
    </w:p>
    <w:p w14:paraId="53C8B3A9" w14:textId="47AD18A1" w:rsidR="00FE7A7E" w:rsidRPr="00703A7A" w:rsidRDefault="00703A7A" w:rsidP="00703A7A">
      <w:pPr>
        <w:spacing w:line="360" w:lineRule="auto"/>
        <w:jc w:val="center"/>
        <w:rPr>
          <w:rFonts w:ascii="Arial" w:hAnsi="Arial" w:cs="Arial"/>
          <w:b/>
          <w:bCs/>
          <w:u w:val="single"/>
        </w:rPr>
      </w:pPr>
      <w:r w:rsidRPr="00703A7A">
        <w:rPr>
          <w:rFonts w:ascii="Arial" w:hAnsi="Arial" w:cs="Arial"/>
          <w:b/>
          <w:bCs/>
          <w:u w:val="single"/>
        </w:rPr>
        <w:t>A STAKEHOLDER ANALYSIS OF THE COUNCIL</w:t>
      </w:r>
    </w:p>
    <w:p w14:paraId="3BBBE353" w14:textId="1BFA7435" w:rsidR="00703A7A" w:rsidRDefault="00FE7A7E" w:rsidP="00385F78">
      <w:pPr>
        <w:spacing w:line="360" w:lineRule="auto"/>
        <w:jc w:val="both"/>
        <w:rPr>
          <w:rFonts w:ascii="Arial" w:hAnsi="Arial" w:cs="Arial"/>
        </w:rPr>
      </w:pPr>
      <w:r w:rsidRPr="00385F78">
        <w:rPr>
          <w:rFonts w:ascii="Arial" w:hAnsi="Arial" w:cs="Arial"/>
        </w:rPr>
        <w:t xml:space="preserve">The Hammersmith and Fulham Council engages a diverse range of stakeholders, including residents, businesses, community </w:t>
      </w:r>
      <w:r w:rsidR="00703A7A" w:rsidRPr="00385F78">
        <w:rPr>
          <w:rFonts w:ascii="Arial" w:hAnsi="Arial" w:cs="Arial"/>
        </w:rPr>
        <w:t>organizations</w:t>
      </w:r>
      <w:r w:rsidRPr="00385F78">
        <w:rPr>
          <w:rFonts w:ascii="Arial" w:hAnsi="Arial" w:cs="Arial"/>
        </w:rPr>
        <w:t xml:space="preserve">, and other government-run </w:t>
      </w:r>
      <w:r w:rsidR="00703A7A" w:rsidRPr="00385F78">
        <w:rPr>
          <w:rFonts w:ascii="Arial" w:hAnsi="Arial" w:cs="Arial"/>
        </w:rPr>
        <w:t>organizations</w:t>
      </w:r>
      <w:r w:rsidRPr="00385F78">
        <w:rPr>
          <w:rFonts w:ascii="Arial" w:hAnsi="Arial" w:cs="Arial"/>
        </w:rPr>
        <w:t xml:space="preserve"> (Coulter, 2018). The council is aware that the many stakeholders have varying requirements and expectations, and as a result, it uses appropriate methods to connect with them.</w:t>
      </w:r>
    </w:p>
    <w:p w14:paraId="7248E7F9" w14:textId="77777777" w:rsidR="00937C09" w:rsidRPr="00385F78" w:rsidRDefault="00937C09" w:rsidP="00385F78">
      <w:pPr>
        <w:spacing w:line="360" w:lineRule="auto"/>
        <w:jc w:val="both"/>
        <w:rPr>
          <w:rFonts w:ascii="Arial" w:hAnsi="Arial" w:cs="Arial"/>
        </w:rPr>
      </w:pPr>
    </w:p>
    <w:p w14:paraId="25F0215D" w14:textId="6866D434" w:rsidR="00FE7A7E" w:rsidRPr="00385F78" w:rsidRDefault="00FE7A7E" w:rsidP="00385F78">
      <w:pPr>
        <w:pStyle w:val="ListParagraph"/>
        <w:numPr>
          <w:ilvl w:val="0"/>
          <w:numId w:val="3"/>
        </w:numPr>
        <w:rPr>
          <w:rFonts w:ascii="Arial" w:hAnsi="Arial" w:cs="Arial"/>
          <w:sz w:val="22"/>
        </w:rPr>
      </w:pPr>
      <w:r w:rsidRPr="00385F78">
        <w:rPr>
          <w:rFonts w:ascii="Arial" w:hAnsi="Arial" w:cs="Arial"/>
          <w:sz w:val="22"/>
        </w:rPr>
        <w:t xml:space="preserve">Residents are the most important stakeholders in the council since they are the ones who directly benefit from the policies and services that the council provides (Lucy, 2019). Residents are involved in the decision-making process by the council through a variety of engagement opportunities, including public meetings, online surveys, focus groups, and workshops. On the website, the council </w:t>
      </w:r>
      <w:r w:rsidR="00937C09">
        <w:rPr>
          <w:rFonts w:ascii="Arial" w:hAnsi="Arial" w:cs="Arial"/>
          <w:sz w:val="22"/>
        </w:rPr>
        <w:t>have</w:t>
      </w:r>
      <w:r w:rsidRPr="00385F78">
        <w:rPr>
          <w:rFonts w:ascii="Arial" w:hAnsi="Arial" w:cs="Arial"/>
          <w:sz w:val="22"/>
        </w:rPr>
        <w:t xml:space="preserve"> a section that is specifically devoted to community interaction. Under this section, visitors can find information about ongoing consultations, feedback methods, and other engagement initiatives (Gilmore et al., 2020). Through the website, residents can also sign up to get email notifications and alerts on relevant engagement activities and consultations.</w:t>
      </w:r>
    </w:p>
    <w:p w14:paraId="0C2A4469" w14:textId="320CC989" w:rsidR="00FE7A7E" w:rsidRPr="00385F78" w:rsidRDefault="00FE7A7E" w:rsidP="00385F78">
      <w:pPr>
        <w:spacing w:line="360" w:lineRule="auto"/>
        <w:jc w:val="both"/>
        <w:rPr>
          <w:rFonts w:ascii="Arial" w:hAnsi="Arial" w:cs="Arial"/>
        </w:rPr>
      </w:pPr>
    </w:p>
    <w:p w14:paraId="52D0FC2B" w14:textId="6C6FAF03" w:rsidR="00703A7A" w:rsidRDefault="00094E43" w:rsidP="00703A7A">
      <w:pPr>
        <w:pStyle w:val="ListParagraph"/>
        <w:numPr>
          <w:ilvl w:val="0"/>
          <w:numId w:val="3"/>
        </w:numPr>
        <w:rPr>
          <w:rFonts w:ascii="Arial" w:hAnsi="Arial" w:cs="Arial"/>
          <w:sz w:val="22"/>
        </w:rPr>
      </w:pPr>
      <w:r w:rsidRPr="00385F78">
        <w:rPr>
          <w:rFonts w:ascii="Arial" w:hAnsi="Arial" w:cs="Arial"/>
          <w:sz w:val="22"/>
        </w:rPr>
        <w:t>Public meetings are one of the most effective ways to engage residents because they allow residents to meet with council officials face to face, ask questions, and provide feedback. This makes public meetings one of the most effective ways to involve residents (Haldane et al., 2019). Public meetings are especially beneficial for tackling complicated matters that call for a more in-depth discussion or explanation. For instance, the council can decide to host public meetings to examine potential alterations to the local planning policies. Such alterations might have a considerable effect on the day-to-day lives of inhabitants.</w:t>
      </w:r>
    </w:p>
    <w:p w14:paraId="461BA914" w14:textId="77777777" w:rsidR="00703A7A" w:rsidRPr="00703A7A" w:rsidRDefault="00703A7A" w:rsidP="00703A7A">
      <w:pPr>
        <w:rPr>
          <w:rFonts w:ascii="Arial" w:hAnsi="Arial" w:cs="Arial"/>
        </w:rPr>
      </w:pPr>
    </w:p>
    <w:p w14:paraId="6868C418" w14:textId="19111111" w:rsidR="00094E43" w:rsidRDefault="00094E43" w:rsidP="00385F78">
      <w:pPr>
        <w:pStyle w:val="ListParagraph"/>
        <w:numPr>
          <w:ilvl w:val="0"/>
          <w:numId w:val="3"/>
        </w:numPr>
        <w:rPr>
          <w:rFonts w:ascii="Arial" w:hAnsi="Arial" w:cs="Arial"/>
          <w:sz w:val="22"/>
        </w:rPr>
      </w:pPr>
      <w:r w:rsidRPr="00385F78">
        <w:rPr>
          <w:rFonts w:ascii="Arial" w:hAnsi="Arial" w:cs="Arial"/>
          <w:sz w:val="22"/>
        </w:rPr>
        <w:lastRenderedPageBreak/>
        <w:t>Online surveys are a practical and easily available alternative for citizens who may be unable to attend public meetings or other types of engagement activities (Marsh, 2018). This makes them a good choice for one of the appropriate ways to involve residents. In addition, online surveys have the potential to reach a larger audience and provide more detailed input. The council may use online surveys to obtain feedback from locals on a variety of topics, including local transportation, housing, and health care.</w:t>
      </w:r>
    </w:p>
    <w:p w14:paraId="3EC876B1" w14:textId="77777777" w:rsidR="00703A7A" w:rsidRPr="00703A7A" w:rsidRDefault="00703A7A" w:rsidP="00703A7A">
      <w:pPr>
        <w:rPr>
          <w:rFonts w:ascii="Arial" w:hAnsi="Arial" w:cs="Arial"/>
        </w:rPr>
      </w:pPr>
    </w:p>
    <w:p w14:paraId="08F137B2" w14:textId="5AEE4284" w:rsidR="00094E43" w:rsidRDefault="00094E43" w:rsidP="00385F78">
      <w:pPr>
        <w:pStyle w:val="ListParagraph"/>
        <w:numPr>
          <w:ilvl w:val="0"/>
          <w:numId w:val="3"/>
        </w:numPr>
        <w:rPr>
          <w:rFonts w:ascii="Arial" w:hAnsi="Arial" w:cs="Arial"/>
          <w:sz w:val="22"/>
        </w:rPr>
      </w:pPr>
      <w:r w:rsidRPr="00385F78">
        <w:rPr>
          <w:rFonts w:ascii="Arial" w:hAnsi="Arial" w:cs="Arial"/>
          <w:sz w:val="22"/>
        </w:rPr>
        <w:t>The council also maintains relationships with local businesses, which are critical to the continued expansion and vitality of the borough</w:t>
      </w:r>
      <w:r w:rsidR="006B4FED">
        <w:rPr>
          <w:rFonts w:ascii="Arial" w:hAnsi="Arial" w:cs="Arial"/>
          <w:sz w:val="22"/>
        </w:rPr>
        <w:t>’</w:t>
      </w:r>
      <w:r w:rsidRPr="00385F78">
        <w:rPr>
          <w:rFonts w:ascii="Arial" w:hAnsi="Arial" w:cs="Arial"/>
          <w:sz w:val="22"/>
        </w:rPr>
        <w:t>s economy. The council solicits the participation of businesses through a variety of different channels, such as business forums, networking events, and one-on-one meetings (Redman, 2022). The Council understands that businesses have their specific requirements and expectations, and as a result, it modifies its engagement efforts to reflect this. One method that is appropriate for engaging businesses is the use of business forums. These forums allow companies to network with one another, discuss ideas, and work together on community projects (Patel, 2019). One-on-one meetings may also be used by the council to provide businesses with specific advice and help on matters such as funding, planning, or licencing. These issues may be discussed by the council.</w:t>
      </w:r>
    </w:p>
    <w:p w14:paraId="5B2BA6A6" w14:textId="77777777" w:rsidR="00703A7A" w:rsidRPr="00703A7A" w:rsidRDefault="00703A7A" w:rsidP="00703A7A">
      <w:pPr>
        <w:rPr>
          <w:rFonts w:ascii="Arial" w:hAnsi="Arial" w:cs="Arial"/>
        </w:rPr>
      </w:pPr>
    </w:p>
    <w:p w14:paraId="79B0AF49" w14:textId="41BD5494" w:rsidR="00094E43" w:rsidRPr="00703A7A" w:rsidRDefault="00094E43" w:rsidP="00703A7A">
      <w:pPr>
        <w:pStyle w:val="ListParagraph"/>
        <w:numPr>
          <w:ilvl w:val="0"/>
          <w:numId w:val="3"/>
        </w:numPr>
        <w:rPr>
          <w:rFonts w:ascii="Arial" w:hAnsi="Arial" w:cs="Arial"/>
          <w:sz w:val="22"/>
        </w:rPr>
      </w:pPr>
      <w:r w:rsidRPr="00385F78">
        <w:rPr>
          <w:rFonts w:ascii="Arial" w:hAnsi="Arial" w:cs="Arial"/>
          <w:sz w:val="22"/>
        </w:rPr>
        <w:t>In the council</w:t>
      </w:r>
      <w:r w:rsidR="006A4D74">
        <w:rPr>
          <w:rFonts w:ascii="Arial" w:hAnsi="Arial" w:cs="Arial"/>
          <w:sz w:val="22"/>
        </w:rPr>
        <w:t>’</w:t>
      </w:r>
      <w:r w:rsidRPr="00385F78">
        <w:rPr>
          <w:rFonts w:ascii="Arial" w:hAnsi="Arial" w:cs="Arial"/>
          <w:sz w:val="22"/>
        </w:rPr>
        <w:t>s involvement strategy, community organisations are also considered to be important stakeholders (Pang et al., 2019). The council acknowledges the significant contribution made by community organisations for the advancement of social cohesion, community resilience, and inclusive economic development. The engagement of community organisations is accomplished by the council through a variety of means, such as partnership forums, community activities, and chances for funding. One method that is appropriate for engaging community organisations is through partnership forums. These forums allow community organisations to work together on local initiatives, share best practices, and learn from each other</w:t>
      </w:r>
      <w:r w:rsidR="006A4D74">
        <w:rPr>
          <w:rFonts w:ascii="Arial" w:hAnsi="Arial" w:cs="Arial"/>
          <w:sz w:val="22"/>
        </w:rPr>
        <w:t>’</w:t>
      </w:r>
      <w:r w:rsidRPr="00385F78">
        <w:rPr>
          <w:rFonts w:ascii="Arial" w:hAnsi="Arial" w:cs="Arial"/>
          <w:sz w:val="22"/>
        </w:rPr>
        <w:t>s experiences (Lucy, 2019). The council might also make use of community events, such as fairs and festivals, to encourage participation in community activities and highlight the work of local community organisations. In addition, the council collaborates with other organisations that are part of the public sector, such as the police department, health services, and housing associations (Li et al., 2023). The council acknowledges that working together with other agencies is necessary to effectively solve difficult problems that call for a coordinated effort from multiple groups.</w:t>
      </w:r>
    </w:p>
    <w:p w14:paraId="3371B8CE" w14:textId="2D4782F1" w:rsidR="00385F78" w:rsidRPr="00385F78" w:rsidRDefault="00385F78" w:rsidP="00385F78">
      <w:pPr>
        <w:pStyle w:val="ListParagraph"/>
        <w:numPr>
          <w:ilvl w:val="0"/>
          <w:numId w:val="3"/>
        </w:numPr>
        <w:rPr>
          <w:rFonts w:ascii="Arial" w:hAnsi="Arial" w:cs="Arial"/>
          <w:sz w:val="22"/>
        </w:rPr>
      </w:pPr>
      <w:r w:rsidRPr="00385F78">
        <w:rPr>
          <w:rFonts w:ascii="Arial" w:hAnsi="Arial" w:cs="Arial"/>
          <w:sz w:val="22"/>
        </w:rPr>
        <w:lastRenderedPageBreak/>
        <w:t>The establishment of partnership forums or task forces, which allow governmental organisations to collaborate on the solution of particular problems (like the reduction of crime or the improvement of health care), is one method that is suitable for involving other public sector agencies (Haldane et al., 2019). To further improve collaboration and coordination across different agencies, the council may also participate in initiatives such as collaborative training or capacity-building.</w:t>
      </w:r>
    </w:p>
    <w:p w14:paraId="14CBB0BB" w14:textId="77777777" w:rsidR="00385F78" w:rsidRPr="00385F78" w:rsidRDefault="00385F78" w:rsidP="00385F78">
      <w:pPr>
        <w:pStyle w:val="ListParagraph"/>
        <w:rPr>
          <w:rFonts w:ascii="Arial" w:hAnsi="Arial" w:cs="Arial"/>
          <w:sz w:val="22"/>
        </w:rPr>
      </w:pPr>
    </w:p>
    <w:p w14:paraId="2B7724CE" w14:textId="4064D3F6" w:rsidR="00385F78" w:rsidRPr="00385F78" w:rsidRDefault="00385F78" w:rsidP="00385F78">
      <w:pPr>
        <w:spacing w:line="360" w:lineRule="auto"/>
        <w:jc w:val="both"/>
        <w:rPr>
          <w:rFonts w:ascii="Arial" w:hAnsi="Arial" w:cs="Arial"/>
        </w:rPr>
      </w:pPr>
      <w:r w:rsidRPr="00385F78">
        <w:rPr>
          <w:rFonts w:ascii="Arial" w:hAnsi="Arial" w:cs="Arial"/>
          <w:noProof/>
        </w:rPr>
        <w:drawing>
          <wp:inline distT="0" distB="0" distL="0" distR="0" wp14:anchorId="77246984" wp14:editId="47C674DF">
            <wp:extent cx="5928360" cy="3604260"/>
            <wp:effectExtent l="0" t="0" r="0" b="1524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1B70AB2" w14:textId="4181ADAA" w:rsidR="00385F78" w:rsidRPr="00385F78" w:rsidRDefault="00385F78" w:rsidP="00385F78">
      <w:pPr>
        <w:pStyle w:val="ListParagraph"/>
        <w:rPr>
          <w:rFonts w:ascii="Arial" w:hAnsi="Arial" w:cs="Arial"/>
          <w:sz w:val="22"/>
        </w:rPr>
      </w:pPr>
    </w:p>
    <w:p w14:paraId="77B5BDEA" w14:textId="656A061A" w:rsidR="00703A7A" w:rsidRDefault="00385F78" w:rsidP="00120CF8">
      <w:pPr>
        <w:spacing w:line="360" w:lineRule="auto"/>
        <w:jc w:val="center"/>
        <w:rPr>
          <w:rFonts w:ascii="Arial" w:hAnsi="Arial" w:cs="Arial"/>
        </w:rPr>
      </w:pPr>
      <w:bookmarkStart w:id="1" w:name="_Hlk131175063"/>
      <w:r w:rsidRPr="00385F78">
        <w:rPr>
          <w:rFonts w:ascii="Arial" w:hAnsi="Arial" w:cs="Arial"/>
        </w:rPr>
        <w:t>Fig.2 (Lucy, 2019)</w:t>
      </w:r>
    </w:p>
    <w:bookmarkEnd w:id="1"/>
    <w:p w14:paraId="26F02016" w14:textId="09B61DEE" w:rsidR="00385F78" w:rsidRPr="00120CF8" w:rsidRDefault="00385F78" w:rsidP="00120CF8">
      <w:pPr>
        <w:rPr>
          <w:rFonts w:ascii="Arial" w:hAnsi="Arial" w:cs="Arial"/>
        </w:rPr>
      </w:pPr>
    </w:p>
    <w:p w14:paraId="6F182D38" w14:textId="3023B881" w:rsidR="00385F78" w:rsidRPr="00385F78" w:rsidRDefault="00385F78" w:rsidP="00385F78">
      <w:pPr>
        <w:spacing w:line="360" w:lineRule="auto"/>
        <w:jc w:val="both"/>
        <w:rPr>
          <w:rFonts w:ascii="Arial" w:hAnsi="Arial" w:cs="Arial"/>
        </w:rPr>
      </w:pPr>
      <w:r w:rsidRPr="00385F78">
        <w:rPr>
          <w:rFonts w:ascii="Arial" w:hAnsi="Arial" w:cs="Arial"/>
        </w:rPr>
        <w:t>Successful community participation calls for an approach that is cooperative and all-inclusive, and it must incorporate all of the relevant stakeholders. Hammersmith &amp; Fulham Council uses a variety of consultation approaches and engages a broad spectrum of stakeholders, such as local people, businesses, community organizations, and other government-run institutions (Fitzgerald and Primavera, 2013). The Council understands the importance of diversity and inclusion in the process of creating social cohesion, community resilience, and inclusive growth, and as a result, it customizes its engagement activities to meet the varying needs and expectations of the various stakeholders.</w:t>
      </w:r>
    </w:p>
    <w:p w14:paraId="0FC57C12" w14:textId="26357F6E" w:rsidR="00120CF8" w:rsidRPr="00385F78" w:rsidRDefault="00120CF8" w:rsidP="00120CF8">
      <w:pPr>
        <w:spacing w:line="360" w:lineRule="auto"/>
        <w:jc w:val="center"/>
        <w:rPr>
          <w:rFonts w:ascii="Arial" w:hAnsi="Arial" w:cs="Arial"/>
          <w:b/>
          <w:bCs/>
          <w:u w:val="single"/>
        </w:rPr>
      </w:pPr>
      <w:r>
        <w:rPr>
          <w:rFonts w:ascii="Arial" w:hAnsi="Arial" w:cs="Arial"/>
          <w:b/>
          <w:bCs/>
          <w:u w:val="single"/>
        </w:rPr>
        <w:lastRenderedPageBreak/>
        <w:t>CONCLUSION</w:t>
      </w:r>
    </w:p>
    <w:p w14:paraId="64507DD3" w14:textId="20673B82" w:rsidR="003D2436" w:rsidRPr="003D2436" w:rsidRDefault="00385F78" w:rsidP="003D2436">
      <w:pPr>
        <w:spacing w:line="360" w:lineRule="auto"/>
        <w:jc w:val="both"/>
        <w:rPr>
          <w:rFonts w:ascii="Arial" w:hAnsi="Arial" w:cs="Arial"/>
        </w:rPr>
      </w:pPr>
      <w:r w:rsidRPr="00385F78">
        <w:rPr>
          <w:rFonts w:ascii="Arial" w:hAnsi="Arial" w:cs="Arial"/>
        </w:rPr>
        <w:t xml:space="preserve">The Hammersmith and Fulham Council has identified several social concerns that have an impact on the wellness of the population. These social issues include housing, education, employment, health, crime, and poverty. To address these societal issues, the council has devised a variety of solutions, some of which include the building of new homes, partnerships with other </w:t>
      </w:r>
      <w:r w:rsidR="00120CF8" w:rsidRPr="00385F78">
        <w:rPr>
          <w:rFonts w:ascii="Arial" w:hAnsi="Arial" w:cs="Arial"/>
        </w:rPr>
        <w:t>organizations</w:t>
      </w:r>
      <w:r w:rsidRPr="00385F78">
        <w:rPr>
          <w:rFonts w:ascii="Arial" w:hAnsi="Arial" w:cs="Arial"/>
        </w:rPr>
        <w:t xml:space="preserve">, mentorship </w:t>
      </w:r>
      <w:r w:rsidR="00120CF8" w:rsidRPr="00385F78">
        <w:rPr>
          <w:rFonts w:ascii="Arial" w:hAnsi="Arial" w:cs="Arial"/>
        </w:rPr>
        <w:t>programs</w:t>
      </w:r>
      <w:r w:rsidRPr="00385F78">
        <w:rPr>
          <w:rFonts w:ascii="Arial" w:hAnsi="Arial" w:cs="Arial"/>
        </w:rPr>
        <w:t xml:space="preserve">, job training </w:t>
      </w:r>
      <w:r w:rsidR="00120CF8" w:rsidRPr="00385F78">
        <w:rPr>
          <w:rFonts w:ascii="Arial" w:hAnsi="Arial" w:cs="Arial"/>
        </w:rPr>
        <w:t>programs</w:t>
      </w:r>
      <w:r w:rsidRPr="00385F78">
        <w:rPr>
          <w:rFonts w:ascii="Arial" w:hAnsi="Arial" w:cs="Arial"/>
        </w:rPr>
        <w:t xml:space="preserve">, expanding access to healthcare services, and efforts to make the community safer. These methods have been implemented to make the lives of the citizens a little bit </w:t>
      </w:r>
      <w:r w:rsidR="00120CF8" w:rsidRPr="00385F78">
        <w:rPr>
          <w:rFonts w:ascii="Arial" w:hAnsi="Arial" w:cs="Arial"/>
        </w:rPr>
        <w:t>better. The</w:t>
      </w:r>
      <w:r w:rsidRPr="00385F78">
        <w:rPr>
          <w:rFonts w:ascii="Arial" w:hAnsi="Arial" w:cs="Arial"/>
        </w:rPr>
        <w:t xml:space="preserve"> council has created a variety of strategies for engaging with diverse stakeholders, such as residents, businesses, community </w:t>
      </w:r>
      <w:r w:rsidR="00120CF8" w:rsidRPr="00385F78">
        <w:rPr>
          <w:rFonts w:ascii="Arial" w:hAnsi="Arial" w:cs="Arial"/>
        </w:rPr>
        <w:t>organizations</w:t>
      </w:r>
      <w:r w:rsidRPr="00385F78">
        <w:rPr>
          <w:rFonts w:ascii="Arial" w:hAnsi="Arial" w:cs="Arial"/>
        </w:rPr>
        <w:t xml:space="preserve">, and other public sector </w:t>
      </w:r>
      <w:r w:rsidR="00120CF8" w:rsidRPr="00385F78">
        <w:rPr>
          <w:rFonts w:ascii="Arial" w:hAnsi="Arial" w:cs="Arial"/>
        </w:rPr>
        <w:t>organizations</w:t>
      </w:r>
      <w:r w:rsidRPr="00385F78">
        <w:rPr>
          <w:rFonts w:ascii="Arial" w:hAnsi="Arial" w:cs="Arial"/>
        </w:rPr>
        <w:t xml:space="preserve">, to guarantee that all of these groups are given a voice in the decision-making process. Public meetings, online surveys, corporate forums, networking events, and one-on-one meetings are some of the tactics that fall under this category. The council has been able to understand the needs and expectations of these stakeholders because it has been engaging with them, and it has adapted its engagement efforts to reflect this </w:t>
      </w:r>
      <w:r w:rsidR="00120CF8" w:rsidRPr="00385F78">
        <w:rPr>
          <w:rFonts w:ascii="Arial" w:hAnsi="Arial" w:cs="Arial"/>
        </w:rPr>
        <w:t>understanding. Even</w:t>
      </w:r>
      <w:r w:rsidRPr="00385F78">
        <w:rPr>
          <w:rFonts w:ascii="Arial" w:hAnsi="Arial" w:cs="Arial"/>
        </w:rPr>
        <w:t xml:space="preserve"> though the council has made tremendous headway in tackling these social challenges, there is still a lot of work to be done to address the underlying causes of these problems. For instance, addressing the underlying social determinants of health in the borough, such as poverty, unemployment, and housing conditions, would help to improve health outcomes throughout the entire borough. In a similar vein, tackling the fundamental factors that contribute to poverty, such as poor wages, living conditions, and restricted access to opportunities and services, would be beneficial in the fight against </w:t>
      </w:r>
      <w:r w:rsidR="00120CF8" w:rsidRPr="00385F78">
        <w:rPr>
          <w:rFonts w:ascii="Arial" w:hAnsi="Arial" w:cs="Arial"/>
        </w:rPr>
        <w:t>poverty. The</w:t>
      </w:r>
      <w:r w:rsidRPr="00385F78">
        <w:rPr>
          <w:rFonts w:ascii="Arial" w:hAnsi="Arial" w:cs="Arial"/>
        </w:rPr>
        <w:t xml:space="preserve"> Hammersmith and Fulham Council must continue to engage with all relevant stakeholders to create and put into practice policies that target the fundamental causes of the aforementioned socioeconomic problems. The council can ensure that all opinions are heard and that solutions are adapted to the requirements of the community through community involvement, which ultimately improves the well-being of the members of the community.</w:t>
      </w:r>
    </w:p>
    <w:p w14:paraId="0F7B3793" w14:textId="2ABEA63A" w:rsidR="00866878" w:rsidRPr="000D660F" w:rsidRDefault="003D2436" w:rsidP="000D660F">
      <w:pPr>
        <w:jc w:val="center"/>
      </w:pPr>
      <w:r>
        <w:rPr>
          <w:noProof/>
        </w:rPr>
        <w:drawing>
          <wp:inline distT="0" distB="0" distL="0" distR="0" wp14:anchorId="36EEABA4" wp14:editId="2CBB0465">
            <wp:extent cx="3708723" cy="1447800"/>
            <wp:effectExtent l="0" t="0" r="6350" b="0"/>
            <wp:docPr id="10" name="Picture 10"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logo&#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45411" cy="1462122"/>
                    </a:xfrm>
                    <a:prstGeom prst="rect">
                      <a:avLst/>
                    </a:prstGeom>
                    <a:noFill/>
                    <a:ln>
                      <a:noFill/>
                    </a:ln>
                  </pic:spPr>
                </pic:pic>
              </a:graphicData>
            </a:graphic>
          </wp:inline>
        </w:drawing>
      </w:r>
    </w:p>
    <w:p w14:paraId="6B038025" w14:textId="1E4CAAC3" w:rsidR="000D660F" w:rsidRPr="000D660F" w:rsidRDefault="000D660F" w:rsidP="00866878">
      <w:pPr>
        <w:spacing w:line="360" w:lineRule="auto"/>
        <w:jc w:val="center"/>
        <w:rPr>
          <w:rFonts w:ascii="Arial" w:hAnsi="Arial" w:cs="Arial"/>
        </w:rPr>
      </w:pPr>
      <w:r w:rsidRPr="000D660F">
        <w:rPr>
          <w:rFonts w:ascii="Arial" w:hAnsi="Arial" w:cs="Arial"/>
        </w:rPr>
        <w:t xml:space="preserve">Source: https://londonroadsafetycouncil.org.uk/road-safety-contacts/hammersmith-fulham/ </w:t>
      </w:r>
    </w:p>
    <w:p w14:paraId="33C8B84B" w14:textId="1DA46D9C" w:rsidR="00866878" w:rsidRDefault="00866878" w:rsidP="000D660F">
      <w:pPr>
        <w:spacing w:line="360" w:lineRule="auto"/>
        <w:jc w:val="center"/>
        <w:rPr>
          <w:rFonts w:ascii="Arial" w:hAnsi="Arial" w:cs="Arial"/>
          <w:b/>
          <w:bCs/>
          <w:u w:val="single"/>
        </w:rPr>
      </w:pPr>
      <w:r>
        <w:rPr>
          <w:rFonts w:ascii="Arial" w:hAnsi="Arial" w:cs="Arial"/>
          <w:b/>
          <w:bCs/>
          <w:u w:val="single"/>
        </w:rPr>
        <w:lastRenderedPageBreak/>
        <w:t>REFERENCES</w:t>
      </w:r>
    </w:p>
    <w:p w14:paraId="1B402EDB" w14:textId="77777777" w:rsidR="005E3185" w:rsidRPr="00943CF9" w:rsidRDefault="005E3185" w:rsidP="005E3185">
      <w:pPr>
        <w:pStyle w:val="NormalWeb"/>
        <w:numPr>
          <w:ilvl w:val="0"/>
          <w:numId w:val="4"/>
        </w:numPr>
        <w:spacing w:before="0" w:beforeAutospacing="0" w:after="240" w:afterAutospacing="0" w:line="360" w:lineRule="auto"/>
        <w:jc w:val="both"/>
        <w:rPr>
          <w:rFonts w:ascii="Arial" w:hAnsi="Arial" w:cs="Arial"/>
          <w:sz w:val="22"/>
          <w:szCs w:val="22"/>
        </w:rPr>
      </w:pPr>
      <w:r w:rsidRPr="00943CF9">
        <w:rPr>
          <w:rFonts w:ascii="Arial" w:hAnsi="Arial" w:cs="Arial"/>
          <w:sz w:val="22"/>
          <w:szCs w:val="22"/>
        </w:rPr>
        <w:t xml:space="preserve">Coulter, B. (2018). </w:t>
      </w:r>
      <w:r w:rsidRPr="00943CF9">
        <w:rPr>
          <w:rFonts w:ascii="Arial" w:hAnsi="Arial" w:cs="Arial"/>
          <w:i/>
          <w:iCs/>
          <w:sz w:val="22"/>
          <w:szCs w:val="22"/>
        </w:rPr>
        <w:t>Building kids</w:t>
      </w:r>
      <w:r>
        <w:rPr>
          <w:rFonts w:ascii="Arial" w:hAnsi="Arial" w:cs="Arial"/>
          <w:i/>
          <w:iCs/>
          <w:sz w:val="22"/>
          <w:szCs w:val="22"/>
        </w:rPr>
        <w:t>’</w:t>
      </w:r>
      <w:r w:rsidRPr="00943CF9">
        <w:rPr>
          <w:rFonts w:ascii="Arial" w:hAnsi="Arial" w:cs="Arial"/>
          <w:i/>
          <w:iCs/>
          <w:sz w:val="22"/>
          <w:szCs w:val="22"/>
        </w:rPr>
        <w:t xml:space="preserve"> citizenship through community engagement</w:t>
      </w:r>
      <w:r w:rsidRPr="00943CF9">
        <w:rPr>
          <w:rFonts w:ascii="Arial" w:hAnsi="Arial" w:cs="Arial"/>
          <w:sz w:val="22"/>
          <w:szCs w:val="22"/>
        </w:rPr>
        <w:t>. New York, Peter Lang Publishing, Inc.</w:t>
      </w:r>
    </w:p>
    <w:p w14:paraId="0852351E" w14:textId="77777777" w:rsidR="005E3185" w:rsidRPr="00943CF9" w:rsidRDefault="005E3185" w:rsidP="005E3185">
      <w:pPr>
        <w:pStyle w:val="NormalWeb"/>
        <w:numPr>
          <w:ilvl w:val="0"/>
          <w:numId w:val="4"/>
        </w:numPr>
        <w:spacing w:before="0" w:beforeAutospacing="0" w:after="240" w:afterAutospacing="0" w:line="360" w:lineRule="auto"/>
        <w:jc w:val="both"/>
        <w:rPr>
          <w:rFonts w:ascii="Arial" w:hAnsi="Arial" w:cs="Arial"/>
          <w:sz w:val="22"/>
          <w:szCs w:val="22"/>
        </w:rPr>
      </w:pPr>
      <w:proofErr w:type="spellStart"/>
      <w:r w:rsidRPr="00943CF9">
        <w:rPr>
          <w:rFonts w:ascii="Arial" w:hAnsi="Arial" w:cs="Arial"/>
          <w:sz w:val="22"/>
          <w:szCs w:val="22"/>
        </w:rPr>
        <w:t>Dolgon</w:t>
      </w:r>
      <w:proofErr w:type="spellEnd"/>
      <w:r w:rsidRPr="00943CF9">
        <w:rPr>
          <w:rFonts w:ascii="Arial" w:hAnsi="Arial" w:cs="Arial"/>
          <w:sz w:val="22"/>
          <w:szCs w:val="22"/>
        </w:rPr>
        <w:t xml:space="preserve">, C., Mitchell, T.D. and </w:t>
      </w:r>
      <w:proofErr w:type="spellStart"/>
      <w:r w:rsidRPr="00943CF9">
        <w:rPr>
          <w:rFonts w:ascii="Arial" w:hAnsi="Arial" w:cs="Arial"/>
          <w:sz w:val="22"/>
          <w:szCs w:val="22"/>
        </w:rPr>
        <w:t>Eatman</w:t>
      </w:r>
      <w:proofErr w:type="spellEnd"/>
      <w:r w:rsidRPr="00943CF9">
        <w:rPr>
          <w:rFonts w:ascii="Arial" w:hAnsi="Arial" w:cs="Arial"/>
          <w:sz w:val="22"/>
          <w:szCs w:val="22"/>
        </w:rPr>
        <w:t xml:space="preserve">, T.K. (2019). </w:t>
      </w:r>
      <w:r w:rsidRPr="00943CF9">
        <w:rPr>
          <w:rFonts w:ascii="Arial" w:hAnsi="Arial" w:cs="Arial"/>
          <w:i/>
          <w:iCs/>
          <w:sz w:val="22"/>
          <w:szCs w:val="22"/>
        </w:rPr>
        <w:t>The Cambridge handbook of service learning and community engagement</w:t>
      </w:r>
      <w:r w:rsidRPr="00943CF9">
        <w:rPr>
          <w:rFonts w:ascii="Arial" w:hAnsi="Arial" w:cs="Arial"/>
          <w:sz w:val="22"/>
          <w:szCs w:val="22"/>
        </w:rPr>
        <w:t>. Cambridge: Cambridge University Press.</w:t>
      </w:r>
    </w:p>
    <w:p w14:paraId="54CC8428" w14:textId="77777777" w:rsidR="005E3185" w:rsidRPr="00943CF9" w:rsidRDefault="005E3185" w:rsidP="005E3185">
      <w:pPr>
        <w:pStyle w:val="NormalWeb"/>
        <w:numPr>
          <w:ilvl w:val="0"/>
          <w:numId w:val="4"/>
        </w:numPr>
        <w:spacing w:before="0" w:beforeAutospacing="0" w:after="240" w:afterAutospacing="0" w:line="360" w:lineRule="auto"/>
        <w:jc w:val="both"/>
        <w:rPr>
          <w:rFonts w:ascii="Arial" w:hAnsi="Arial" w:cs="Arial"/>
          <w:sz w:val="22"/>
          <w:szCs w:val="22"/>
        </w:rPr>
      </w:pPr>
      <w:r w:rsidRPr="00943CF9">
        <w:rPr>
          <w:rFonts w:ascii="Arial" w:hAnsi="Arial" w:cs="Arial"/>
          <w:sz w:val="22"/>
          <w:szCs w:val="22"/>
        </w:rPr>
        <w:t xml:space="preserve">Fitzgerald, H.E. and Primavera, J. (2013). </w:t>
      </w:r>
      <w:r w:rsidRPr="00943CF9">
        <w:rPr>
          <w:rFonts w:ascii="Arial" w:hAnsi="Arial" w:cs="Arial"/>
          <w:i/>
          <w:iCs/>
          <w:sz w:val="22"/>
          <w:szCs w:val="22"/>
        </w:rPr>
        <w:t>Going public: civic and community engagement</w:t>
      </w:r>
      <w:r w:rsidRPr="00943CF9">
        <w:rPr>
          <w:rFonts w:ascii="Arial" w:hAnsi="Arial" w:cs="Arial"/>
          <w:sz w:val="22"/>
          <w:szCs w:val="22"/>
        </w:rPr>
        <w:t>. East Lansing: Michigan State University Press.</w:t>
      </w:r>
    </w:p>
    <w:p w14:paraId="44F6DE94" w14:textId="77777777" w:rsidR="005E3185" w:rsidRPr="00943CF9" w:rsidRDefault="005E3185" w:rsidP="005E3185">
      <w:pPr>
        <w:pStyle w:val="NormalWeb"/>
        <w:numPr>
          <w:ilvl w:val="0"/>
          <w:numId w:val="4"/>
        </w:numPr>
        <w:spacing w:before="0" w:beforeAutospacing="0" w:after="240" w:afterAutospacing="0" w:line="360" w:lineRule="auto"/>
        <w:jc w:val="both"/>
        <w:rPr>
          <w:rFonts w:ascii="Arial" w:hAnsi="Arial" w:cs="Arial"/>
          <w:sz w:val="22"/>
          <w:szCs w:val="22"/>
        </w:rPr>
      </w:pPr>
      <w:r w:rsidRPr="00943CF9">
        <w:rPr>
          <w:rFonts w:ascii="Arial" w:hAnsi="Arial" w:cs="Arial"/>
          <w:sz w:val="22"/>
          <w:szCs w:val="22"/>
        </w:rPr>
        <w:t xml:space="preserve">Gilmore, B., </w:t>
      </w:r>
      <w:proofErr w:type="spellStart"/>
      <w:r w:rsidRPr="00943CF9">
        <w:rPr>
          <w:rFonts w:ascii="Arial" w:hAnsi="Arial" w:cs="Arial"/>
          <w:sz w:val="22"/>
          <w:szCs w:val="22"/>
        </w:rPr>
        <w:t>Ndejjo</w:t>
      </w:r>
      <w:proofErr w:type="spellEnd"/>
      <w:r w:rsidRPr="00943CF9">
        <w:rPr>
          <w:rFonts w:ascii="Arial" w:hAnsi="Arial" w:cs="Arial"/>
          <w:sz w:val="22"/>
          <w:szCs w:val="22"/>
        </w:rPr>
        <w:t xml:space="preserve">, R., </w:t>
      </w:r>
      <w:proofErr w:type="spellStart"/>
      <w:r w:rsidRPr="00943CF9">
        <w:rPr>
          <w:rFonts w:ascii="Arial" w:hAnsi="Arial" w:cs="Arial"/>
          <w:sz w:val="22"/>
          <w:szCs w:val="22"/>
        </w:rPr>
        <w:t>Tchetchia</w:t>
      </w:r>
      <w:proofErr w:type="spellEnd"/>
      <w:r w:rsidRPr="00943CF9">
        <w:rPr>
          <w:rFonts w:ascii="Arial" w:hAnsi="Arial" w:cs="Arial"/>
          <w:sz w:val="22"/>
          <w:szCs w:val="22"/>
        </w:rPr>
        <w:t xml:space="preserve">, A., de Claro, V., Mago, E., Diallo, A.A., Lopes, C. and Bhattacharyya, S. (2020). </w:t>
      </w:r>
      <w:r>
        <w:rPr>
          <w:rFonts w:ascii="Arial" w:hAnsi="Arial" w:cs="Arial"/>
          <w:sz w:val="22"/>
          <w:szCs w:val="22"/>
        </w:rPr>
        <w:t>‘</w:t>
      </w:r>
      <w:r w:rsidRPr="00943CF9">
        <w:rPr>
          <w:rFonts w:ascii="Arial" w:hAnsi="Arial" w:cs="Arial"/>
          <w:sz w:val="22"/>
          <w:szCs w:val="22"/>
        </w:rPr>
        <w:t>Community engagement for COVID-19 prevention and control: rapid evidence synthesis</w:t>
      </w:r>
      <w:r>
        <w:rPr>
          <w:rFonts w:ascii="Arial" w:hAnsi="Arial" w:cs="Arial"/>
          <w:sz w:val="22"/>
          <w:szCs w:val="22"/>
        </w:rPr>
        <w:t>’</w:t>
      </w:r>
      <w:r w:rsidRPr="00943CF9">
        <w:rPr>
          <w:rFonts w:ascii="Arial" w:hAnsi="Arial" w:cs="Arial"/>
          <w:sz w:val="22"/>
          <w:szCs w:val="22"/>
        </w:rPr>
        <w:t xml:space="preserve">. </w:t>
      </w:r>
      <w:r w:rsidRPr="00943CF9">
        <w:rPr>
          <w:rFonts w:ascii="Arial" w:hAnsi="Arial" w:cs="Arial"/>
          <w:i/>
          <w:iCs/>
          <w:sz w:val="22"/>
          <w:szCs w:val="22"/>
        </w:rPr>
        <w:t>BMJ global health</w:t>
      </w:r>
      <w:r w:rsidRPr="00943CF9">
        <w:rPr>
          <w:rFonts w:ascii="Arial" w:hAnsi="Arial" w:cs="Arial"/>
          <w:sz w:val="22"/>
          <w:szCs w:val="22"/>
        </w:rPr>
        <w:t>,</w:t>
      </w:r>
      <w:r>
        <w:rPr>
          <w:rFonts w:ascii="Arial" w:hAnsi="Arial" w:cs="Arial"/>
          <w:sz w:val="22"/>
          <w:szCs w:val="22"/>
        </w:rPr>
        <w:t xml:space="preserve"> </w:t>
      </w:r>
      <w:r w:rsidRPr="00943CF9">
        <w:rPr>
          <w:rFonts w:ascii="Arial" w:hAnsi="Arial" w:cs="Arial"/>
          <w:sz w:val="22"/>
          <w:szCs w:val="22"/>
        </w:rPr>
        <w:t xml:space="preserve">5(10). Available at: </w:t>
      </w:r>
      <w:hyperlink r:id="rId19" w:history="1">
        <w:r w:rsidRPr="005144CA">
          <w:rPr>
            <w:rStyle w:val="Hyperlink"/>
            <w:rFonts w:ascii="Arial" w:hAnsi="Arial" w:cs="Arial"/>
            <w:color w:val="auto"/>
            <w:sz w:val="22"/>
            <w:szCs w:val="22"/>
            <w:u w:val="none"/>
          </w:rPr>
          <w:t>https://pubmed.ncbi.nlm.nih.gov/33051285/</w:t>
        </w:r>
      </w:hyperlink>
      <w:r w:rsidRPr="005144CA">
        <w:rPr>
          <w:rFonts w:ascii="Arial" w:hAnsi="Arial" w:cs="Arial"/>
          <w:sz w:val="22"/>
          <w:szCs w:val="22"/>
        </w:rPr>
        <w:t xml:space="preserve"> (Accessed 2</w:t>
      </w:r>
      <w:r w:rsidRPr="001D47D0">
        <w:rPr>
          <w:rFonts w:ascii="Arial" w:hAnsi="Arial" w:cs="Arial"/>
          <w:sz w:val="22"/>
          <w:szCs w:val="22"/>
          <w:vertAlign w:val="superscript"/>
        </w:rPr>
        <w:t>nd</w:t>
      </w:r>
      <w:r>
        <w:rPr>
          <w:rFonts w:ascii="Arial" w:hAnsi="Arial" w:cs="Arial"/>
          <w:sz w:val="22"/>
          <w:szCs w:val="22"/>
        </w:rPr>
        <w:t xml:space="preserve"> </w:t>
      </w:r>
      <w:r w:rsidRPr="005144CA">
        <w:rPr>
          <w:rFonts w:ascii="Arial" w:hAnsi="Arial" w:cs="Arial"/>
          <w:sz w:val="22"/>
          <w:szCs w:val="22"/>
        </w:rPr>
        <w:t>2023</w:t>
      </w:r>
      <w:r>
        <w:rPr>
          <w:rFonts w:ascii="Arial" w:hAnsi="Arial" w:cs="Arial"/>
          <w:sz w:val="22"/>
          <w:szCs w:val="22"/>
        </w:rPr>
        <w:t>).</w:t>
      </w:r>
    </w:p>
    <w:p w14:paraId="4DC5AAC2" w14:textId="71C0A118" w:rsidR="005E3185" w:rsidRPr="00943CF9" w:rsidRDefault="005E3185" w:rsidP="005E3185">
      <w:pPr>
        <w:pStyle w:val="NormalWeb"/>
        <w:numPr>
          <w:ilvl w:val="0"/>
          <w:numId w:val="4"/>
        </w:numPr>
        <w:spacing w:before="0" w:beforeAutospacing="0" w:after="240" w:afterAutospacing="0" w:line="360" w:lineRule="auto"/>
        <w:jc w:val="both"/>
        <w:rPr>
          <w:rFonts w:ascii="Arial" w:hAnsi="Arial" w:cs="Arial"/>
          <w:sz w:val="22"/>
          <w:szCs w:val="22"/>
        </w:rPr>
      </w:pPr>
      <w:r w:rsidRPr="00943CF9">
        <w:rPr>
          <w:rFonts w:ascii="Arial" w:hAnsi="Arial" w:cs="Arial"/>
          <w:sz w:val="22"/>
          <w:szCs w:val="22"/>
        </w:rPr>
        <w:t xml:space="preserve">Haldane, V., </w:t>
      </w:r>
      <w:proofErr w:type="spellStart"/>
      <w:r w:rsidRPr="00943CF9">
        <w:rPr>
          <w:rFonts w:ascii="Arial" w:hAnsi="Arial" w:cs="Arial"/>
          <w:sz w:val="22"/>
          <w:szCs w:val="22"/>
        </w:rPr>
        <w:t>Chuah</w:t>
      </w:r>
      <w:proofErr w:type="spellEnd"/>
      <w:r w:rsidRPr="00943CF9">
        <w:rPr>
          <w:rFonts w:ascii="Arial" w:hAnsi="Arial" w:cs="Arial"/>
          <w:sz w:val="22"/>
          <w:szCs w:val="22"/>
        </w:rPr>
        <w:t xml:space="preserve">, F.L.H., Srivastava, A., Singh, S.R., Koh, G.C.H., Seng, C.K. and </w:t>
      </w:r>
      <w:proofErr w:type="spellStart"/>
      <w:r w:rsidRPr="00943CF9">
        <w:rPr>
          <w:rFonts w:ascii="Arial" w:hAnsi="Arial" w:cs="Arial"/>
          <w:sz w:val="22"/>
          <w:szCs w:val="22"/>
        </w:rPr>
        <w:t>Legido</w:t>
      </w:r>
      <w:proofErr w:type="spellEnd"/>
      <w:r w:rsidRPr="00943CF9">
        <w:rPr>
          <w:rFonts w:ascii="Arial" w:hAnsi="Arial" w:cs="Arial"/>
          <w:sz w:val="22"/>
          <w:szCs w:val="22"/>
        </w:rPr>
        <w:t xml:space="preserve">-Quigley, H. (2019). </w:t>
      </w:r>
      <w:r>
        <w:rPr>
          <w:rFonts w:ascii="Arial" w:hAnsi="Arial" w:cs="Arial"/>
          <w:sz w:val="22"/>
          <w:szCs w:val="22"/>
        </w:rPr>
        <w:t>‘</w:t>
      </w:r>
      <w:r w:rsidRPr="00943CF9">
        <w:rPr>
          <w:rFonts w:ascii="Arial" w:hAnsi="Arial" w:cs="Arial"/>
          <w:sz w:val="22"/>
          <w:szCs w:val="22"/>
        </w:rPr>
        <w:t>Community participation in health services development, implementation, and evaluation: A systematic review of empowerment, health, community, and process outcomes</w:t>
      </w:r>
      <w:r>
        <w:rPr>
          <w:rFonts w:ascii="Arial" w:hAnsi="Arial" w:cs="Arial"/>
          <w:sz w:val="22"/>
          <w:szCs w:val="22"/>
        </w:rPr>
        <w:t>’.</w:t>
      </w:r>
      <w:r w:rsidRPr="00943CF9">
        <w:rPr>
          <w:rFonts w:ascii="Arial" w:hAnsi="Arial" w:cs="Arial"/>
          <w:sz w:val="22"/>
          <w:szCs w:val="22"/>
        </w:rPr>
        <w:t xml:space="preserve"> </w:t>
      </w:r>
      <w:r w:rsidRPr="00943CF9">
        <w:rPr>
          <w:rFonts w:ascii="Arial" w:hAnsi="Arial" w:cs="Arial"/>
          <w:i/>
          <w:iCs/>
          <w:sz w:val="22"/>
          <w:szCs w:val="22"/>
        </w:rPr>
        <w:t>PLOS ONE</w:t>
      </w:r>
      <w:r w:rsidRPr="00943CF9">
        <w:rPr>
          <w:rFonts w:ascii="Arial" w:hAnsi="Arial" w:cs="Arial"/>
          <w:sz w:val="22"/>
          <w:szCs w:val="22"/>
        </w:rPr>
        <w:t>, 14(5). Available at: https://journals.plos.org/plosone/article?id=10.1371/journal.pone.0216112</w:t>
      </w:r>
      <w:r>
        <w:rPr>
          <w:rFonts w:ascii="Arial" w:hAnsi="Arial" w:cs="Arial"/>
          <w:sz w:val="22"/>
          <w:szCs w:val="22"/>
        </w:rPr>
        <w:t xml:space="preserve"> </w:t>
      </w:r>
      <w:r w:rsidRPr="005144CA">
        <w:rPr>
          <w:rFonts w:ascii="Arial" w:hAnsi="Arial" w:cs="Arial"/>
          <w:sz w:val="22"/>
          <w:szCs w:val="22"/>
        </w:rPr>
        <w:t xml:space="preserve">(Accessed </w:t>
      </w:r>
      <w:r>
        <w:rPr>
          <w:rFonts w:ascii="Arial" w:hAnsi="Arial" w:cs="Arial"/>
          <w:sz w:val="22"/>
          <w:szCs w:val="22"/>
        </w:rPr>
        <w:t>1</w:t>
      </w:r>
      <w:r w:rsidRPr="001D47D0">
        <w:rPr>
          <w:rFonts w:ascii="Arial" w:hAnsi="Arial" w:cs="Arial"/>
          <w:sz w:val="22"/>
          <w:szCs w:val="22"/>
          <w:vertAlign w:val="superscript"/>
        </w:rPr>
        <w:t>st</w:t>
      </w:r>
      <w:r>
        <w:rPr>
          <w:rFonts w:ascii="Arial" w:hAnsi="Arial" w:cs="Arial"/>
          <w:sz w:val="22"/>
          <w:szCs w:val="22"/>
        </w:rPr>
        <w:t xml:space="preserve"> April </w:t>
      </w:r>
      <w:r w:rsidRPr="005144CA">
        <w:rPr>
          <w:rFonts w:ascii="Arial" w:hAnsi="Arial" w:cs="Arial"/>
          <w:sz w:val="22"/>
          <w:szCs w:val="22"/>
        </w:rPr>
        <w:t>2023</w:t>
      </w:r>
      <w:r>
        <w:rPr>
          <w:rFonts w:ascii="Arial" w:hAnsi="Arial" w:cs="Arial"/>
          <w:sz w:val="22"/>
          <w:szCs w:val="22"/>
        </w:rPr>
        <w:t>).</w:t>
      </w:r>
    </w:p>
    <w:p w14:paraId="3334A9E5" w14:textId="77777777" w:rsidR="005E3185" w:rsidRPr="00943CF9" w:rsidRDefault="005E3185" w:rsidP="005E3185">
      <w:pPr>
        <w:pStyle w:val="NormalWeb"/>
        <w:numPr>
          <w:ilvl w:val="0"/>
          <w:numId w:val="4"/>
        </w:numPr>
        <w:spacing w:before="0" w:beforeAutospacing="0" w:after="240" w:afterAutospacing="0" w:line="360" w:lineRule="auto"/>
        <w:jc w:val="both"/>
        <w:rPr>
          <w:rFonts w:ascii="Arial" w:hAnsi="Arial" w:cs="Arial"/>
          <w:sz w:val="22"/>
          <w:szCs w:val="22"/>
        </w:rPr>
      </w:pPr>
      <w:r w:rsidRPr="00943CF9">
        <w:rPr>
          <w:rFonts w:ascii="Arial" w:hAnsi="Arial" w:cs="Arial"/>
          <w:sz w:val="22"/>
          <w:szCs w:val="22"/>
        </w:rPr>
        <w:t xml:space="preserve">Li, C., </w:t>
      </w:r>
      <w:proofErr w:type="spellStart"/>
      <w:r w:rsidRPr="00943CF9">
        <w:rPr>
          <w:rFonts w:ascii="Arial" w:hAnsi="Arial" w:cs="Arial"/>
          <w:sz w:val="22"/>
          <w:szCs w:val="22"/>
        </w:rPr>
        <w:t>Rajgopal</w:t>
      </w:r>
      <w:proofErr w:type="spellEnd"/>
      <w:r w:rsidRPr="00943CF9">
        <w:rPr>
          <w:rFonts w:ascii="Arial" w:hAnsi="Arial" w:cs="Arial"/>
          <w:sz w:val="22"/>
          <w:szCs w:val="22"/>
        </w:rPr>
        <w:t xml:space="preserve">, A., Shah, S. and </w:t>
      </w:r>
      <w:proofErr w:type="spellStart"/>
      <w:r w:rsidRPr="00943CF9">
        <w:rPr>
          <w:rFonts w:ascii="Arial" w:hAnsi="Arial" w:cs="Arial"/>
          <w:sz w:val="22"/>
          <w:szCs w:val="22"/>
        </w:rPr>
        <w:t>Rockson</w:t>
      </w:r>
      <w:proofErr w:type="spellEnd"/>
      <w:r w:rsidRPr="00943CF9">
        <w:rPr>
          <w:rFonts w:ascii="Arial" w:hAnsi="Arial" w:cs="Arial"/>
          <w:sz w:val="22"/>
          <w:szCs w:val="22"/>
        </w:rPr>
        <w:t xml:space="preserve">, A. (2023). </w:t>
      </w:r>
      <w:r w:rsidRPr="00943CF9">
        <w:rPr>
          <w:rFonts w:ascii="Arial" w:hAnsi="Arial" w:cs="Arial"/>
          <w:i/>
          <w:iCs/>
          <w:sz w:val="22"/>
          <w:szCs w:val="22"/>
        </w:rPr>
        <w:t>An analysis of community provision to support the mental health of children and young people (0-25 years) of the African diaspora</w:t>
      </w:r>
      <w:r w:rsidRPr="00943CF9">
        <w:rPr>
          <w:rFonts w:ascii="Arial" w:hAnsi="Arial" w:cs="Arial"/>
          <w:sz w:val="22"/>
          <w:szCs w:val="22"/>
        </w:rPr>
        <w:t xml:space="preserve">. [online] Available at: https://yhff.org.uk/images/downloads/ypfWebsite/An-analysis-of-community-provision-to-support-the-mental-health-of-Children-Young-People-0-25-years-from-the-African-Diaspora.pdf </w:t>
      </w:r>
      <w:r>
        <w:rPr>
          <w:rFonts w:ascii="Arial" w:hAnsi="Arial" w:cs="Arial"/>
          <w:sz w:val="22"/>
          <w:szCs w:val="22"/>
        </w:rPr>
        <w:t>(</w:t>
      </w:r>
      <w:r w:rsidRPr="00943CF9">
        <w:rPr>
          <w:rFonts w:ascii="Arial" w:hAnsi="Arial" w:cs="Arial"/>
          <w:sz w:val="22"/>
          <w:szCs w:val="22"/>
        </w:rPr>
        <w:t xml:space="preserve">Accessed </w:t>
      </w:r>
      <w:r>
        <w:rPr>
          <w:rFonts w:ascii="Arial" w:hAnsi="Arial" w:cs="Arial"/>
          <w:sz w:val="22"/>
          <w:szCs w:val="22"/>
        </w:rPr>
        <w:t>31</w:t>
      </w:r>
      <w:r w:rsidRPr="001D47D0">
        <w:rPr>
          <w:rFonts w:ascii="Arial" w:hAnsi="Arial" w:cs="Arial"/>
          <w:sz w:val="22"/>
          <w:szCs w:val="22"/>
          <w:vertAlign w:val="superscript"/>
        </w:rPr>
        <w:t>st</w:t>
      </w:r>
      <w:r>
        <w:rPr>
          <w:rFonts w:ascii="Arial" w:hAnsi="Arial" w:cs="Arial"/>
          <w:sz w:val="22"/>
          <w:szCs w:val="22"/>
        </w:rPr>
        <w:t xml:space="preserve"> March </w:t>
      </w:r>
      <w:r w:rsidRPr="00943CF9">
        <w:rPr>
          <w:rFonts w:ascii="Arial" w:hAnsi="Arial" w:cs="Arial"/>
          <w:sz w:val="22"/>
          <w:szCs w:val="22"/>
        </w:rPr>
        <w:t>202</w:t>
      </w:r>
      <w:r>
        <w:rPr>
          <w:rFonts w:ascii="Arial" w:hAnsi="Arial" w:cs="Arial"/>
          <w:sz w:val="22"/>
          <w:szCs w:val="22"/>
        </w:rPr>
        <w:t>3)</w:t>
      </w:r>
      <w:r w:rsidRPr="00943CF9">
        <w:rPr>
          <w:rFonts w:ascii="Arial" w:hAnsi="Arial" w:cs="Arial"/>
          <w:sz w:val="22"/>
          <w:szCs w:val="22"/>
        </w:rPr>
        <w:t>.</w:t>
      </w:r>
    </w:p>
    <w:p w14:paraId="066692BB" w14:textId="77777777" w:rsidR="005E3185" w:rsidRPr="00943CF9" w:rsidRDefault="005E3185" w:rsidP="005E3185">
      <w:pPr>
        <w:pStyle w:val="NormalWeb"/>
        <w:numPr>
          <w:ilvl w:val="0"/>
          <w:numId w:val="4"/>
        </w:numPr>
        <w:spacing w:before="0" w:beforeAutospacing="0" w:after="240" w:afterAutospacing="0" w:line="360" w:lineRule="auto"/>
        <w:jc w:val="both"/>
        <w:rPr>
          <w:rFonts w:ascii="Arial" w:hAnsi="Arial" w:cs="Arial"/>
          <w:sz w:val="22"/>
          <w:szCs w:val="22"/>
        </w:rPr>
      </w:pPr>
      <w:r w:rsidRPr="00943CF9">
        <w:rPr>
          <w:rFonts w:ascii="Arial" w:hAnsi="Arial" w:cs="Arial"/>
          <w:sz w:val="22"/>
          <w:szCs w:val="22"/>
        </w:rPr>
        <w:t xml:space="preserve">Lucy, B. (2019). </w:t>
      </w:r>
      <w:r w:rsidRPr="00943CF9">
        <w:rPr>
          <w:rFonts w:ascii="Arial" w:hAnsi="Arial" w:cs="Arial"/>
          <w:i/>
          <w:iCs/>
          <w:sz w:val="22"/>
          <w:szCs w:val="22"/>
        </w:rPr>
        <w:t xml:space="preserve">Hammersmith &amp; </w:t>
      </w:r>
      <w:proofErr w:type="spellStart"/>
      <w:r w:rsidRPr="00943CF9">
        <w:rPr>
          <w:rFonts w:ascii="Arial" w:hAnsi="Arial" w:cs="Arial"/>
          <w:i/>
          <w:iCs/>
          <w:sz w:val="22"/>
          <w:szCs w:val="22"/>
        </w:rPr>
        <w:t>Gulham</w:t>
      </w:r>
      <w:proofErr w:type="spellEnd"/>
      <w:r w:rsidRPr="00943CF9">
        <w:rPr>
          <w:rFonts w:ascii="Arial" w:hAnsi="Arial" w:cs="Arial"/>
          <w:i/>
          <w:iCs/>
          <w:sz w:val="22"/>
          <w:szCs w:val="22"/>
        </w:rPr>
        <w:t xml:space="preserve"> Council Statement of Accounts 2018-19 Audited</w:t>
      </w:r>
      <w:r w:rsidRPr="00943CF9">
        <w:rPr>
          <w:rFonts w:ascii="Arial" w:hAnsi="Arial" w:cs="Arial"/>
          <w:sz w:val="22"/>
          <w:szCs w:val="22"/>
        </w:rPr>
        <w:t xml:space="preserve">. [online] Policycommons.net. Available at: https://policycommons.net/artifacts/2648269/hammersmith-gulham-council-statement-of-accounts-2018-19-audited/3671116/ </w:t>
      </w:r>
      <w:r>
        <w:rPr>
          <w:rFonts w:ascii="Arial" w:hAnsi="Arial" w:cs="Arial"/>
          <w:sz w:val="22"/>
          <w:szCs w:val="22"/>
        </w:rPr>
        <w:t>(</w:t>
      </w:r>
      <w:r w:rsidRPr="00943CF9">
        <w:rPr>
          <w:rFonts w:ascii="Arial" w:hAnsi="Arial" w:cs="Arial"/>
          <w:sz w:val="22"/>
          <w:szCs w:val="22"/>
        </w:rPr>
        <w:t xml:space="preserve">Accessed </w:t>
      </w:r>
      <w:r>
        <w:rPr>
          <w:rFonts w:ascii="Arial" w:hAnsi="Arial" w:cs="Arial"/>
          <w:sz w:val="22"/>
          <w:szCs w:val="22"/>
        </w:rPr>
        <w:t>30</w:t>
      </w:r>
      <w:r w:rsidRPr="001D47D0">
        <w:rPr>
          <w:rFonts w:ascii="Arial" w:hAnsi="Arial" w:cs="Arial"/>
          <w:sz w:val="22"/>
          <w:szCs w:val="22"/>
          <w:vertAlign w:val="superscript"/>
        </w:rPr>
        <w:t>th</w:t>
      </w:r>
      <w:r>
        <w:rPr>
          <w:rFonts w:ascii="Arial" w:hAnsi="Arial" w:cs="Arial"/>
          <w:sz w:val="22"/>
          <w:szCs w:val="22"/>
        </w:rPr>
        <w:t xml:space="preserve"> March </w:t>
      </w:r>
      <w:r w:rsidRPr="00943CF9">
        <w:rPr>
          <w:rFonts w:ascii="Arial" w:hAnsi="Arial" w:cs="Arial"/>
          <w:sz w:val="22"/>
          <w:szCs w:val="22"/>
        </w:rPr>
        <w:t>2023</w:t>
      </w:r>
      <w:r>
        <w:rPr>
          <w:rFonts w:ascii="Arial" w:hAnsi="Arial" w:cs="Arial"/>
          <w:sz w:val="22"/>
          <w:szCs w:val="22"/>
        </w:rPr>
        <w:t>)</w:t>
      </w:r>
      <w:r w:rsidRPr="00943CF9">
        <w:rPr>
          <w:rFonts w:ascii="Arial" w:hAnsi="Arial" w:cs="Arial"/>
          <w:sz w:val="22"/>
          <w:szCs w:val="22"/>
        </w:rPr>
        <w:t>.</w:t>
      </w:r>
    </w:p>
    <w:p w14:paraId="2817CFED" w14:textId="77777777" w:rsidR="005E3185" w:rsidRPr="00943CF9" w:rsidRDefault="005E3185" w:rsidP="005E3185">
      <w:pPr>
        <w:pStyle w:val="NormalWeb"/>
        <w:numPr>
          <w:ilvl w:val="0"/>
          <w:numId w:val="4"/>
        </w:numPr>
        <w:spacing w:before="0" w:beforeAutospacing="0" w:after="240" w:afterAutospacing="0" w:line="360" w:lineRule="auto"/>
        <w:jc w:val="both"/>
        <w:rPr>
          <w:rFonts w:ascii="Arial" w:hAnsi="Arial" w:cs="Arial"/>
          <w:sz w:val="22"/>
          <w:szCs w:val="22"/>
        </w:rPr>
      </w:pPr>
      <w:r w:rsidRPr="00943CF9">
        <w:rPr>
          <w:rFonts w:ascii="Arial" w:hAnsi="Arial" w:cs="Arial"/>
          <w:sz w:val="22"/>
          <w:szCs w:val="22"/>
        </w:rPr>
        <w:t>Marsh, G.</w:t>
      </w:r>
      <w:r>
        <w:rPr>
          <w:rFonts w:ascii="Arial" w:hAnsi="Arial" w:cs="Arial"/>
          <w:sz w:val="22"/>
          <w:szCs w:val="22"/>
        </w:rPr>
        <w:t>,</w:t>
      </w:r>
      <w:r w:rsidRPr="00943CF9">
        <w:rPr>
          <w:rFonts w:ascii="Arial" w:hAnsi="Arial" w:cs="Arial"/>
          <w:sz w:val="22"/>
          <w:szCs w:val="22"/>
        </w:rPr>
        <w:t xml:space="preserve"> </w:t>
      </w:r>
      <w:r>
        <w:rPr>
          <w:rFonts w:ascii="Arial" w:hAnsi="Arial" w:cs="Arial"/>
          <w:sz w:val="22"/>
          <w:szCs w:val="22"/>
        </w:rPr>
        <w:t xml:space="preserve">Ahmed, I., Mulligan, M., Donovan, J. and Barton, S. </w:t>
      </w:r>
      <w:r w:rsidRPr="00943CF9">
        <w:rPr>
          <w:rFonts w:ascii="Arial" w:hAnsi="Arial" w:cs="Arial"/>
          <w:sz w:val="22"/>
          <w:szCs w:val="22"/>
        </w:rPr>
        <w:t xml:space="preserve">(2018). </w:t>
      </w:r>
      <w:r w:rsidRPr="00943CF9">
        <w:rPr>
          <w:rFonts w:ascii="Arial" w:hAnsi="Arial" w:cs="Arial"/>
          <w:i/>
          <w:iCs/>
          <w:sz w:val="22"/>
          <w:szCs w:val="22"/>
        </w:rPr>
        <w:t>Community engagement in post-disaster recovery</w:t>
      </w:r>
      <w:r w:rsidRPr="00943CF9">
        <w:rPr>
          <w:rFonts w:ascii="Arial" w:hAnsi="Arial" w:cs="Arial"/>
          <w:sz w:val="22"/>
          <w:szCs w:val="22"/>
        </w:rPr>
        <w:t>. Abingdon, Oxon</w:t>
      </w:r>
      <w:r>
        <w:rPr>
          <w:rFonts w:ascii="Arial" w:hAnsi="Arial" w:cs="Arial"/>
          <w:sz w:val="22"/>
          <w:szCs w:val="22"/>
        </w:rPr>
        <w:t>:</w:t>
      </w:r>
      <w:r w:rsidRPr="00943CF9">
        <w:rPr>
          <w:rFonts w:ascii="Arial" w:hAnsi="Arial" w:cs="Arial"/>
          <w:sz w:val="22"/>
          <w:szCs w:val="22"/>
        </w:rPr>
        <w:t xml:space="preserve"> Routledge.</w:t>
      </w:r>
      <w:r>
        <w:rPr>
          <w:rFonts w:ascii="Arial" w:hAnsi="Arial" w:cs="Arial"/>
          <w:sz w:val="22"/>
          <w:szCs w:val="22"/>
        </w:rPr>
        <w:t xml:space="preserve"> </w:t>
      </w:r>
    </w:p>
    <w:p w14:paraId="34906F38" w14:textId="77777777" w:rsidR="005E3185" w:rsidRPr="00943CF9" w:rsidRDefault="005E3185" w:rsidP="005E3185">
      <w:pPr>
        <w:pStyle w:val="NormalWeb"/>
        <w:numPr>
          <w:ilvl w:val="0"/>
          <w:numId w:val="4"/>
        </w:numPr>
        <w:spacing w:before="0" w:beforeAutospacing="0" w:after="240" w:afterAutospacing="0" w:line="360" w:lineRule="auto"/>
        <w:jc w:val="both"/>
        <w:rPr>
          <w:rFonts w:ascii="Arial" w:hAnsi="Arial" w:cs="Arial"/>
          <w:sz w:val="22"/>
          <w:szCs w:val="22"/>
        </w:rPr>
      </w:pPr>
      <w:r w:rsidRPr="00943CF9">
        <w:rPr>
          <w:rFonts w:ascii="Arial" w:hAnsi="Arial" w:cs="Arial"/>
          <w:sz w:val="22"/>
          <w:szCs w:val="22"/>
        </w:rPr>
        <w:lastRenderedPageBreak/>
        <w:t xml:space="preserve">Pang, H.Y., </w:t>
      </w:r>
      <w:proofErr w:type="spellStart"/>
      <w:r w:rsidRPr="00943CF9">
        <w:rPr>
          <w:rFonts w:ascii="Arial" w:hAnsi="Arial" w:cs="Arial"/>
          <w:sz w:val="22"/>
          <w:szCs w:val="22"/>
        </w:rPr>
        <w:t>Bakhet</w:t>
      </w:r>
      <w:proofErr w:type="spellEnd"/>
      <w:r w:rsidRPr="00943CF9">
        <w:rPr>
          <w:rFonts w:ascii="Arial" w:hAnsi="Arial" w:cs="Arial"/>
          <w:sz w:val="22"/>
          <w:szCs w:val="22"/>
        </w:rPr>
        <w:t xml:space="preserve">, M., </w:t>
      </w:r>
      <w:proofErr w:type="spellStart"/>
      <w:r w:rsidRPr="00943CF9">
        <w:rPr>
          <w:rFonts w:ascii="Arial" w:hAnsi="Arial" w:cs="Arial"/>
          <w:sz w:val="22"/>
          <w:szCs w:val="22"/>
        </w:rPr>
        <w:t>Gnani</w:t>
      </w:r>
      <w:proofErr w:type="spellEnd"/>
      <w:r w:rsidRPr="00943CF9">
        <w:rPr>
          <w:rFonts w:ascii="Arial" w:hAnsi="Arial" w:cs="Arial"/>
          <w:sz w:val="22"/>
          <w:szCs w:val="22"/>
        </w:rPr>
        <w:t>, S., Majeed, A. and El-</w:t>
      </w:r>
      <w:proofErr w:type="spellStart"/>
      <w:r w:rsidRPr="00943CF9">
        <w:rPr>
          <w:rFonts w:ascii="Arial" w:hAnsi="Arial" w:cs="Arial"/>
          <w:sz w:val="22"/>
          <w:szCs w:val="22"/>
        </w:rPr>
        <w:t>Osta</w:t>
      </w:r>
      <w:proofErr w:type="spellEnd"/>
      <w:r w:rsidRPr="00943CF9">
        <w:rPr>
          <w:rFonts w:ascii="Arial" w:hAnsi="Arial" w:cs="Arial"/>
          <w:sz w:val="22"/>
          <w:szCs w:val="22"/>
        </w:rPr>
        <w:t xml:space="preserve">, A. (2019). </w:t>
      </w:r>
      <w:r w:rsidRPr="00943CF9">
        <w:rPr>
          <w:rFonts w:ascii="Arial" w:hAnsi="Arial" w:cs="Arial"/>
          <w:i/>
          <w:iCs/>
          <w:sz w:val="22"/>
          <w:szCs w:val="22"/>
        </w:rPr>
        <w:t>Leveraging community assets to tackle social isolation and loneliness: a needs assessment of the London Borough of Hammersmith &amp; Fulham</w:t>
      </w:r>
      <w:r w:rsidRPr="00943CF9">
        <w:rPr>
          <w:rFonts w:ascii="Arial" w:hAnsi="Arial" w:cs="Arial"/>
          <w:sz w:val="22"/>
          <w:szCs w:val="22"/>
        </w:rPr>
        <w:t xml:space="preserve">. [online] spiral.imperial.ac.uk. Available at: https://spiral.imperial.ac.uk/handle/10044/1/80602 </w:t>
      </w:r>
      <w:r>
        <w:rPr>
          <w:rFonts w:ascii="Arial" w:hAnsi="Arial" w:cs="Arial"/>
          <w:sz w:val="22"/>
          <w:szCs w:val="22"/>
        </w:rPr>
        <w:t>(</w:t>
      </w:r>
      <w:r w:rsidRPr="00943CF9">
        <w:rPr>
          <w:rFonts w:ascii="Arial" w:hAnsi="Arial" w:cs="Arial"/>
          <w:sz w:val="22"/>
          <w:szCs w:val="22"/>
        </w:rPr>
        <w:t xml:space="preserve">Accessed </w:t>
      </w:r>
      <w:r>
        <w:rPr>
          <w:rFonts w:ascii="Arial" w:hAnsi="Arial" w:cs="Arial"/>
          <w:sz w:val="22"/>
          <w:szCs w:val="22"/>
        </w:rPr>
        <w:t>30</w:t>
      </w:r>
      <w:r w:rsidRPr="001D47D0">
        <w:rPr>
          <w:rFonts w:ascii="Arial" w:hAnsi="Arial" w:cs="Arial"/>
          <w:sz w:val="22"/>
          <w:szCs w:val="22"/>
          <w:vertAlign w:val="superscript"/>
        </w:rPr>
        <w:t>th</w:t>
      </w:r>
      <w:r>
        <w:rPr>
          <w:rFonts w:ascii="Arial" w:hAnsi="Arial" w:cs="Arial"/>
          <w:sz w:val="22"/>
          <w:szCs w:val="22"/>
        </w:rPr>
        <w:t xml:space="preserve"> March </w:t>
      </w:r>
      <w:r w:rsidRPr="00943CF9">
        <w:rPr>
          <w:rFonts w:ascii="Arial" w:hAnsi="Arial" w:cs="Arial"/>
          <w:sz w:val="22"/>
          <w:szCs w:val="22"/>
        </w:rPr>
        <w:t>2023</w:t>
      </w:r>
      <w:r>
        <w:rPr>
          <w:rFonts w:ascii="Arial" w:hAnsi="Arial" w:cs="Arial"/>
          <w:sz w:val="22"/>
          <w:szCs w:val="22"/>
        </w:rPr>
        <w:t>)</w:t>
      </w:r>
      <w:r w:rsidRPr="00943CF9">
        <w:rPr>
          <w:rFonts w:ascii="Arial" w:hAnsi="Arial" w:cs="Arial"/>
          <w:sz w:val="22"/>
          <w:szCs w:val="22"/>
        </w:rPr>
        <w:t>.</w:t>
      </w:r>
    </w:p>
    <w:p w14:paraId="2407930F" w14:textId="77777777" w:rsidR="005E3185" w:rsidRPr="00943CF9" w:rsidRDefault="005E3185" w:rsidP="005E3185">
      <w:pPr>
        <w:pStyle w:val="NormalWeb"/>
        <w:numPr>
          <w:ilvl w:val="0"/>
          <w:numId w:val="4"/>
        </w:numPr>
        <w:spacing w:before="0" w:beforeAutospacing="0" w:after="240" w:afterAutospacing="0" w:line="360" w:lineRule="auto"/>
        <w:jc w:val="both"/>
        <w:rPr>
          <w:rFonts w:ascii="Arial" w:hAnsi="Arial" w:cs="Arial"/>
          <w:sz w:val="22"/>
          <w:szCs w:val="22"/>
        </w:rPr>
      </w:pPr>
      <w:r w:rsidRPr="00943CF9">
        <w:rPr>
          <w:rFonts w:ascii="Arial" w:hAnsi="Arial" w:cs="Arial"/>
          <w:sz w:val="22"/>
          <w:szCs w:val="22"/>
        </w:rPr>
        <w:t xml:space="preserve">Patel, A. (2019). </w:t>
      </w:r>
      <w:r w:rsidRPr="00943CF9">
        <w:rPr>
          <w:rFonts w:ascii="Arial" w:hAnsi="Arial" w:cs="Arial"/>
          <w:i/>
          <w:iCs/>
          <w:sz w:val="22"/>
          <w:szCs w:val="22"/>
        </w:rPr>
        <w:t>Multi-agency analysis of serious youth violence and strategies to reduce offending and reoffending and increase opportunities for young people in Hammersmith and Fulham</w:t>
      </w:r>
      <w:r w:rsidRPr="00943CF9">
        <w:rPr>
          <w:rFonts w:ascii="Arial" w:hAnsi="Arial" w:cs="Arial"/>
          <w:sz w:val="22"/>
          <w:szCs w:val="22"/>
        </w:rPr>
        <w:t xml:space="preserve">. [online] Available at: https://vip.org.uk/wp-content/uploads/2020/07/Project.pdf </w:t>
      </w:r>
      <w:r>
        <w:rPr>
          <w:rFonts w:ascii="Arial" w:hAnsi="Arial" w:cs="Arial"/>
          <w:sz w:val="22"/>
          <w:szCs w:val="22"/>
        </w:rPr>
        <w:t>(</w:t>
      </w:r>
      <w:r w:rsidRPr="00943CF9">
        <w:rPr>
          <w:rFonts w:ascii="Arial" w:hAnsi="Arial" w:cs="Arial"/>
          <w:sz w:val="22"/>
          <w:szCs w:val="22"/>
        </w:rPr>
        <w:t xml:space="preserve">Accessed </w:t>
      </w:r>
      <w:r>
        <w:rPr>
          <w:rFonts w:ascii="Arial" w:hAnsi="Arial" w:cs="Arial"/>
          <w:sz w:val="22"/>
          <w:szCs w:val="22"/>
        </w:rPr>
        <w:t>28</w:t>
      </w:r>
      <w:r w:rsidRPr="001D47D0">
        <w:rPr>
          <w:rFonts w:ascii="Arial" w:hAnsi="Arial" w:cs="Arial"/>
          <w:sz w:val="22"/>
          <w:szCs w:val="22"/>
          <w:vertAlign w:val="superscript"/>
        </w:rPr>
        <w:t>th</w:t>
      </w:r>
      <w:r>
        <w:rPr>
          <w:rFonts w:ascii="Arial" w:hAnsi="Arial" w:cs="Arial"/>
          <w:sz w:val="22"/>
          <w:szCs w:val="22"/>
        </w:rPr>
        <w:t xml:space="preserve"> </w:t>
      </w:r>
      <w:r w:rsidRPr="00943CF9">
        <w:rPr>
          <w:rFonts w:ascii="Arial" w:hAnsi="Arial" w:cs="Arial"/>
          <w:sz w:val="22"/>
          <w:szCs w:val="22"/>
        </w:rPr>
        <w:t>Mar</w:t>
      </w:r>
      <w:r>
        <w:rPr>
          <w:rFonts w:ascii="Arial" w:hAnsi="Arial" w:cs="Arial"/>
          <w:sz w:val="22"/>
          <w:szCs w:val="22"/>
        </w:rPr>
        <w:t>ch</w:t>
      </w:r>
      <w:r w:rsidRPr="00943CF9">
        <w:rPr>
          <w:rFonts w:ascii="Arial" w:hAnsi="Arial" w:cs="Arial"/>
          <w:sz w:val="22"/>
          <w:szCs w:val="22"/>
        </w:rPr>
        <w:t xml:space="preserve"> 2023</w:t>
      </w:r>
      <w:r>
        <w:rPr>
          <w:rFonts w:ascii="Arial" w:hAnsi="Arial" w:cs="Arial"/>
          <w:sz w:val="22"/>
          <w:szCs w:val="22"/>
        </w:rPr>
        <w:t>)</w:t>
      </w:r>
      <w:r w:rsidRPr="00943CF9">
        <w:rPr>
          <w:rFonts w:ascii="Arial" w:hAnsi="Arial" w:cs="Arial"/>
          <w:sz w:val="22"/>
          <w:szCs w:val="22"/>
        </w:rPr>
        <w:t>.</w:t>
      </w:r>
    </w:p>
    <w:p w14:paraId="51A16683" w14:textId="77777777" w:rsidR="005E3185" w:rsidRPr="00943CF9" w:rsidRDefault="005E3185" w:rsidP="005E3185">
      <w:pPr>
        <w:pStyle w:val="NormalWeb"/>
        <w:numPr>
          <w:ilvl w:val="0"/>
          <w:numId w:val="4"/>
        </w:numPr>
        <w:spacing w:before="0" w:beforeAutospacing="0" w:after="240" w:afterAutospacing="0" w:line="360" w:lineRule="auto"/>
        <w:jc w:val="both"/>
        <w:rPr>
          <w:rFonts w:ascii="Arial" w:hAnsi="Arial" w:cs="Arial"/>
          <w:sz w:val="22"/>
          <w:szCs w:val="22"/>
        </w:rPr>
      </w:pPr>
      <w:r w:rsidRPr="00943CF9">
        <w:rPr>
          <w:rFonts w:ascii="Arial" w:hAnsi="Arial" w:cs="Arial"/>
          <w:sz w:val="22"/>
          <w:szCs w:val="22"/>
        </w:rPr>
        <w:t xml:space="preserve">Redman, D. (2022). </w:t>
      </w:r>
      <w:r w:rsidRPr="00943CF9">
        <w:rPr>
          <w:rFonts w:ascii="Arial" w:hAnsi="Arial" w:cs="Arial"/>
          <w:i/>
          <w:iCs/>
          <w:sz w:val="22"/>
          <w:szCs w:val="22"/>
        </w:rPr>
        <w:t>Hammersmith and Fulham: Prosperity score 54.6 (126th)</w:t>
      </w:r>
      <w:r w:rsidRPr="00943CF9">
        <w:rPr>
          <w:rFonts w:ascii="Arial" w:hAnsi="Arial" w:cs="Arial"/>
          <w:sz w:val="22"/>
          <w:szCs w:val="22"/>
        </w:rPr>
        <w:t xml:space="preserve">. [online] Policycommons.net. Available at: https://policycommons.net/artifacts/3134408/hammersmith-and-fulham/3927641/ </w:t>
      </w:r>
      <w:r>
        <w:rPr>
          <w:rFonts w:ascii="Arial" w:hAnsi="Arial" w:cs="Arial"/>
          <w:sz w:val="22"/>
          <w:szCs w:val="22"/>
        </w:rPr>
        <w:t>(</w:t>
      </w:r>
      <w:r w:rsidRPr="00943CF9">
        <w:rPr>
          <w:rFonts w:ascii="Arial" w:hAnsi="Arial" w:cs="Arial"/>
          <w:sz w:val="22"/>
          <w:szCs w:val="22"/>
        </w:rPr>
        <w:t xml:space="preserve">Accessed </w:t>
      </w:r>
      <w:r>
        <w:rPr>
          <w:rFonts w:ascii="Arial" w:hAnsi="Arial" w:cs="Arial"/>
          <w:sz w:val="22"/>
          <w:szCs w:val="22"/>
        </w:rPr>
        <w:t>29</w:t>
      </w:r>
      <w:r w:rsidRPr="001D47D0">
        <w:rPr>
          <w:rFonts w:ascii="Arial" w:hAnsi="Arial" w:cs="Arial"/>
          <w:sz w:val="22"/>
          <w:szCs w:val="22"/>
          <w:vertAlign w:val="superscript"/>
        </w:rPr>
        <w:t>th</w:t>
      </w:r>
      <w:r>
        <w:rPr>
          <w:rFonts w:ascii="Arial" w:hAnsi="Arial" w:cs="Arial"/>
          <w:sz w:val="22"/>
          <w:szCs w:val="22"/>
        </w:rPr>
        <w:t xml:space="preserve"> </w:t>
      </w:r>
      <w:r w:rsidRPr="00943CF9">
        <w:rPr>
          <w:rFonts w:ascii="Arial" w:hAnsi="Arial" w:cs="Arial"/>
          <w:sz w:val="22"/>
          <w:szCs w:val="22"/>
        </w:rPr>
        <w:t>Mar</w:t>
      </w:r>
      <w:r>
        <w:rPr>
          <w:rFonts w:ascii="Arial" w:hAnsi="Arial" w:cs="Arial"/>
          <w:sz w:val="22"/>
          <w:szCs w:val="22"/>
        </w:rPr>
        <w:t>ch</w:t>
      </w:r>
      <w:r w:rsidRPr="00943CF9">
        <w:rPr>
          <w:rFonts w:ascii="Arial" w:hAnsi="Arial" w:cs="Arial"/>
          <w:sz w:val="22"/>
          <w:szCs w:val="22"/>
        </w:rPr>
        <w:t xml:space="preserve"> 2023</w:t>
      </w:r>
      <w:r>
        <w:rPr>
          <w:rFonts w:ascii="Arial" w:hAnsi="Arial" w:cs="Arial"/>
          <w:sz w:val="22"/>
          <w:szCs w:val="22"/>
        </w:rPr>
        <w:t>)</w:t>
      </w:r>
      <w:r w:rsidRPr="00943CF9">
        <w:rPr>
          <w:rFonts w:ascii="Arial" w:hAnsi="Arial" w:cs="Arial"/>
          <w:sz w:val="22"/>
          <w:szCs w:val="22"/>
        </w:rPr>
        <w:t>.</w:t>
      </w:r>
    </w:p>
    <w:p w14:paraId="5676C7C6" w14:textId="25DAC801" w:rsidR="007D309B" w:rsidRDefault="007D309B" w:rsidP="0085126C">
      <w:pPr>
        <w:spacing w:line="360" w:lineRule="auto"/>
        <w:jc w:val="center"/>
        <w:rPr>
          <w:rFonts w:ascii="Arial" w:hAnsi="Arial" w:cs="Arial"/>
          <w:b/>
          <w:bCs/>
          <w:u w:val="single"/>
        </w:rPr>
      </w:pPr>
    </w:p>
    <w:p w14:paraId="5537965E" w14:textId="50908357" w:rsidR="007D309B" w:rsidRDefault="007D309B" w:rsidP="0085126C">
      <w:pPr>
        <w:spacing w:line="360" w:lineRule="auto"/>
        <w:jc w:val="center"/>
        <w:rPr>
          <w:rFonts w:ascii="Arial" w:hAnsi="Arial" w:cs="Arial"/>
          <w:b/>
          <w:bCs/>
          <w:u w:val="single"/>
        </w:rPr>
      </w:pPr>
    </w:p>
    <w:p w14:paraId="530B8FB9" w14:textId="7D95945B" w:rsidR="007D309B" w:rsidRDefault="007D309B" w:rsidP="0085126C">
      <w:pPr>
        <w:spacing w:line="360" w:lineRule="auto"/>
        <w:jc w:val="center"/>
        <w:rPr>
          <w:rFonts w:ascii="Arial" w:hAnsi="Arial" w:cs="Arial"/>
          <w:b/>
          <w:bCs/>
          <w:u w:val="single"/>
        </w:rPr>
      </w:pPr>
    </w:p>
    <w:p w14:paraId="6E695354" w14:textId="77777777" w:rsidR="007D309B" w:rsidRPr="0085126C" w:rsidRDefault="007D309B" w:rsidP="0085126C">
      <w:pPr>
        <w:spacing w:line="360" w:lineRule="auto"/>
        <w:jc w:val="center"/>
        <w:rPr>
          <w:rFonts w:ascii="Arial" w:hAnsi="Arial" w:cs="Arial"/>
          <w:b/>
          <w:bCs/>
          <w:u w:val="single"/>
        </w:rPr>
      </w:pPr>
    </w:p>
    <w:sectPr w:rsidR="007D309B" w:rsidRPr="0085126C">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E3C12" w14:textId="77777777" w:rsidR="00A570A2" w:rsidRDefault="00A570A2" w:rsidP="00F9203D">
      <w:pPr>
        <w:spacing w:after="0" w:line="240" w:lineRule="auto"/>
      </w:pPr>
      <w:r>
        <w:separator/>
      </w:r>
    </w:p>
  </w:endnote>
  <w:endnote w:type="continuationSeparator" w:id="0">
    <w:p w14:paraId="382A14B9" w14:textId="77777777" w:rsidR="00A570A2" w:rsidRDefault="00A570A2" w:rsidP="00F92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4DCAC" w14:textId="77777777" w:rsidR="00F9203D" w:rsidRDefault="00F920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7352280"/>
      <w:docPartObj>
        <w:docPartGallery w:val="Page Numbers (Bottom of Page)"/>
        <w:docPartUnique/>
      </w:docPartObj>
    </w:sdtPr>
    <w:sdtEndPr>
      <w:rPr>
        <w:noProof/>
      </w:rPr>
    </w:sdtEndPr>
    <w:sdtContent>
      <w:p w14:paraId="12B74C54" w14:textId="4DC32F95" w:rsidR="00F9203D" w:rsidRDefault="00F920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DA8BA9" w14:textId="77777777" w:rsidR="00F9203D" w:rsidRDefault="00F920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0E65C" w14:textId="77777777" w:rsidR="00F9203D" w:rsidRDefault="00F92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DFEE0" w14:textId="77777777" w:rsidR="00A570A2" w:rsidRDefault="00A570A2" w:rsidP="00F9203D">
      <w:pPr>
        <w:spacing w:after="0" w:line="240" w:lineRule="auto"/>
      </w:pPr>
      <w:r>
        <w:separator/>
      </w:r>
    </w:p>
  </w:footnote>
  <w:footnote w:type="continuationSeparator" w:id="0">
    <w:p w14:paraId="41FED0C1" w14:textId="77777777" w:rsidR="00A570A2" w:rsidRDefault="00A570A2" w:rsidP="00F920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59529" w14:textId="77777777" w:rsidR="00F9203D" w:rsidRDefault="00F920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84D97" w14:textId="77777777" w:rsidR="00F9203D" w:rsidRDefault="00F920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E4B87" w14:textId="77777777" w:rsidR="00F9203D" w:rsidRDefault="00F920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2472F"/>
    <w:multiLevelType w:val="hybridMultilevel"/>
    <w:tmpl w:val="84367944"/>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40681A94"/>
    <w:multiLevelType w:val="hybridMultilevel"/>
    <w:tmpl w:val="245895F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82576DA"/>
    <w:multiLevelType w:val="hybridMultilevel"/>
    <w:tmpl w:val="FCBC5AAE"/>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7D226096"/>
    <w:multiLevelType w:val="hybridMultilevel"/>
    <w:tmpl w:val="2C26FD2A"/>
    <w:lvl w:ilvl="0" w:tplc="04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558320074">
    <w:abstractNumId w:val="0"/>
  </w:num>
  <w:num w:numId="2" w16cid:durableId="509220566">
    <w:abstractNumId w:val="3"/>
  </w:num>
  <w:num w:numId="3" w16cid:durableId="307321566">
    <w:abstractNumId w:val="2"/>
  </w:num>
  <w:num w:numId="4" w16cid:durableId="17747453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26C"/>
    <w:rsid w:val="00094E43"/>
    <w:rsid w:val="000D660F"/>
    <w:rsid w:val="000E4D6B"/>
    <w:rsid w:val="00120CF8"/>
    <w:rsid w:val="001619B1"/>
    <w:rsid w:val="00200B4D"/>
    <w:rsid w:val="00274905"/>
    <w:rsid w:val="00296D81"/>
    <w:rsid w:val="00385F78"/>
    <w:rsid w:val="003D2436"/>
    <w:rsid w:val="004D100C"/>
    <w:rsid w:val="004E3506"/>
    <w:rsid w:val="00532396"/>
    <w:rsid w:val="005466D6"/>
    <w:rsid w:val="005E3185"/>
    <w:rsid w:val="006A4D74"/>
    <w:rsid w:val="006A6A56"/>
    <w:rsid w:val="006B4FED"/>
    <w:rsid w:val="00703A7A"/>
    <w:rsid w:val="00784C60"/>
    <w:rsid w:val="007D309B"/>
    <w:rsid w:val="008322A5"/>
    <w:rsid w:val="0085126C"/>
    <w:rsid w:val="00866878"/>
    <w:rsid w:val="00937C09"/>
    <w:rsid w:val="00964E80"/>
    <w:rsid w:val="00A570A2"/>
    <w:rsid w:val="00A622A2"/>
    <w:rsid w:val="00BF418A"/>
    <w:rsid w:val="00CE780B"/>
    <w:rsid w:val="00CF03EE"/>
    <w:rsid w:val="00E1131D"/>
    <w:rsid w:val="00EC1915"/>
    <w:rsid w:val="00F13131"/>
    <w:rsid w:val="00F9203D"/>
    <w:rsid w:val="00FE7A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27D6B"/>
  <w15:chartTrackingRefBased/>
  <w15:docId w15:val="{426567EA-892D-4320-A6F7-1C318880A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26C"/>
  </w:style>
  <w:style w:type="paragraph" w:styleId="Heading1">
    <w:name w:val="heading 1"/>
    <w:basedOn w:val="Normal"/>
    <w:next w:val="Normal"/>
    <w:link w:val="Heading1Char"/>
    <w:uiPriority w:val="9"/>
    <w:qFormat/>
    <w:rsid w:val="008512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126C"/>
    <w:pPr>
      <w:keepNext/>
      <w:keepLines/>
      <w:widowControl w:val="0"/>
      <w:autoSpaceDE w:val="0"/>
      <w:autoSpaceDN w:val="0"/>
      <w:spacing w:before="40" w:after="0" w:line="360" w:lineRule="auto"/>
      <w:jc w:val="both"/>
      <w:outlineLvl w:val="1"/>
    </w:pPr>
    <w:rPr>
      <w:rFonts w:ascii="Times New Roman" w:eastAsiaTheme="majorEastAsia" w:hAnsi="Times New Roman" w:cstheme="majorBidi"/>
      <w:b/>
      <w:sz w:val="28"/>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5126C"/>
    <w:rPr>
      <w:rFonts w:ascii="Times New Roman" w:eastAsiaTheme="majorEastAsia" w:hAnsi="Times New Roman" w:cstheme="majorBidi"/>
      <w:b/>
      <w:sz w:val="28"/>
      <w:szCs w:val="26"/>
      <w:lang w:val="en-GB"/>
    </w:rPr>
  </w:style>
  <w:style w:type="character" w:customStyle="1" w:styleId="Heading1Char">
    <w:name w:val="Heading 1 Char"/>
    <w:basedOn w:val="DefaultParagraphFont"/>
    <w:link w:val="Heading1"/>
    <w:uiPriority w:val="9"/>
    <w:rsid w:val="008512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126C"/>
    <w:pPr>
      <w:outlineLvl w:val="9"/>
    </w:pPr>
  </w:style>
  <w:style w:type="paragraph" w:styleId="TOC1">
    <w:name w:val="toc 1"/>
    <w:basedOn w:val="Normal"/>
    <w:next w:val="Normal"/>
    <w:autoRedefine/>
    <w:uiPriority w:val="39"/>
    <w:unhideWhenUsed/>
    <w:rsid w:val="0085126C"/>
    <w:pPr>
      <w:spacing w:after="100" w:line="276" w:lineRule="auto"/>
      <w:jc w:val="both"/>
    </w:pPr>
    <w:rPr>
      <w:rFonts w:ascii="Times New Roman" w:hAnsi="Times New Roman"/>
      <w:sz w:val="24"/>
    </w:rPr>
  </w:style>
  <w:style w:type="paragraph" w:styleId="TOC2">
    <w:name w:val="toc 2"/>
    <w:basedOn w:val="Normal"/>
    <w:next w:val="Normal"/>
    <w:autoRedefine/>
    <w:uiPriority w:val="39"/>
    <w:unhideWhenUsed/>
    <w:rsid w:val="0085126C"/>
    <w:pPr>
      <w:spacing w:after="100" w:line="276" w:lineRule="auto"/>
      <w:ind w:left="240"/>
      <w:jc w:val="both"/>
    </w:pPr>
    <w:rPr>
      <w:rFonts w:ascii="Times New Roman" w:hAnsi="Times New Roman"/>
      <w:sz w:val="24"/>
    </w:rPr>
  </w:style>
  <w:style w:type="character" w:styleId="Hyperlink">
    <w:name w:val="Hyperlink"/>
    <w:basedOn w:val="DefaultParagraphFont"/>
    <w:uiPriority w:val="99"/>
    <w:unhideWhenUsed/>
    <w:rsid w:val="0085126C"/>
    <w:rPr>
      <w:color w:val="0563C1" w:themeColor="hyperlink"/>
      <w:u w:val="single"/>
    </w:rPr>
  </w:style>
  <w:style w:type="paragraph" w:styleId="ListParagraph">
    <w:name w:val="List Paragraph"/>
    <w:basedOn w:val="Normal"/>
    <w:uiPriority w:val="34"/>
    <w:qFormat/>
    <w:rsid w:val="007D309B"/>
    <w:pPr>
      <w:widowControl w:val="0"/>
      <w:autoSpaceDE w:val="0"/>
      <w:autoSpaceDN w:val="0"/>
      <w:spacing w:after="0" w:line="360" w:lineRule="auto"/>
      <w:ind w:left="720"/>
      <w:contextualSpacing/>
      <w:jc w:val="both"/>
    </w:pPr>
    <w:rPr>
      <w:rFonts w:ascii="Times New Roman" w:eastAsia="Times New Roman" w:hAnsi="Times New Roman" w:cs="Times New Roman"/>
      <w:sz w:val="24"/>
      <w:lang w:val="en-GB"/>
    </w:rPr>
  </w:style>
  <w:style w:type="paragraph" w:styleId="Header">
    <w:name w:val="header"/>
    <w:basedOn w:val="Normal"/>
    <w:link w:val="HeaderChar"/>
    <w:uiPriority w:val="99"/>
    <w:unhideWhenUsed/>
    <w:rsid w:val="00F9203D"/>
    <w:pPr>
      <w:tabs>
        <w:tab w:val="center" w:pos="4703"/>
        <w:tab w:val="right" w:pos="9406"/>
      </w:tabs>
      <w:spacing w:after="0" w:line="240" w:lineRule="auto"/>
    </w:pPr>
  </w:style>
  <w:style w:type="character" w:customStyle="1" w:styleId="HeaderChar">
    <w:name w:val="Header Char"/>
    <w:basedOn w:val="DefaultParagraphFont"/>
    <w:link w:val="Header"/>
    <w:uiPriority w:val="99"/>
    <w:rsid w:val="00F9203D"/>
  </w:style>
  <w:style w:type="paragraph" w:styleId="Footer">
    <w:name w:val="footer"/>
    <w:basedOn w:val="Normal"/>
    <w:link w:val="FooterChar"/>
    <w:uiPriority w:val="99"/>
    <w:unhideWhenUsed/>
    <w:rsid w:val="00F9203D"/>
    <w:pPr>
      <w:tabs>
        <w:tab w:val="center" w:pos="4703"/>
        <w:tab w:val="right" w:pos="9406"/>
      </w:tabs>
      <w:spacing w:after="0" w:line="240" w:lineRule="auto"/>
    </w:pPr>
  </w:style>
  <w:style w:type="character" w:customStyle="1" w:styleId="FooterChar">
    <w:name w:val="Footer Char"/>
    <w:basedOn w:val="DefaultParagraphFont"/>
    <w:link w:val="Footer"/>
    <w:uiPriority w:val="99"/>
    <w:rsid w:val="00F9203D"/>
  </w:style>
  <w:style w:type="paragraph" w:styleId="NormalWeb">
    <w:name w:val="Normal (Web)"/>
    <w:basedOn w:val="Normal"/>
    <w:uiPriority w:val="99"/>
    <w:semiHidden/>
    <w:unhideWhenUsed/>
    <w:rsid w:val="005E318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jpe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footer" Target="footer2.xml"/><Relationship Id="rId10" Type="http://schemas.openxmlformats.org/officeDocument/2006/relationships/diagramQuickStyle" Target="diagrams/quickStyle1.xml"/><Relationship Id="rId19" Type="http://schemas.openxmlformats.org/officeDocument/2006/relationships/hyperlink" Target="https://pubmed.ncbi.nlm.nih.gov/33051285/"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oter" Target="footer1.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12795BF-AB91-46D4-83A9-3CEC3B8C1E54}" type="doc">
      <dgm:prSet loTypeId="urn:microsoft.com/office/officeart/2005/8/layout/list1" loCatId="list" qsTypeId="urn:microsoft.com/office/officeart/2005/8/quickstyle/simple1" qsCatId="simple" csTypeId="urn:microsoft.com/office/officeart/2005/8/colors/colorful5" csCatId="colorful" phldr="1"/>
      <dgm:spPr/>
      <dgm:t>
        <a:bodyPr/>
        <a:lstStyle/>
        <a:p>
          <a:endParaRPr lang="en-GB"/>
        </a:p>
      </dgm:t>
    </dgm:pt>
    <dgm:pt modelId="{44593AEB-F837-45BF-86BE-3E25113F46F1}">
      <dgm:prSet phldrT="[Text]" custT="1"/>
      <dgm:spPr/>
      <dgm:t>
        <a:bodyPr/>
        <a:lstStyle/>
        <a:p>
          <a:r>
            <a:rPr lang="en-GB" sz="1400" b="1">
              <a:latin typeface="Times New Roman" panose="02020603050405020304" pitchFamily="18" charset="0"/>
              <a:cs typeface="Times New Roman" panose="02020603050405020304" pitchFamily="18" charset="0"/>
            </a:rPr>
            <a:t>Lack of decent and affordable housing</a:t>
          </a:r>
        </a:p>
      </dgm:t>
    </dgm:pt>
    <dgm:pt modelId="{09A28BCF-142E-4CFD-AACD-B58BB1C47FCE}" type="parTrans" cxnId="{53806DC0-8CAA-440C-90ED-622F806A2622}">
      <dgm:prSet/>
      <dgm:spPr/>
      <dgm:t>
        <a:bodyPr/>
        <a:lstStyle/>
        <a:p>
          <a:endParaRPr lang="en-GB"/>
        </a:p>
      </dgm:t>
    </dgm:pt>
    <dgm:pt modelId="{CDCBEF67-39C0-4DD1-8BFA-3305E19F8996}" type="sibTrans" cxnId="{53806DC0-8CAA-440C-90ED-622F806A2622}">
      <dgm:prSet/>
      <dgm:spPr/>
      <dgm:t>
        <a:bodyPr/>
        <a:lstStyle/>
        <a:p>
          <a:endParaRPr lang="en-GB"/>
        </a:p>
      </dgm:t>
    </dgm:pt>
    <dgm:pt modelId="{629F134C-1F78-47C3-B365-7E9E07CFB199}">
      <dgm:prSet phldrT="[Text]" custT="1"/>
      <dgm:spPr/>
      <dgm:t>
        <a:bodyPr/>
        <a:lstStyle/>
        <a:p>
          <a:r>
            <a:rPr lang="en-GB" sz="1400" b="1">
              <a:latin typeface="Times New Roman" panose="02020603050405020304" pitchFamily="18" charset="0"/>
              <a:cs typeface="Times New Roman" panose="02020603050405020304" pitchFamily="18" charset="0"/>
            </a:rPr>
            <a:t>Education</a:t>
          </a:r>
        </a:p>
      </dgm:t>
    </dgm:pt>
    <dgm:pt modelId="{0D1C2610-E0F7-4D4C-A1D3-3440545D4DA5}" type="parTrans" cxnId="{6D3E302F-1FB6-421C-B288-6A24C06BCB9F}">
      <dgm:prSet/>
      <dgm:spPr/>
      <dgm:t>
        <a:bodyPr/>
        <a:lstStyle/>
        <a:p>
          <a:endParaRPr lang="en-GB"/>
        </a:p>
      </dgm:t>
    </dgm:pt>
    <dgm:pt modelId="{A5A4BBE3-8F42-4C61-A708-4887D1A5B468}" type="sibTrans" cxnId="{6D3E302F-1FB6-421C-B288-6A24C06BCB9F}">
      <dgm:prSet/>
      <dgm:spPr/>
      <dgm:t>
        <a:bodyPr/>
        <a:lstStyle/>
        <a:p>
          <a:endParaRPr lang="en-GB"/>
        </a:p>
      </dgm:t>
    </dgm:pt>
    <dgm:pt modelId="{1AACE037-E1AE-471D-A69A-3BC1659FD546}">
      <dgm:prSet phldrT="[Text]" custT="1"/>
      <dgm:spPr/>
      <dgm:t>
        <a:bodyPr/>
        <a:lstStyle/>
        <a:p>
          <a:r>
            <a:rPr lang="en-GB" sz="1400" b="1">
              <a:latin typeface="Times New Roman" panose="02020603050405020304" pitchFamily="18" charset="0"/>
              <a:cs typeface="Times New Roman" panose="02020603050405020304" pitchFamily="18" charset="0"/>
            </a:rPr>
            <a:t>Percentage of unemployment</a:t>
          </a:r>
        </a:p>
      </dgm:t>
    </dgm:pt>
    <dgm:pt modelId="{38551151-3B33-4597-9A22-C3FE8FFC3DF7}" type="parTrans" cxnId="{EE07390E-8E3C-4040-89A7-1DD2805617A3}">
      <dgm:prSet/>
      <dgm:spPr/>
      <dgm:t>
        <a:bodyPr/>
        <a:lstStyle/>
        <a:p>
          <a:endParaRPr lang="en-GB"/>
        </a:p>
      </dgm:t>
    </dgm:pt>
    <dgm:pt modelId="{7C0232DF-2EFC-45C8-924B-8BDAD4CA89A2}" type="sibTrans" cxnId="{EE07390E-8E3C-4040-89A7-1DD2805617A3}">
      <dgm:prSet/>
      <dgm:spPr/>
      <dgm:t>
        <a:bodyPr/>
        <a:lstStyle/>
        <a:p>
          <a:endParaRPr lang="en-GB"/>
        </a:p>
      </dgm:t>
    </dgm:pt>
    <dgm:pt modelId="{D43F677E-9A0A-4C74-859E-E8E2AB55AC14}">
      <dgm:prSet custT="1"/>
      <dgm:spPr/>
      <dgm:t>
        <a:bodyPr/>
        <a:lstStyle/>
        <a:p>
          <a:r>
            <a:rPr lang="en-GB" sz="1400" b="1">
              <a:latin typeface="Times New Roman" panose="02020603050405020304" pitchFamily="18" charset="0"/>
              <a:cs typeface="Times New Roman" panose="02020603050405020304" pitchFamily="18" charset="0"/>
            </a:rPr>
            <a:t>Poverty </a:t>
          </a:r>
        </a:p>
      </dgm:t>
    </dgm:pt>
    <dgm:pt modelId="{9C3C49F6-8832-4DE8-86AC-1C8003A806F3}" type="parTrans" cxnId="{0E1BE3F0-AB3F-4565-B146-25AA3C6612CF}">
      <dgm:prSet/>
      <dgm:spPr/>
      <dgm:t>
        <a:bodyPr/>
        <a:lstStyle/>
        <a:p>
          <a:endParaRPr lang="en-GB"/>
        </a:p>
      </dgm:t>
    </dgm:pt>
    <dgm:pt modelId="{B20442F7-3794-4379-A391-764F8D79D11F}" type="sibTrans" cxnId="{0E1BE3F0-AB3F-4565-B146-25AA3C6612CF}">
      <dgm:prSet/>
      <dgm:spPr/>
      <dgm:t>
        <a:bodyPr/>
        <a:lstStyle/>
        <a:p>
          <a:endParaRPr lang="en-GB"/>
        </a:p>
      </dgm:t>
    </dgm:pt>
    <dgm:pt modelId="{60DCD4E4-F3A9-4E1C-A535-FD0B286BC142}">
      <dgm:prSet custT="1"/>
      <dgm:spPr/>
      <dgm:t>
        <a:bodyPr/>
        <a:lstStyle/>
        <a:p>
          <a:r>
            <a:rPr lang="en-GB" sz="1400" b="1">
              <a:latin typeface="Times New Roman" panose="02020603050405020304" pitchFamily="18" charset="0"/>
              <a:cs typeface="Times New Roman" panose="02020603050405020304" pitchFamily="18" charset="0"/>
            </a:rPr>
            <a:t>Crime</a:t>
          </a:r>
        </a:p>
      </dgm:t>
    </dgm:pt>
    <dgm:pt modelId="{37FE62C5-F611-46EE-A25F-FBC6BAF9199F}" type="parTrans" cxnId="{FAEEDF86-ECE3-4B09-AA42-5608FD864126}">
      <dgm:prSet/>
      <dgm:spPr/>
      <dgm:t>
        <a:bodyPr/>
        <a:lstStyle/>
        <a:p>
          <a:endParaRPr lang="en-GB"/>
        </a:p>
      </dgm:t>
    </dgm:pt>
    <dgm:pt modelId="{C863DD89-D275-445C-9209-60057F219E43}" type="sibTrans" cxnId="{FAEEDF86-ECE3-4B09-AA42-5608FD864126}">
      <dgm:prSet/>
      <dgm:spPr/>
      <dgm:t>
        <a:bodyPr/>
        <a:lstStyle/>
        <a:p>
          <a:endParaRPr lang="en-GB"/>
        </a:p>
      </dgm:t>
    </dgm:pt>
    <dgm:pt modelId="{449383D4-3E76-49B5-BF42-18D9B77E518B}">
      <dgm:prSet custT="1"/>
      <dgm:spPr/>
      <dgm:t>
        <a:bodyPr/>
        <a:lstStyle/>
        <a:p>
          <a:r>
            <a:rPr lang="en-GB" sz="1400" b="1">
              <a:latin typeface="Times New Roman" panose="02020603050405020304" pitchFamily="18" charset="0"/>
              <a:cs typeface="Times New Roman" panose="02020603050405020304" pitchFamily="18" charset="0"/>
            </a:rPr>
            <a:t>Poor health results</a:t>
          </a:r>
        </a:p>
      </dgm:t>
    </dgm:pt>
    <dgm:pt modelId="{A6501F5C-57FB-4219-B8F5-AB2A1D7A3E9C}" type="parTrans" cxnId="{1C1D5100-7DE8-49B4-A1F8-4007233F7D5A}">
      <dgm:prSet/>
      <dgm:spPr/>
      <dgm:t>
        <a:bodyPr/>
        <a:lstStyle/>
        <a:p>
          <a:endParaRPr lang="en-GB"/>
        </a:p>
      </dgm:t>
    </dgm:pt>
    <dgm:pt modelId="{69CE0375-5B4B-4D8B-B8C0-66AE29094138}" type="sibTrans" cxnId="{1C1D5100-7DE8-49B4-A1F8-4007233F7D5A}">
      <dgm:prSet/>
      <dgm:spPr/>
      <dgm:t>
        <a:bodyPr/>
        <a:lstStyle/>
        <a:p>
          <a:endParaRPr lang="en-GB"/>
        </a:p>
      </dgm:t>
    </dgm:pt>
    <dgm:pt modelId="{766B3544-851F-494B-BE32-01412A152645}" type="pres">
      <dgm:prSet presAssocID="{612795BF-AB91-46D4-83A9-3CEC3B8C1E54}" presName="linear" presStyleCnt="0">
        <dgm:presLayoutVars>
          <dgm:dir/>
          <dgm:animLvl val="lvl"/>
          <dgm:resizeHandles val="exact"/>
        </dgm:presLayoutVars>
      </dgm:prSet>
      <dgm:spPr/>
    </dgm:pt>
    <dgm:pt modelId="{DFCBC8CF-B9EE-4F99-8A46-138F5C436275}" type="pres">
      <dgm:prSet presAssocID="{44593AEB-F837-45BF-86BE-3E25113F46F1}" presName="parentLin" presStyleCnt="0"/>
      <dgm:spPr/>
    </dgm:pt>
    <dgm:pt modelId="{4C54E5CE-86FC-4B52-A0C9-30C364284E32}" type="pres">
      <dgm:prSet presAssocID="{44593AEB-F837-45BF-86BE-3E25113F46F1}" presName="parentLeftMargin" presStyleLbl="node1" presStyleIdx="0" presStyleCnt="6"/>
      <dgm:spPr/>
    </dgm:pt>
    <dgm:pt modelId="{74A2145C-C4AD-407E-AADB-43641897B242}" type="pres">
      <dgm:prSet presAssocID="{44593AEB-F837-45BF-86BE-3E25113F46F1}" presName="parentText" presStyleLbl="node1" presStyleIdx="0" presStyleCnt="6">
        <dgm:presLayoutVars>
          <dgm:chMax val="0"/>
          <dgm:bulletEnabled val="1"/>
        </dgm:presLayoutVars>
      </dgm:prSet>
      <dgm:spPr/>
    </dgm:pt>
    <dgm:pt modelId="{966AAC87-CD6B-4B02-9C17-44459F4393C1}" type="pres">
      <dgm:prSet presAssocID="{44593AEB-F837-45BF-86BE-3E25113F46F1}" presName="negativeSpace" presStyleCnt="0"/>
      <dgm:spPr/>
    </dgm:pt>
    <dgm:pt modelId="{FD6BBA8C-69A0-4467-BCA9-AF3E31EFA772}" type="pres">
      <dgm:prSet presAssocID="{44593AEB-F837-45BF-86BE-3E25113F46F1}" presName="childText" presStyleLbl="conFgAcc1" presStyleIdx="0" presStyleCnt="6">
        <dgm:presLayoutVars>
          <dgm:bulletEnabled val="1"/>
        </dgm:presLayoutVars>
      </dgm:prSet>
      <dgm:spPr/>
    </dgm:pt>
    <dgm:pt modelId="{248688F4-B2AA-4CE4-A3B9-56539CEBD93D}" type="pres">
      <dgm:prSet presAssocID="{CDCBEF67-39C0-4DD1-8BFA-3305E19F8996}" presName="spaceBetweenRectangles" presStyleCnt="0"/>
      <dgm:spPr/>
    </dgm:pt>
    <dgm:pt modelId="{079D8B1A-40E2-4186-B90F-C5C174D5EA94}" type="pres">
      <dgm:prSet presAssocID="{629F134C-1F78-47C3-B365-7E9E07CFB199}" presName="parentLin" presStyleCnt="0"/>
      <dgm:spPr/>
    </dgm:pt>
    <dgm:pt modelId="{1566F415-517B-47F6-9D92-8FC8080A4A02}" type="pres">
      <dgm:prSet presAssocID="{629F134C-1F78-47C3-B365-7E9E07CFB199}" presName="parentLeftMargin" presStyleLbl="node1" presStyleIdx="0" presStyleCnt="6"/>
      <dgm:spPr/>
    </dgm:pt>
    <dgm:pt modelId="{B8DFAE3F-05D2-4CE7-92BE-62776FECAA98}" type="pres">
      <dgm:prSet presAssocID="{629F134C-1F78-47C3-B365-7E9E07CFB199}" presName="parentText" presStyleLbl="node1" presStyleIdx="1" presStyleCnt="6">
        <dgm:presLayoutVars>
          <dgm:chMax val="0"/>
          <dgm:bulletEnabled val="1"/>
        </dgm:presLayoutVars>
      </dgm:prSet>
      <dgm:spPr/>
    </dgm:pt>
    <dgm:pt modelId="{C1093F45-0D11-4A4E-BA50-A3042562AB0D}" type="pres">
      <dgm:prSet presAssocID="{629F134C-1F78-47C3-B365-7E9E07CFB199}" presName="negativeSpace" presStyleCnt="0"/>
      <dgm:spPr/>
    </dgm:pt>
    <dgm:pt modelId="{CEAF704E-5675-41D4-8B2E-86C068260128}" type="pres">
      <dgm:prSet presAssocID="{629F134C-1F78-47C3-B365-7E9E07CFB199}" presName="childText" presStyleLbl="conFgAcc1" presStyleIdx="1" presStyleCnt="6">
        <dgm:presLayoutVars>
          <dgm:bulletEnabled val="1"/>
        </dgm:presLayoutVars>
      </dgm:prSet>
      <dgm:spPr/>
    </dgm:pt>
    <dgm:pt modelId="{FF8D24FF-15CB-4466-961B-860B7D7AFC21}" type="pres">
      <dgm:prSet presAssocID="{A5A4BBE3-8F42-4C61-A708-4887D1A5B468}" presName="spaceBetweenRectangles" presStyleCnt="0"/>
      <dgm:spPr/>
    </dgm:pt>
    <dgm:pt modelId="{2DA6695B-8EC8-47DB-A619-EC171325CB42}" type="pres">
      <dgm:prSet presAssocID="{1AACE037-E1AE-471D-A69A-3BC1659FD546}" presName="parentLin" presStyleCnt="0"/>
      <dgm:spPr/>
    </dgm:pt>
    <dgm:pt modelId="{F1AFDF5D-F6C3-49D3-8AA8-E2DEE2DF3B60}" type="pres">
      <dgm:prSet presAssocID="{1AACE037-E1AE-471D-A69A-3BC1659FD546}" presName="parentLeftMargin" presStyleLbl="node1" presStyleIdx="1" presStyleCnt="6"/>
      <dgm:spPr/>
    </dgm:pt>
    <dgm:pt modelId="{A0D1D7A2-76C2-4615-9AEC-BA3C4D29FD01}" type="pres">
      <dgm:prSet presAssocID="{1AACE037-E1AE-471D-A69A-3BC1659FD546}" presName="parentText" presStyleLbl="node1" presStyleIdx="2" presStyleCnt="6">
        <dgm:presLayoutVars>
          <dgm:chMax val="0"/>
          <dgm:bulletEnabled val="1"/>
        </dgm:presLayoutVars>
      </dgm:prSet>
      <dgm:spPr/>
    </dgm:pt>
    <dgm:pt modelId="{F67CA57C-4D85-4A1E-AE07-5B8E1C14165E}" type="pres">
      <dgm:prSet presAssocID="{1AACE037-E1AE-471D-A69A-3BC1659FD546}" presName="negativeSpace" presStyleCnt="0"/>
      <dgm:spPr/>
    </dgm:pt>
    <dgm:pt modelId="{2A38794D-964B-4E9C-AACE-810514F406A8}" type="pres">
      <dgm:prSet presAssocID="{1AACE037-E1AE-471D-A69A-3BC1659FD546}" presName="childText" presStyleLbl="conFgAcc1" presStyleIdx="2" presStyleCnt="6">
        <dgm:presLayoutVars>
          <dgm:bulletEnabled val="1"/>
        </dgm:presLayoutVars>
      </dgm:prSet>
      <dgm:spPr/>
    </dgm:pt>
    <dgm:pt modelId="{EA83178C-AC0D-46D7-8463-1A8FC7039F8E}" type="pres">
      <dgm:prSet presAssocID="{7C0232DF-2EFC-45C8-924B-8BDAD4CA89A2}" presName="spaceBetweenRectangles" presStyleCnt="0"/>
      <dgm:spPr/>
    </dgm:pt>
    <dgm:pt modelId="{D5AD1A26-5290-4E90-9070-0EA694B11E7D}" type="pres">
      <dgm:prSet presAssocID="{449383D4-3E76-49B5-BF42-18D9B77E518B}" presName="parentLin" presStyleCnt="0"/>
      <dgm:spPr/>
    </dgm:pt>
    <dgm:pt modelId="{A23F4C08-F62B-4E12-879E-D9607CFA6AE6}" type="pres">
      <dgm:prSet presAssocID="{449383D4-3E76-49B5-BF42-18D9B77E518B}" presName="parentLeftMargin" presStyleLbl="node1" presStyleIdx="2" presStyleCnt="6"/>
      <dgm:spPr/>
    </dgm:pt>
    <dgm:pt modelId="{D59BBC0B-0EC0-4A96-91BB-E54AABB2B8BA}" type="pres">
      <dgm:prSet presAssocID="{449383D4-3E76-49B5-BF42-18D9B77E518B}" presName="parentText" presStyleLbl="node1" presStyleIdx="3" presStyleCnt="6">
        <dgm:presLayoutVars>
          <dgm:chMax val="0"/>
          <dgm:bulletEnabled val="1"/>
        </dgm:presLayoutVars>
      </dgm:prSet>
      <dgm:spPr/>
    </dgm:pt>
    <dgm:pt modelId="{3404CEDB-27D9-4A39-80C3-536B5CF2B7B3}" type="pres">
      <dgm:prSet presAssocID="{449383D4-3E76-49B5-BF42-18D9B77E518B}" presName="negativeSpace" presStyleCnt="0"/>
      <dgm:spPr/>
    </dgm:pt>
    <dgm:pt modelId="{EE1C5512-CFCA-4071-BDAF-AB9C23A11B7A}" type="pres">
      <dgm:prSet presAssocID="{449383D4-3E76-49B5-BF42-18D9B77E518B}" presName="childText" presStyleLbl="conFgAcc1" presStyleIdx="3" presStyleCnt="6">
        <dgm:presLayoutVars>
          <dgm:bulletEnabled val="1"/>
        </dgm:presLayoutVars>
      </dgm:prSet>
      <dgm:spPr/>
    </dgm:pt>
    <dgm:pt modelId="{27C77C9A-877E-4B5C-98E9-97163C44254E}" type="pres">
      <dgm:prSet presAssocID="{69CE0375-5B4B-4D8B-B8C0-66AE29094138}" presName="spaceBetweenRectangles" presStyleCnt="0"/>
      <dgm:spPr/>
    </dgm:pt>
    <dgm:pt modelId="{F40C7571-C36F-42ED-BA82-404898EC817C}" type="pres">
      <dgm:prSet presAssocID="{60DCD4E4-F3A9-4E1C-A535-FD0B286BC142}" presName="parentLin" presStyleCnt="0"/>
      <dgm:spPr/>
    </dgm:pt>
    <dgm:pt modelId="{BDE92FD5-6983-4E13-AE51-1F57E9167F3B}" type="pres">
      <dgm:prSet presAssocID="{60DCD4E4-F3A9-4E1C-A535-FD0B286BC142}" presName="parentLeftMargin" presStyleLbl="node1" presStyleIdx="3" presStyleCnt="6"/>
      <dgm:spPr/>
    </dgm:pt>
    <dgm:pt modelId="{91EDF9F0-A522-4701-B9A4-AADE79E6D241}" type="pres">
      <dgm:prSet presAssocID="{60DCD4E4-F3A9-4E1C-A535-FD0B286BC142}" presName="parentText" presStyleLbl="node1" presStyleIdx="4" presStyleCnt="6">
        <dgm:presLayoutVars>
          <dgm:chMax val="0"/>
          <dgm:bulletEnabled val="1"/>
        </dgm:presLayoutVars>
      </dgm:prSet>
      <dgm:spPr/>
    </dgm:pt>
    <dgm:pt modelId="{5E59154C-9C97-4ABA-AAF2-662D635A8635}" type="pres">
      <dgm:prSet presAssocID="{60DCD4E4-F3A9-4E1C-A535-FD0B286BC142}" presName="negativeSpace" presStyleCnt="0"/>
      <dgm:spPr/>
    </dgm:pt>
    <dgm:pt modelId="{01191A8A-DC2D-40A9-B57B-8CAE8357A439}" type="pres">
      <dgm:prSet presAssocID="{60DCD4E4-F3A9-4E1C-A535-FD0B286BC142}" presName="childText" presStyleLbl="conFgAcc1" presStyleIdx="4" presStyleCnt="6">
        <dgm:presLayoutVars>
          <dgm:bulletEnabled val="1"/>
        </dgm:presLayoutVars>
      </dgm:prSet>
      <dgm:spPr/>
    </dgm:pt>
    <dgm:pt modelId="{814B28B9-E3FE-4E5F-BFE1-52223F87CD58}" type="pres">
      <dgm:prSet presAssocID="{C863DD89-D275-445C-9209-60057F219E43}" presName="spaceBetweenRectangles" presStyleCnt="0"/>
      <dgm:spPr/>
    </dgm:pt>
    <dgm:pt modelId="{89273C69-AB22-4ABC-9DD6-BA4CB8602667}" type="pres">
      <dgm:prSet presAssocID="{D43F677E-9A0A-4C74-859E-E8E2AB55AC14}" presName="parentLin" presStyleCnt="0"/>
      <dgm:spPr/>
    </dgm:pt>
    <dgm:pt modelId="{8DD69D91-28D8-47C0-8B6D-69D5EACCEA3A}" type="pres">
      <dgm:prSet presAssocID="{D43F677E-9A0A-4C74-859E-E8E2AB55AC14}" presName="parentLeftMargin" presStyleLbl="node1" presStyleIdx="4" presStyleCnt="6"/>
      <dgm:spPr/>
    </dgm:pt>
    <dgm:pt modelId="{596627E9-8A54-465B-9DBA-F1FC44C04AA5}" type="pres">
      <dgm:prSet presAssocID="{D43F677E-9A0A-4C74-859E-E8E2AB55AC14}" presName="parentText" presStyleLbl="node1" presStyleIdx="5" presStyleCnt="6">
        <dgm:presLayoutVars>
          <dgm:chMax val="0"/>
          <dgm:bulletEnabled val="1"/>
        </dgm:presLayoutVars>
      </dgm:prSet>
      <dgm:spPr/>
    </dgm:pt>
    <dgm:pt modelId="{4658559F-7648-4510-B09B-31007CB3BEA7}" type="pres">
      <dgm:prSet presAssocID="{D43F677E-9A0A-4C74-859E-E8E2AB55AC14}" presName="negativeSpace" presStyleCnt="0"/>
      <dgm:spPr/>
    </dgm:pt>
    <dgm:pt modelId="{815587EF-2BBC-4ED8-8C4E-B3BB1FC8D030}" type="pres">
      <dgm:prSet presAssocID="{D43F677E-9A0A-4C74-859E-E8E2AB55AC14}" presName="childText" presStyleLbl="conFgAcc1" presStyleIdx="5" presStyleCnt="6">
        <dgm:presLayoutVars>
          <dgm:bulletEnabled val="1"/>
        </dgm:presLayoutVars>
      </dgm:prSet>
      <dgm:spPr/>
    </dgm:pt>
  </dgm:ptLst>
  <dgm:cxnLst>
    <dgm:cxn modelId="{1C1D5100-7DE8-49B4-A1F8-4007233F7D5A}" srcId="{612795BF-AB91-46D4-83A9-3CEC3B8C1E54}" destId="{449383D4-3E76-49B5-BF42-18D9B77E518B}" srcOrd="3" destOrd="0" parTransId="{A6501F5C-57FB-4219-B8F5-AB2A1D7A3E9C}" sibTransId="{69CE0375-5B4B-4D8B-B8C0-66AE29094138}"/>
    <dgm:cxn modelId="{9F0D030E-1FF6-4C60-9CEE-A6188598BB1D}" type="presOf" srcId="{44593AEB-F837-45BF-86BE-3E25113F46F1}" destId="{4C54E5CE-86FC-4B52-A0C9-30C364284E32}" srcOrd="0" destOrd="0" presId="urn:microsoft.com/office/officeart/2005/8/layout/list1"/>
    <dgm:cxn modelId="{EE07390E-8E3C-4040-89A7-1DD2805617A3}" srcId="{612795BF-AB91-46D4-83A9-3CEC3B8C1E54}" destId="{1AACE037-E1AE-471D-A69A-3BC1659FD546}" srcOrd="2" destOrd="0" parTransId="{38551151-3B33-4597-9A22-C3FE8FFC3DF7}" sibTransId="{7C0232DF-2EFC-45C8-924B-8BDAD4CA89A2}"/>
    <dgm:cxn modelId="{F85C7729-C788-43F1-9C47-507A62D9A7E5}" type="presOf" srcId="{D43F677E-9A0A-4C74-859E-E8E2AB55AC14}" destId="{596627E9-8A54-465B-9DBA-F1FC44C04AA5}" srcOrd="1" destOrd="0" presId="urn:microsoft.com/office/officeart/2005/8/layout/list1"/>
    <dgm:cxn modelId="{6D3E302F-1FB6-421C-B288-6A24C06BCB9F}" srcId="{612795BF-AB91-46D4-83A9-3CEC3B8C1E54}" destId="{629F134C-1F78-47C3-B365-7E9E07CFB199}" srcOrd="1" destOrd="0" parTransId="{0D1C2610-E0F7-4D4C-A1D3-3440545D4DA5}" sibTransId="{A5A4BBE3-8F42-4C61-A708-4887D1A5B468}"/>
    <dgm:cxn modelId="{2986EF3E-BA1B-4C3B-A47D-73DD61E900AE}" type="presOf" srcId="{60DCD4E4-F3A9-4E1C-A535-FD0B286BC142}" destId="{BDE92FD5-6983-4E13-AE51-1F57E9167F3B}" srcOrd="0" destOrd="0" presId="urn:microsoft.com/office/officeart/2005/8/layout/list1"/>
    <dgm:cxn modelId="{FC2BB947-5B24-49FD-B0E2-0F3CC744D892}" type="presOf" srcId="{1AACE037-E1AE-471D-A69A-3BC1659FD546}" destId="{A0D1D7A2-76C2-4615-9AEC-BA3C4D29FD01}" srcOrd="1" destOrd="0" presId="urn:microsoft.com/office/officeart/2005/8/layout/list1"/>
    <dgm:cxn modelId="{D4B0A36A-3183-4D2A-9E9B-C7713E7AEABC}" type="presOf" srcId="{629F134C-1F78-47C3-B365-7E9E07CFB199}" destId="{1566F415-517B-47F6-9D92-8FC8080A4A02}" srcOrd="0" destOrd="0" presId="urn:microsoft.com/office/officeart/2005/8/layout/list1"/>
    <dgm:cxn modelId="{B6ADB46D-F676-40E4-8D19-B05497E7AFBE}" type="presOf" srcId="{629F134C-1F78-47C3-B365-7E9E07CFB199}" destId="{B8DFAE3F-05D2-4CE7-92BE-62776FECAA98}" srcOrd="1" destOrd="0" presId="urn:microsoft.com/office/officeart/2005/8/layout/list1"/>
    <dgm:cxn modelId="{8F76897D-5C3D-4791-ABE9-677E9C09BC4D}" type="presOf" srcId="{1AACE037-E1AE-471D-A69A-3BC1659FD546}" destId="{F1AFDF5D-F6C3-49D3-8AA8-E2DEE2DF3B60}" srcOrd="0" destOrd="0" presId="urn:microsoft.com/office/officeart/2005/8/layout/list1"/>
    <dgm:cxn modelId="{FAEEDF86-ECE3-4B09-AA42-5608FD864126}" srcId="{612795BF-AB91-46D4-83A9-3CEC3B8C1E54}" destId="{60DCD4E4-F3A9-4E1C-A535-FD0B286BC142}" srcOrd="4" destOrd="0" parTransId="{37FE62C5-F611-46EE-A25F-FBC6BAF9199F}" sibTransId="{C863DD89-D275-445C-9209-60057F219E43}"/>
    <dgm:cxn modelId="{BF1D3FB8-5341-479D-B002-C4DD9F5EC689}" type="presOf" srcId="{612795BF-AB91-46D4-83A9-3CEC3B8C1E54}" destId="{766B3544-851F-494B-BE32-01412A152645}" srcOrd="0" destOrd="0" presId="urn:microsoft.com/office/officeart/2005/8/layout/list1"/>
    <dgm:cxn modelId="{53806DC0-8CAA-440C-90ED-622F806A2622}" srcId="{612795BF-AB91-46D4-83A9-3CEC3B8C1E54}" destId="{44593AEB-F837-45BF-86BE-3E25113F46F1}" srcOrd="0" destOrd="0" parTransId="{09A28BCF-142E-4CFD-AACD-B58BB1C47FCE}" sibTransId="{CDCBEF67-39C0-4DD1-8BFA-3305E19F8996}"/>
    <dgm:cxn modelId="{04D2B3D9-9280-40A6-8134-0D651C5D3941}" type="presOf" srcId="{44593AEB-F837-45BF-86BE-3E25113F46F1}" destId="{74A2145C-C4AD-407E-AADB-43641897B242}" srcOrd="1" destOrd="0" presId="urn:microsoft.com/office/officeart/2005/8/layout/list1"/>
    <dgm:cxn modelId="{C8822FDB-1BED-4FA9-9843-AF60801D7501}" type="presOf" srcId="{D43F677E-9A0A-4C74-859E-E8E2AB55AC14}" destId="{8DD69D91-28D8-47C0-8B6D-69D5EACCEA3A}" srcOrd="0" destOrd="0" presId="urn:microsoft.com/office/officeart/2005/8/layout/list1"/>
    <dgm:cxn modelId="{D7F652E7-1603-4404-A749-C0C5734A2BF3}" type="presOf" srcId="{449383D4-3E76-49B5-BF42-18D9B77E518B}" destId="{D59BBC0B-0EC0-4A96-91BB-E54AABB2B8BA}" srcOrd="1" destOrd="0" presId="urn:microsoft.com/office/officeart/2005/8/layout/list1"/>
    <dgm:cxn modelId="{0E1BE3F0-AB3F-4565-B146-25AA3C6612CF}" srcId="{612795BF-AB91-46D4-83A9-3CEC3B8C1E54}" destId="{D43F677E-9A0A-4C74-859E-E8E2AB55AC14}" srcOrd="5" destOrd="0" parTransId="{9C3C49F6-8832-4DE8-86AC-1C8003A806F3}" sibTransId="{B20442F7-3794-4379-A391-764F8D79D11F}"/>
    <dgm:cxn modelId="{DC6BFEFC-FAAA-4C8D-8A8B-8D0111CB24F1}" type="presOf" srcId="{449383D4-3E76-49B5-BF42-18D9B77E518B}" destId="{A23F4C08-F62B-4E12-879E-D9607CFA6AE6}" srcOrd="0" destOrd="0" presId="urn:microsoft.com/office/officeart/2005/8/layout/list1"/>
    <dgm:cxn modelId="{F3EDF8FF-97AE-4658-889B-313BF30DC7D3}" type="presOf" srcId="{60DCD4E4-F3A9-4E1C-A535-FD0B286BC142}" destId="{91EDF9F0-A522-4701-B9A4-AADE79E6D241}" srcOrd="1" destOrd="0" presId="urn:microsoft.com/office/officeart/2005/8/layout/list1"/>
    <dgm:cxn modelId="{A2D444DD-6E8B-4C10-8F0D-771650D861BF}" type="presParOf" srcId="{766B3544-851F-494B-BE32-01412A152645}" destId="{DFCBC8CF-B9EE-4F99-8A46-138F5C436275}" srcOrd="0" destOrd="0" presId="urn:microsoft.com/office/officeart/2005/8/layout/list1"/>
    <dgm:cxn modelId="{A937FBF0-16FE-4B00-AF80-F060627B3F03}" type="presParOf" srcId="{DFCBC8CF-B9EE-4F99-8A46-138F5C436275}" destId="{4C54E5CE-86FC-4B52-A0C9-30C364284E32}" srcOrd="0" destOrd="0" presId="urn:microsoft.com/office/officeart/2005/8/layout/list1"/>
    <dgm:cxn modelId="{676951FB-22CE-405D-BC94-254ECD7B1274}" type="presParOf" srcId="{DFCBC8CF-B9EE-4F99-8A46-138F5C436275}" destId="{74A2145C-C4AD-407E-AADB-43641897B242}" srcOrd="1" destOrd="0" presId="urn:microsoft.com/office/officeart/2005/8/layout/list1"/>
    <dgm:cxn modelId="{124F5B49-2601-4E1C-8C2F-7A61D6878293}" type="presParOf" srcId="{766B3544-851F-494B-BE32-01412A152645}" destId="{966AAC87-CD6B-4B02-9C17-44459F4393C1}" srcOrd="1" destOrd="0" presId="urn:microsoft.com/office/officeart/2005/8/layout/list1"/>
    <dgm:cxn modelId="{16924DEC-0DC8-41A3-B853-9E9E104110B6}" type="presParOf" srcId="{766B3544-851F-494B-BE32-01412A152645}" destId="{FD6BBA8C-69A0-4467-BCA9-AF3E31EFA772}" srcOrd="2" destOrd="0" presId="urn:microsoft.com/office/officeart/2005/8/layout/list1"/>
    <dgm:cxn modelId="{6DDA23A7-E850-42C9-A59F-34D0BBDF6DF6}" type="presParOf" srcId="{766B3544-851F-494B-BE32-01412A152645}" destId="{248688F4-B2AA-4CE4-A3B9-56539CEBD93D}" srcOrd="3" destOrd="0" presId="urn:microsoft.com/office/officeart/2005/8/layout/list1"/>
    <dgm:cxn modelId="{7F08D471-E72A-4313-9906-5B5638F4A35F}" type="presParOf" srcId="{766B3544-851F-494B-BE32-01412A152645}" destId="{079D8B1A-40E2-4186-B90F-C5C174D5EA94}" srcOrd="4" destOrd="0" presId="urn:microsoft.com/office/officeart/2005/8/layout/list1"/>
    <dgm:cxn modelId="{16DA76F9-008F-4206-8DB1-ED90DC76FE18}" type="presParOf" srcId="{079D8B1A-40E2-4186-B90F-C5C174D5EA94}" destId="{1566F415-517B-47F6-9D92-8FC8080A4A02}" srcOrd="0" destOrd="0" presId="urn:microsoft.com/office/officeart/2005/8/layout/list1"/>
    <dgm:cxn modelId="{5F39A43E-E19C-41C4-9CCD-851BE4486DF0}" type="presParOf" srcId="{079D8B1A-40E2-4186-B90F-C5C174D5EA94}" destId="{B8DFAE3F-05D2-4CE7-92BE-62776FECAA98}" srcOrd="1" destOrd="0" presId="urn:microsoft.com/office/officeart/2005/8/layout/list1"/>
    <dgm:cxn modelId="{9B8BC132-9A8B-4116-A247-42B4041ED240}" type="presParOf" srcId="{766B3544-851F-494B-BE32-01412A152645}" destId="{C1093F45-0D11-4A4E-BA50-A3042562AB0D}" srcOrd="5" destOrd="0" presId="urn:microsoft.com/office/officeart/2005/8/layout/list1"/>
    <dgm:cxn modelId="{1F17D5D5-A419-4827-A3FE-81C5BB8446D6}" type="presParOf" srcId="{766B3544-851F-494B-BE32-01412A152645}" destId="{CEAF704E-5675-41D4-8B2E-86C068260128}" srcOrd="6" destOrd="0" presId="urn:microsoft.com/office/officeart/2005/8/layout/list1"/>
    <dgm:cxn modelId="{DA6C7B8E-BC36-4986-840A-06881ABC2411}" type="presParOf" srcId="{766B3544-851F-494B-BE32-01412A152645}" destId="{FF8D24FF-15CB-4466-961B-860B7D7AFC21}" srcOrd="7" destOrd="0" presId="urn:microsoft.com/office/officeart/2005/8/layout/list1"/>
    <dgm:cxn modelId="{52E11DA4-3AD3-4DE1-86A9-CFAF5B47EA51}" type="presParOf" srcId="{766B3544-851F-494B-BE32-01412A152645}" destId="{2DA6695B-8EC8-47DB-A619-EC171325CB42}" srcOrd="8" destOrd="0" presId="urn:microsoft.com/office/officeart/2005/8/layout/list1"/>
    <dgm:cxn modelId="{59B9F9D9-FBCC-43F4-91B6-B3F567F17389}" type="presParOf" srcId="{2DA6695B-8EC8-47DB-A619-EC171325CB42}" destId="{F1AFDF5D-F6C3-49D3-8AA8-E2DEE2DF3B60}" srcOrd="0" destOrd="0" presId="urn:microsoft.com/office/officeart/2005/8/layout/list1"/>
    <dgm:cxn modelId="{7FEBEF34-A473-4D9D-890E-499FDD734445}" type="presParOf" srcId="{2DA6695B-8EC8-47DB-A619-EC171325CB42}" destId="{A0D1D7A2-76C2-4615-9AEC-BA3C4D29FD01}" srcOrd="1" destOrd="0" presId="urn:microsoft.com/office/officeart/2005/8/layout/list1"/>
    <dgm:cxn modelId="{B8A9C715-F5F2-434E-8FDA-B213D776E866}" type="presParOf" srcId="{766B3544-851F-494B-BE32-01412A152645}" destId="{F67CA57C-4D85-4A1E-AE07-5B8E1C14165E}" srcOrd="9" destOrd="0" presId="urn:microsoft.com/office/officeart/2005/8/layout/list1"/>
    <dgm:cxn modelId="{6924DDB7-3C1B-45CE-87CA-A6506AFAEF26}" type="presParOf" srcId="{766B3544-851F-494B-BE32-01412A152645}" destId="{2A38794D-964B-4E9C-AACE-810514F406A8}" srcOrd="10" destOrd="0" presId="urn:microsoft.com/office/officeart/2005/8/layout/list1"/>
    <dgm:cxn modelId="{6DB04F16-E86D-48B2-9DDE-6256E071E607}" type="presParOf" srcId="{766B3544-851F-494B-BE32-01412A152645}" destId="{EA83178C-AC0D-46D7-8463-1A8FC7039F8E}" srcOrd="11" destOrd="0" presId="urn:microsoft.com/office/officeart/2005/8/layout/list1"/>
    <dgm:cxn modelId="{703F0EC2-6597-498D-B5E3-7E9FA0B2149B}" type="presParOf" srcId="{766B3544-851F-494B-BE32-01412A152645}" destId="{D5AD1A26-5290-4E90-9070-0EA694B11E7D}" srcOrd="12" destOrd="0" presId="urn:microsoft.com/office/officeart/2005/8/layout/list1"/>
    <dgm:cxn modelId="{53A33D0F-B3EB-404D-BAC5-F72BCD0BE14B}" type="presParOf" srcId="{D5AD1A26-5290-4E90-9070-0EA694B11E7D}" destId="{A23F4C08-F62B-4E12-879E-D9607CFA6AE6}" srcOrd="0" destOrd="0" presId="urn:microsoft.com/office/officeart/2005/8/layout/list1"/>
    <dgm:cxn modelId="{37AA9B52-FCAA-4755-A3D1-A934E570D9A9}" type="presParOf" srcId="{D5AD1A26-5290-4E90-9070-0EA694B11E7D}" destId="{D59BBC0B-0EC0-4A96-91BB-E54AABB2B8BA}" srcOrd="1" destOrd="0" presId="urn:microsoft.com/office/officeart/2005/8/layout/list1"/>
    <dgm:cxn modelId="{D07658DB-CD29-4F8D-9474-B1467080B59D}" type="presParOf" srcId="{766B3544-851F-494B-BE32-01412A152645}" destId="{3404CEDB-27D9-4A39-80C3-536B5CF2B7B3}" srcOrd="13" destOrd="0" presId="urn:microsoft.com/office/officeart/2005/8/layout/list1"/>
    <dgm:cxn modelId="{2BDFAD57-BF80-455F-B847-5E7E5FE3DCA4}" type="presParOf" srcId="{766B3544-851F-494B-BE32-01412A152645}" destId="{EE1C5512-CFCA-4071-BDAF-AB9C23A11B7A}" srcOrd="14" destOrd="0" presId="urn:microsoft.com/office/officeart/2005/8/layout/list1"/>
    <dgm:cxn modelId="{496C7066-5551-4406-9106-B5E73F8AB04B}" type="presParOf" srcId="{766B3544-851F-494B-BE32-01412A152645}" destId="{27C77C9A-877E-4B5C-98E9-97163C44254E}" srcOrd="15" destOrd="0" presId="urn:microsoft.com/office/officeart/2005/8/layout/list1"/>
    <dgm:cxn modelId="{E6658CDA-D17F-4643-B921-31282FDBA9FC}" type="presParOf" srcId="{766B3544-851F-494B-BE32-01412A152645}" destId="{F40C7571-C36F-42ED-BA82-404898EC817C}" srcOrd="16" destOrd="0" presId="urn:microsoft.com/office/officeart/2005/8/layout/list1"/>
    <dgm:cxn modelId="{F0DA741A-350D-43FA-B06E-671F9881E82D}" type="presParOf" srcId="{F40C7571-C36F-42ED-BA82-404898EC817C}" destId="{BDE92FD5-6983-4E13-AE51-1F57E9167F3B}" srcOrd="0" destOrd="0" presId="urn:microsoft.com/office/officeart/2005/8/layout/list1"/>
    <dgm:cxn modelId="{A7148CB0-A912-4617-A696-CA6864DEBBF3}" type="presParOf" srcId="{F40C7571-C36F-42ED-BA82-404898EC817C}" destId="{91EDF9F0-A522-4701-B9A4-AADE79E6D241}" srcOrd="1" destOrd="0" presId="urn:microsoft.com/office/officeart/2005/8/layout/list1"/>
    <dgm:cxn modelId="{DB231A04-4819-4A97-8C31-44EA818FACF0}" type="presParOf" srcId="{766B3544-851F-494B-BE32-01412A152645}" destId="{5E59154C-9C97-4ABA-AAF2-662D635A8635}" srcOrd="17" destOrd="0" presId="urn:microsoft.com/office/officeart/2005/8/layout/list1"/>
    <dgm:cxn modelId="{FBD147F3-2310-4514-AF75-5E71FEEFB2E4}" type="presParOf" srcId="{766B3544-851F-494B-BE32-01412A152645}" destId="{01191A8A-DC2D-40A9-B57B-8CAE8357A439}" srcOrd="18" destOrd="0" presId="urn:microsoft.com/office/officeart/2005/8/layout/list1"/>
    <dgm:cxn modelId="{9E70551A-15DA-45FD-A50D-6125BC2C6A86}" type="presParOf" srcId="{766B3544-851F-494B-BE32-01412A152645}" destId="{814B28B9-E3FE-4E5F-BFE1-52223F87CD58}" srcOrd="19" destOrd="0" presId="urn:microsoft.com/office/officeart/2005/8/layout/list1"/>
    <dgm:cxn modelId="{B35A9445-8F29-4D19-9164-73D562B4E639}" type="presParOf" srcId="{766B3544-851F-494B-BE32-01412A152645}" destId="{89273C69-AB22-4ABC-9DD6-BA4CB8602667}" srcOrd="20" destOrd="0" presId="urn:microsoft.com/office/officeart/2005/8/layout/list1"/>
    <dgm:cxn modelId="{150E4063-90AA-4B72-98C9-A5F2BEC590B1}" type="presParOf" srcId="{89273C69-AB22-4ABC-9DD6-BA4CB8602667}" destId="{8DD69D91-28D8-47C0-8B6D-69D5EACCEA3A}" srcOrd="0" destOrd="0" presId="urn:microsoft.com/office/officeart/2005/8/layout/list1"/>
    <dgm:cxn modelId="{5EA70ADC-E305-40B2-9C0E-670FB28BB343}" type="presParOf" srcId="{89273C69-AB22-4ABC-9DD6-BA4CB8602667}" destId="{596627E9-8A54-465B-9DBA-F1FC44C04AA5}" srcOrd="1" destOrd="0" presId="urn:microsoft.com/office/officeart/2005/8/layout/list1"/>
    <dgm:cxn modelId="{C481DC38-C249-46E1-AFBB-B67B18B39197}" type="presParOf" srcId="{766B3544-851F-494B-BE32-01412A152645}" destId="{4658559F-7648-4510-B09B-31007CB3BEA7}" srcOrd="21" destOrd="0" presId="urn:microsoft.com/office/officeart/2005/8/layout/list1"/>
    <dgm:cxn modelId="{7DF44236-F287-41A1-BBA7-C1CCABF21447}" type="presParOf" srcId="{766B3544-851F-494B-BE32-01412A152645}" destId="{815587EF-2BBC-4ED8-8C4E-B3BB1FC8D030}" srcOrd="22"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CC58ADB-2DE7-4D72-A820-7A183EB6D7FA}" type="doc">
      <dgm:prSet loTypeId="urn:microsoft.com/office/officeart/2005/8/layout/radial3" loCatId="cycle" qsTypeId="urn:microsoft.com/office/officeart/2005/8/quickstyle/simple1" qsCatId="simple" csTypeId="urn:microsoft.com/office/officeart/2005/8/colors/colorful1#1" csCatId="colorful" phldr="1"/>
      <dgm:spPr/>
      <dgm:t>
        <a:bodyPr/>
        <a:lstStyle/>
        <a:p>
          <a:endParaRPr lang="en-GB"/>
        </a:p>
      </dgm:t>
    </dgm:pt>
    <dgm:pt modelId="{FC4326C1-A9E8-417A-8FFF-56FE94DE1F7C}">
      <dgm:prSet phldrT="[Text]"/>
      <dgm:spPr/>
      <dgm:t>
        <a:bodyPr/>
        <a:lstStyle/>
        <a:p>
          <a:pPr algn="ctr"/>
          <a:r>
            <a:rPr lang="en-GB" b="1">
              <a:latin typeface="Times New Roman" panose="02020603050405020304" pitchFamily="18" charset="0"/>
              <a:cs typeface="Times New Roman" panose="02020603050405020304" pitchFamily="18" charset="0"/>
            </a:rPr>
            <a:t>Stakeholders</a:t>
          </a:r>
        </a:p>
      </dgm:t>
    </dgm:pt>
    <dgm:pt modelId="{AEBA981A-2B09-4B4C-B7F3-3E17409DA1C6}" type="parTrans" cxnId="{3CEB5E24-0230-48FF-913B-D608EA4D307E}">
      <dgm:prSet/>
      <dgm:spPr/>
      <dgm:t>
        <a:bodyPr/>
        <a:lstStyle/>
        <a:p>
          <a:pPr algn="ctr"/>
          <a:endParaRPr lang="en-GB"/>
        </a:p>
      </dgm:t>
    </dgm:pt>
    <dgm:pt modelId="{79BDC4B2-4F18-4E8C-B191-B850C1BF57AE}" type="sibTrans" cxnId="{3CEB5E24-0230-48FF-913B-D608EA4D307E}">
      <dgm:prSet/>
      <dgm:spPr/>
      <dgm:t>
        <a:bodyPr/>
        <a:lstStyle/>
        <a:p>
          <a:pPr algn="ctr"/>
          <a:endParaRPr lang="en-GB"/>
        </a:p>
      </dgm:t>
    </dgm:pt>
    <dgm:pt modelId="{D968002E-0B9C-4A59-9A38-6E017FB7D190}">
      <dgm:prSet phldrT="[Text]"/>
      <dgm:spPr/>
      <dgm:t>
        <a:bodyPr/>
        <a:lstStyle/>
        <a:p>
          <a:pPr algn="ctr"/>
          <a:r>
            <a:rPr lang="en-GB" b="1">
              <a:latin typeface="Times New Roman" panose="02020603050405020304" pitchFamily="18" charset="0"/>
              <a:cs typeface="Times New Roman" panose="02020603050405020304" pitchFamily="18" charset="0"/>
            </a:rPr>
            <a:t>Residents</a:t>
          </a:r>
        </a:p>
      </dgm:t>
    </dgm:pt>
    <dgm:pt modelId="{7FB4DD4C-FA32-443A-B4CF-9AFFA35AB8FC}" type="parTrans" cxnId="{F0D7029A-4833-4F63-8A44-F9C0626624E5}">
      <dgm:prSet/>
      <dgm:spPr/>
      <dgm:t>
        <a:bodyPr/>
        <a:lstStyle/>
        <a:p>
          <a:pPr algn="ctr"/>
          <a:endParaRPr lang="en-GB"/>
        </a:p>
      </dgm:t>
    </dgm:pt>
    <dgm:pt modelId="{6FB8DD33-68A8-4B7B-8947-235A046D1488}" type="sibTrans" cxnId="{F0D7029A-4833-4F63-8A44-F9C0626624E5}">
      <dgm:prSet/>
      <dgm:spPr/>
      <dgm:t>
        <a:bodyPr/>
        <a:lstStyle/>
        <a:p>
          <a:pPr algn="ctr"/>
          <a:endParaRPr lang="en-GB"/>
        </a:p>
      </dgm:t>
    </dgm:pt>
    <dgm:pt modelId="{14FD79A3-5B5B-45BB-9B54-DC53199FE7F4}">
      <dgm:prSet phldrT="[Text]"/>
      <dgm:spPr/>
      <dgm:t>
        <a:bodyPr/>
        <a:lstStyle/>
        <a:p>
          <a:pPr algn="ctr"/>
          <a:r>
            <a:rPr lang="en-GB" b="1">
              <a:latin typeface="Times New Roman" panose="02020603050405020304" pitchFamily="18" charset="0"/>
              <a:cs typeface="Times New Roman" panose="02020603050405020304" pitchFamily="18" charset="0"/>
            </a:rPr>
            <a:t>Businesses</a:t>
          </a:r>
        </a:p>
      </dgm:t>
    </dgm:pt>
    <dgm:pt modelId="{90FD9D5C-013C-46A9-B02C-053D332C947C}" type="parTrans" cxnId="{8B21B128-5475-4153-A2E6-1BCA1EE24CE5}">
      <dgm:prSet/>
      <dgm:spPr/>
      <dgm:t>
        <a:bodyPr/>
        <a:lstStyle/>
        <a:p>
          <a:pPr algn="ctr"/>
          <a:endParaRPr lang="en-GB"/>
        </a:p>
      </dgm:t>
    </dgm:pt>
    <dgm:pt modelId="{5B920F24-FF53-45A9-9EDD-AFF9F263AA0F}" type="sibTrans" cxnId="{8B21B128-5475-4153-A2E6-1BCA1EE24CE5}">
      <dgm:prSet/>
      <dgm:spPr/>
      <dgm:t>
        <a:bodyPr/>
        <a:lstStyle/>
        <a:p>
          <a:pPr algn="ctr"/>
          <a:endParaRPr lang="en-GB"/>
        </a:p>
      </dgm:t>
    </dgm:pt>
    <dgm:pt modelId="{FC69B8CA-E4FE-4F4C-B6EB-107F6A08B196}">
      <dgm:prSet phldrT="[Text]"/>
      <dgm:spPr/>
      <dgm:t>
        <a:bodyPr/>
        <a:lstStyle/>
        <a:p>
          <a:pPr algn="ctr"/>
          <a:r>
            <a:rPr lang="en-GB" b="1">
              <a:latin typeface="Times New Roman" panose="02020603050405020304" pitchFamily="18" charset="0"/>
              <a:cs typeface="Times New Roman" panose="02020603050405020304" pitchFamily="18" charset="0"/>
            </a:rPr>
            <a:t>Community organisations</a:t>
          </a:r>
        </a:p>
      </dgm:t>
    </dgm:pt>
    <dgm:pt modelId="{531177F4-46AE-4BF1-896F-1AAA2C01EE55}" type="parTrans" cxnId="{FA01B170-EE47-4FF7-A6C2-FA82ADC651CF}">
      <dgm:prSet/>
      <dgm:spPr/>
      <dgm:t>
        <a:bodyPr/>
        <a:lstStyle/>
        <a:p>
          <a:pPr algn="ctr"/>
          <a:endParaRPr lang="en-GB"/>
        </a:p>
      </dgm:t>
    </dgm:pt>
    <dgm:pt modelId="{D7609110-8C57-4569-B466-E34C8C017AC8}" type="sibTrans" cxnId="{FA01B170-EE47-4FF7-A6C2-FA82ADC651CF}">
      <dgm:prSet/>
      <dgm:spPr/>
      <dgm:t>
        <a:bodyPr/>
        <a:lstStyle/>
        <a:p>
          <a:pPr algn="ctr"/>
          <a:endParaRPr lang="en-GB"/>
        </a:p>
      </dgm:t>
    </dgm:pt>
    <dgm:pt modelId="{679B823B-B202-431C-BD0E-8C7EB52F958B}">
      <dgm:prSet phldrT="[Text]"/>
      <dgm:spPr/>
      <dgm:t>
        <a:bodyPr/>
        <a:lstStyle/>
        <a:p>
          <a:pPr algn="ctr"/>
          <a:r>
            <a:rPr lang="en-GB" b="1">
              <a:latin typeface="Times New Roman" panose="02020603050405020304" pitchFamily="18" charset="0"/>
              <a:cs typeface="Times New Roman" panose="02020603050405020304" pitchFamily="18" charset="0"/>
            </a:rPr>
            <a:t>Government-run organisations </a:t>
          </a:r>
        </a:p>
      </dgm:t>
    </dgm:pt>
    <dgm:pt modelId="{83083666-056E-4B0A-93D8-FCA0ADEB4807}" type="parTrans" cxnId="{5B607478-B2B4-436F-94F4-3FE0384AD97F}">
      <dgm:prSet/>
      <dgm:spPr/>
      <dgm:t>
        <a:bodyPr/>
        <a:lstStyle/>
        <a:p>
          <a:pPr algn="ctr"/>
          <a:endParaRPr lang="en-GB"/>
        </a:p>
      </dgm:t>
    </dgm:pt>
    <dgm:pt modelId="{234B858A-B73F-415B-84C8-87636ABFFFA9}" type="sibTrans" cxnId="{5B607478-B2B4-436F-94F4-3FE0384AD97F}">
      <dgm:prSet/>
      <dgm:spPr/>
      <dgm:t>
        <a:bodyPr/>
        <a:lstStyle/>
        <a:p>
          <a:pPr algn="ctr"/>
          <a:endParaRPr lang="en-GB"/>
        </a:p>
      </dgm:t>
    </dgm:pt>
    <dgm:pt modelId="{DC1641AA-06C5-42BB-BD97-133745190E5B}" type="pres">
      <dgm:prSet presAssocID="{8CC58ADB-2DE7-4D72-A820-7A183EB6D7FA}" presName="composite" presStyleCnt="0">
        <dgm:presLayoutVars>
          <dgm:chMax val="1"/>
          <dgm:dir/>
          <dgm:resizeHandles val="exact"/>
        </dgm:presLayoutVars>
      </dgm:prSet>
      <dgm:spPr/>
    </dgm:pt>
    <dgm:pt modelId="{A431D1CE-0318-4A05-9ACA-C71C6A676337}" type="pres">
      <dgm:prSet presAssocID="{8CC58ADB-2DE7-4D72-A820-7A183EB6D7FA}" presName="radial" presStyleCnt="0">
        <dgm:presLayoutVars>
          <dgm:animLvl val="ctr"/>
        </dgm:presLayoutVars>
      </dgm:prSet>
      <dgm:spPr/>
    </dgm:pt>
    <dgm:pt modelId="{4BC8E142-F5A9-44F2-BFDE-3CB50DA83FF8}" type="pres">
      <dgm:prSet presAssocID="{FC4326C1-A9E8-417A-8FFF-56FE94DE1F7C}" presName="centerShape" presStyleLbl="vennNode1" presStyleIdx="0" presStyleCnt="5"/>
      <dgm:spPr/>
    </dgm:pt>
    <dgm:pt modelId="{3057872F-7C6B-4332-9CBD-A082A82D8372}" type="pres">
      <dgm:prSet presAssocID="{D968002E-0B9C-4A59-9A38-6E017FB7D190}" presName="node" presStyleLbl="vennNode1" presStyleIdx="1" presStyleCnt="5">
        <dgm:presLayoutVars>
          <dgm:bulletEnabled val="1"/>
        </dgm:presLayoutVars>
      </dgm:prSet>
      <dgm:spPr/>
    </dgm:pt>
    <dgm:pt modelId="{D31522AD-5419-4439-B206-2EDDCD56D7C9}" type="pres">
      <dgm:prSet presAssocID="{14FD79A3-5B5B-45BB-9B54-DC53199FE7F4}" presName="node" presStyleLbl="vennNode1" presStyleIdx="2" presStyleCnt="5">
        <dgm:presLayoutVars>
          <dgm:bulletEnabled val="1"/>
        </dgm:presLayoutVars>
      </dgm:prSet>
      <dgm:spPr/>
    </dgm:pt>
    <dgm:pt modelId="{BA986C7C-8F2E-421C-A415-15F4D7B65CD0}" type="pres">
      <dgm:prSet presAssocID="{FC69B8CA-E4FE-4F4C-B6EB-107F6A08B196}" presName="node" presStyleLbl="vennNode1" presStyleIdx="3" presStyleCnt="5">
        <dgm:presLayoutVars>
          <dgm:bulletEnabled val="1"/>
        </dgm:presLayoutVars>
      </dgm:prSet>
      <dgm:spPr/>
    </dgm:pt>
    <dgm:pt modelId="{F15F3992-5CFD-4E45-804B-60FB9AC51F47}" type="pres">
      <dgm:prSet presAssocID="{679B823B-B202-431C-BD0E-8C7EB52F958B}" presName="node" presStyleLbl="vennNode1" presStyleIdx="4" presStyleCnt="5">
        <dgm:presLayoutVars>
          <dgm:bulletEnabled val="1"/>
        </dgm:presLayoutVars>
      </dgm:prSet>
      <dgm:spPr/>
    </dgm:pt>
  </dgm:ptLst>
  <dgm:cxnLst>
    <dgm:cxn modelId="{E99D480C-244F-44B5-8957-5F617C692C87}" type="presOf" srcId="{FC4326C1-A9E8-417A-8FFF-56FE94DE1F7C}" destId="{4BC8E142-F5A9-44F2-BFDE-3CB50DA83FF8}" srcOrd="0" destOrd="0" presId="urn:microsoft.com/office/officeart/2005/8/layout/radial3"/>
    <dgm:cxn modelId="{3CEB5E24-0230-48FF-913B-D608EA4D307E}" srcId="{8CC58ADB-2DE7-4D72-A820-7A183EB6D7FA}" destId="{FC4326C1-A9E8-417A-8FFF-56FE94DE1F7C}" srcOrd="0" destOrd="0" parTransId="{AEBA981A-2B09-4B4C-B7F3-3E17409DA1C6}" sibTransId="{79BDC4B2-4F18-4E8C-B191-B850C1BF57AE}"/>
    <dgm:cxn modelId="{8B21B128-5475-4153-A2E6-1BCA1EE24CE5}" srcId="{FC4326C1-A9E8-417A-8FFF-56FE94DE1F7C}" destId="{14FD79A3-5B5B-45BB-9B54-DC53199FE7F4}" srcOrd="1" destOrd="0" parTransId="{90FD9D5C-013C-46A9-B02C-053D332C947C}" sibTransId="{5B920F24-FF53-45A9-9EDD-AFF9F263AA0F}"/>
    <dgm:cxn modelId="{4310E444-0744-420E-80CC-9A58A17BF628}" type="presOf" srcId="{D968002E-0B9C-4A59-9A38-6E017FB7D190}" destId="{3057872F-7C6B-4332-9CBD-A082A82D8372}" srcOrd="0" destOrd="0" presId="urn:microsoft.com/office/officeart/2005/8/layout/radial3"/>
    <dgm:cxn modelId="{FA01B170-EE47-4FF7-A6C2-FA82ADC651CF}" srcId="{FC4326C1-A9E8-417A-8FFF-56FE94DE1F7C}" destId="{FC69B8CA-E4FE-4F4C-B6EB-107F6A08B196}" srcOrd="2" destOrd="0" parTransId="{531177F4-46AE-4BF1-896F-1AAA2C01EE55}" sibTransId="{D7609110-8C57-4569-B466-E34C8C017AC8}"/>
    <dgm:cxn modelId="{5B607478-B2B4-436F-94F4-3FE0384AD97F}" srcId="{FC4326C1-A9E8-417A-8FFF-56FE94DE1F7C}" destId="{679B823B-B202-431C-BD0E-8C7EB52F958B}" srcOrd="3" destOrd="0" parTransId="{83083666-056E-4B0A-93D8-FCA0ADEB4807}" sibTransId="{234B858A-B73F-415B-84C8-87636ABFFFA9}"/>
    <dgm:cxn modelId="{E17C0F88-2531-4B2B-9259-43C41D872AEE}" type="presOf" srcId="{14FD79A3-5B5B-45BB-9B54-DC53199FE7F4}" destId="{D31522AD-5419-4439-B206-2EDDCD56D7C9}" srcOrd="0" destOrd="0" presId="urn:microsoft.com/office/officeart/2005/8/layout/radial3"/>
    <dgm:cxn modelId="{E7E38A8D-C6E1-4F7D-85C9-19260505EFD1}" type="presOf" srcId="{8CC58ADB-2DE7-4D72-A820-7A183EB6D7FA}" destId="{DC1641AA-06C5-42BB-BD97-133745190E5B}" srcOrd="0" destOrd="0" presId="urn:microsoft.com/office/officeart/2005/8/layout/radial3"/>
    <dgm:cxn modelId="{F0D7029A-4833-4F63-8A44-F9C0626624E5}" srcId="{FC4326C1-A9E8-417A-8FFF-56FE94DE1F7C}" destId="{D968002E-0B9C-4A59-9A38-6E017FB7D190}" srcOrd="0" destOrd="0" parTransId="{7FB4DD4C-FA32-443A-B4CF-9AFFA35AB8FC}" sibTransId="{6FB8DD33-68A8-4B7B-8947-235A046D1488}"/>
    <dgm:cxn modelId="{C456D2D6-C0F8-4B1C-AA74-0C8845841A85}" type="presOf" srcId="{679B823B-B202-431C-BD0E-8C7EB52F958B}" destId="{F15F3992-5CFD-4E45-804B-60FB9AC51F47}" srcOrd="0" destOrd="0" presId="urn:microsoft.com/office/officeart/2005/8/layout/radial3"/>
    <dgm:cxn modelId="{AE2CA5E5-E65C-480A-8338-09AFB48705C8}" type="presOf" srcId="{FC69B8CA-E4FE-4F4C-B6EB-107F6A08B196}" destId="{BA986C7C-8F2E-421C-A415-15F4D7B65CD0}" srcOrd="0" destOrd="0" presId="urn:microsoft.com/office/officeart/2005/8/layout/radial3"/>
    <dgm:cxn modelId="{2A984AEF-41F4-4A5E-AFE4-2BED60A971BD}" type="presParOf" srcId="{DC1641AA-06C5-42BB-BD97-133745190E5B}" destId="{A431D1CE-0318-4A05-9ACA-C71C6A676337}" srcOrd="0" destOrd="0" presId="urn:microsoft.com/office/officeart/2005/8/layout/radial3"/>
    <dgm:cxn modelId="{D930B41E-3207-4254-907E-E7E06797A217}" type="presParOf" srcId="{A431D1CE-0318-4A05-9ACA-C71C6A676337}" destId="{4BC8E142-F5A9-44F2-BFDE-3CB50DA83FF8}" srcOrd="0" destOrd="0" presId="urn:microsoft.com/office/officeart/2005/8/layout/radial3"/>
    <dgm:cxn modelId="{EA7F6E37-4586-4E93-9380-4CFA9B7E2884}" type="presParOf" srcId="{A431D1CE-0318-4A05-9ACA-C71C6A676337}" destId="{3057872F-7C6B-4332-9CBD-A082A82D8372}" srcOrd="1" destOrd="0" presId="urn:microsoft.com/office/officeart/2005/8/layout/radial3"/>
    <dgm:cxn modelId="{27FA6BF7-2F91-4CAE-BEEC-107F6BC0E0E8}" type="presParOf" srcId="{A431D1CE-0318-4A05-9ACA-C71C6A676337}" destId="{D31522AD-5419-4439-B206-2EDDCD56D7C9}" srcOrd="2" destOrd="0" presId="urn:microsoft.com/office/officeart/2005/8/layout/radial3"/>
    <dgm:cxn modelId="{882EDE7D-EF96-46D9-A7D3-3B967D0E8CCF}" type="presParOf" srcId="{A431D1CE-0318-4A05-9ACA-C71C6A676337}" destId="{BA986C7C-8F2E-421C-A415-15F4D7B65CD0}" srcOrd="3" destOrd="0" presId="urn:microsoft.com/office/officeart/2005/8/layout/radial3"/>
    <dgm:cxn modelId="{38884DE3-A751-4ED8-B2E8-61BA908E31D9}" type="presParOf" srcId="{A431D1CE-0318-4A05-9ACA-C71C6A676337}" destId="{F15F3992-5CFD-4E45-804B-60FB9AC51F47}" srcOrd="4" destOrd="0" presId="urn:microsoft.com/office/officeart/2005/8/layout/radial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6BBA8C-69A0-4467-BCA9-AF3E31EFA772}">
      <dsp:nvSpPr>
        <dsp:cNvPr id="0" name=""/>
        <dsp:cNvSpPr/>
      </dsp:nvSpPr>
      <dsp:spPr>
        <a:xfrm>
          <a:off x="0" y="261599"/>
          <a:ext cx="5905500" cy="2520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4A2145C-C4AD-407E-AADB-43641897B242}">
      <dsp:nvSpPr>
        <dsp:cNvPr id="0" name=""/>
        <dsp:cNvSpPr/>
      </dsp:nvSpPr>
      <dsp:spPr>
        <a:xfrm>
          <a:off x="295275" y="113999"/>
          <a:ext cx="4133850" cy="29520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6250" tIns="0" rIns="156250"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Lack of decent and affordable housing</a:t>
          </a:r>
        </a:p>
      </dsp:txBody>
      <dsp:txXfrm>
        <a:off x="309685" y="128409"/>
        <a:ext cx="4105030" cy="266380"/>
      </dsp:txXfrm>
    </dsp:sp>
    <dsp:sp modelId="{CEAF704E-5675-41D4-8B2E-86C068260128}">
      <dsp:nvSpPr>
        <dsp:cNvPr id="0" name=""/>
        <dsp:cNvSpPr/>
      </dsp:nvSpPr>
      <dsp:spPr>
        <a:xfrm>
          <a:off x="0" y="715200"/>
          <a:ext cx="5905500" cy="252000"/>
        </a:xfrm>
        <a:prstGeom prst="rect">
          <a:avLst/>
        </a:prstGeom>
        <a:solidFill>
          <a:schemeClr val="lt1">
            <a:alpha val="90000"/>
            <a:hueOff val="0"/>
            <a:satOff val="0"/>
            <a:lumOff val="0"/>
            <a:alphaOff val="0"/>
          </a:schemeClr>
        </a:solidFill>
        <a:ln w="12700" cap="flat" cmpd="sng" algn="ctr">
          <a:solidFill>
            <a:schemeClr val="accent5">
              <a:hueOff val="-1351709"/>
              <a:satOff val="-3484"/>
              <a:lumOff val="-2353"/>
              <a:alphaOff val="0"/>
            </a:schemeClr>
          </a:solidFill>
          <a:prstDash val="solid"/>
          <a:miter lim="800000"/>
        </a:ln>
        <a:effectLst/>
      </dsp:spPr>
      <dsp:style>
        <a:lnRef idx="2">
          <a:scrgbClr r="0" g="0" b="0"/>
        </a:lnRef>
        <a:fillRef idx="1">
          <a:scrgbClr r="0" g="0" b="0"/>
        </a:fillRef>
        <a:effectRef idx="0">
          <a:scrgbClr r="0" g="0" b="0"/>
        </a:effectRef>
        <a:fontRef idx="minor"/>
      </dsp:style>
    </dsp:sp>
    <dsp:sp modelId="{B8DFAE3F-05D2-4CE7-92BE-62776FECAA98}">
      <dsp:nvSpPr>
        <dsp:cNvPr id="0" name=""/>
        <dsp:cNvSpPr/>
      </dsp:nvSpPr>
      <dsp:spPr>
        <a:xfrm>
          <a:off x="295275" y="567600"/>
          <a:ext cx="4133850" cy="295200"/>
        </a:xfrm>
        <a:prstGeom prst="roundRect">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6250" tIns="0" rIns="156250"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Education</a:t>
          </a:r>
        </a:p>
      </dsp:txBody>
      <dsp:txXfrm>
        <a:off x="309685" y="582010"/>
        <a:ext cx="4105030" cy="266380"/>
      </dsp:txXfrm>
    </dsp:sp>
    <dsp:sp modelId="{2A38794D-964B-4E9C-AACE-810514F406A8}">
      <dsp:nvSpPr>
        <dsp:cNvPr id="0" name=""/>
        <dsp:cNvSpPr/>
      </dsp:nvSpPr>
      <dsp:spPr>
        <a:xfrm>
          <a:off x="0" y="1168800"/>
          <a:ext cx="5905500" cy="252000"/>
        </a:xfrm>
        <a:prstGeom prst="rect">
          <a:avLst/>
        </a:prstGeom>
        <a:solidFill>
          <a:schemeClr val="lt1">
            <a:alpha val="90000"/>
            <a:hueOff val="0"/>
            <a:satOff val="0"/>
            <a:lumOff val="0"/>
            <a:alphaOff val="0"/>
          </a:schemeClr>
        </a:solidFill>
        <a:ln w="12700" cap="flat" cmpd="sng" algn="ctr">
          <a:solidFill>
            <a:schemeClr val="accent5">
              <a:hueOff val="-2703417"/>
              <a:satOff val="-6968"/>
              <a:lumOff val="-4706"/>
              <a:alphaOff val="0"/>
            </a:schemeClr>
          </a:solidFill>
          <a:prstDash val="solid"/>
          <a:miter lim="800000"/>
        </a:ln>
        <a:effectLst/>
      </dsp:spPr>
      <dsp:style>
        <a:lnRef idx="2">
          <a:scrgbClr r="0" g="0" b="0"/>
        </a:lnRef>
        <a:fillRef idx="1">
          <a:scrgbClr r="0" g="0" b="0"/>
        </a:fillRef>
        <a:effectRef idx="0">
          <a:scrgbClr r="0" g="0" b="0"/>
        </a:effectRef>
        <a:fontRef idx="minor"/>
      </dsp:style>
    </dsp:sp>
    <dsp:sp modelId="{A0D1D7A2-76C2-4615-9AEC-BA3C4D29FD01}">
      <dsp:nvSpPr>
        <dsp:cNvPr id="0" name=""/>
        <dsp:cNvSpPr/>
      </dsp:nvSpPr>
      <dsp:spPr>
        <a:xfrm>
          <a:off x="295275" y="1021200"/>
          <a:ext cx="4133850" cy="295200"/>
        </a:xfrm>
        <a:prstGeom prst="roundRect">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6250" tIns="0" rIns="156250"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Percentage of unemployment</a:t>
          </a:r>
        </a:p>
      </dsp:txBody>
      <dsp:txXfrm>
        <a:off x="309685" y="1035610"/>
        <a:ext cx="4105030" cy="266380"/>
      </dsp:txXfrm>
    </dsp:sp>
    <dsp:sp modelId="{EE1C5512-CFCA-4071-BDAF-AB9C23A11B7A}">
      <dsp:nvSpPr>
        <dsp:cNvPr id="0" name=""/>
        <dsp:cNvSpPr/>
      </dsp:nvSpPr>
      <dsp:spPr>
        <a:xfrm>
          <a:off x="0" y="1622400"/>
          <a:ext cx="5905500" cy="252000"/>
        </a:xfrm>
        <a:prstGeom prst="rect">
          <a:avLst/>
        </a:prstGeom>
        <a:solidFill>
          <a:schemeClr val="lt1">
            <a:alpha val="90000"/>
            <a:hueOff val="0"/>
            <a:satOff val="0"/>
            <a:lumOff val="0"/>
            <a:alphaOff val="0"/>
          </a:schemeClr>
        </a:solidFill>
        <a:ln w="12700" cap="flat" cmpd="sng" algn="ctr">
          <a:solidFill>
            <a:schemeClr val="accent5">
              <a:hueOff val="-4055126"/>
              <a:satOff val="-10451"/>
              <a:lumOff val="-7059"/>
              <a:alphaOff val="0"/>
            </a:schemeClr>
          </a:solidFill>
          <a:prstDash val="solid"/>
          <a:miter lim="800000"/>
        </a:ln>
        <a:effectLst/>
      </dsp:spPr>
      <dsp:style>
        <a:lnRef idx="2">
          <a:scrgbClr r="0" g="0" b="0"/>
        </a:lnRef>
        <a:fillRef idx="1">
          <a:scrgbClr r="0" g="0" b="0"/>
        </a:fillRef>
        <a:effectRef idx="0">
          <a:scrgbClr r="0" g="0" b="0"/>
        </a:effectRef>
        <a:fontRef idx="minor"/>
      </dsp:style>
    </dsp:sp>
    <dsp:sp modelId="{D59BBC0B-0EC0-4A96-91BB-E54AABB2B8BA}">
      <dsp:nvSpPr>
        <dsp:cNvPr id="0" name=""/>
        <dsp:cNvSpPr/>
      </dsp:nvSpPr>
      <dsp:spPr>
        <a:xfrm>
          <a:off x="295275" y="1474800"/>
          <a:ext cx="4133850" cy="295200"/>
        </a:xfrm>
        <a:prstGeom prst="roundRect">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6250" tIns="0" rIns="156250"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Poor health results</a:t>
          </a:r>
        </a:p>
      </dsp:txBody>
      <dsp:txXfrm>
        <a:off x="309685" y="1489210"/>
        <a:ext cx="4105030" cy="266380"/>
      </dsp:txXfrm>
    </dsp:sp>
    <dsp:sp modelId="{01191A8A-DC2D-40A9-B57B-8CAE8357A439}">
      <dsp:nvSpPr>
        <dsp:cNvPr id="0" name=""/>
        <dsp:cNvSpPr/>
      </dsp:nvSpPr>
      <dsp:spPr>
        <a:xfrm>
          <a:off x="0" y="2076000"/>
          <a:ext cx="5905500" cy="252000"/>
        </a:xfrm>
        <a:prstGeom prst="rect">
          <a:avLst/>
        </a:prstGeom>
        <a:solidFill>
          <a:schemeClr val="lt1">
            <a:alpha val="90000"/>
            <a:hueOff val="0"/>
            <a:satOff val="0"/>
            <a:lumOff val="0"/>
            <a:alphaOff val="0"/>
          </a:schemeClr>
        </a:solidFill>
        <a:ln w="12700" cap="flat" cmpd="sng" algn="ctr">
          <a:solidFill>
            <a:schemeClr val="accent5">
              <a:hueOff val="-5406834"/>
              <a:satOff val="-13935"/>
              <a:lumOff val="-9412"/>
              <a:alphaOff val="0"/>
            </a:schemeClr>
          </a:solidFill>
          <a:prstDash val="solid"/>
          <a:miter lim="800000"/>
        </a:ln>
        <a:effectLst/>
      </dsp:spPr>
      <dsp:style>
        <a:lnRef idx="2">
          <a:scrgbClr r="0" g="0" b="0"/>
        </a:lnRef>
        <a:fillRef idx="1">
          <a:scrgbClr r="0" g="0" b="0"/>
        </a:fillRef>
        <a:effectRef idx="0">
          <a:scrgbClr r="0" g="0" b="0"/>
        </a:effectRef>
        <a:fontRef idx="minor"/>
      </dsp:style>
    </dsp:sp>
    <dsp:sp modelId="{91EDF9F0-A522-4701-B9A4-AADE79E6D241}">
      <dsp:nvSpPr>
        <dsp:cNvPr id="0" name=""/>
        <dsp:cNvSpPr/>
      </dsp:nvSpPr>
      <dsp:spPr>
        <a:xfrm>
          <a:off x="295275" y="1928400"/>
          <a:ext cx="4133850" cy="295200"/>
        </a:xfrm>
        <a:prstGeom prst="roundRect">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6250" tIns="0" rIns="156250"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Crime</a:t>
          </a:r>
        </a:p>
      </dsp:txBody>
      <dsp:txXfrm>
        <a:off x="309685" y="1942810"/>
        <a:ext cx="4105030" cy="266380"/>
      </dsp:txXfrm>
    </dsp:sp>
    <dsp:sp modelId="{815587EF-2BBC-4ED8-8C4E-B3BB1FC8D030}">
      <dsp:nvSpPr>
        <dsp:cNvPr id="0" name=""/>
        <dsp:cNvSpPr/>
      </dsp:nvSpPr>
      <dsp:spPr>
        <a:xfrm>
          <a:off x="0" y="2529600"/>
          <a:ext cx="5905500" cy="252000"/>
        </a:xfrm>
        <a:prstGeom prst="rect">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sp>
    <dsp:sp modelId="{596627E9-8A54-465B-9DBA-F1FC44C04AA5}">
      <dsp:nvSpPr>
        <dsp:cNvPr id="0" name=""/>
        <dsp:cNvSpPr/>
      </dsp:nvSpPr>
      <dsp:spPr>
        <a:xfrm>
          <a:off x="295275" y="2381999"/>
          <a:ext cx="4133850" cy="295200"/>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6250" tIns="0" rIns="156250"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Poverty </a:t>
          </a:r>
        </a:p>
      </dsp:txBody>
      <dsp:txXfrm>
        <a:off x="309685" y="2396409"/>
        <a:ext cx="4105030" cy="2663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C8E142-F5A9-44F2-BFDE-3CB50DA83FF8}">
      <dsp:nvSpPr>
        <dsp:cNvPr id="0" name=""/>
        <dsp:cNvSpPr/>
      </dsp:nvSpPr>
      <dsp:spPr>
        <a:xfrm>
          <a:off x="1964561" y="802511"/>
          <a:ext cx="1999237" cy="1999237"/>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GB" sz="1900" b="1" kern="1200">
              <a:latin typeface="Times New Roman" panose="02020603050405020304" pitchFamily="18" charset="0"/>
              <a:cs typeface="Times New Roman" panose="02020603050405020304" pitchFamily="18" charset="0"/>
            </a:rPr>
            <a:t>Stakeholders</a:t>
          </a:r>
        </a:p>
      </dsp:txBody>
      <dsp:txXfrm>
        <a:off x="2257342" y="1095292"/>
        <a:ext cx="1413675" cy="1413675"/>
      </dsp:txXfrm>
    </dsp:sp>
    <dsp:sp modelId="{3057872F-7C6B-4332-9CBD-A082A82D8372}">
      <dsp:nvSpPr>
        <dsp:cNvPr id="0" name=""/>
        <dsp:cNvSpPr/>
      </dsp:nvSpPr>
      <dsp:spPr>
        <a:xfrm>
          <a:off x="2464370" y="356"/>
          <a:ext cx="999618" cy="999618"/>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Residents</a:t>
          </a:r>
        </a:p>
      </dsp:txBody>
      <dsp:txXfrm>
        <a:off x="2610761" y="146747"/>
        <a:ext cx="706836" cy="706836"/>
      </dsp:txXfrm>
    </dsp:sp>
    <dsp:sp modelId="{D31522AD-5419-4439-B206-2EDDCD56D7C9}">
      <dsp:nvSpPr>
        <dsp:cNvPr id="0" name=""/>
        <dsp:cNvSpPr/>
      </dsp:nvSpPr>
      <dsp:spPr>
        <a:xfrm>
          <a:off x="3766334" y="1302320"/>
          <a:ext cx="999618" cy="999618"/>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Businesses</a:t>
          </a:r>
        </a:p>
      </dsp:txBody>
      <dsp:txXfrm>
        <a:off x="3912725" y="1448711"/>
        <a:ext cx="706836" cy="706836"/>
      </dsp:txXfrm>
    </dsp:sp>
    <dsp:sp modelId="{BA986C7C-8F2E-421C-A415-15F4D7B65CD0}">
      <dsp:nvSpPr>
        <dsp:cNvPr id="0" name=""/>
        <dsp:cNvSpPr/>
      </dsp:nvSpPr>
      <dsp:spPr>
        <a:xfrm>
          <a:off x="2464370" y="2604284"/>
          <a:ext cx="999618" cy="999618"/>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Community organisations</a:t>
          </a:r>
        </a:p>
      </dsp:txBody>
      <dsp:txXfrm>
        <a:off x="2610761" y="2750675"/>
        <a:ext cx="706836" cy="706836"/>
      </dsp:txXfrm>
    </dsp:sp>
    <dsp:sp modelId="{F15F3992-5CFD-4E45-804B-60FB9AC51F47}">
      <dsp:nvSpPr>
        <dsp:cNvPr id="0" name=""/>
        <dsp:cNvSpPr/>
      </dsp:nvSpPr>
      <dsp:spPr>
        <a:xfrm>
          <a:off x="1162406" y="1302320"/>
          <a:ext cx="999618" cy="999618"/>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Government-run organisations </a:t>
          </a:r>
        </a:p>
      </dsp:txBody>
      <dsp:txXfrm>
        <a:off x="1308797" y="1448711"/>
        <a:ext cx="706836" cy="70683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2962</TotalTime>
  <Pages>1</Pages>
  <Words>2798</Words>
  <Characters>15954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dc:description/>
  <cp:lastModifiedBy>Tsonyo Todorov (2021609)</cp:lastModifiedBy>
  <cp:revision>14</cp:revision>
  <dcterms:created xsi:type="dcterms:W3CDTF">2023-03-25T18:13:00Z</dcterms:created>
  <dcterms:modified xsi:type="dcterms:W3CDTF">2023-04-07T18:29:00Z</dcterms:modified>
</cp:coreProperties>
</file>