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DAE526" w14:textId="77777777" w:rsidR="00585384" w:rsidRDefault="00585384" w:rsidP="00585384">
      <w:bookmarkStart w:id="0" w:name="_Hlk172878539"/>
      <w:bookmarkStart w:id="1" w:name="_Hlk215254142"/>
      <w:bookmarkEnd w:id="0"/>
      <w:r>
        <w:rPr>
          <w:rFonts w:ascii="Arial" w:hAnsi="Arial" w:cs="Arial"/>
          <w:b/>
          <w:bCs/>
          <w:noProof/>
          <w:sz w:val="22"/>
          <w:szCs w:val="22"/>
        </w:rPr>
        <w:drawing>
          <wp:anchor distT="0" distB="0" distL="114300" distR="114300" simplePos="0" relativeHeight="251659264" behindDoc="0" locked="0" layoutInCell="1" allowOverlap="1" wp14:anchorId="2F07AC46" wp14:editId="5468CF4C">
            <wp:simplePos x="0" y="0"/>
            <wp:positionH relativeFrom="column">
              <wp:posOffset>-355023</wp:posOffset>
            </wp:positionH>
            <wp:positionV relativeFrom="paragraph">
              <wp:posOffset>19570</wp:posOffset>
            </wp:positionV>
            <wp:extent cx="1706563" cy="1228725"/>
            <wp:effectExtent l="19050" t="19050" r="141287" b="142875"/>
            <wp:wrapSquare wrapText="bothSides"/>
            <wp:docPr id="1183154120" name="Picture 1" descr="A black and yellow shield with blue flowers and leaves&#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1706563" cy="1228725"/>
                    </a:xfrm>
                    <a:prstGeom prst="rect">
                      <a:avLst/>
                    </a:prstGeom>
                    <a:solidFill>
                      <a:srgbClr val="FFFFFF"/>
                    </a:solidFill>
                    <a:ln w="12701">
                      <a:solidFill>
                        <a:srgbClr val="000000"/>
                      </a:solidFill>
                      <a:prstDash val="solid"/>
                    </a:ln>
                    <a:effectLst>
                      <a:outerShdw dist="139699" dir="2700000" algn="tl">
                        <a:srgbClr val="333333"/>
                      </a:outerShdw>
                    </a:effectLst>
                  </pic:spPr>
                </pic:pic>
              </a:graphicData>
            </a:graphic>
          </wp:anchor>
        </w:drawing>
      </w:r>
      <w:r>
        <w:rPr>
          <w:rFonts w:ascii="Arial" w:hAnsi="Arial" w:cs="Arial"/>
          <w:b/>
          <w:bCs/>
          <w:sz w:val="22"/>
          <w:szCs w:val="22"/>
        </w:rPr>
        <w:t>University of Wales</w:t>
      </w:r>
    </w:p>
    <w:p w14:paraId="739584E5" w14:textId="77777777" w:rsidR="00585384" w:rsidRDefault="00585384" w:rsidP="00585384">
      <w:r>
        <w:rPr>
          <w:rFonts w:ascii="Arial" w:hAnsi="Arial" w:cs="Arial"/>
          <w:b/>
          <w:bCs/>
          <w:sz w:val="22"/>
          <w:szCs w:val="22"/>
        </w:rPr>
        <w:t>Trinity Saint David</w:t>
      </w:r>
    </w:p>
    <w:p w14:paraId="4A1837D5" w14:textId="77777777" w:rsidR="00585384" w:rsidRDefault="00585384" w:rsidP="00585384">
      <w:r>
        <w:rPr>
          <w:rFonts w:ascii="Arial" w:hAnsi="Arial" w:cs="Arial"/>
          <w:b/>
          <w:bCs/>
          <w:sz w:val="22"/>
          <w:szCs w:val="22"/>
        </w:rPr>
        <w:t>London</w:t>
      </w:r>
    </w:p>
    <w:p w14:paraId="1E22BCEC" w14:textId="77777777" w:rsidR="00585384" w:rsidRDefault="00585384" w:rsidP="00585384"/>
    <w:p w14:paraId="35B67BB5" w14:textId="77777777" w:rsidR="00585384" w:rsidRDefault="00585384" w:rsidP="00585384"/>
    <w:p w14:paraId="34B49DA8" w14:textId="77777777" w:rsidR="00585384" w:rsidRDefault="00585384" w:rsidP="00585384"/>
    <w:p w14:paraId="1010F3C7" w14:textId="77777777" w:rsidR="00585384" w:rsidRDefault="00585384" w:rsidP="00585384"/>
    <w:p w14:paraId="7A093C20" w14:textId="77777777" w:rsidR="00585384" w:rsidRDefault="00585384" w:rsidP="00585384"/>
    <w:p w14:paraId="7564C02E" w14:textId="77777777" w:rsidR="00585384" w:rsidRDefault="00585384" w:rsidP="00585384"/>
    <w:p w14:paraId="24A79ECD" w14:textId="5EC56E9E" w:rsidR="00453769" w:rsidRPr="003F6F81" w:rsidRDefault="00585384" w:rsidP="00453769">
      <w:pPr>
        <w:spacing w:before="2000" w:line="360" w:lineRule="auto"/>
        <w:jc w:val="center"/>
        <w:rPr>
          <w:rFonts w:ascii="Arial" w:hAnsi="Arial" w:cs="Arial"/>
          <w:b/>
          <w:bCs/>
          <w:sz w:val="32"/>
          <w:szCs w:val="32"/>
        </w:rPr>
      </w:pPr>
      <w:r w:rsidRPr="003F6F81">
        <w:rPr>
          <w:rFonts w:ascii="Arial" w:hAnsi="Arial" w:cs="Arial"/>
          <w:b/>
          <w:bCs/>
          <w:sz w:val="32"/>
          <w:szCs w:val="32"/>
        </w:rPr>
        <w:t xml:space="preserve">Title: </w:t>
      </w:r>
      <w:r w:rsidR="00453769" w:rsidRPr="003F6F81">
        <w:rPr>
          <w:rFonts w:ascii="Arial" w:hAnsi="Arial" w:cs="Arial"/>
          <w:b/>
          <w:bCs/>
          <w:sz w:val="32"/>
          <w:szCs w:val="32"/>
        </w:rPr>
        <w:t>UK Fresh Produce Supply Chain Resilience</w:t>
      </w:r>
    </w:p>
    <w:p w14:paraId="259FA9D8" w14:textId="77777777" w:rsidR="00453769" w:rsidRPr="003F6F81" w:rsidRDefault="00453769" w:rsidP="00453769">
      <w:pPr>
        <w:spacing w:line="360" w:lineRule="auto"/>
        <w:jc w:val="center"/>
        <w:rPr>
          <w:rFonts w:ascii="Arial" w:hAnsi="Arial" w:cs="Arial"/>
          <w:b/>
          <w:bCs/>
          <w:sz w:val="32"/>
          <w:szCs w:val="32"/>
        </w:rPr>
      </w:pPr>
      <w:r w:rsidRPr="003F6F81">
        <w:rPr>
          <w:rFonts w:ascii="Arial" w:hAnsi="Arial" w:cs="Arial"/>
          <w:b/>
          <w:bCs/>
          <w:sz w:val="32"/>
          <w:szCs w:val="32"/>
        </w:rPr>
        <w:t>Adapting to Compounding Disruptions:</w:t>
      </w:r>
    </w:p>
    <w:p w14:paraId="396F4120" w14:textId="58E6B44C" w:rsidR="00585384" w:rsidRPr="003F6F81" w:rsidRDefault="00585384" w:rsidP="00453769">
      <w:pPr>
        <w:spacing w:line="360" w:lineRule="auto"/>
        <w:jc w:val="center"/>
        <w:rPr>
          <w:rFonts w:ascii="Arial" w:hAnsi="Arial" w:cs="Arial"/>
          <w:b/>
          <w:bCs/>
          <w:sz w:val="22"/>
          <w:szCs w:val="22"/>
        </w:rPr>
      </w:pPr>
      <w:r w:rsidRPr="003F6F81">
        <w:rPr>
          <w:rFonts w:ascii="Arial" w:hAnsi="Arial" w:cs="Arial"/>
          <w:b/>
          <w:bCs/>
          <w:sz w:val="22"/>
          <w:szCs w:val="22"/>
        </w:rPr>
        <w:t>A Case Study of the Fresh Produce Sector</w:t>
      </w:r>
    </w:p>
    <w:p w14:paraId="0B7EFC5B" w14:textId="77777777" w:rsidR="008158A7" w:rsidRPr="003F6F81" w:rsidRDefault="008158A7" w:rsidP="00453769">
      <w:pPr>
        <w:spacing w:line="360" w:lineRule="auto"/>
        <w:jc w:val="center"/>
        <w:rPr>
          <w:rFonts w:ascii="Arial" w:hAnsi="Arial" w:cs="Arial"/>
          <w:b/>
          <w:bCs/>
          <w:sz w:val="22"/>
          <w:szCs w:val="22"/>
        </w:rPr>
      </w:pPr>
    </w:p>
    <w:p w14:paraId="27FFC2E7" w14:textId="77777777" w:rsidR="008158A7" w:rsidRPr="003F6F81" w:rsidRDefault="008158A7" w:rsidP="008158A7">
      <w:pPr>
        <w:spacing w:after="100"/>
        <w:jc w:val="center"/>
        <w:rPr>
          <w:rFonts w:ascii="Arial" w:hAnsi="Arial" w:cs="Arial"/>
          <w:b/>
          <w:bCs/>
          <w:sz w:val="22"/>
          <w:szCs w:val="22"/>
        </w:rPr>
      </w:pPr>
      <w:r w:rsidRPr="003F6F81">
        <w:rPr>
          <w:rFonts w:ascii="Arial" w:hAnsi="Arial" w:cs="Arial"/>
          <w:b/>
          <w:bCs/>
          <w:sz w:val="22"/>
          <w:szCs w:val="22"/>
        </w:rPr>
        <w:t>BA (Hons) Leadership and Management Skills in the Workplace</w:t>
      </w:r>
    </w:p>
    <w:p w14:paraId="19E4EEC3" w14:textId="77777777" w:rsidR="008158A7" w:rsidRDefault="008158A7" w:rsidP="008158A7">
      <w:pPr>
        <w:spacing w:after="100"/>
        <w:jc w:val="center"/>
        <w:rPr>
          <w:rFonts w:ascii="Arial" w:hAnsi="Arial" w:cs="Arial"/>
          <w:b/>
          <w:bCs/>
          <w:sz w:val="22"/>
          <w:szCs w:val="22"/>
        </w:rPr>
      </w:pPr>
      <w:r w:rsidRPr="003F6F81">
        <w:rPr>
          <w:rFonts w:ascii="Arial" w:hAnsi="Arial" w:cs="Arial"/>
          <w:b/>
          <w:bCs/>
          <w:sz w:val="22"/>
          <w:szCs w:val="22"/>
        </w:rPr>
        <w:t>University of Wales Trinity Saint David (UWTSD)</w:t>
      </w:r>
    </w:p>
    <w:p w14:paraId="5B4C2F40" w14:textId="77777777" w:rsidR="003F6F81" w:rsidRPr="003F6F81" w:rsidRDefault="003F6F81" w:rsidP="008158A7">
      <w:pPr>
        <w:spacing w:after="100"/>
        <w:jc w:val="center"/>
        <w:rPr>
          <w:rFonts w:ascii="Arial" w:hAnsi="Arial" w:cs="Arial"/>
          <w:b/>
          <w:bCs/>
          <w:sz w:val="22"/>
          <w:szCs w:val="22"/>
        </w:rPr>
      </w:pPr>
    </w:p>
    <w:p w14:paraId="75DFDBCA" w14:textId="3B09D053" w:rsidR="008158A7" w:rsidRPr="003F6F81" w:rsidRDefault="008158A7" w:rsidP="003F6F81">
      <w:pPr>
        <w:spacing w:after="100"/>
        <w:jc w:val="center"/>
        <w:rPr>
          <w:rFonts w:ascii="Arial" w:hAnsi="Arial" w:cs="Arial"/>
          <w:b/>
          <w:bCs/>
          <w:sz w:val="20"/>
          <w:szCs w:val="20"/>
        </w:rPr>
      </w:pPr>
      <w:r w:rsidRPr="003F6F81">
        <w:rPr>
          <w:rFonts w:ascii="Arial" w:hAnsi="Arial" w:cs="Arial"/>
          <w:b/>
          <w:bCs/>
          <w:sz w:val="32"/>
          <w:szCs w:val="32"/>
        </w:rPr>
        <w:t>Supervisor:</w:t>
      </w:r>
      <w:r w:rsidRPr="00D47AAA">
        <w:rPr>
          <w:rFonts w:ascii="Arial" w:hAnsi="Arial" w:cs="Arial"/>
          <w:b/>
          <w:bCs/>
          <w:sz w:val="20"/>
          <w:szCs w:val="20"/>
        </w:rPr>
        <w:t xml:space="preserve"> </w:t>
      </w:r>
      <w:r w:rsidRPr="003F6F81">
        <w:rPr>
          <w:rFonts w:ascii="Arial" w:hAnsi="Arial" w:cs="Arial"/>
          <w:sz w:val="22"/>
          <w:szCs w:val="22"/>
        </w:rPr>
        <w:t>MD Kalam</w:t>
      </w:r>
      <w:r w:rsidRPr="00D47AAA">
        <w:rPr>
          <w:rFonts w:ascii="Arial" w:hAnsi="Arial" w:cs="Arial"/>
          <w:b/>
          <w:bCs/>
          <w:sz w:val="20"/>
          <w:szCs w:val="20"/>
        </w:rPr>
        <w:t xml:space="preserve">  </w:t>
      </w:r>
    </w:p>
    <w:p w14:paraId="142CD326" w14:textId="77777777" w:rsidR="00453769" w:rsidRPr="00D47AAA" w:rsidRDefault="00453769" w:rsidP="00453769">
      <w:pPr>
        <w:jc w:val="center"/>
        <w:rPr>
          <w:rFonts w:ascii="Arial" w:hAnsi="Arial" w:cs="Arial"/>
          <w:b/>
          <w:bCs/>
        </w:rPr>
      </w:pPr>
    </w:p>
    <w:p w14:paraId="7C223C51" w14:textId="4C033569" w:rsidR="00585384" w:rsidRPr="00D47AAA" w:rsidRDefault="00585384" w:rsidP="00585384">
      <w:pPr>
        <w:spacing w:line="480" w:lineRule="auto"/>
        <w:jc w:val="center"/>
        <w:rPr>
          <w:rFonts w:ascii="Arial" w:hAnsi="Arial" w:cs="Arial"/>
          <w:b/>
          <w:bCs/>
          <w:sz w:val="36"/>
          <w:szCs w:val="36"/>
        </w:rPr>
      </w:pPr>
      <w:r w:rsidRPr="003F6F81">
        <w:rPr>
          <w:rFonts w:ascii="Arial" w:hAnsi="Arial" w:cs="Arial"/>
          <w:b/>
          <w:bCs/>
          <w:sz w:val="32"/>
          <w:szCs w:val="32"/>
        </w:rPr>
        <w:t>Module:</w:t>
      </w:r>
      <w:r w:rsidRPr="00D47AAA">
        <w:rPr>
          <w:rFonts w:ascii="Segoe UI" w:hAnsi="Segoe UI" w:cs="Segoe UI"/>
          <w:b/>
          <w:bCs/>
          <w:kern w:val="36"/>
          <w:sz w:val="48"/>
          <w:szCs w:val="48"/>
        </w:rPr>
        <w:t xml:space="preserve"> </w:t>
      </w:r>
      <w:r w:rsidRPr="003F6F81">
        <w:rPr>
          <w:rFonts w:ascii="Arial" w:hAnsi="Arial" w:cs="Arial"/>
          <w:sz w:val="22"/>
          <w:szCs w:val="22"/>
        </w:rPr>
        <w:t>Independent Project (LCLM6005_LON)</w:t>
      </w:r>
    </w:p>
    <w:p w14:paraId="555A64D3" w14:textId="4157C24A" w:rsidR="00585384" w:rsidRPr="00D47AAA" w:rsidRDefault="00585384" w:rsidP="00585384">
      <w:pPr>
        <w:spacing w:line="480" w:lineRule="auto"/>
        <w:jc w:val="center"/>
        <w:rPr>
          <w:b/>
          <w:bCs/>
        </w:rPr>
      </w:pPr>
      <w:r w:rsidRPr="003F6F81">
        <w:rPr>
          <w:rFonts w:ascii="Arial" w:hAnsi="Arial" w:cs="Arial"/>
          <w:b/>
          <w:bCs/>
          <w:sz w:val="32"/>
          <w:szCs w:val="32"/>
        </w:rPr>
        <w:t>Student Name:</w:t>
      </w:r>
      <w:r w:rsidRPr="00D47AAA">
        <w:rPr>
          <w:rFonts w:ascii="Arial" w:hAnsi="Arial" w:cs="Arial"/>
          <w:b/>
          <w:bCs/>
          <w:sz w:val="22"/>
          <w:szCs w:val="22"/>
        </w:rPr>
        <w:t xml:space="preserve"> </w:t>
      </w:r>
      <w:r w:rsidRPr="003F6F81">
        <w:rPr>
          <w:rFonts w:ascii="Arial" w:hAnsi="Arial" w:cs="Arial"/>
          <w:sz w:val="22"/>
          <w:szCs w:val="22"/>
        </w:rPr>
        <w:t>Nanga Pedro</w:t>
      </w:r>
      <w:r w:rsidR="00B74885" w:rsidRPr="003F6F81">
        <w:rPr>
          <w:rFonts w:ascii="Arial" w:hAnsi="Arial" w:cs="Arial"/>
          <w:sz w:val="22"/>
          <w:szCs w:val="22"/>
        </w:rPr>
        <w:t xml:space="preserve"> -</w:t>
      </w:r>
      <w:r w:rsidRPr="003F6F81">
        <w:rPr>
          <w:rFonts w:ascii="Arial" w:hAnsi="Arial" w:cs="Arial"/>
          <w:sz w:val="22"/>
          <w:szCs w:val="22"/>
        </w:rPr>
        <w:t xml:space="preserve"> 2247167</w:t>
      </w:r>
      <w:bookmarkEnd w:id="1"/>
    </w:p>
    <w:p w14:paraId="11381F4F" w14:textId="2A02333E" w:rsidR="00BB4BB4" w:rsidRPr="008158A7" w:rsidRDefault="00000000" w:rsidP="003F6F81">
      <w:pPr>
        <w:pageBreakBefore/>
        <w:spacing w:line="480" w:lineRule="auto"/>
        <w:rPr>
          <w:rFonts w:ascii="Arial" w:hAnsi="Arial" w:cs="Arial"/>
        </w:rPr>
      </w:pPr>
      <w:r w:rsidRPr="0034720E">
        <w:rPr>
          <w:rFonts w:ascii="Arial" w:hAnsi="Arial" w:cs="Arial"/>
          <w:b/>
          <w:bCs/>
          <w:sz w:val="32"/>
          <w:szCs w:val="32"/>
        </w:rPr>
        <w:lastRenderedPageBreak/>
        <w:t>Abstract</w:t>
      </w:r>
    </w:p>
    <w:p w14:paraId="3115D711" w14:textId="1A3CD7DA" w:rsidR="00BB4BB4" w:rsidRPr="00585384" w:rsidRDefault="00000000" w:rsidP="00B1174F">
      <w:pPr>
        <w:spacing w:after="200" w:line="360" w:lineRule="auto"/>
        <w:rPr>
          <w:rFonts w:ascii="Arial" w:hAnsi="Arial" w:cs="Arial"/>
          <w:sz w:val="22"/>
          <w:szCs w:val="22"/>
        </w:rPr>
      </w:pPr>
      <w:r w:rsidRPr="00585384">
        <w:rPr>
          <w:rFonts w:ascii="Arial" w:hAnsi="Arial" w:cs="Arial"/>
          <w:sz w:val="22"/>
          <w:szCs w:val="22"/>
        </w:rPr>
        <w:t>The United Kingdom’s fresh produce supply chain has experienced unprecedented disruption since 2020, exposing structural vulnerabilities in systems historically optimised for efficiency rather than supply chain resilience. Drawing on systematic secondary analysis of over 50 UK-based industry reports, government publications, academic case studies, trade press articles, and company disclosures published between 2020 and 2025, this dissertation investigates how UK fresh produce companies have adapted their supply chain strategies following Brexit, COVID-19, the 2022–2023 energy crisis, and concurrent adverse weather events. The evidence suggests that established supply chain resilience frameworks developed predominantly in manufacturing contexts are inadequate for perishable goods where biological constraints invert conventional inventory management logic. Three dominant adaptation strategies emerge from the analysis: supplier geographic diversification, nearshoring and domestic production investment, and technology-enabled supply chain visibility. However, the evidence also reveals a persistent resilience–efficiency paradox in which short-term cost pressures routinely override strategic resilience commitments, and significant implementation barriers including capital constraints and supplier relationship complexity constrain practical progress. This research argues that fresh produce supply chain resilience demands context-specific theoretical frameworks, continuous organisational investment, and targeted policy intervention to address market failures that individual companies cannot resolve unilaterally. The findings contribute an empirically grounded synthesis of post-2020 UK sector adaptation that extends supply chain resilience theory and provides practical guidance for industry practitioners and policymakers. This research provides a timely evidence base for navigating post-2020 uncertainty and supports the case for sector-specific supply chain resilience policy.</w:t>
      </w:r>
    </w:p>
    <w:p w14:paraId="2DE877F3" w14:textId="77777777" w:rsidR="00BB4BB4" w:rsidRPr="00585384" w:rsidRDefault="00000000" w:rsidP="00585384">
      <w:pPr>
        <w:pageBreakBefore/>
        <w:rPr>
          <w:rFonts w:ascii="Arial" w:hAnsi="Arial" w:cs="Arial"/>
        </w:rPr>
      </w:pPr>
      <w:r w:rsidRPr="00585384">
        <w:rPr>
          <w:rFonts w:ascii="Arial" w:hAnsi="Arial" w:cs="Arial"/>
        </w:rPr>
        <w:lastRenderedPageBreak/>
        <w:br/>
      </w:r>
    </w:p>
    <w:p w14:paraId="4A4E77C6" w14:textId="77777777" w:rsidR="00BB4BB4" w:rsidRPr="0034720E" w:rsidRDefault="00000000" w:rsidP="00585384">
      <w:pPr>
        <w:spacing w:before="400" w:after="300"/>
        <w:rPr>
          <w:rFonts w:ascii="Arial" w:hAnsi="Arial" w:cs="Arial"/>
          <w:sz w:val="32"/>
          <w:szCs w:val="32"/>
        </w:rPr>
      </w:pPr>
      <w:r w:rsidRPr="0034720E">
        <w:rPr>
          <w:rFonts w:ascii="Arial" w:hAnsi="Arial" w:cs="Arial"/>
          <w:b/>
          <w:bCs/>
          <w:sz w:val="32"/>
          <w:szCs w:val="32"/>
        </w:rPr>
        <w:t>Acknowledgements</w:t>
      </w:r>
    </w:p>
    <w:p w14:paraId="2F8F724B" w14:textId="63B2120A" w:rsidR="00253D22" w:rsidRDefault="00000000" w:rsidP="00292B71">
      <w:pPr>
        <w:spacing w:after="200" w:line="360" w:lineRule="auto"/>
        <w:rPr>
          <w:rFonts w:ascii="Arial" w:hAnsi="Arial" w:cs="Arial"/>
          <w:sz w:val="22"/>
          <w:szCs w:val="22"/>
        </w:rPr>
      </w:pPr>
      <w:r w:rsidRPr="00585384">
        <w:rPr>
          <w:rFonts w:ascii="Arial" w:hAnsi="Arial" w:cs="Arial"/>
          <w:sz w:val="22"/>
          <w:szCs w:val="22"/>
        </w:rPr>
        <w:t>I would like to express my sincere gratitude to my supervisor, MD Kalam, for their invaluable guidance, constructive feedback, and encouragement throughout this research project. Their expertise and support were instrumental in shaping this work.</w:t>
      </w:r>
      <w:r w:rsidR="00B74885">
        <w:rPr>
          <w:rFonts w:ascii="Arial" w:hAnsi="Arial" w:cs="Arial"/>
          <w:sz w:val="22"/>
          <w:szCs w:val="22"/>
        </w:rPr>
        <w:t xml:space="preserve"> </w:t>
      </w:r>
      <w:r w:rsidR="00253D22">
        <w:rPr>
          <w:rFonts w:ascii="Arial" w:hAnsi="Arial" w:cs="Arial"/>
          <w:sz w:val="22"/>
          <w:szCs w:val="22"/>
        </w:rPr>
        <w:t xml:space="preserve">And </w:t>
      </w:r>
      <w:r w:rsidR="006554B9">
        <w:rPr>
          <w:rFonts w:ascii="Arial" w:hAnsi="Arial" w:cs="Arial"/>
          <w:sz w:val="22"/>
          <w:szCs w:val="22"/>
        </w:rPr>
        <w:t>I</w:t>
      </w:r>
      <w:r w:rsidRPr="00585384">
        <w:rPr>
          <w:rFonts w:ascii="Arial" w:hAnsi="Arial" w:cs="Arial"/>
          <w:sz w:val="22"/>
          <w:szCs w:val="22"/>
        </w:rPr>
        <w:t xml:space="preserve"> am deeply grateful to my wife, Joana Lucas, whose unwavering support, patience, and understanding made this journey possible. </w:t>
      </w:r>
    </w:p>
    <w:p w14:paraId="049DF91B" w14:textId="77777777" w:rsidR="00253D22" w:rsidRDefault="00000000" w:rsidP="00292B71">
      <w:pPr>
        <w:spacing w:after="200" w:line="360" w:lineRule="auto"/>
        <w:rPr>
          <w:rFonts w:ascii="Arial" w:hAnsi="Arial" w:cs="Arial"/>
          <w:sz w:val="22"/>
          <w:szCs w:val="22"/>
        </w:rPr>
      </w:pPr>
      <w:r w:rsidRPr="00585384">
        <w:rPr>
          <w:rFonts w:ascii="Arial" w:hAnsi="Arial" w:cs="Arial"/>
          <w:sz w:val="22"/>
          <w:szCs w:val="22"/>
        </w:rPr>
        <w:t>I also extend my thanks to the academic staff at the University of Wales Trinity Saint David for fostering an environment of critical inquiry and academic excellence.</w:t>
      </w:r>
      <w:r w:rsidR="00253D22">
        <w:rPr>
          <w:rFonts w:ascii="Arial" w:hAnsi="Arial" w:cs="Arial"/>
          <w:sz w:val="22"/>
          <w:szCs w:val="22"/>
        </w:rPr>
        <w:t xml:space="preserve"> </w:t>
      </w:r>
      <w:r w:rsidRPr="00585384">
        <w:rPr>
          <w:rFonts w:ascii="Arial" w:hAnsi="Arial" w:cs="Arial"/>
          <w:sz w:val="22"/>
          <w:szCs w:val="22"/>
        </w:rPr>
        <w:t>Special thanks to the authors and organisations whose published reports, articles, and case studies provided the foundation for this research. Their contributions to industry knowledge and practice enabled this investigation into supply chain resilience in the UK fresh produce sector.</w:t>
      </w:r>
      <w:r w:rsidR="00B74885">
        <w:rPr>
          <w:rFonts w:ascii="Arial" w:hAnsi="Arial" w:cs="Arial"/>
          <w:sz w:val="22"/>
          <w:szCs w:val="22"/>
        </w:rPr>
        <w:t xml:space="preserve"> </w:t>
      </w:r>
    </w:p>
    <w:p w14:paraId="18BCB608" w14:textId="2C9C560D" w:rsidR="00BB4BB4" w:rsidRPr="00585384" w:rsidRDefault="00000000" w:rsidP="00292B71">
      <w:pPr>
        <w:spacing w:after="200" w:line="360" w:lineRule="auto"/>
        <w:rPr>
          <w:rFonts w:ascii="Arial" w:hAnsi="Arial" w:cs="Arial"/>
          <w:sz w:val="22"/>
          <w:szCs w:val="22"/>
        </w:rPr>
      </w:pPr>
      <w:r w:rsidRPr="00585384">
        <w:rPr>
          <w:rFonts w:ascii="Arial" w:hAnsi="Arial" w:cs="Arial"/>
          <w:sz w:val="22"/>
          <w:szCs w:val="22"/>
        </w:rPr>
        <w:t>I acknowledge the support of my family and peers, whose encouragement and motivation were essential to the completion of this work. Finally, I am grateful for the resources and facilities provided by the university library, which enabled comprehensive access to relevant literature and documentary sources.</w:t>
      </w:r>
    </w:p>
    <w:p w14:paraId="096A430B" w14:textId="125C8173" w:rsidR="00BB4BB4" w:rsidRPr="00B1174F" w:rsidRDefault="00000000" w:rsidP="003F6F81">
      <w:pPr>
        <w:pageBreakBefore/>
        <w:spacing w:line="480" w:lineRule="auto"/>
        <w:rPr>
          <w:rFonts w:ascii="Arial" w:hAnsi="Arial" w:cs="Arial"/>
          <w:sz w:val="32"/>
          <w:szCs w:val="32"/>
        </w:rPr>
      </w:pPr>
      <w:r w:rsidRPr="00B1174F">
        <w:rPr>
          <w:rFonts w:ascii="Arial" w:hAnsi="Arial" w:cs="Arial"/>
          <w:b/>
          <w:bCs/>
          <w:sz w:val="32"/>
          <w:szCs w:val="32"/>
        </w:rPr>
        <w:lastRenderedPageBreak/>
        <w:t>Table of Contents</w:t>
      </w:r>
    </w:p>
    <w:p w14:paraId="4C9AAA67" w14:textId="5003FE12" w:rsidR="00BB4BB4" w:rsidRPr="005E4704" w:rsidRDefault="00000000" w:rsidP="003F6F81">
      <w:pPr>
        <w:tabs>
          <w:tab w:val="right" w:leader="dot" w:pos="8640"/>
        </w:tabs>
        <w:spacing w:after="60"/>
        <w:rPr>
          <w:rFonts w:ascii="Arial" w:hAnsi="Arial" w:cs="Arial"/>
          <w:sz w:val="16"/>
          <w:szCs w:val="16"/>
        </w:rPr>
      </w:pPr>
      <w:r w:rsidRPr="005E4704">
        <w:rPr>
          <w:rFonts w:ascii="Arial" w:hAnsi="Arial" w:cs="Arial"/>
          <w:sz w:val="16"/>
          <w:szCs w:val="16"/>
        </w:rPr>
        <w:t>Abstract</w:t>
      </w:r>
      <w:r w:rsidRPr="005E4704">
        <w:rPr>
          <w:rFonts w:ascii="Arial" w:hAnsi="Arial" w:cs="Arial"/>
          <w:sz w:val="16"/>
          <w:szCs w:val="16"/>
        </w:rPr>
        <w:tab/>
      </w:r>
      <w:r w:rsidR="00FF158F" w:rsidRPr="005E4704">
        <w:rPr>
          <w:rFonts w:ascii="Arial" w:hAnsi="Arial" w:cs="Arial"/>
          <w:sz w:val="16"/>
          <w:szCs w:val="16"/>
        </w:rPr>
        <w:t>I</w:t>
      </w:r>
    </w:p>
    <w:p w14:paraId="64880E1A" w14:textId="77777777" w:rsidR="00BB4BB4" w:rsidRPr="005E4704" w:rsidRDefault="00000000" w:rsidP="003F6F81">
      <w:pPr>
        <w:tabs>
          <w:tab w:val="right" w:leader="dot" w:pos="8640"/>
        </w:tabs>
        <w:spacing w:after="60"/>
        <w:rPr>
          <w:rFonts w:ascii="Arial" w:hAnsi="Arial" w:cs="Arial"/>
          <w:sz w:val="16"/>
          <w:szCs w:val="16"/>
        </w:rPr>
      </w:pPr>
      <w:r w:rsidRPr="005E4704">
        <w:rPr>
          <w:rFonts w:ascii="Arial" w:hAnsi="Arial" w:cs="Arial"/>
          <w:sz w:val="16"/>
          <w:szCs w:val="16"/>
        </w:rPr>
        <w:t>Acknowledgements</w:t>
      </w:r>
      <w:r w:rsidRPr="005E4704">
        <w:rPr>
          <w:rFonts w:ascii="Arial" w:hAnsi="Arial" w:cs="Arial"/>
          <w:sz w:val="16"/>
          <w:szCs w:val="16"/>
        </w:rPr>
        <w:tab/>
        <w:t>ii</w:t>
      </w:r>
    </w:p>
    <w:p w14:paraId="5291EFBC" w14:textId="77777777" w:rsidR="00BB4BB4" w:rsidRPr="005E4704" w:rsidRDefault="00000000" w:rsidP="003F6F81">
      <w:pPr>
        <w:tabs>
          <w:tab w:val="right" w:leader="dot" w:pos="8640"/>
        </w:tabs>
        <w:spacing w:after="60"/>
        <w:rPr>
          <w:rFonts w:ascii="Arial" w:hAnsi="Arial" w:cs="Arial"/>
          <w:sz w:val="16"/>
          <w:szCs w:val="16"/>
        </w:rPr>
      </w:pPr>
      <w:r w:rsidRPr="005E4704">
        <w:rPr>
          <w:rFonts w:ascii="Arial" w:hAnsi="Arial" w:cs="Arial"/>
          <w:sz w:val="16"/>
          <w:szCs w:val="16"/>
        </w:rPr>
        <w:t>Table of Contents</w:t>
      </w:r>
      <w:r w:rsidRPr="005E4704">
        <w:rPr>
          <w:rFonts w:ascii="Arial" w:hAnsi="Arial" w:cs="Arial"/>
          <w:sz w:val="16"/>
          <w:szCs w:val="16"/>
        </w:rPr>
        <w:tab/>
        <w:t>iii</w:t>
      </w:r>
    </w:p>
    <w:p w14:paraId="43A6D58A" w14:textId="77777777" w:rsidR="00BB4BB4" w:rsidRPr="005E4704" w:rsidRDefault="00BB4BB4" w:rsidP="00585384">
      <w:pPr>
        <w:spacing w:after="40"/>
        <w:rPr>
          <w:rFonts w:ascii="Arial" w:hAnsi="Arial" w:cs="Arial"/>
          <w:sz w:val="16"/>
          <w:szCs w:val="16"/>
        </w:rPr>
      </w:pPr>
    </w:p>
    <w:p w14:paraId="725AEB97" w14:textId="4A380608" w:rsidR="00BB4BB4" w:rsidRPr="005E4704" w:rsidRDefault="00000000" w:rsidP="00585384">
      <w:pPr>
        <w:tabs>
          <w:tab w:val="right" w:leader="dot" w:pos="8640"/>
        </w:tabs>
        <w:spacing w:after="120"/>
        <w:rPr>
          <w:rFonts w:ascii="Arial" w:hAnsi="Arial" w:cs="Arial"/>
          <w:sz w:val="16"/>
          <w:szCs w:val="16"/>
        </w:rPr>
      </w:pPr>
      <w:r w:rsidRPr="005E4704">
        <w:rPr>
          <w:rFonts w:ascii="Arial" w:hAnsi="Arial" w:cs="Arial"/>
          <w:b/>
          <w:bCs/>
          <w:sz w:val="16"/>
          <w:szCs w:val="16"/>
        </w:rPr>
        <w:t>CHAPTER 1: INTRODUCTION</w:t>
      </w:r>
      <w:r w:rsidRPr="005E4704">
        <w:rPr>
          <w:rFonts w:ascii="Arial" w:hAnsi="Arial" w:cs="Arial"/>
          <w:b/>
          <w:bCs/>
          <w:sz w:val="16"/>
          <w:szCs w:val="16"/>
        </w:rPr>
        <w:tab/>
      </w:r>
      <w:r w:rsidR="001446B6">
        <w:rPr>
          <w:rFonts w:ascii="Arial" w:hAnsi="Arial" w:cs="Arial"/>
          <w:b/>
          <w:bCs/>
          <w:sz w:val="16"/>
          <w:szCs w:val="16"/>
        </w:rPr>
        <w:t>5</w:t>
      </w:r>
    </w:p>
    <w:p w14:paraId="250D059B" w14:textId="48BE1C9D" w:rsidR="00BB4BB4" w:rsidRPr="005E4704" w:rsidRDefault="00000000" w:rsidP="00585384">
      <w:pPr>
        <w:tabs>
          <w:tab w:val="right" w:leader="dot" w:pos="8640"/>
        </w:tabs>
        <w:spacing w:after="60"/>
        <w:ind w:left="360"/>
        <w:rPr>
          <w:rFonts w:ascii="Arial" w:hAnsi="Arial" w:cs="Arial"/>
          <w:sz w:val="16"/>
          <w:szCs w:val="16"/>
        </w:rPr>
      </w:pPr>
      <w:r w:rsidRPr="005E4704">
        <w:rPr>
          <w:rFonts w:ascii="Arial" w:hAnsi="Arial" w:cs="Arial"/>
          <w:sz w:val="16"/>
          <w:szCs w:val="16"/>
        </w:rPr>
        <w:t>1.1 Background and Research Context</w:t>
      </w:r>
      <w:r w:rsidRPr="005E4704">
        <w:rPr>
          <w:rFonts w:ascii="Arial" w:hAnsi="Arial" w:cs="Arial"/>
          <w:sz w:val="16"/>
          <w:szCs w:val="16"/>
        </w:rPr>
        <w:tab/>
      </w:r>
      <w:r w:rsidR="00EF0AED">
        <w:rPr>
          <w:rFonts w:ascii="Arial" w:hAnsi="Arial" w:cs="Arial"/>
          <w:sz w:val="16"/>
          <w:szCs w:val="16"/>
        </w:rPr>
        <w:t>6</w:t>
      </w:r>
    </w:p>
    <w:p w14:paraId="7F9CC79F" w14:textId="7FED359D" w:rsidR="00BB4BB4" w:rsidRPr="005E4704" w:rsidRDefault="00000000" w:rsidP="00585384">
      <w:pPr>
        <w:tabs>
          <w:tab w:val="right" w:leader="dot" w:pos="8640"/>
        </w:tabs>
        <w:spacing w:after="60"/>
        <w:ind w:left="360"/>
        <w:rPr>
          <w:rFonts w:ascii="Arial" w:hAnsi="Arial" w:cs="Arial"/>
          <w:sz w:val="16"/>
          <w:szCs w:val="16"/>
        </w:rPr>
      </w:pPr>
      <w:r w:rsidRPr="005E4704">
        <w:rPr>
          <w:rFonts w:ascii="Arial" w:hAnsi="Arial" w:cs="Arial"/>
          <w:sz w:val="16"/>
          <w:szCs w:val="16"/>
        </w:rPr>
        <w:t>1.2 Research Aim</w:t>
      </w:r>
      <w:r w:rsidRPr="005E4704">
        <w:rPr>
          <w:rFonts w:ascii="Arial" w:hAnsi="Arial" w:cs="Arial"/>
          <w:sz w:val="16"/>
          <w:szCs w:val="16"/>
        </w:rPr>
        <w:tab/>
      </w:r>
      <w:r w:rsidR="00EF0AED">
        <w:rPr>
          <w:rFonts w:ascii="Arial" w:hAnsi="Arial" w:cs="Arial"/>
          <w:sz w:val="16"/>
          <w:szCs w:val="16"/>
        </w:rPr>
        <w:t>7</w:t>
      </w:r>
    </w:p>
    <w:p w14:paraId="3CA3276E" w14:textId="7CE1DF37" w:rsidR="00BB4BB4" w:rsidRPr="005E4704" w:rsidRDefault="00000000" w:rsidP="00585384">
      <w:pPr>
        <w:tabs>
          <w:tab w:val="right" w:leader="dot" w:pos="8640"/>
        </w:tabs>
        <w:spacing w:after="60"/>
        <w:ind w:left="360"/>
        <w:rPr>
          <w:rFonts w:ascii="Arial" w:hAnsi="Arial" w:cs="Arial"/>
          <w:sz w:val="16"/>
          <w:szCs w:val="16"/>
        </w:rPr>
      </w:pPr>
      <w:r w:rsidRPr="005E4704">
        <w:rPr>
          <w:rFonts w:ascii="Arial" w:hAnsi="Arial" w:cs="Arial"/>
          <w:sz w:val="16"/>
          <w:szCs w:val="16"/>
        </w:rPr>
        <w:t>1.3 Research Objectives</w:t>
      </w:r>
      <w:r w:rsidRPr="005E4704">
        <w:rPr>
          <w:rFonts w:ascii="Arial" w:hAnsi="Arial" w:cs="Arial"/>
          <w:sz w:val="16"/>
          <w:szCs w:val="16"/>
        </w:rPr>
        <w:tab/>
      </w:r>
      <w:r w:rsidR="00EF0AED">
        <w:rPr>
          <w:rFonts w:ascii="Arial" w:hAnsi="Arial" w:cs="Arial"/>
          <w:sz w:val="16"/>
          <w:szCs w:val="16"/>
        </w:rPr>
        <w:t>7</w:t>
      </w:r>
    </w:p>
    <w:p w14:paraId="5A2C8CCA" w14:textId="5BCC8C61" w:rsidR="00BB4BB4" w:rsidRPr="005E4704" w:rsidRDefault="00000000" w:rsidP="00585384">
      <w:pPr>
        <w:tabs>
          <w:tab w:val="right" w:leader="dot" w:pos="8640"/>
        </w:tabs>
        <w:spacing w:after="60"/>
        <w:ind w:left="360"/>
        <w:rPr>
          <w:rFonts w:ascii="Arial" w:hAnsi="Arial" w:cs="Arial"/>
          <w:sz w:val="16"/>
          <w:szCs w:val="16"/>
        </w:rPr>
      </w:pPr>
      <w:r w:rsidRPr="005E4704">
        <w:rPr>
          <w:rFonts w:ascii="Arial" w:hAnsi="Arial" w:cs="Arial"/>
          <w:sz w:val="16"/>
          <w:szCs w:val="16"/>
        </w:rPr>
        <w:t>1.4 Research Questions</w:t>
      </w:r>
      <w:r w:rsidRPr="005E4704">
        <w:rPr>
          <w:rFonts w:ascii="Arial" w:hAnsi="Arial" w:cs="Arial"/>
          <w:sz w:val="16"/>
          <w:szCs w:val="16"/>
        </w:rPr>
        <w:tab/>
      </w:r>
      <w:r w:rsidR="001446B6">
        <w:rPr>
          <w:rFonts w:ascii="Arial" w:hAnsi="Arial" w:cs="Arial"/>
          <w:sz w:val="16"/>
          <w:szCs w:val="16"/>
        </w:rPr>
        <w:t>7</w:t>
      </w:r>
    </w:p>
    <w:p w14:paraId="7A21F573" w14:textId="1045F86C" w:rsidR="00BB4BB4" w:rsidRPr="005E4704" w:rsidRDefault="00000000" w:rsidP="00585384">
      <w:pPr>
        <w:tabs>
          <w:tab w:val="right" w:leader="dot" w:pos="8640"/>
        </w:tabs>
        <w:spacing w:after="60"/>
        <w:ind w:left="360"/>
        <w:rPr>
          <w:rFonts w:ascii="Arial" w:hAnsi="Arial" w:cs="Arial"/>
          <w:sz w:val="16"/>
          <w:szCs w:val="16"/>
        </w:rPr>
      </w:pPr>
      <w:r w:rsidRPr="005E4704">
        <w:rPr>
          <w:rFonts w:ascii="Arial" w:hAnsi="Arial" w:cs="Arial"/>
          <w:sz w:val="16"/>
          <w:szCs w:val="16"/>
        </w:rPr>
        <w:t>1.5 Research Significance</w:t>
      </w:r>
      <w:r w:rsidRPr="005E4704">
        <w:rPr>
          <w:rFonts w:ascii="Arial" w:hAnsi="Arial" w:cs="Arial"/>
          <w:sz w:val="16"/>
          <w:szCs w:val="16"/>
        </w:rPr>
        <w:tab/>
      </w:r>
      <w:r w:rsidR="001446B6">
        <w:rPr>
          <w:rFonts w:ascii="Arial" w:hAnsi="Arial" w:cs="Arial"/>
          <w:sz w:val="16"/>
          <w:szCs w:val="16"/>
        </w:rPr>
        <w:t>8</w:t>
      </w:r>
    </w:p>
    <w:p w14:paraId="03D23557" w14:textId="77777777" w:rsidR="00BB4BB4" w:rsidRPr="005E4704" w:rsidRDefault="00BB4BB4" w:rsidP="00585384">
      <w:pPr>
        <w:spacing w:after="40"/>
        <w:rPr>
          <w:rFonts w:ascii="Arial" w:hAnsi="Arial" w:cs="Arial"/>
          <w:sz w:val="16"/>
          <w:szCs w:val="16"/>
        </w:rPr>
      </w:pPr>
    </w:p>
    <w:p w14:paraId="3255081F" w14:textId="1E7DDEED" w:rsidR="00BB4BB4" w:rsidRPr="005E4704" w:rsidRDefault="00000000" w:rsidP="00585384">
      <w:pPr>
        <w:tabs>
          <w:tab w:val="right" w:leader="dot" w:pos="8640"/>
        </w:tabs>
        <w:spacing w:after="120"/>
        <w:rPr>
          <w:rFonts w:ascii="Arial" w:hAnsi="Arial" w:cs="Arial"/>
          <w:sz w:val="16"/>
          <w:szCs w:val="16"/>
        </w:rPr>
      </w:pPr>
      <w:r w:rsidRPr="005E4704">
        <w:rPr>
          <w:rFonts w:ascii="Arial" w:hAnsi="Arial" w:cs="Arial"/>
          <w:b/>
          <w:bCs/>
          <w:sz w:val="16"/>
          <w:szCs w:val="16"/>
        </w:rPr>
        <w:t>CHAPTER 2: LITERATURE REVIEW</w:t>
      </w:r>
      <w:r w:rsidRPr="005E4704">
        <w:rPr>
          <w:rFonts w:ascii="Arial" w:hAnsi="Arial" w:cs="Arial"/>
          <w:b/>
          <w:bCs/>
          <w:sz w:val="16"/>
          <w:szCs w:val="16"/>
        </w:rPr>
        <w:tab/>
      </w:r>
      <w:r w:rsidR="001446B6">
        <w:rPr>
          <w:rFonts w:ascii="Arial" w:hAnsi="Arial" w:cs="Arial"/>
          <w:b/>
          <w:bCs/>
          <w:sz w:val="16"/>
          <w:szCs w:val="16"/>
        </w:rPr>
        <w:t>9</w:t>
      </w:r>
    </w:p>
    <w:p w14:paraId="03256BFA" w14:textId="273BD787" w:rsidR="00BB4BB4" w:rsidRPr="005E4704" w:rsidRDefault="00000000" w:rsidP="00585384">
      <w:pPr>
        <w:tabs>
          <w:tab w:val="right" w:leader="dot" w:pos="8640"/>
        </w:tabs>
        <w:spacing w:after="60"/>
        <w:ind w:left="360"/>
        <w:rPr>
          <w:rFonts w:ascii="Arial" w:hAnsi="Arial" w:cs="Arial"/>
          <w:sz w:val="16"/>
          <w:szCs w:val="16"/>
        </w:rPr>
      </w:pPr>
      <w:r w:rsidRPr="005E4704">
        <w:rPr>
          <w:rFonts w:ascii="Arial" w:hAnsi="Arial" w:cs="Arial"/>
          <w:sz w:val="16"/>
          <w:szCs w:val="16"/>
        </w:rPr>
        <w:t>2.1 Supply Chain Resilience: Theoretical Foundations</w:t>
      </w:r>
      <w:r w:rsidRPr="005E4704">
        <w:rPr>
          <w:rFonts w:ascii="Arial" w:hAnsi="Arial" w:cs="Arial"/>
          <w:sz w:val="16"/>
          <w:szCs w:val="16"/>
        </w:rPr>
        <w:tab/>
      </w:r>
      <w:r w:rsidR="001446B6">
        <w:rPr>
          <w:rFonts w:ascii="Arial" w:hAnsi="Arial" w:cs="Arial"/>
          <w:sz w:val="16"/>
          <w:szCs w:val="16"/>
        </w:rPr>
        <w:t>9</w:t>
      </w:r>
    </w:p>
    <w:p w14:paraId="4DABF9B6" w14:textId="4F31211C" w:rsidR="00BB4BB4" w:rsidRPr="005E4704" w:rsidRDefault="00000000" w:rsidP="00585384">
      <w:pPr>
        <w:tabs>
          <w:tab w:val="right" w:leader="dot" w:pos="8640"/>
        </w:tabs>
        <w:spacing w:after="60"/>
        <w:ind w:left="360"/>
        <w:rPr>
          <w:rFonts w:ascii="Arial" w:hAnsi="Arial" w:cs="Arial"/>
          <w:sz w:val="16"/>
          <w:szCs w:val="16"/>
        </w:rPr>
      </w:pPr>
      <w:r w:rsidRPr="005E4704">
        <w:rPr>
          <w:rFonts w:ascii="Arial" w:hAnsi="Arial" w:cs="Arial"/>
          <w:sz w:val="16"/>
          <w:szCs w:val="16"/>
        </w:rPr>
        <w:t>2.2 Fresh Produce Supply Chain Characteristics</w:t>
      </w:r>
      <w:r w:rsidRPr="005E4704">
        <w:rPr>
          <w:rFonts w:ascii="Arial" w:hAnsi="Arial" w:cs="Arial"/>
          <w:sz w:val="16"/>
          <w:szCs w:val="16"/>
        </w:rPr>
        <w:tab/>
      </w:r>
      <w:r w:rsidR="001446B6">
        <w:rPr>
          <w:rFonts w:ascii="Arial" w:hAnsi="Arial" w:cs="Arial"/>
          <w:sz w:val="16"/>
          <w:szCs w:val="16"/>
        </w:rPr>
        <w:t>10</w:t>
      </w:r>
    </w:p>
    <w:p w14:paraId="5997952F" w14:textId="430D95DD" w:rsidR="00BB4BB4" w:rsidRPr="005E4704" w:rsidRDefault="00000000" w:rsidP="00585384">
      <w:pPr>
        <w:tabs>
          <w:tab w:val="right" w:leader="dot" w:pos="8640"/>
        </w:tabs>
        <w:spacing w:after="60"/>
        <w:ind w:left="720"/>
        <w:rPr>
          <w:rFonts w:ascii="Arial" w:hAnsi="Arial" w:cs="Arial"/>
          <w:sz w:val="16"/>
          <w:szCs w:val="16"/>
        </w:rPr>
      </w:pPr>
      <w:r w:rsidRPr="005E4704">
        <w:rPr>
          <w:rFonts w:ascii="Arial" w:hAnsi="Arial" w:cs="Arial"/>
          <w:sz w:val="16"/>
          <w:szCs w:val="16"/>
        </w:rPr>
        <w:t>2.2.1 Perishability</w:t>
      </w:r>
      <w:r w:rsidRPr="005E4704">
        <w:rPr>
          <w:rFonts w:ascii="Arial" w:hAnsi="Arial" w:cs="Arial"/>
          <w:sz w:val="16"/>
          <w:szCs w:val="16"/>
        </w:rPr>
        <w:tab/>
      </w:r>
      <w:r w:rsidR="001446B6">
        <w:rPr>
          <w:rFonts w:ascii="Arial" w:hAnsi="Arial" w:cs="Arial"/>
          <w:sz w:val="16"/>
          <w:szCs w:val="16"/>
        </w:rPr>
        <w:t>10</w:t>
      </w:r>
    </w:p>
    <w:p w14:paraId="2743034B" w14:textId="251A53FB" w:rsidR="00BB4BB4" w:rsidRPr="005E4704" w:rsidRDefault="00000000" w:rsidP="00585384">
      <w:pPr>
        <w:tabs>
          <w:tab w:val="right" w:leader="dot" w:pos="8640"/>
        </w:tabs>
        <w:spacing w:after="60"/>
        <w:ind w:left="720"/>
        <w:rPr>
          <w:rFonts w:ascii="Arial" w:hAnsi="Arial" w:cs="Arial"/>
          <w:sz w:val="16"/>
          <w:szCs w:val="16"/>
        </w:rPr>
      </w:pPr>
      <w:r w:rsidRPr="005E4704">
        <w:rPr>
          <w:rFonts w:ascii="Arial" w:hAnsi="Arial" w:cs="Arial"/>
          <w:sz w:val="16"/>
          <w:szCs w:val="16"/>
        </w:rPr>
        <w:t>2.2.2 Cold Chain and Energy Dependency</w:t>
      </w:r>
      <w:r w:rsidRPr="005E4704">
        <w:rPr>
          <w:rFonts w:ascii="Arial" w:hAnsi="Arial" w:cs="Arial"/>
          <w:sz w:val="16"/>
          <w:szCs w:val="16"/>
        </w:rPr>
        <w:tab/>
        <w:t>1</w:t>
      </w:r>
      <w:r w:rsidR="001446B6">
        <w:rPr>
          <w:rFonts w:ascii="Arial" w:hAnsi="Arial" w:cs="Arial"/>
          <w:sz w:val="16"/>
          <w:szCs w:val="16"/>
        </w:rPr>
        <w:t>1</w:t>
      </w:r>
    </w:p>
    <w:p w14:paraId="50E21835" w14:textId="6360A21F" w:rsidR="00BB4BB4" w:rsidRPr="005E4704" w:rsidRDefault="00000000" w:rsidP="00585384">
      <w:pPr>
        <w:tabs>
          <w:tab w:val="right" w:leader="dot" w:pos="8640"/>
        </w:tabs>
        <w:spacing w:after="60"/>
        <w:ind w:left="720"/>
        <w:rPr>
          <w:rFonts w:ascii="Arial" w:hAnsi="Arial" w:cs="Arial"/>
          <w:sz w:val="16"/>
          <w:szCs w:val="16"/>
        </w:rPr>
      </w:pPr>
      <w:r w:rsidRPr="005E4704">
        <w:rPr>
          <w:rFonts w:ascii="Arial" w:hAnsi="Arial" w:cs="Arial"/>
          <w:sz w:val="16"/>
          <w:szCs w:val="16"/>
        </w:rPr>
        <w:t>2.2.3 Import Dependency and Geographic Concentration</w:t>
      </w:r>
      <w:r w:rsidRPr="005E4704">
        <w:rPr>
          <w:rFonts w:ascii="Arial" w:hAnsi="Arial" w:cs="Arial"/>
          <w:sz w:val="16"/>
          <w:szCs w:val="16"/>
        </w:rPr>
        <w:tab/>
        <w:t>1</w:t>
      </w:r>
      <w:r w:rsidR="001446B6">
        <w:rPr>
          <w:rFonts w:ascii="Arial" w:hAnsi="Arial" w:cs="Arial"/>
          <w:sz w:val="16"/>
          <w:szCs w:val="16"/>
        </w:rPr>
        <w:t>2</w:t>
      </w:r>
    </w:p>
    <w:p w14:paraId="0CC7796E" w14:textId="496B01D4" w:rsidR="00BB4BB4" w:rsidRPr="005E4704" w:rsidRDefault="00000000" w:rsidP="00585384">
      <w:pPr>
        <w:tabs>
          <w:tab w:val="right" w:leader="dot" w:pos="8640"/>
        </w:tabs>
        <w:spacing w:after="60"/>
        <w:ind w:left="360"/>
        <w:rPr>
          <w:rFonts w:ascii="Arial" w:hAnsi="Arial" w:cs="Arial"/>
          <w:sz w:val="16"/>
          <w:szCs w:val="16"/>
        </w:rPr>
      </w:pPr>
      <w:r w:rsidRPr="005E4704">
        <w:rPr>
          <w:rFonts w:ascii="Arial" w:hAnsi="Arial" w:cs="Arial"/>
          <w:sz w:val="16"/>
          <w:szCs w:val="16"/>
        </w:rPr>
        <w:t>2.3 Recent Disruptions and Documented Impacts</w:t>
      </w:r>
      <w:r w:rsidRPr="005E4704">
        <w:rPr>
          <w:rFonts w:ascii="Arial" w:hAnsi="Arial" w:cs="Arial"/>
          <w:sz w:val="16"/>
          <w:szCs w:val="16"/>
        </w:rPr>
        <w:tab/>
        <w:t>1</w:t>
      </w:r>
      <w:r w:rsidR="001446B6">
        <w:rPr>
          <w:rFonts w:ascii="Arial" w:hAnsi="Arial" w:cs="Arial"/>
          <w:sz w:val="16"/>
          <w:szCs w:val="16"/>
        </w:rPr>
        <w:t>3</w:t>
      </w:r>
    </w:p>
    <w:p w14:paraId="5B8A3213" w14:textId="204100A2" w:rsidR="00BB4BB4" w:rsidRPr="005E4704" w:rsidRDefault="00000000" w:rsidP="00585384">
      <w:pPr>
        <w:tabs>
          <w:tab w:val="right" w:leader="dot" w:pos="8640"/>
        </w:tabs>
        <w:spacing w:after="60"/>
        <w:ind w:left="360"/>
        <w:rPr>
          <w:rFonts w:ascii="Arial" w:hAnsi="Arial" w:cs="Arial"/>
          <w:sz w:val="16"/>
          <w:szCs w:val="16"/>
        </w:rPr>
      </w:pPr>
      <w:r w:rsidRPr="005E4704">
        <w:rPr>
          <w:rFonts w:ascii="Arial" w:hAnsi="Arial" w:cs="Arial"/>
          <w:sz w:val="16"/>
          <w:szCs w:val="16"/>
        </w:rPr>
        <w:t>2.4 Strategic Tensions</w:t>
      </w:r>
      <w:r w:rsidRPr="005E4704">
        <w:rPr>
          <w:rFonts w:ascii="Arial" w:hAnsi="Arial" w:cs="Arial"/>
          <w:sz w:val="16"/>
          <w:szCs w:val="16"/>
        </w:rPr>
        <w:tab/>
        <w:t>1</w:t>
      </w:r>
      <w:r w:rsidR="001446B6">
        <w:rPr>
          <w:rFonts w:ascii="Arial" w:hAnsi="Arial" w:cs="Arial"/>
          <w:sz w:val="16"/>
          <w:szCs w:val="16"/>
        </w:rPr>
        <w:t>4</w:t>
      </w:r>
    </w:p>
    <w:p w14:paraId="5FAFD6D2" w14:textId="47A1382D" w:rsidR="00BB4BB4" w:rsidRPr="005E4704" w:rsidRDefault="00000000" w:rsidP="00585384">
      <w:pPr>
        <w:tabs>
          <w:tab w:val="right" w:leader="dot" w:pos="8640"/>
        </w:tabs>
        <w:spacing w:after="60"/>
        <w:ind w:left="360"/>
        <w:rPr>
          <w:rFonts w:ascii="Arial" w:hAnsi="Arial" w:cs="Arial"/>
          <w:sz w:val="16"/>
          <w:szCs w:val="16"/>
        </w:rPr>
      </w:pPr>
      <w:r w:rsidRPr="005E4704">
        <w:rPr>
          <w:rFonts w:ascii="Arial" w:hAnsi="Arial" w:cs="Arial"/>
          <w:sz w:val="16"/>
          <w:szCs w:val="16"/>
        </w:rPr>
        <w:t>2.5 International Comparisons</w:t>
      </w:r>
      <w:r w:rsidRPr="005E4704">
        <w:rPr>
          <w:rFonts w:ascii="Arial" w:hAnsi="Arial" w:cs="Arial"/>
          <w:sz w:val="16"/>
          <w:szCs w:val="16"/>
        </w:rPr>
        <w:tab/>
        <w:t>1</w:t>
      </w:r>
      <w:r w:rsidR="001446B6">
        <w:rPr>
          <w:rFonts w:ascii="Arial" w:hAnsi="Arial" w:cs="Arial"/>
          <w:sz w:val="16"/>
          <w:szCs w:val="16"/>
        </w:rPr>
        <w:t>5</w:t>
      </w:r>
    </w:p>
    <w:p w14:paraId="77D120E9" w14:textId="07BC6724" w:rsidR="00BB4BB4" w:rsidRPr="005E4704" w:rsidRDefault="00000000" w:rsidP="00585384">
      <w:pPr>
        <w:tabs>
          <w:tab w:val="right" w:leader="dot" w:pos="8640"/>
        </w:tabs>
        <w:spacing w:after="60"/>
        <w:ind w:left="360"/>
        <w:rPr>
          <w:rFonts w:ascii="Arial" w:hAnsi="Arial" w:cs="Arial"/>
          <w:sz w:val="16"/>
          <w:szCs w:val="16"/>
        </w:rPr>
      </w:pPr>
      <w:r w:rsidRPr="005E4704">
        <w:rPr>
          <w:rFonts w:ascii="Arial" w:hAnsi="Arial" w:cs="Arial"/>
          <w:sz w:val="16"/>
          <w:szCs w:val="16"/>
        </w:rPr>
        <w:t>2.6 Synthesis and Conceptual Framework</w:t>
      </w:r>
      <w:r w:rsidRPr="005E4704">
        <w:rPr>
          <w:rFonts w:ascii="Arial" w:hAnsi="Arial" w:cs="Arial"/>
          <w:sz w:val="16"/>
          <w:szCs w:val="16"/>
        </w:rPr>
        <w:tab/>
        <w:t>1</w:t>
      </w:r>
      <w:r w:rsidR="001446B6">
        <w:rPr>
          <w:rFonts w:ascii="Arial" w:hAnsi="Arial" w:cs="Arial"/>
          <w:sz w:val="16"/>
          <w:szCs w:val="16"/>
        </w:rPr>
        <w:t>5</w:t>
      </w:r>
    </w:p>
    <w:p w14:paraId="2CE876B1" w14:textId="77777777" w:rsidR="00BB4BB4" w:rsidRPr="005E4704" w:rsidRDefault="00BB4BB4" w:rsidP="00585384">
      <w:pPr>
        <w:spacing w:after="40"/>
        <w:rPr>
          <w:rFonts w:ascii="Arial" w:hAnsi="Arial" w:cs="Arial"/>
          <w:sz w:val="16"/>
          <w:szCs w:val="16"/>
        </w:rPr>
      </w:pPr>
    </w:p>
    <w:p w14:paraId="6D1E3B71" w14:textId="51F7EBC7" w:rsidR="00BB4BB4" w:rsidRPr="005E4704" w:rsidRDefault="00000000" w:rsidP="00585384">
      <w:pPr>
        <w:tabs>
          <w:tab w:val="right" w:leader="dot" w:pos="8640"/>
        </w:tabs>
        <w:spacing w:after="120"/>
        <w:rPr>
          <w:rFonts w:ascii="Arial" w:hAnsi="Arial" w:cs="Arial"/>
          <w:sz w:val="16"/>
          <w:szCs w:val="16"/>
        </w:rPr>
      </w:pPr>
      <w:r w:rsidRPr="005E4704">
        <w:rPr>
          <w:rFonts w:ascii="Arial" w:hAnsi="Arial" w:cs="Arial"/>
          <w:b/>
          <w:bCs/>
          <w:sz w:val="16"/>
          <w:szCs w:val="16"/>
        </w:rPr>
        <w:t>CHAPTER 3: METHODOLOGY</w:t>
      </w:r>
      <w:r w:rsidRPr="005E4704">
        <w:rPr>
          <w:rFonts w:ascii="Arial" w:hAnsi="Arial" w:cs="Arial"/>
          <w:b/>
          <w:bCs/>
          <w:sz w:val="16"/>
          <w:szCs w:val="16"/>
        </w:rPr>
        <w:tab/>
        <w:t>1</w:t>
      </w:r>
      <w:r w:rsidR="001446B6">
        <w:rPr>
          <w:rFonts w:ascii="Arial" w:hAnsi="Arial" w:cs="Arial"/>
          <w:b/>
          <w:bCs/>
          <w:sz w:val="16"/>
          <w:szCs w:val="16"/>
        </w:rPr>
        <w:t>6</w:t>
      </w:r>
    </w:p>
    <w:p w14:paraId="3BDB4168" w14:textId="082CC9EF" w:rsidR="00BB4BB4" w:rsidRPr="005E4704" w:rsidRDefault="00000000" w:rsidP="00585384">
      <w:pPr>
        <w:tabs>
          <w:tab w:val="right" w:leader="dot" w:pos="8640"/>
        </w:tabs>
        <w:spacing w:after="60"/>
        <w:ind w:left="360"/>
        <w:rPr>
          <w:rFonts w:ascii="Arial" w:hAnsi="Arial" w:cs="Arial"/>
          <w:sz w:val="16"/>
          <w:szCs w:val="16"/>
        </w:rPr>
      </w:pPr>
      <w:r w:rsidRPr="005E4704">
        <w:rPr>
          <w:rFonts w:ascii="Arial" w:hAnsi="Arial" w:cs="Arial"/>
          <w:sz w:val="16"/>
          <w:szCs w:val="16"/>
        </w:rPr>
        <w:t>3.1 Research Philosophy and Approach</w:t>
      </w:r>
      <w:r w:rsidRPr="005E4704">
        <w:rPr>
          <w:rFonts w:ascii="Arial" w:hAnsi="Arial" w:cs="Arial"/>
          <w:sz w:val="16"/>
          <w:szCs w:val="16"/>
        </w:rPr>
        <w:tab/>
        <w:t>1</w:t>
      </w:r>
      <w:r w:rsidR="001446B6">
        <w:rPr>
          <w:rFonts w:ascii="Arial" w:hAnsi="Arial" w:cs="Arial"/>
          <w:sz w:val="16"/>
          <w:szCs w:val="16"/>
        </w:rPr>
        <w:t>6</w:t>
      </w:r>
    </w:p>
    <w:p w14:paraId="65690739" w14:textId="2060D1D9" w:rsidR="00BB4BB4" w:rsidRPr="005E4704" w:rsidRDefault="00000000" w:rsidP="00585384">
      <w:pPr>
        <w:tabs>
          <w:tab w:val="right" w:leader="dot" w:pos="8640"/>
        </w:tabs>
        <w:spacing w:after="60"/>
        <w:ind w:left="360"/>
        <w:rPr>
          <w:rFonts w:ascii="Arial" w:hAnsi="Arial" w:cs="Arial"/>
          <w:sz w:val="16"/>
          <w:szCs w:val="16"/>
        </w:rPr>
      </w:pPr>
      <w:r w:rsidRPr="005E4704">
        <w:rPr>
          <w:rFonts w:ascii="Arial" w:hAnsi="Arial" w:cs="Arial"/>
          <w:sz w:val="16"/>
          <w:szCs w:val="16"/>
        </w:rPr>
        <w:t>3.2 Data Sources and Document Selection</w:t>
      </w:r>
      <w:r w:rsidRPr="005E4704">
        <w:rPr>
          <w:rFonts w:ascii="Arial" w:hAnsi="Arial" w:cs="Arial"/>
          <w:sz w:val="16"/>
          <w:szCs w:val="16"/>
        </w:rPr>
        <w:tab/>
        <w:t>1</w:t>
      </w:r>
      <w:r w:rsidR="001446B6">
        <w:rPr>
          <w:rFonts w:ascii="Arial" w:hAnsi="Arial" w:cs="Arial"/>
          <w:sz w:val="16"/>
          <w:szCs w:val="16"/>
        </w:rPr>
        <w:t>7</w:t>
      </w:r>
    </w:p>
    <w:p w14:paraId="09470AC0" w14:textId="77777777" w:rsidR="00BB4BB4" w:rsidRPr="005E4704" w:rsidRDefault="00000000" w:rsidP="00585384">
      <w:pPr>
        <w:tabs>
          <w:tab w:val="right" w:leader="dot" w:pos="8640"/>
        </w:tabs>
        <w:spacing w:after="60"/>
        <w:ind w:left="360"/>
        <w:rPr>
          <w:rFonts w:ascii="Arial" w:hAnsi="Arial" w:cs="Arial"/>
          <w:sz w:val="16"/>
          <w:szCs w:val="16"/>
        </w:rPr>
      </w:pPr>
      <w:r w:rsidRPr="005E4704">
        <w:rPr>
          <w:rFonts w:ascii="Arial" w:hAnsi="Arial" w:cs="Arial"/>
          <w:sz w:val="16"/>
          <w:szCs w:val="16"/>
        </w:rPr>
        <w:t>3.3 Quality Assessment, Reliability, and Validity</w:t>
      </w:r>
      <w:r w:rsidRPr="005E4704">
        <w:rPr>
          <w:rFonts w:ascii="Arial" w:hAnsi="Arial" w:cs="Arial"/>
          <w:sz w:val="16"/>
          <w:szCs w:val="16"/>
        </w:rPr>
        <w:tab/>
        <w:t>17</w:t>
      </w:r>
    </w:p>
    <w:p w14:paraId="05741097" w14:textId="77777777" w:rsidR="00BB4BB4" w:rsidRPr="005E4704" w:rsidRDefault="00000000" w:rsidP="00585384">
      <w:pPr>
        <w:tabs>
          <w:tab w:val="right" w:leader="dot" w:pos="8640"/>
        </w:tabs>
        <w:spacing w:after="60"/>
        <w:ind w:left="360"/>
        <w:rPr>
          <w:rFonts w:ascii="Arial" w:hAnsi="Arial" w:cs="Arial"/>
          <w:sz w:val="16"/>
          <w:szCs w:val="16"/>
        </w:rPr>
      </w:pPr>
      <w:r w:rsidRPr="005E4704">
        <w:rPr>
          <w:rFonts w:ascii="Arial" w:hAnsi="Arial" w:cs="Arial"/>
          <w:sz w:val="16"/>
          <w:szCs w:val="16"/>
        </w:rPr>
        <w:t>3.4 Ethics and Researcher Bias</w:t>
      </w:r>
      <w:r w:rsidRPr="005E4704">
        <w:rPr>
          <w:rFonts w:ascii="Arial" w:hAnsi="Arial" w:cs="Arial"/>
          <w:sz w:val="16"/>
          <w:szCs w:val="16"/>
        </w:rPr>
        <w:tab/>
        <w:t>18</w:t>
      </w:r>
    </w:p>
    <w:p w14:paraId="50AD241B" w14:textId="77777777" w:rsidR="00BB4BB4" w:rsidRPr="005E4704" w:rsidRDefault="00000000" w:rsidP="00585384">
      <w:pPr>
        <w:tabs>
          <w:tab w:val="right" w:leader="dot" w:pos="8640"/>
        </w:tabs>
        <w:spacing w:after="60"/>
        <w:ind w:left="360"/>
        <w:rPr>
          <w:rFonts w:ascii="Arial" w:hAnsi="Arial" w:cs="Arial"/>
          <w:sz w:val="16"/>
          <w:szCs w:val="16"/>
        </w:rPr>
      </w:pPr>
      <w:r w:rsidRPr="005E4704">
        <w:rPr>
          <w:rFonts w:ascii="Arial" w:hAnsi="Arial" w:cs="Arial"/>
          <w:sz w:val="16"/>
          <w:szCs w:val="16"/>
        </w:rPr>
        <w:t>3.5 Limitations and Transferability</w:t>
      </w:r>
      <w:r w:rsidRPr="005E4704">
        <w:rPr>
          <w:rFonts w:ascii="Arial" w:hAnsi="Arial" w:cs="Arial"/>
          <w:sz w:val="16"/>
          <w:szCs w:val="16"/>
        </w:rPr>
        <w:tab/>
        <w:t>19</w:t>
      </w:r>
    </w:p>
    <w:p w14:paraId="1D4F02F1" w14:textId="77777777" w:rsidR="00BB4BB4" w:rsidRPr="005E4704" w:rsidRDefault="00BB4BB4" w:rsidP="00585384">
      <w:pPr>
        <w:spacing w:after="40"/>
        <w:rPr>
          <w:rFonts w:ascii="Arial" w:hAnsi="Arial" w:cs="Arial"/>
          <w:sz w:val="16"/>
          <w:szCs w:val="16"/>
        </w:rPr>
      </w:pPr>
    </w:p>
    <w:p w14:paraId="7B3096F0" w14:textId="77777777" w:rsidR="00BB4BB4" w:rsidRPr="005E4704" w:rsidRDefault="00000000" w:rsidP="00585384">
      <w:pPr>
        <w:tabs>
          <w:tab w:val="right" w:leader="dot" w:pos="8640"/>
        </w:tabs>
        <w:spacing w:after="120"/>
        <w:rPr>
          <w:rFonts w:ascii="Arial" w:hAnsi="Arial" w:cs="Arial"/>
          <w:sz w:val="16"/>
          <w:szCs w:val="16"/>
        </w:rPr>
      </w:pPr>
      <w:r w:rsidRPr="005E4704">
        <w:rPr>
          <w:rFonts w:ascii="Arial" w:hAnsi="Arial" w:cs="Arial"/>
          <w:b/>
          <w:bCs/>
          <w:sz w:val="16"/>
          <w:szCs w:val="16"/>
        </w:rPr>
        <w:t>CHAPTER 4: RESULTS AND DISCUSSION</w:t>
      </w:r>
      <w:r w:rsidRPr="005E4704">
        <w:rPr>
          <w:rFonts w:ascii="Arial" w:hAnsi="Arial" w:cs="Arial"/>
          <w:b/>
          <w:bCs/>
          <w:sz w:val="16"/>
          <w:szCs w:val="16"/>
        </w:rPr>
        <w:tab/>
        <w:t>20</w:t>
      </w:r>
    </w:p>
    <w:p w14:paraId="121B68A8" w14:textId="24FD71D7" w:rsidR="00BB4BB4" w:rsidRPr="005E4704" w:rsidRDefault="00000000" w:rsidP="00585384">
      <w:pPr>
        <w:tabs>
          <w:tab w:val="right" w:leader="dot" w:pos="8640"/>
        </w:tabs>
        <w:spacing w:after="60"/>
        <w:ind w:left="360"/>
        <w:rPr>
          <w:rFonts w:ascii="Arial" w:hAnsi="Arial" w:cs="Arial"/>
          <w:sz w:val="16"/>
          <w:szCs w:val="16"/>
        </w:rPr>
      </w:pPr>
      <w:r w:rsidRPr="005E4704">
        <w:rPr>
          <w:rFonts w:ascii="Arial" w:hAnsi="Arial" w:cs="Arial"/>
          <w:sz w:val="16"/>
          <w:szCs w:val="16"/>
        </w:rPr>
        <w:t>4.1 Introduction</w:t>
      </w:r>
      <w:r w:rsidRPr="005E4704">
        <w:rPr>
          <w:rFonts w:ascii="Arial" w:hAnsi="Arial" w:cs="Arial"/>
          <w:sz w:val="16"/>
          <w:szCs w:val="16"/>
        </w:rPr>
        <w:tab/>
        <w:t>2</w:t>
      </w:r>
      <w:r w:rsidR="001446B6">
        <w:rPr>
          <w:rFonts w:ascii="Arial" w:hAnsi="Arial" w:cs="Arial"/>
          <w:sz w:val="16"/>
          <w:szCs w:val="16"/>
        </w:rPr>
        <w:t>2</w:t>
      </w:r>
    </w:p>
    <w:p w14:paraId="408AA510" w14:textId="29A83554" w:rsidR="00BB4BB4" w:rsidRPr="005E4704" w:rsidRDefault="00000000" w:rsidP="00585384">
      <w:pPr>
        <w:tabs>
          <w:tab w:val="right" w:leader="dot" w:pos="8640"/>
        </w:tabs>
        <w:spacing w:after="60"/>
        <w:ind w:left="360"/>
        <w:rPr>
          <w:rFonts w:ascii="Arial" w:hAnsi="Arial" w:cs="Arial"/>
          <w:sz w:val="16"/>
          <w:szCs w:val="16"/>
        </w:rPr>
      </w:pPr>
      <w:r w:rsidRPr="005E4704">
        <w:rPr>
          <w:rFonts w:ascii="Arial" w:hAnsi="Arial" w:cs="Arial"/>
          <w:sz w:val="16"/>
          <w:szCs w:val="16"/>
        </w:rPr>
        <w:t>4.2 Documented Disruptions and Strategic Responses (RQ1)</w:t>
      </w:r>
      <w:r w:rsidRPr="005E4704">
        <w:rPr>
          <w:rFonts w:ascii="Arial" w:hAnsi="Arial" w:cs="Arial"/>
          <w:sz w:val="16"/>
          <w:szCs w:val="16"/>
        </w:rPr>
        <w:tab/>
        <w:t>2</w:t>
      </w:r>
      <w:r w:rsidR="001446B6">
        <w:rPr>
          <w:rFonts w:ascii="Arial" w:hAnsi="Arial" w:cs="Arial"/>
          <w:sz w:val="16"/>
          <w:szCs w:val="16"/>
        </w:rPr>
        <w:t>4</w:t>
      </w:r>
    </w:p>
    <w:p w14:paraId="21EB1AD9" w14:textId="59BAA59A" w:rsidR="00BB4BB4" w:rsidRPr="005E4704" w:rsidRDefault="00000000" w:rsidP="00585384">
      <w:pPr>
        <w:tabs>
          <w:tab w:val="right" w:leader="dot" w:pos="8640"/>
        </w:tabs>
        <w:spacing w:after="60"/>
        <w:ind w:left="360"/>
        <w:rPr>
          <w:rFonts w:ascii="Arial" w:hAnsi="Arial" w:cs="Arial"/>
          <w:sz w:val="16"/>
          <w:szCs w:val="16"/>
        </w:rPr>
      </w:pPr>
      <w:r w:rsidRPr="005E4704">
        <w:rPr>
          <w:rFonts w:ascii="Arial" w:hAnsi="Arial" w:cs="Arial"/>
          <w:sz w:val="16"/>
          <w:szCs w:val="16"/>
        </w:rPr>
        <w:t>4.3 Resilience Strategy Patterns (RQ1 continued)</w:t>
      </w:r>
      <w:r w:rsidRPr="005E4704">
        <w:rPr>
          <w:rFonts w:ascii="Arial" w:hAnsi="Arial" w:cs="Arial"/>
          <w:sz w:val="16"/>
          <w:szCs w:val="16"/>
        </w:rPr>
        <w:tab/>
        <w:t>2</w:t>
      </w:r>
      <w:r w:rsidR="001446B6">
        <w:rPr>
          <w:rFonts w:ascii="Arial" w:hAnsi="Arial" w:cs="Arial"/>
          <w:sz w:val="16"/>
          <w:szCs w:val="16"/>
        </w:rPr>
        <w:t>6</w:t>
      </w:r>
    </w:p>
    <w:p w14:paraId="5371CDF9" w14:textId="680C5FA9" w:rsidR="00BB4BB4" w:rsidRPr="005E4704" w:rsidRDefault="00000000" w:rsidP="00585384">
      <w:pPr>
        <w:tabs>
          <w:tab w:val="right" w:leader="dot" w:pos="8640"/>
        </w:tabs>
        <w:spacing w:after="60"/>
        <w:ind w:left="360"/>
        <w:rPr>
          <w:rFonts w:ascii="Arial" w:hAnsi="Arial" w:cs="Arial"/>
          <w:sz w:val="16"/>
          <w:szCs w:val="16"/>
        </w:rPr>
      </w:pPr>
      <w:r w:rsidRPr="005E4704">
        <w:rPr>
          <w:rFonts w:ascii="Arial" w:hAnsi="Arial" w:cs="Arial"/>
          <w:sz w:val="16"/>
          <w:szCs w:val="16"/>
        </w:rPr>
        <w:t>4.4 Resilience–Efficiency Tensions and Implementation Challenges (RQ2)</w:t>
      </w:r>
      <w:r w:rsidRPr="005E4704">
        <w:rPr>
          <w:rFonts w:ascii="Arial" w:hAnsi="Arial" w:cs="Arial"/>
          <w:sz w:val="16"/>
          <w:szCs w:val="16"/>
        </w:rPr>
        <w:tab/>
        <w:t>2</w:t>
      </w:r>
      <w:r w:rsidR="001446B6">
        <w:rPr>
          <w:rFonts w:ascii="Arial" w:hAnsi="Arial" w:cs="Arial"/>
          <w:sz w:val="16"/>
          <w:szCs w:val="16"/>
        </w:rPr>
        <w:t>7</w:t>
      </w:r>
    </w:p>
    <w:p w14:paraId="4FF7ACD0" w14:textId="355A862D" w:rsidR="00BB4BB4" w:rsidRPr="005E4704" w:rsidRDefault="00000000" w:rsidP="00585384">
      <w:pPr>
        <w:tabs>
          <w:tab w:val="right" w:leader="dot" w:pos="8640"/>
        </w:tabs>
        <w:spacing w:after="60"/>
        <w:ind w:left="360"/>
        <w:rPr>
          <w:rFonts w:ascii="Arial" w:hAnsi="Arial" w:cs="Arial"/>
          <w:sz w:val="16"/>
          <w:szCs w:val="16"/>
        </w:rPr>
      </w:pPr>
      <w:r w:rsidRPr="005E4704">
        <w:rPr>
          <w:rFonts w:ascii="Arial" w:hAnsi="Arial" w:cs="Arial"/>
          <w:sz w:val="16"/>
          <w:szCs w:val="16"/>
        </w:rPr>
        <w:t>4.5 Critical Success Factors and Theoretical Implications (RQ3)</w:t>
      </w:r>
      <w:r w:rsidRPr="005E4704">
        <w:rPr>
          <w:rFonts w:ascii="Arial" w:hAnsi="Arial" w:cs="Arial"/>
          <w:sz w:val="16"/>
          <w:szCs w:val="16"/>
        </w:rPr>
        <w:tab/>
      </w:r>
      <w:r w:rsidR="001446B6">
        <w:rPr>
          <w:rFonts w:ascii="Arial" w:hAnsi="Arial" w:cs="Arial"/>
          <w:sz w:val="16"/>
          <w:szCs w:val="16"/>
        </w:rPr>
        <w:t>28</w:t>
      </w:r>
    </w:p>
    <w:p w14:paraId="6BAD7BDB" w14:textId="106F1349" w:rsidR="00BB4BB4" w:rsidRPr="005E4704" w:rsidRDefault="00000000" w:rsidP="00585384">
      <w:pPr>
        <w:tabs>
          <w:tab w:val="right" w:leader="dot" w:pos="8640"/>
        </w:tabs>
        <w:spacing w:after="60"/>
        <w:ind w:left="360"/>
        <w:rPr>
          <w:rFonts w:ascii="Arial" w:hAnsi="Arial" w:cs="Arial"/>
          <w:sz w:val="16"/>
          <w:szCs w:val="16"/>
        </w:rPr>
      </w:pPr>
      <w:r w:rsidRPr="005E4704">
        <w:rPr>
          <w:rFonts w:ascii="Arial" w:hAnsi="Arial" w:cs="Arial"/>
          <w:sz w:val="16"/>
          <w:szCs w:val="16"/>
        </w:rPr>
        <w:t>4.6 Integrative Analysis</w:t>
      </w:r>
      <w:r w:rsidRPr="005E4704">
        <w:rPr>
          <w:rFonts w:ascii="Arial" w:hAnsi="Arial" w:cs="Arial"/>
          <w:sz w:val="16"/>
          <w:szCs w:val="16"/>
        </w:rPr>
        <w:tab/>
      </w:r>
      <w:r w:rsidR="001446B6">
        <w:rPr>
          <w:rFonts w:ascii="Arial" w:hAnsi="Arial" w:cs="Arial"/>
          <w:sz w:val="16"/>
          <w:szCs w:val="16"/>
        </w:rPr>
        <w:t>29</w:t>
      </w:r>
    </w:p>
    <w:p w14:paraId="797567A8" w14:textId="2353DABC" w:rsidR="00BB4BB4" w:rsidRPr="005E4704" w:rsidRDefault="00000000" w:rsidP="00585384">
      <w:pPr>
        <w:tabs>
          <w:tab w:val="right" w:leader="dot" w:pos="8640"/>
        </w:tabs>
        <w:spacing w:after="60"/>
        <w:ind w:left="360"/>
        <w:rPr>
          <w:rFonts w:ascii="Arial" w:hAnsi="Arial" w:cs="Arial"/>
          <w:sz w:val="16"/>
          <w:szCs w:val="16"/>
        </w:rPr>
      </w:pPr>
      <w:r w:rsidRPr="005E4704">
        <w:rPr>
          <w:rFonts w:ascii="Arial" w:hAnsi="Arial" w:cs="Arial"/>
          <w:sz w:val="16"/>
          <w:szCs w:val="16"/>
        </w:rPr>
        <w:t>4.7 Chapter Summary</w:t>
      </w:r>
      <w:r w:rsidRPr="005E4704">
        <w:rPr>
          <w:rFonts w:ascii="Arial" w:hAnsi="Arial" w:cs="Arial"/>
          <w:sz w:val="16"/>
          <w:szCs w:val="16"/>
        </w:rPr>
        <w:tab/>
        <w:t>3</w:t>
      </w:r>
      <w:r w:rsidR="001446B6">
        <w:rPr>
          <w:rFonts w:ascii="Arial" w:hAnsi="Arial" w:cs="Arial"/>
          <w:sz w:val="16"/>
          <w:szCs w:val="16"/>
        </w:rPr>
        <w:t>0</w:t>
      </w:r>
    </w:p>
    <w:p w14:paraId="281695D6" w14:textId="77777777" w:rsidR="00BB4BB4" w:rsidRPr="005E4704" w:rsidRDefault="00BB4BB4" w:rsidP="00585384">
      <w:pPr>
        <w:spacing w:after="40"/>
        <w:rPr>
          <w:rFonts w:ascii="Arial" w:hAnsi="Arial" w:cs="Arial"/>
          <w:sz w:val="16"/>
          <w:szCs w:val="16"/>
        </w:rPr>
      </w:pPr>
    </w:p>
    <w:p w14:paraId="057F0BB0" w14:textId="00626055" w:rsidR="00BB4BB4" w:rsidRPr="005E4704" w:rsidRDefault="00000000" w:rsidP="00585384">
      <w:pPr>
        <w:tabs>
          <w:tab w:val="right" w:leader="dot" w:pos="8640"/>
        </w:tabs>
        <w:spacing w:after="120"/>
        <w:rPr>
          <w:rFonts w:ascii="Arial" w:hAnsi="Arial" w:cs="Arial"/>
          <w:sz w:val="16"/>
          <w:szCs w:val="16"/>
        </w:rPr>
      </w:pPr>
      <w:r w:rsidRPr="005E4704">
        <w:rPr>
          <w:rFonts w:ascii="Arial" w:hAnsi="Arial" w:cs="Arial"/>
          <w:b/>
          <w:bCs/>
          <w:sz w:val="16"/>
          <w:szCs w:val="16"/>
        </w:rPr>
        <w:t>CHAPTER 5: RECOMMENDATIONS, CONCLUSION AND LIMITATIONS</w:t>
      </w:r>
      <w:r w:rsidRPr="005E4704">
        <w:rPr>
          <w:rFonts w:ascii="Arial" w:hAnsi="Arial" w:cs="Arial"/>
          <w:b/>
          <w:bCs/>
          <w:sz w:val="16"/>
          <w:szCs w:val="16"/>
        </w:rPr>
        <w:tab/>
        <w:t>3</w:t>
      </w:r>
      <w:r w:rsidR="003C091B">
        <w:rPr>
          <w:rFonts w:ascii="Arial" w:hAnsi="Arial" w:cs="Arial"/>
          <w:b/>
          <w:bCs/>
          <w:sz w:val="16"/>
          <w:szCs w:val="16"/>
        </w:rPr>
        <w:t>1</w:t>
      </w:r>
    </w:p>
    <w:p w14:paraId="75F0035A" w14:textId="48A81E23" w:rsidR="00BB4BB4" w:rsidRPr="005E4704" w:rsidRDefault="00000000" w:rsidP="00585384">
      <w:pPr>
        <w:tabs>
          <w:tab w:val="right" w:leader="dot" w:pos="8640"/>
        </w:tabs>
        <w:spacing w:after="60"/>
        <w:ind w:left="360"/>
        <w:rPr>
          <w:rFonts w:ascii="Arial" w:hAnsi="Arial" w:cs="Arial"/>
          <w:sz w:val="16"/>
          <w:szCs w:val="16"/>
        </w:rPr>
      </w:pPr>
      <w:r w:rsidRPr="005E4704">
        <w:rPr>
          <w:rFonts w:ascii="Arial" w:hAnsi="Arial" w:cs="Arial"/>
          <w:sz w:val="16"/>
          <w:szCs w:val="16"/>
        </w:rPr>
        <w:t>5.1 Evidence-Based Recommendations</w:t>
      </w:r>
      <w:r w:rsidRPr="005E4704">
        <w:rPr>
          <w:rFonts w:ascii="Arial" w:hAnsi="Arial" w:cs="Arial"/>
          <w:sz w:val="16"/>
          <w:szCs w:val="16"/>
        </w:rPr>
        <w:tab/>
        <w:t>3</w:t>
      </w:r>
      <w:r w:rsidR="003C091B">
        <w:rPr>
          <w:rFonts w:ascii="Arial" w:hAnsi="Arial" w:cs="Arial"/>
          <w:sz w:val="16"/>
          <w:szCs w:val="16"/>
        </w:rPr>
        <w:t>1</w:t>
      </w:r>
    </w:p>
    <w:p w14:paraId="13BD782D" w14:textId="587F8848" w:rsidR="00BB4BB4" w:rsidRPr="005E4704" w:rsidRDefault="00000000" w:rsidP="00585384">
      <w:pPr>
        <w:tabs>
          <w:tab w:val="right" w:leader="dot" w:pos="8640"/>
        </w:tabs>
        <w:spacing w:after="60"/>
        <w:ind w:left="360"/>
        <w:rPr>
          <w:rFonts w:ascii="Arial" w:hAnsi="Arial" w:cs="Arial"/>
          <w:sz w:val="16"/>
          <w:szCs w:val="16"/>
        </w:rPr>
      </w:pPr>
      <w:r w:rsidRPr="005E4704">
        <w:rPr>
          <w:rFonts w:ascii="Arial" w:hAnsi="Arial" w:cs="Arial"/>
          <w:sz w:val="16"/>
          <w:szCs w:val="16"/>
        </w:rPr>
        <w:t>5.2 Conclusion</w:t>
      </w:r>
      <w:r w:rsidRPr="005E4704">
        <w:rPr>
          <w:rFonts w:ascii="Arial" w:hAnsi="Arial" w:cs="Arial"/>
          <w:sz w:val="16"/>
          <w:szCs w:val="16"/>
        </w:rPr>
        <w:tab/>
      </w:r>
      <w:r w:rsidR="003C091B">
        <w:rPr>
          <w:rFonts w:ascii="Arial" w:hAnsi="Arial" w:cs="Arial"/>
          <w:sz w:val="16"/>
          <w:szCs w:val="16"/>
        </w:rPr>
        <w:t>3</w:t>
      </w:r>
      <w:r w:rsidRPr="005E4704">
        <w:rPr>
          <w:rFonts w:ascii="Arial" w:hAnsi="Arial" w:cs="Arial"/>
          <w:sz w:val="16"/>
          <w:szCs w:val="16"/>
        </w:rPr>
        <w:t>2</w:t>
      </w:r>
    </w:p>
    <w:p w14:paraId="66B82026" w14:textId="65DC8C08" w:rsidR="00BB4BB4" w:rsidRPr="005E4704" w:rsidRDefault="00000000" w:rsidP="00585384">
      <w:pPr>
        <w:tabs>
          <w:tab w:val="right" w:leader="dot" w:pos="8640"/>
        </w:tabs>
        <w:spacing w:after="60"/>
        <w:ind w:left="360"/>
        <w:rPr>
          <w:rFonts w:ascii="Arial" w:hAnsi="Arial" w:cs="Arial"/>
          <w:sz w:val="16"/>
          <w:szCs w:val="16"/>
        </w:rPr>
      </w:pPr>
      <w:r w:rsidRPr="005E4704">
        <w:rPr>
          <w:rFonts w:ascii="Arial" w:hAnsi="Arial" w:cs="Arial"/>
          <w:sz w:val="16"/>
          <w:szCs w:val="16"/>
        </w:rPr>
        <w:t>5.3 Research Limitations</w:t>
      </w:r>
      <w:r w:rsidRPr="005E4704">
        <w:rPr>
          <w:rFonts w:ascii="Arial" w:hAnsi="Arial" w:cs="Arial"/>
          <w:sz w:val="16"/>
          <w:szCs w:val="16"/>
        </w:rPr>
        <w:tab/>
      </w:r>
      <w:r w:rsidR="003C091B">
        <w:rPr>
          <w:rFonts w:ascii="Arial" w:hAnsi="Arial" w:cs="Arial"/>
          <w:sz w:val="16"/>
          <w:szCs w:val="16"/>
        </w:rPr>
        <w:t>3</w:t>
      </w:r>
      <w:r w:rsidR="001446B6">
        <w:rPr>
          <w:rFonts w:ascii="Arial" w:hAnsi="Arial" w:cs="Arial"/>
          <w:sz w:val="16"/>
          <w:szCs w:val="16"/>
        </w:rPr>
        <w:t>4</w:t>
      </w:r>
    </w:p>
    <w:p w14:paraId="40B64EC9" w14:textId="77777777" w:rsidR="00BB4BB4" w:rsidRPr="005E4704" w:rsidRDefault="00BB4BB4" w:rsidP="00585384">
      <w:pPr>
        <w:spacing w:after="40"/>
        <w:rPr>
          <w:rFonts w:ascii="Arial" w:hAnsi="Arial" w:cs="Arial"/>
          <w:sz w:val="16"/>
          <w:szCs w:val="16"/>
        </w:rPr>
      </w:pPr>
    </w:p>
    <w:p w14:paraId="2CF94DF6" w14:textId="279B6B4C" w:rsidR="00BB4BB4" w:rsidRPr="005E4704" w:rsidRDefault="00000000" w:rsidP="00585384">
      <w:pPr>
        <w:tabs>
          <w:tab w:val="right" w:leader="dot" w:pos="8640"/>
        </w:tabs>
        <w:spacing w:after="120"/>
        <w:rPr>
          <w:rFonts w:ascii="Arial" w:hAnsi="Arial" w:cs="Arial"/>
          <w:sz w:val="16"/>
          <w:szCs w:val="16"/>
        </w:rPr>
      </w:pPr>
      <w:r w:rsidRPr="005E4704">
        <w:rPr>
          <w:rFonts w:ascii="Arial" w:hAnsi="Arial" w:cs="Arial"/>
          <w:b/>
          <w:bCs/>
          <w:sz w:val="16"/>
          <w:szCs w:val="16"/>
        </w:rPr>
        <w:t>References</w:t>
      </w:r>
      <w:r w:rsidRPr="005E4704">
        <w:rPr>
          <w:rFonts w:ascii="Arial" w:hAnsi="Arial" w:cs="Arial"/>
          <w:b/>
          <w:bCs/>
          <w:sz w:val="16"/>
          <w:szCs w:val="16"/>
        </w:rPr>
        <w:tab/>
      </w:r>
      <w:r w:rsidR="001446B6">
        <w:rPr>
          <w:rFonts w:ascii="Arial" w:hAnsi="Arial" w:cs="Arial"/>
          <w:b/>
          <w:bCs/>
          <w:sz w:val="16"/>
          <w:szCs w:val="16"/>
        </w:rPr>
        <w:t>3</w:t>
      </w:r>
      <w:r w:rsidR="007C4B1E">
        <w:rPr>
          <w:rFonts w:ascii="Arial" w:hAnsi="Arial" w:cs="Arial"/>
          <w:b/>
          <w:bCs/>
          <w:sz w:val="16"/>
          <w:szCs w:val="16"/>
        </w:rPr>
        <w:t>7</w:t>
      </w:r>
    </w:p>
    <w:p w14:paraId="133F3B1A" w14:textId="6B9539F7" w:rsidR="007C4B1E" w:rsidRPr="00EF0AED" w:rsidRDefault="007C4B1E" w:rsidP="007C4B1E">
      <w:pPr>
        <w:tabs>
          <w:tab w:val="right" w:leader="dot" w:pos="8640"/>
        </w:tabs>
        <w:spacing w:after="120"/>
        <w:rPr>
          <w:rFonts w:ascii="Arial" w:hAnsi="Arial" w:cs="Arial"/>
          <w:sz w:val="16"/>
          <w:szCs w:val="16"/>
        </w:rPr>
      </w:pPr>
      <w:r w:rsidRPr="00EF0AED">
        <w:rPr>
          <w:rFonts w:ascii="Arial" w:hAnsi="Arial" w:cs="Arial"/>
          <w:b/>
          <w:bCs/>
          <w:sz w:val="16"/>
          <w:szCs w:val="16"/>
        </w:rPr>
        <w:t>Element 2: Research Process Reflection</w:t>
      </w:r>
      <w:r w:rsidRPr="00EF0AED">
        <w:rPr>
          <w:rFonts w:ascii="Arial" w:hAnsi="Arial" w:cs="Arial"/>
          <w:b/>
          <w:bCs/>
          <w:sz w:val="16"/>
          <w:szCs w:val="16"/>
        </w:rPr>
        <w:tab/>
      </w:r>
      <w:r>
        <w:rPr>
          <w:rFonts w:ascii="Arial" w:hAnsi="Arial" w:cs="Arial"/>
          <w:b/>
          <w:bCs/>
          <w:sz w:val="16"/>
          <w:szCs w:val="16"/>
        </w:rPr>
        <w:t>39</w:t>
      </w:r>
    </w:p>
    <w:p w14:paraId="7BCB0AC4" w14:textId="5553CDAA" w:rsidR="007C4B1E" w:rsidRPr="00EF0AED" w:rsidRDefault="007C4B1E" w:rsidP="007C4B1E">
      <w:pPr>
        <w:tabs>
          <w:tab w:val="right" w:leader="dot" w:pos="8640"/>
        </w:tabs>
        <w:spacing w:after="120"/>
        <w:rPr>
          <w:rFonts w:ascii="Arial" w:hAnsi="Arial" w:cs="Arial"/>
          <w:sz w:val="16"/>
          <w:szCs w:val="16"/>
        </w:rPr>
      </w:pPr>
      <w:r w:rsidRPr="00EF0AED">
        <w:rPr>
          <w:rFonts w:ascii="Arial" w:hAnsi="Arial" w:cs="Arial"/>
          <w:b/>
          <w:bCs/>
          <w:sz w:val="16"/>
          <w:szCs w:val="16"/>
        </w:rPr>
        <w:t>Element 3: Methodology Poster</w:t>
      </w:r>
      <w:r w:rsidRPr="00EF0AED">
        <w:rPr>
          <w:rFonts w:ascii="Arial" w:hAnsi="Arial" w:cs="Arial"/>
          <w:b/>
          <w:bCs/>
          <w:sz w:val="16"/>
          <w:szCs w:val="16"/>
        </w:rPr>
        <w:tab/>
      </w:r>
      <w:r>
        <w:rPr>
          <w:rFonts w:ascii="Arial" w:hAnsi="Arial" w:cs="Arial"/>
          <w:b/>
          <w:bCs/>
          <w:sz w:val="16"/>
          <w:szCs w:val="16"/>
        </w:rPr>
        <w:t>4</w:t>
      </w:r>
      <w:r>
        <w:rPr>
          <w:rFonts w:ascii="Arial" w:hAnsi="Arial" w:cs="Arial"/>
          <w:b/>
          <w:bCs/>
          <w:sz w:val="16"/>
          <w:szCs w:val="16"/>
        </w:rPr>
        <w:t>0</w:t>
      </w:r>
    </w:p>
    <w:p w14:paraId="7330A125" w14:textId="77777777" w:rsidR="00BB4BB4" w:rsidRPr="005E4704" w:rsidRDefault="00BB4BB4" w:rsidP="00585384">
      <w:pPr>
        <w:spacing w:after="40"/>
        <w:rPr>
          <w:rFonts w:ascii="Arial" w:hAnsi="Arial" w:cs="Arial"/>
          <w:sz w:val="16"/>
          <w:szCs w:val="16"/>
        </w:rPr>
      </w:pPr>
    </w:p>
    <w:p w14:paraId="2BA2ECEC" w14:textId="70A5B264" w:rsidR="00BB4BB4" w:rsidRPr="005E4704" w:rsidRDefault="00000000" w:rsidP="00585384">
      <w:pPr>
        <w:tabs>
          <w:tab w:val="right" w:leader="dot" w:pos="8640"/>
        </w:tabs>
        <w:spacing w:after="120"/>
        <w:rPr>
          <w:rFonts w:ascii="Arial" w:hAnsi="Arial" w:cs="Arial"/>
          <w:sz w:val="16"/>
          <w:szCs w:val="16"/>
        </w:rPr>
      </w:pPr>
      <w:r w:rsidRPr="005E4704">
        <w:rPr>
          <w:rFonts w:ascii="Arial" w:hAnsi="Arial" w:cs="Arial"/>
          <w:b/>
          <w:bCs/>
          <w:sz w:val="16"/>
          <w:szCs w:val="16"/>
        </w:rPr>
        <w:t>Appendices</w:t>
      </w:r>
      <w:r w:rsidRPr="005E4704">
        <w:rPr>
          <w:rFonts w:ascii="Arial" w:hAnsi="Arial" w:cs="Arial"/>
          <w:b/>
          <w:bCs/>
          <w:sz w:val="16"/>
          <w:szCs w:val="16"/>
        </w:rPr>
        <w:tab/>
      </w:r>
      <w:r w:rsidR="007C4B1E">
        <w:rPr>
          <w:rFonts w:ascii="Arial" w:hAnsi="Arial" w:cs="Arial"/>
          <w:b/>
          <w:bCs/>
          <w:sz w:val="16"/>
          <w:szCs w:val="16"/>
        </w:rPr>
        <w:t>41</w:t>
      </w:r>
    </w:p>
    <w:p w14:paraId="2467E38A" w14:textId="7BD2B641" w:rsidR="00BB4BB4" w:rsidRPr="005E4704" w:rsidRDefault="00000000" w:rsidP="00585384">
      <w:pPr>
        <w:tabs>
          <w:tab w:val="right" w:leader="dot" w:pos="8640"/>
        </w:tabs>
        <w:spacing w:after="60"/>
        <w:rPr>
          <w:rFonts w:ascii="Arial" w:hAnsi="Arial" w:cs="Arial"/>
          <w:sz w:val="16"/>
          <w:szCs w:val="16"/>
        </w:rPr>
      </w:pPr>
      <w:r w:rsidRPr="005E4704">
        <w:rPr>
          <w:rFonts w:ascii="Arial" w:hAnsi="Arial" w:cs="Arial"/>
          <w:sz w:val="16"/>
          <w:szCs w:val="16"/>
        </w:rPr>
        <w:t>Appendix A: Documentary Sources Summary Table</w:t>
      </w:r>
      <w:r w:rsidRPr="005E4704">
        <w:rPr>
          <w:rFonts w:ascii="Arial" w:hAnsi="Arial" w:cs="Arial"/>
          <w:sz w:val="16"/>
          <w:szCs w:val="16"/>
        </w:rPr>
        <w:tab/>
      </w:r>
      <w:r w:rsidR="007C4B1E">
        <w:rPr>
          <w:rFonts w:ascii="Arial" w:hAnsi="Arial" w:cs="Arial"/>
          <w:sz w:val="16"/>
          <w:szCs w:val="16"/>
        </w:rPr>
        <w:t>42</w:t>
      </w:r>
    </w:p>
    <w:p w14:paraId="4090FBC0" w14:textId="6437BF16" w:rsidR="00BB4BB4" w:rsidRPr="005E4704" w:rsidRDefault="00000000" w:rsidP="00585384">
      <w:pPr>
        <w:tabs>
          <w:tab w:val="right" w:leader="dot" w:pos="8640"/>
        </w:tabs>
        <w:spacing w:after="60"/>
        <w:rPr>
          <w:rFonts w:ascii="Arial" w:hAnsi="Arial" w:cs="Arial"/>
          <w:sz w:val="16"/>
          <w:szCs w:val="16"/>
        </w:rPr>
      </w:pPr>
      <w:r w:rsidRPr="005E4704">
        <w:rPr>
          <w:rFonts w:ascii="Arial" w:hAnsi="Arial" w:cs="Arial"/>
          <w:sz w:val="16"/>
          <w:szCs w:val="16"/>
        </w:rPr>
        <w:t>Appendix B: Thematic Coding Framework</w:t>
      </w:r>
      <w:r w:rsidRPr="005E4704">
        <w:rPr>
          <w:rFonts w:ascii="Arial" w:hAnsi="Arial" w:cs="Arial"/>
          <w:sz w:val="16"/>
          <w:szCs w:val="16"/>
        </w:rPr>
        <w:tab/>
      </w:r>
      <w:r w:rsidR="007C4B1E">
        <w:rPr>
          <w:rFonts w:ascii="Arial" w:hAnsi="Arial" w:cs="Arial"/>
          <w:sz w:val="16"/>
          <w:szCs w:val="16"/>
        </w:rPr>
        <w:t>4</w:t>
      </w:r>
      <w:r w:rsidR="003C091B">
        <w:rPr>
          <w:rFonts w:ascii="Arial" w:hAnsi="Arial" w:cs="Arial"/>
          <w:sz w:val="16"/>
          <w:szCs w:val="16"/>
        </w:rPr>
        <w:t>3</w:t>
      </w:r>
    </w:p>
    <w:p w14:paraId="259E45BF" w14:textId="3116251C" w:rsidR="00BB4BB4" w:rsidRDefault="00000000" w:rsidP="00EF0AED">
      <w:pPr>
        <w:tabs>
          <w:tab w:val="right" w:leader="dot" w:pos="8640"/>
        </w:tabs>
        <w:spacing w:after="60"/>
        <w:rPr>
          <w:rFonts w:ascii="Arial" w:hAnsi="Arial" w:cs="Arial"/>
          <w:sz w:val="16"/>
          <w:szCs w:val="16"/>
          <w:lang w:val="fr-FR"/>
        </w:rPr>
      </w:pPr>
      <w:r w:rsidRPr="005E4704">
        <w:rPr>
          <w:rFonts w:ascii="Arial" w:hAnsi="Arial" w:cs="Arial"/>
          <w:sz w:val="16"/>
          <w:szCs w:val="16"/>
          <w:lang w:val="fr-FR"/>
        </w:rPr>
        <w:t>Appendix C: Reflexive Journal Excerpts</w:t>
      </w:r>
      <w:r w:rsidRPr="005E4704">
        <w:rPr>
          <w:rFonts w:ascii="Arial" w:hAnsi="Arial" w:cs="Arial"/>
          <w:sz w:val="16"/>
          <w:szCs w:val="16"/>
          <w:lang w:val="fr-FR"/>
        </w:rPr>
        <w:tab/>
      </w:r>
      <w:r w:rsidR="001446B6">
        <w:rPr>
          <w:rFonts w:ascii="Arial" w:hAnsi="Arial" w:cs="Arial"/>
          <w:sz w:val="16"/>
          <w:szCs w:val="16"/>
          <w:lang w:val="fr-FR"/>
        </w:rPr>
        <w:t>4</w:t>
      </w:r>
      <w:r w:rsidR="007C4B1E">
        <w:rPr>
          <w:rFonts w:ascii="Arial" w:hAnsi="Arial" w:cs="Arial"/>
          <w:sz w:val="16"/>
          <w:szCs w:val="16"/>
          <w:lang w:val="fr-FR"/>
        </w:rPr>
        <w:t>4</w:t>
      </w:r>
    </w:p>
    <w:p w14:paraId="65B0A2C8" w14:textId="3D299C3D" w:rsidR="00CD616E" w:rsidRPr="00CD616E" w:rsidRDefault="00CD616E" w:rsidP="00CD616E">
      <w:pPr>
        <w:tabs>
          <w:tab w:val="left" w:pos="5103"/>
        </w:tabs>
        <w:rPr>
          <w:rFonts w:ascii="Arial" w:hAnsi="Arial" w:cs="Arial"/>
          <w:sz w:val="16"/>
          <w:szCs w:val="16"/>
        </w:rPr>
      </w:pPr>
      <w:r w:rsidRPr="00CD616E">
        <w:rPr>
          <w:rFonts w:ascii="Arial" w:hAnsi="Arial" w:cs="Arial"/>
          <w:sz w:val="16"/>
          <w:szCs w:val="16"/>
        </w:rPr>
        <w:t>Appendix D: APPLICATION FOR ETHICAL APPROVAL</w:t>
      </w:r>
      <w:r>
        <w:rPr>
          <w:rFonts w:ascii="Arial" w:hAnsi="Arial" w:cs="Arial"/>
          <w:sz w:val="16"/>
          <w:szCs w:val="16"/>
        </w:rPr>
        <w:t>…………………………………………………………………………</w:t>
      </w:r>
      <w:r w:rsidR="007C4B1E">
        <w:rPr>
          <w:rFonts w:ascii="Arial" w:hAnsi="Arial" w:cs="Arial"/>
          <w:sz w:val="16"/>
          <w:szCs w:val="16"/>
        </w:rPr>
        <w:t>45</w:t>
      </w:r>
    </w:p>
    <w:p w14:paraId="49333BA4" w14:textId="77777777" w:rsidR="00EF0AED" w:rsidRPr="005E4704" w:rsidRDefault="00EF0AED" w:rsidP="00585384">
      <w:pPr>
        <w:tabs>
          <w:tab w:val="right" w:leader="dot" w:pos="8640"/>
        </w:tabs>
        <w:spacing w:after="120"/>
        <w:rPr>
          <w:rFonts w:ascii="Arial" w:hAnsi="Arial" w:cs="Arial"/>
          <w:sz w:val="16"/>
          <w:szCs w:val="16"/>
        </w:rPr>
      </w:pPr>
    </w:p>
    <w:p w14:paraId="7BE7A08B" w14:textId="0A04B57C" w:rsidR="00BB4BB4" w:rsidRPr="0034720E" w:rsidRDefault="00000000" w:rsidP="00585384">
      <w:pPr>
        <w:pStyle w:val="Heading1"/>
        <w:rPr>
          <w:rFonts w:ascii="Arial" w:hAnsi="Arial" w:cs="Arial"/>
          <w:sz w:val="32"/>
          <w:szCs w:val="32"/>
        </w:rPr>
      </w:pPr>
      <w:r w:rsidRPr="0034720E">
        <w:rPr>
          <w:rFonts w:ascii="Arial" w:hAnsi="Arial" w:cs="Arial"/>
          <w:sz w:val="32"/>
          <w:szCs w:val="32"/>
        </w:rPr>
        <w:lastRenderedPageBreak/>
        <w:t>Chapter 1: Introduction</w:t>
      </w:r>
    </w:p>
    <w:p w14:paraId="0006F7ED" w14:textId="77777777" w:rsidR="00BB4BB4" w:rsidRPr="0034720E" w:rsidRDefault="00000000" w:rsidP="00292B71">
      <w:pPr>
        <w:pStyle w:val="Heading2"/>
        <w:spacing w:line="360" w:lineRule="auto"/>
        <w:rPr>
          <w:rFonts w:ascii="Arial" w:hAnsi="Arial" w:cs="Arial"/>
          <w:sz w:val="28"/>
          <w:szCs w:val="28"/>
        </w:rPr>
      </w:pPr>
      <w:r w:rsidRPr="0034720E">
        <w:rPr>
          <w:rFonts w:ascii="Arial" w:hAnsi="Arial" w:cs="Arial"/>
          <w:sz w:val="28"/>
          <w:szCs w:val="28"/>
        </w:rPr>
        <w:t>1.1 Background and Research Context</w:t>
      </w:r>
    </w:p>
    <w:p w14:paraId="14595D76" w14:textId="77777777" w:rsidR="00BB4BB4" w:rsidRPr="00205832" w:rsidRDefault="00000000" w:rsidP="00292B71">
      <w:pPr>
        <w:spacing w:after="200" w:line="360" w:lineRule="auto"/>
        <w:rPr>
          <w:rFonts w:ascii="Arial" w:hAnsi="Arial" w:cs="Arial"/>
          <w:sz w:val="22"/>
          <w:szCs w:val="22"/>
        </w:rPr>
      </w:pPr>
      <w:r w:rsidRPr="00303F22">
        <w:rPr>
          <w:rFonts w:ascii="Arial" w:hAnsi="Arial" w:cs="Arial"/>
          <w:sz w:val="22"/>
          <w:szCs w:val="22"/>
        </w:rPr>
        <w:t xml:space="preserve">Three foundational concepts underpin this research, which analyses UK fresh produce supply chain adaptation across 2020–2025. Supply chain resilience is defined as the </w:t>
      </w:r>
      <w:r w:rsidRPr="00205832">
        <w:rPr>
          <w:rFonts w:ascii="Arial" w:hAnsi="Arial" w:cs="Arial"/>
          <w:sz w:val="22"/>
          <w:szCs w:val="22"/>
        </w:rPr>
        <w:t>adaptive capability of a supply chain to prepare for unexpected events, respond to disruptions, and recover whilst maintaining operational continuity (</w:t>
      </w:r>
      <w:proofErr w:type="spellStart"/>
      <w:r w:rsidRPr="00205832">
        <w:rPr>
          <w:rFonts w:ascii="Arial" w:hAnsi="Arial" w:cs="Arial"/>
          <w:sz w:val="22"/>
          <w:szCs w:val="22"/>
        </w:rPr>
        <w:t>Ponomarov</w:t>
      </w:r>
      <w:proofErr w:type="spellEnd"/>
      <w:r w:rsidRPr="00205832">
        <w:rPr>
          <w:rFonts w:ascii="Arial" w:hAnsi="Arial" w:cs="Arial"/>
          <w:sz w:val="22"/>
          <w:szCs w:val="22"/>
        </w:rPr>
        <w:t xml:space="preserve"> and Holcomb, 2009). Fresh produce refers to unprocessed fruit and vegetables requiring continuous refrigeration with shelf lives of three to twenty-one days. Supply chain vulnerability denotes a supply chain’s propensity to experience disruption due to structural conditions including geographic sourcing concentration, import dependency, or regulatory friction. These definitions frame the research questions, analytical approach, and evidence examined throughout.</w:t>
      </w:r>
    </w:p>
    <w:p w14:paraId="4363353C" w14:textId="77777777" w:rsidR="00BB4BB4" w:rsidRPr="00205832" w:rsidRDefault="00000000" w:rsidP="00292B71">
      <w:pPr>
        <w:pStyle w:val="Heading3"/>
        <w:spacing w:line="360" w:lineRule="auto"/>
        <w:rPr>
          <w:rFonts w:ascii="Arial" w:hAnsi="Arial" w:cs="Arial"/>
          <w:sz w:val="22"/>
          <w:szCs w:val="22"/>
        </w:rPr>
      </w:pPr>
      <w:r w:rsidRPr="00205832">
        <w:rPr>
          <w:rFonts w:ascii="Arial" w:hAnsi="Arial" w:cs="Arial"/>
          <w:sz w:val="22"/>
          <w:szCs w:val="22"/>
        </w:rPr>
        <w:t>Brexit: Persistent Disruption</w:t>
      </w:r>
    </w:p>
    <w:p w14:paraId="4FFE0F92" w14:textId="1A4B1C36" w:rsidR="00BB4BB4" w:rsidRPr="00205832" w:rsidRDefault="00000000" w:rsidP="00292B71">
      <w:pPr>
        <w:spacing w:after="200" w:line="360" w:lineRule="auto"/>
        <w:rPr>
          <w:rFonts w:ascii="Arial" w:hAnsi="Arial" w:cs="Arial"/>
          <w:sz w:val="22"/>
          <w:szCs w:val="22"/>
        </w:rPr>
      </w:pPr>
      <w:r w:rsidRPr="00205832">
        <w:rPr>
          <w:rFonts w:ascii="Arial" w:hAnsi="Arial" w:cs="Arial"/>
          <w:sz w:val="22"/>
          <w:szCs w:val="22"/>
        </w:rPr>
        <w:t>Brexit, formally implemented in January 2021, introduced customs declarations, phytosanitary certificates, and border inspections that disrupted supply chains previously operating seamlessly across EU borders. Importers reported 12–24-hour transit delays translating into 20</w:t>
      </w:r>
      <w:r w:rsidR="00303F22" w:rsidRPr="00205832">
        <w:rPr>
          <w:rFonts w:ascii="Arial" w:hAnsi="Arial" w:cs="Arial"/>
          <w:sz w:val="22"/>
          <w:szCs w:val="22"/>
        </w:rPr>
        <w:t>-</w:t>
      </w:r>
      <w:r w:rsidRPr="00205832">
        <w:rPr>
          <w:rFonts w:ascii="Arial" w:hAnsi="Arial" w:cs="Arial"/>
          <w:sz w:val="22"/>
          <w:szCs w:val="22"/>
        </w:rPr>
        <w:t>40% shelf-life reduction for fresh produce (Euronews, 2023). Unlike episodic disruptions, Brexit created persistent structural friction that conventional adaptation cannot resolve. Hirth et al. (2023) document that compliance costs have intensified since implementation, confirming a slow-burn pattern that acute-event resilience frameworks do not adequately theorise.</w:t>
      </w:r>
    </w:p>
    <w:p w14:paraId="60A82689" w14:textId="77777777" w:rsidR="00BB4BB4" w:rsidRPr="00205832" w:rsidRDefault="00000000" w:rsidP="00292B71">
      <w:pPr>
        <w:pStyle w:val="Heading3"/>
        <w:spacing w:line="360" w:lineRule="auto"/>
        <w:rPr>
          <w:rFonts w:ascii="Arial" w:hAnsi="Arial" w:cs="Arial"/>
          <w:sz w:val="22"/>
          <w:szCs w:val="22"/>
        </w:rPr>
      </w:pPr>
      <w:r w:rsidRPr="00205832">
        <w:rPr>
          <w:rFonts w:ascii="Arial" w:hAnsi="Arial" w:cs="Arial"/>
          <w:sz w:val="22"/>
          <w:szCs w:val="22"/>
        </w:rPr>
        <w:t>COVID-19 and the 2023 Fresh Produce Crisis</w:t>
      </w:r>
    </w:p>
    <w:p w14:paraId="2DDB2F16" w14:textId="23D9B960" w:rsidR="00BB4BB4" w:rsidRPr="00205832" w:rsidRDefault="00000000" w:rsidP="00292B71">
      <w:pPr>
        <w:spacing w:after="200" w:line="360" w:lineRule="auto"/>
        <w:rPr>
          <w:rFonts w:ascii="Arial" w:hAnsi="Arial" w:cs="Arial"/>
          <w:sz w:val="22"/>
          <w:szCs w:val="22"/>
        </w:rPr>
      </w:pPr>
      <w:r w:rsidRPr="00205832">
        <w:rPr>
          <w:rFonts w:ascii="Arial" w:hAnsi="Arial" w:cs="Arial"/>
          <w:sz w:val="22"/>
          <w:szCs w:val="22"/>
        </w:rPr>
        <w:t>The COVID-19 pandemic (2020–2023) simultaneously disrupted demand patterns, logistics capacity, and labour availability. Initial phases generated demand surges of 300</w:t>
      </w:r>
      <w:r w:rsidR="005167AD" w:rsidRPr="00205832">
        <w:rPr>
          <w:rFonts w:ascii="Arial" w:hAnsi="Arial" w:cs="Arial"/>
          <w:sz w:val="22"/>
          <w:szCs w:val="22"/>
        </w:rPr>
        <w:t>-</w:t>
      </w:r>
      <w:r w:rsidRPr="00205832">
        <w:rPr>
          <w:rFonts w:ascii="Arial" w:hAnsi="Arial" w:cs="Arial"/>
          <w:sz w:val="22"/>
          <w:szCs w:val="22"/>
        </w:rPr>
        <w:t>400% for certain products whilst restaurant closures eliminated food service channels (Hobbs, 2021), exposing structural vulnerabilities including over-reliance on single-source suppliers and under-investment in digital traceability.</w:t>
      </w:r>
    </w:p>
    <w:p w14:paraId="4CAA2640" w14:textId="1DD86D70" w:rsidR="00BB4BB4" w:rsidRPr="00303F22" w:rsidRDefault="00000000" w:rsidP="00585384">
      <w:pPr>
        <w:spacing w:after="200" w:line="360" w:lineRule="auto"/>
        <w:rPr>
          <w:rFonts w:ascii="Arial" w:hAnsi="Arial" w:cs="Arial"/>
          <w:sz w:val="22"/>
          <w:szCs w:val="22"/>
        </w:rPr>
      </w:pPr>
      <w:r w:rsidRPr="00303F22">
        <w:rPr>
          <w:rFonts w:ascii="Arial" w:hAnsi="Arial" w:cs="Arial"/>
          <w:sz w:val="22"/>
          <w:szCs w:val="22"/>
        </w:rPr>
        <w:t>The February</w:t>
      </w:r>
      <w:r w:rsidR="00303F22" w:rsidRPr="00303F22">
        <w:rPr>
          <w:rFonts w:ascii="Arial" w:hAnsi="Arial" w:cs="Arial"/>
          <w:sz w:val="22"/>
          <w:szCs w:val="22"/>
        </w:rPr>
        <w:t>-</w:t>
      </w:r>
      <w:r w:rsidRPr="00303F22">
        <w:rPr>
          <w:rFonts w:ascii="Arial" w:hAnsi="Arial" w:cs="Arial"/>
          <w:sz w:val="22"/>
          <w:szCs w:val="22"/>
        </w:rPr>
        <w:t>March 2023 fresh produce crisis demonstrated how these vulnerabilities interact with concurrent disruptions. Adverse weather in Spain and Morocco, energy cost escalation from the Russia</w:t>
      </w:r>
      <w:r w:rsidR="00303F22" w:rsidRPr="00303F22">
        <w:rPr>
          <w:rFonts w:ascii="Arial" w:hAnsi="Arial" w:cs="Arial"/>
          <w:sz w:val="22"/>
          <w:szCs w:val="22"/>
        </w:rPr>
        <w:t>-</w:t>
      </w:r>
      <w:r w:rsidRPr="00303F22">
        <w:rPr>
          <w:rFonts w:ascii="Arial" w:hAnsi="Arial" w:cs="Arial"/>
          <w:sz w:val="22"/>
          <w:szCs w:val="22"/>
        </w:rPr>
        <w:t>Ukraine conflict, and Brexit-related factors converged simultaneously, producing empty supermarket shelves and product rationing (Food Foundation, 2023). APS Group left 8% of glasshouse capacity unused, unable to justify energy expenditure at prevailing market prices (Food Foundation, 2023)</w:t>
      </w:r>
      <w:r w:rsidR="00303F22" w:rsidRPr="00303F22">
        <w:rPr>
          <w:rFonts w:ascii="Arial" w:hAnsi="Arial" w:cs="Arial"/>
          <w:sz w:val="22"/>
          <w:szCs w:val="22"/>
        </w:rPr>
        <w:t xml:space="preserve"> </w:t>
      </w:r>
      <w:r w:rsidRPr="00303F22">
        <w:rPr>
          <w:rFonts w:ascii="Arial" w:hAnsi="Arial" w:cs="Arial"/>
          <w:sz w:val="22"/>
          <w:szCs w:val="22"/>
        </w:rPr>
        <w:t xml:space="preserve">demonstrating that </w:t>
      </w:r>
      <w:r w:rsidRPr="00303F22">
        <w:rPr>
          <w:rFonts w:ascii="Arial" w:hAnsi="Arial" w:cs="Arial"/>
          <w:sz w:val="22"/>
          <w:szCs w:val="22"/>
        </w:rPr>
        <w:lastRenderedPageBreak/>
        <w:t>domestic production can fail as catastrophically as import-dependent supply chains when energy costs become prohibitive.</w:t>
      </w:r>
    </w:p>
    <w:p w14:paraId="368A3520" w14:textId="77777777" w:rsidR="00BB4BB4" w:rsidRPr="00B74885" w:rsidRDefault="00000000" w:rsidP="00292B71">
      <w:pPr>
        <w:pStyle w:val="Heading3"/>
        <w:spacing w:line="360" w:lineRule="auto"/>
        <w:rPr>
          <w:rFonts w:ascii="Arial" w:hAnsi="Arial" w:cs="Arial"/>
          <w:i w:val="0"/>
          <w:iCs w:val="0"/>
          <w:sz w:val="22"/>
          <w:szCs w:val="22"/>
        </w:rPr>
      </w:pPr>
      <w:r w:rsidRPr="00B74885">
        <w:rPr>
          <w:rFonts w:ascii="Arial" w:hAnsi="Arial" w:cs="Arial"/>
          <w:i w:val="0"/>
          <w:iCs w:val="0"/>
          <w:sz w:val="22"/>
          <w:szCs w:val="22"/>
        </w:rPr>
        <w:t>Import Dependency and the Research Gap</w:t>
      </w:r>
    </w:p>
    <w:p w14:paraId="6F24D83A" w14:textId="77777777" w:rsidR="00BB4BB4" w:rsidRPr="00303F22" w:rsidRDefault="00000000" w:rsidP="00292B71">
      <w:pPr>
        <w:spacing w:after="200" w:line="360" w:lineRule="auto"/>
        <w:rPr>
          <w:rFonts w:ascii="Arial" w:hAnsi="Arial" w:cs="Arial"/>
          <w:sz w:val="22"/>
          <w:szCs w:val="22"/>
        </w:rPr>
      </w:pPr>
      <w:r w:rsidRPr="00303F22">
        <w:rPr>
          <w:rFonts w:ascii="Arial" w:hAnsi="Arial" w:cs="Arial"/>
          <w:sz w:val="22"/>
          <w:szCs w:val="22"/>
        </w:rPr>
        <w:t>The UK imports approximately 84% of fresh vegetables and 46% of fresh fruit from Spain, the Netherlands, and Morocco (Food Foundation, 2023). Geographic concentration in regions sharing similar weather risk profiles creates systemic vulnerability where regional disruptions translate directly into UK supply failures. Furthermore, 54% of UK imports originate from countries projected to face high water scarcity by 2040 (Food Foundation, 2023), compounding existing vulnerabilities with long-term climate pressure.</w:t>
      </w:r>
    </w:p>
    <w:p w14:paraId="73880D79" w14:textId="19F03FB5" w:rsidR="00BB4BB4" w:rsidRPr="00585384" w:rsidRDefault="00000000" w:rsidP="00292B71">
      <w:pPr>
        <w:spacing w:after="200" w:line="360" w:lineRule="auto"/>
        <w:rPr>
          <w:rFonts w:ascii="Arial" w:hAnsi="Arial" w:cs="Arial"/>
        </w:rPr>
      </w:pPr>
      <w:r w:rsidRPr="00303F22">
        <w:rPr>
          <w:rFonts w:ascii="Arial" w:hAnsi="Arial" w:cs="Arial"/>
          <w:sz w:val="22"/>
          <w:szCs w:val="22"/>
        </w:rPr>
        <w:t>Despite this urgent context, a significant academic gap persists. Most supply chain resilience literature was developed in manufacturing contexts prior to 2020, embedding assumptions particularly around inventory redundancy and collaboration incompatible with fresh produce perishability. Brexit has no direct international parallel, limiting the transferability of international resilience literature to UK practitioners. To date, no research has systematically synthesised documented adaptation experiences across UK fresh produce stakeholders following the convergence of post-Brexit friction, pandemic disruption, and the 2022–2023 crises. This dissertation is the first to address that gap through systematic secondary analysis of UK fresh produce sector adaptation between 2020 and 2025.</w:t>
      </w:r>
    </w:p>
    <w:p w14:paraId="4579C415" w14:textId="77777777" w:rsidR="00BB4BB4" w:rsidRPr="00960242" w:rsidRDefault="00000000" w:rsidP="00585384">
      <w:pPr>
        <w:spacing w:after="200" w:line="360" w:lineRule="auto"/>
        <w:rPr>
          <w:rFonts w:ascii="Arial" w:hAnsi="Arial" w:cs="Arial"/>
          <w:sz w:val="20"/>
          <w:szCs w:val="20"/>
        </w:rPr>
      </w:pPr>
      <w:r w:rsidRPr="00960242">
        <w:rPr>
          <w:rFonts w:ascii="Arial" w:hAnsi="Arial" w:cs="Arial"/>
          <w:i/>
          <w:iCs/>
          <w:sz w:val="20"/>
          <w:szCs w:val="20"/>
        </w:rPr>
        <w:t>Sections 1.2–1.4 set out the research aim, objectives, and questions. Section 1.5 articulates the research significance.</w:t>
      </w:r>
    </w:p>
    <w:p w14:paraId="6B642D79" w14:textId="7A1963FE" w:rsidR="00BB4BB4" w:rsidRDefault="00000000" w:rsidP="00585384">
      <w:pPr>
        <w:spacing w:after="200" w:line="360" w:lineRule="auto"/>
        <w:rPr>
          <w:rFonts w:ascii="Arial" w:hAnsi="Arial" w:cs="Arial"/>
          <w:sz w:val="22"/>
          <w:szCs w:val="22"/>
        </w:rPr>
      </w:pPr>
      <w:r w:rsidRPr="00303F22">
        <w:rPr>
          <w:rFonts w:ascii="Arial" w:hAnsi="Arial" w:cs="Arial"/>
          <w:sz w:val="22"/>
          <w:szCs w:val="22"/>
        </w:rPr>
        <w:t xml:space="preserve">The central argument of this dissertation is that UK fresh produce supply chain resilience cannot be achieved by applying manufacturing-derived frameworks without fundamental </w:t>
      </w:r>
      <w:proofErr w:type="spellStart"/>
      <w:r w:rsidR="00045F4A" w:rsidRPr="00303F22">
        <w:rPr>
          <w:rFonts w:ascii="Arial" w:hAnsi="Arial" w:cs="Arial"/>
          <w:sz w:val="22"/>
          <w:szCs w:val="22"/>
        </w:rPr>
        <w:t>reconceptuali</w:t>
      </w:r>
      <w:r w:rsidR="00045F4A">
        <w:rPr>
          <w:rFonts w:ascii="Arial" w:hAnsi="Arial" w:cs="Arial"/>
          <w:sz w:val="22"/>
          <w:szCs w:val="22"/>
        </w:rPr>
        <w:t>s</w:t>
      </w:r>
      <w:r w:rsidR="00045F4A" w:rsidRPr="00303F22">
        <w:rPr>
          <w:rFonts w:ascii="Arial" w:hAnsi="Arial" w:cs="Arial"/>
          <w:sz w:val="22"/>
          <w:szCs w:val="22"/>
        </w:rPr>
        <w:t>ation</w:t>
      </w:r>
      <w:proofErr w:type="spellEnd"/>
      <w:r w:rsidRPr="00303F22">
        <w:rPr>
          <w:rFonts w:ascii="Arial" w:hAnsi="Arial" w:cs="Arial"/>
          <w:sz w:val="22"/>
          <w:szCs w:val="22"/>
        </w:rPr>
        <w:t>. The resilience–efficiency paradox documented throughout the sector is not a firm-level management challenge alone but a structural market failure requiring policy co-ordination alongside individual company action. This argument is developed through systematic secondary analysis and substantiated by converging evidence across industry, government, and academic sources.</w:t>
      </w:r>
    </w:p>
    <w:p w14:paraId="2D452FDE" w14:textId="77777777" w:rsidR="005167AD" w:rsidRDefault="005167AD" w:rsidP="00585384">
      <w:pPr>
        <w:spacing w:after="200" w:line="360" w:lineRule="auto"/>
        <w:rPr>
          <w:rFonts w:ascii="Arial" w:hAnsi="Arial" w:cs="Arial"/>
          <w:sz w:val="22"/>
          <w:szCs w:val="22"/>
        </w:rPr>
      </w:pPr>
    </w:p>
    <w:p w14:paraId="0239E705" w14:textId="77777777" w:rsidR="005167AD" w:rsidRDefault="005167AD" w:rsidP="00585384">
      <w:pPr>
        <w:spacing w:after="200" w:line="360" w:lineRule="auto"/>
        <w:rPr>
          <w:rFonts w:ascii="Arial" w:hAnsi="Arial" w:cs="Arial"/>
          <w:sz w:val="22"/>
          <w:szCs w:val="22"/>
        </w:rPr>
      </w:pPr>
    </w:p>
    <w:p w14:paraId="33AA3381" w14:textId="77777777" w:rsidR="007E4B8D" w:rsidRDefault="007E4B8D" w:rsidP="00585384">
      <w:pPr>
        <w:spacing w:after="200" w:line="360" w:lineRule="auto"/>
        <w:rPr>
          <w:rFonts w:ascii="Arial" w:hAnsi="Arial" w:cs="Arial"/>
          <w:sz w:val="22"/>
          <w:szCs w:val="22"/>
        </w:rPr>
      </w:pPr>
    </w:p>
    <w:p w14:paraId="448186C4" w14:textId="77777777" w:rsidR="005167AD" w:rsidRPr="00303F22" w:rsidRDefault="005167AD" w:rsidP="00585384">
      <w:pPr>
        <w:spacing w:after="200" w:line="360" w:lineRule="auto"/>
        <w:rPr>
          <w:rFonts w:ascii="Arial" w:hAnsi="Arial" w:cs="Arial"/>
          <w:sz w:val="22"/>
          <w:szCs w:val="22"/>
        </w:rPr>
      </w:pPr>
    </w:p>
    <w:p w14:paraId="7D315E9C" w14:textId="77777777" w:rsidR="00BB4BB4" w:rsidRPr="0034720E" w:rsidRDefault="00000000" w:rsidP="00585384">
      <w:pPr>
        <w:pStyle w:val="Heading2"/>
        <w:rPr>
          <w:rFonts w:ascii="Arial" w:hAnsi="Arial" w:cs="Arial"/>
          <w:sz w:val="32"/>
          <w:szCs w:val="32"/>
        </w:rPr>
      </w:pPr>
      <w:r w:rsidRPr="0034720E">
        <w:rPr>
          <w:rFonts w:ascii="Arial" w:hAnsi="Arial" w:cs="Arial"/>
          <w:sz w:val="32"/>
          <w:szCs w:val="32"/>
        </w:rPr>
        <w:lastRenderedPageBreak/>
        <w:t>1.2 Research Aim</w:t>
      </w:r>
    </w:p>
    <w:p w14:paraId="6A0776FD" w14:textId="77777777" w:rsidR="00BB4BB4" w:rsidRPr="00303F22" w:rsidRDefault="00000000" w:rsidP="00585384">
      <w:pPr>
        <w:spacing w:after="200" w:line="360" w:lineRule="auto"/>
        <w:rPr>
          <w:rFonts w:ascii="Arial" w:hAnsi="Arial" w:cs="Arial"/>
          <w:sz w:val="22"/>
          <w:szCs w:val="22"/>
        </w:rPr>
      </w:pPr>
      <w:r w:rsidRPr="00303F22">
        <w:rPr>
          <w:rFonts w:ascii="Arial" w:hAnsi="Arial" w:cs="Arial"/>
          <w:sz w:val="22"/>
          <w:szCs w:val="22"/>
        </w:rPr>
        <w:t>To explore how UK fresh produce companies have changed their supply chain strategies to become more resilient after recent global disruptions.</w:t>
      </w:r>
    </w:p>
    <w:p w14:paraId="3B6CAC8A" w14:textId="77777777" w:rsidR="00BB4BB4" w:rsidRPr="0034720E" w:rsidRDefault="00000000" w:rsidP="00585384">
      <w:pPr>
        <w:pStyle w:val="Heading2"/>
        <w:rPr>
          <w:rFonts w:ascii="Arial" w:hAnsi="Arial" w:cs="Arial"/>
          <w:sz w:val="32"/>
          <w:szCs w:val="32"/>
        </w:rPr>
      </w:pPr>
      <w:r w:rsidRPr="0034720E">
        <w:rPr>
          <w:rFonts w:ascii="Arial" w:hAnsi="Arial" w:cs="Arial"/>
          <w:sz w:val="32"/>
          <w:szCs w:val="32"/>
        </w:rPr>
        <w:t>1.3 Research Objectives</w:t>
      </w:r>
    </w:p>
    <w:p w14:paraId="532401CC" w14:textId="29FF62FC" w:rsidR="00BB4BB4" w:rsidRPr="00862F58" w:rsidRDefault="00000000" w:rsidP="00585384">
      <w:pPr>
        <w:spacing w:after="200" w:line="360" w:lineRule="auto"/>
        <w:rPr>
          <w:rFonts w:ascii="Arial" w:hAnsi="Arial" w:cs="Arial"/>
          <w:sz w:val="22"/>
          <w:szCs w:val="22"/>
        </w:rPr>
      </w:pPr>
      <w:r w:rsidRPr="00862F58">
        <w:rPr>
          <w:rFonts w:ascii="Arial" w:hAnsi="Arial" w:cs="Arial"/>
          <w:b/>
          <w:bCs/>
          <w:sz w:val="22"/>
          <w:szCs w:val="22"/>
        </w:rPr>
        <w:t>Objective 1</w:t>
      </w:r>
      <w:r w:rsidR="00FF158F" w:rsidRPr="00862F58">
        <w:rPr>
          <w:rFonts w:ascii="Arial" w:hAnsi="Arial" w:cs="Arial"/>
          <w:b/>
          <w:bCs/>
          <w:sz w:val="22"/>
          <w:szCs w:val="22"/>
        </w:rPr>
        <w:t>.</w:t>
      </w:r>
      <w:r w:rsidR="00FF158F" w:rsidRPr="00862F58">
        <w:rPr>
          <w:rFonts w:ascii="Arial" w:hAnsi="Arial" w:cs="Arial"/>
          <w:sz w:val="22"/>
          <w:szCs w:val="22"/>
        </w:rPr>
        <w:t xml:space="preserve"> </w:t>
      </w:r>
      <w:r w:rsidRPr="00862F58">
        <w:rPr>
          <w:rFonts w:ascii="Arial" w:hAnsi="Arial" w:cs="Arial"/>
          <w:sz w:val="22"/>
          <w:szCs w:val="22"/>
        </w:rPr>
        <w:t>Identify major supply chain disruptions faced by UK fresh produce companies from 2020 to 2025.</w:t>
      </w:r>
    </w:p>
    <w:p w14:paraId="2765DCE2" w14:textId="59DB28BF" w:rsidR="00BB4BB4" w:rsidRPr="00862F58" w:rsidRDefault="00000000" w:rsidP="00585384">
      <w:pPr>
        <w:spacing w:after="200" w:line="360" w:lineRule="auto"/>
        <w:rPr>
          <w:rFonts w:ascii="Arial" w:hAnsi="Arial" w:cs="Arial"/>
          <w:sz w:val="22"/>
          <w:szCs w:val="22"/>
        </w:rPr>
      </w:pPr>
      <w:r w:rsidRPr="00862F58">
        <w:rPr>
          <w:rFonts w:ascii="Arial" w:hAnsi="Arial" w:cs="Arial"/>
          <w:b/>
          <w:bCs/>
          <w:sz w:val="22"/>
          <w:szCs w:val="22"/>
        </w:rPr>
        <w:t>Objective 2</w:t>
      </w:r>
      <w:r w:rsidR="00FF158F" w:rsidRPr="00862F58">
        <w:rPr>
          <w:rFonts w:ascii="Arial" w:hAnsi="Arial" w:cs="Arial"/>
          <w:b/>
          <w:bCs/>
          <w:sz w:val="22"/>
          <w:szCs w:val="22"/>
        </w:rPr>
        <w:t>.</w:t>
      </w:r>
      <w:r w:rsidR="00FF158F" w:rsidRPr="00862F58">
        <w:rPr>
          <w:rFonts w:ascii="Arial" w:hAnsi="Arial" w:cs="Arial"/>
          <w:sz w:val="22"/>
          <w:szCs w:val="22"/>
        </w:rPr>
        <w:t xml:space="preserve"> </w:t>
      </w:r>
      <w:r w:rsidRPr="00862F58">
        <w:rPr>
          <w:rFonts w:ascii="Arial" w:hAnsi="Arial" w:cs="Arial"/>
          <w:sz w:val="22"/>
          <w:szCs w:val="22"/>
        </w:rPr>
        <w:t>Examine the strategies used by these companies to improve supply chain resilience, including challenges and factors that helped or hindered implementation.</w:t>
      </w:r>
    </w:p>
    <w:p w14:paraId="09D7818D" w14:textId="25716112" w:rsidR="00BB4BB4" w:rsidRPr="00585384" w:rsidRDefault="00000000" w:rsidP="00585384">
      <w:pPr>
        <w:spacing w:after="200" w:line="360" w:lineRule="auto"/>
        <w:rPr>
          <w:rFonts w:ascii="Arial" w:hAnsi="Arial" w:cs="Arial"/>
        </w:rPr>
      </w:pPr>
      <w:r w:rsidRPr="00862F58">
        <w:rPr>
          <w:rFonts w:ascii="Arial" w:hAnsi="Arial" w:cs="Arial"/>
          <w:b/>
          <w:bCs/>
          <w:sz w:val="22"/>
          <w:szCs w:val="22"/>
        </w:rPr>
        <w:t>Objective 3</w:t>
      </w:r>
      <w:r w:rsidR="00FF158F" w:rsidRPr="00862F58">
        <w:rPr>
          <w:rFonts w:ascii="Arial" w:hAnsi="Arial" w:cs="Arial"/>
          <w:b/>
          <w:bCs/>
          <w:sz w:val="22"/>
          <w:szCs w:val="22"/>
        </w:rPr>
        <w:t>.</w:t>
      </w:r>
      <w:r w:rsidR="00FF158F" w:rsidRPr="00862F58">
        <w:rPr>
          <w:rFonts w:ascii="Arial" w:hAnsi="Arial" w:cs="Arial"/>
          <w:sz w:val="22"/>
          <w:szCs w:val="22"/>
        </w:rPr>
        <w:t xml:space="preserve"> </w:t>
      </w:r>
      <w:r w:rsidRPr="00862F58">
        <w:rPr>
          <w:rFonts w:ascii="Arial" w:hAnsi="Arial" w:cs="Arial"/>
          <w:sz w:val="22"/>
          <w:szCs w:val="22"/>
        </w:rPr>
        <w:t>Summarize key lessons and success factors from various sources to improve theory and practice in supply chain resilience for fresh produce</w:t>
      </w:r>
      <w:r w:rsidRPr="00303F22">
        <w:rPr>
          <w:rFonts w:ascii="Arial" w:hAnsi="Arial" w:cs="Arial"/>
          <w:sz w:val="22"/>
          <w:szCs w:val="22"/>
        </w:rPr>
        <w:t>.</w:t>
      </w:r>
    </w:p>
    <w:p w14:paraId="2B91C196" w14:textId="77777777" w:rsidR="00BB4BB4" w:rsidRPr="0034720E" w:rsidRDefault="00000000" w:rsidP="00585384">
      <w:pPr>
        <w:pStyle w:val="Heading2"/>
        <w:rPr>
          <w:rFonts w:ascii="Arial" w:hAnsi="Arial" w:cs="Arial"/>
          <w:sz w:val="32"/>
          <w:szCs w:val="32"/>
        </w:rPr>
      </w:pPr>
      <w:r w:rsidRPr="0034720E">
        <w:rPr>
          <w:rFonts w:ascii="Arial" w:hAnsi="Arial" w:cs="Arial"/>
          <w:sz w:val="32"/>
          <w:szCs w:val="32"/>
        </w:rPr>
        <w:t>1.4 Research Questions</w:t>
      </w:r>
    </w:p>
    <w:p w14:paraId="11BC5649" w14:textId="77777777" w:rsidR="00BB4BB4" w:rsidRPr="00862F58" w:rsidRDefault="00000000" w:rsidP="00585384">
      <w:pPr>
        <w:spacing w:after="120" w:line="360" w:lineRule="auto"/>
        <w:rPr>
          <w:rFonts w:ascii="Arial" w:hAnsi="Arial" w:cs="Arial"/>
          <w:sz w:val="22"/>
          <w:szCs w:val="22"/>
        </w:rPr>
      </w:pPr>
      <w:r w:rsidRPr="00862F58">
        <w:rPr>
          <w:rFonts w:ascii="Arial" w:hAnsi="Arial" w:cs="Arial"/>
          <w:b/>
          <w:bCs/>
          <w:sz w:val="22"/>
          <w:szCs w:val="22"/>
        </w:rPr>
        <w:t>Primary Research Question:</w:t>
      </w:r>
    </w:p>
    <w:p w14:paraId="0146EA3E" w14:textId="77777777" w:rsidR="00BB4BB4" w:rsidRPr="00303F22" w:rsidRDefault="00000000" w:rsidP="00585384">
      <w:pPr>
        <w:spacing w:after="200" w:line="360" w:lineRule="auto"/>
        <w:rPr>
          <w:rFonts w:ascii="Arial" w:hAnsi="Arial" w:cs="Arial"/>
          <w:sz w:val="22"/>
          <w:szCs w:val="22"/>
        </w:rPr>
      </w:pPr>
      <w:r w:rsidRPr="00303F22">
        <w:rPr>
          <w:rFonts w:ascii="Arial" w:hAnsi="Arial" w:cs="Arial"/>
          <w:sz w:val="22"/>
          <w:szCs w:val="22"/>
        </w:rPr>
        <w:t>How have UK fresh produce companies adapted their supply chain strategies to become more resilient after recent global disruptions, and what factors affected their success?</w:t>
      </w:r>
    </w:p>
    <w:p w14:paraId="25D7C111" w14:textId="77777777" w:rsidR="00BB4BB4" w:rsidRPr="00862F58" w:rsidRDefault="00000000" w:rsidP="00585384">
      <w:pPr>
        <w:spacing w:after="120" w:line="360" w:lineRule="auto"/>
        <w:rPr>
          <w:rFonts w:ascii="Arial" w:hAnsi="Arial" w:cs="Arial"/>
          <w:sz w:val="22"/>
          <w:szCs w:val="22"/>
        </w:rPr>
      </w:pPr>
      <w:r w:rsidRPr="00862F58">
        <w:rPr>
          <w:rFonts w:ascii="Arial" w:hAnsi="Arial" w:cs="Arial"/>
          <w:b/>
          <w:bCs/>
          <w:sz w:val="22"/>
          <w:szCs w:val="22"/>
        </w:rPr>
        <w:t>Secondary Research Questions:</w:t>
      </w:r>
    </w:p>
    <w:p w14:paraId="61165F62" w14:textId="77777777" w:rsidR="00BB4BB4" w:rsidRPr="00862F58" w:rsidRDefault="00000000" w:rsidP="00585384">
      <w:pPr>
        <w:spacing w:after="200" w:line="360" w:lineRule="auto"/>
        <w:rPr>
          <w:rFonts w:ascii="Arial" w:hAnsi="Arial" w:cs="Arial"/>
          <w:sz w:val="22"/>
          <w:szCs w:val="22"/>
        </w:rPr>
      </w:pPr>
      <w:r w:rsidRPr="00862F58">
        <w:rPr>
          <w:rFonts w:ascii="Arial" w:hAnsi="Arial" w:cs="Arial"/>
          <w:b/>
          <w:bCs/>
          <w:sz w:val="22"/>
          <w:szCs w:val="22"/>
        </w:rPr>
        <w:t>RQ1:</w:t>
      </w:r>
      <w:r w:rsidRPr="00862F58">
        <w:rPr>
          <w:rFonts w:ascii="Arial" w:hAnsi="Arial" w:cs="Arial"/>
          <w:sz w:val="22"/>
          <w:szCs w:val="22"/>
        </w:rPr>
        <w:t xml:space="preserve"> What were the main supply chain disruptions for UK fresh produce companies, and how did they respond?</w:t>
      </w:r>
    </w:p>
    <w:p w14:paraId="32562F9F" w14:textId="77777777" w:rsidR="00BB4BB4" w:rsidRPr="00862F58" w:rsidRDefault="00000000" w:rsidP="00585384">
      <w:pPr>
        <w:spacing w:after="200" w:line="360" w:lineRule="auto"/>
        <w:rPr>
          <w:rFonts w:ascii="Arial" w:hAnsi="Arial" w:cs="Arial"/>
          <w:sz w:val="22"/>
          <w:szCs w:val="22"/>
        </w:rPr>
      </w:pPr>
      <w:r w:rsidRPr="00862F58">
        <w:rPr>
          <w:rFonts w:ascii="Arial" w:hAnsi="Arial" w:cs="Arial"/>
          <w:b/>
          <w:bCs/>
          <w:sz w:val="22"/>
          <w:szCs w:val="22"/>
        </w:rPr>
        <w:t>RQ2:</w:t>
      </w:r>
      <w:r w:rsidRPr="00862F58">
        <w:rPr>
          <w:rFonts w:ascii="Arial" w:hAnsi="Arial" w:cs="Arial"/>
          <w:sz w:val="22"/>
          <w:szCs w:val="22"/>
        </w:rPr>
        <w:t xml:space="preserve"> What challenges and helpful factors did companies face when trying to balance resilience and efficiency?</w:t>
      </w:r>
    </w:p>
    <w:p w14:paraId="2F6DB00B" w14:textId="77777777" w:rsidR="00BB4BB4" w:rsidRPr="00585384" w:rsidRDefault="00000000" w:rsidP="00585384">
      <w:pPr>
        <w:spacing w:after="200" w:line="360" w:lineRule="auto"/>
        <w:rPr>
          <w:rFonts w:ascii="Arial" w:hAnsi="Arial" w:cs="Arial"/>
        </w:rPr>
      </w:pPr>
      <w:r w:rsidRPr="00862F58">
        <w:rPr>
          <w:rFonts w:ascii="Arial" w:hAnsi="Arial" w:cs="Arial"/>
          <w:b/>
          <w:bCs/>
          <w:sz w:val="22"/>
          <w:szCs w:val="22"/>
        </w:rPr>
        <w:t>RQ3:</w:t>
      </w:r>
      <w:r w:rsidRPr="00585384">
        <w:rPr>
          <w:rFonts w:ascii="Arial" w:hAnsi="Arial" w:cs="Arial"/>
        </w:rPr>
        <w:t xml:space="preserve"> </w:t>
      </w:r>
      <w:r w:rsidRPr="002445C7">
        <w:rPr>
          <w:rFonts w:ascii="Arial" w:hAnsi="Arial" w:cs="Arial"/>
          <w:sz w:val="22"/>
          <w:szCs w:val="22"/>
        </w:rPr>
        <w:t>What important lessons and success factors can be learned from different sources, and how do these findings affect existing supply chain theories?</w:t>
      </w:r>
    </w:p>
    <w:p w14:paraId="1E076233" w14:textId="77777777" w:rsidR="00BB4BB4" w:rsidRPr="0034720E" w:rsidRDefault="00000000" w:rsidP="00585384">
      <w:pPr>
        <w:pStyle w:val="Heading2"/>
        <w:rPr>
          <w:rFonts w:ascii="Arial" w:hAnsi="Arial" w:cs="Arial"/>
          <w:sz w:val="32"/>
          <w:szCs w:val="32"/>
        </w:rPr>
      </w:pPr>
      <w:r w:rsidRPr="0034720E">
        <w:rPr>
          <w:rFonts w:ascii="Arial" w:hAnsi="Arial" w:cs="Arial"/>
          <w:sz w:val="32"/>
          <w:szCs w:val="32"/>
        </w:rPr>
        <w:t>1.5 Research Significance</w:t>
      </w:r>
    </w:p>
    <w:p w14:paraId="1C4F0DF4" w14:textId="36F9B59F" w:rsidR="00BB4BB4" w:rsidRPr="002445C7" w:rsidRDefault="00000000" w:rsidP="00585384">
      <w:pPr>
        <w:spacing w:after="200" w:line="360" w:lineRule="auto"/>
        <w:rPr>
          <w:rFonts w:ascii="Arial" w:hAnsi="Arial" w:cs="Arial"/>
          <w:sz w:val="22"/>
          <w:szCs w:val="22"/>
        </w:rPr>
      </w:pPr>
      <w:r w:rsidRPr="002445C7">
        <w:rPr>
          <w:rFonts w:ascii="Arial" w:hAnsi="Arial" w:cs="Arial"/>
          <w:sz w:val="22"/>
          <w:szCs w:val="22"/>
        </w:rPr>
        <w:t>This research addresses urgent needs across academic, practical, and policy dimensions. Academically, it challenges the universality of dominant supply chain resilience frameworks where core assumptions around inventory redundancy, collaboration, and visibility do not hold for fresh produce, contributing to theoretical debate about the boundary conditions of supply chain resilience theory.</w:t>
      </w:r>
    </w:p>
    <w:p w14:paraId="1FD711CD" w14:textId="77777777" w:rsidR="00BB4BB4" w:rsidRPr="002445C7" w:rsidRDefault="00000000" w:rsidP="00585384">
      <w:pPr>
        <w:spacing w:after="200" w:line="360" w:lineRule="auto"/>
        <w:rPr>
          <w:rFonts w:ascii="Arial" w:hAnsi="Arial" w:cs="Arial"/>
          <w:sz w:val="22"/>
          <w:szCs w:val="22"/>
        </w:rPr>
      </w:pPr>
      <w:r w:rsidRPr="002445C7">
        <w:rPr>
          <w:rFonts w:ascii="Arial" w:hAnsi="Arial" w:cs="Arial"/>
          <w:sz w:val="22"/>
          <w:szCs w:val="22"/>
        </w:rPr>
        <w:t xml:space="preserve">From a practical perspective, supply disruptions have disproportionate impacts on lower-income households already contending with food inflation that reached 16.9% in 2023 (Food </w:t>
      </w:r>
      <w:r w:rsidRPr="002445C7">
        <w:rPr>
          <w:rFonts w:ascii="Arial" w:hAnsi="Arial" w:cs="Arial"/>
          <w:sz w:val="22"/>
          <w:szCs w:val="22"/>
        </w:rPr>
        <w:lastRenderedPageBreak/>
        <w:t>Foundation, 2023). The near-10% closure rate among Lea Valley growers (Hirth et al., 2023) raises urgent questions about the long-term sustainability of domestic production and rural employment consequences if sector contraction continues.</w:t>
      </w:r>
    </w:p>
    <w:p w14:paraId="18D295E1" w14:textId="77777777" w:rsidR="00BB4BB4" w:rsidRPr="002445C7" w:rsidRDefault="00000000" w:rsidP="00585384">
      <w:pPr>
        <w:spacing w:after="200" w:line="360" w:lineRule="auto"/>
        <w:rPr>
          <w:rFonts w:ascii="Arial" w:hAnsi="Arial" w:cs="Arial"/>
          <w:sz w:val="22"/>
          <w:szCs w:val="22"/>
        </w:rPr>
      </w:pPr>
      <w:r w:rsidRPr="002445C7">
        <w:rPr>
          <w:rFonts w:ascii="Arial" w:hAnsi="Arial" w:cs="Arial"/>
          <w:sz w:val="22"/>
          <w:szCs w:val="22"/>
        </w:rPr>
        <w:t>The policy significance is equally pressing. The 2023 crisis and the failure of domestic greenhouse production under energy cost pressure illustrate market failures that individual company strategy cannot resolve unilaterally. The exclusion of UK horticulture from energy support schemes available to other industries (Food Foundation, 2023) highlights a regulatory gap this research directly addresses by distinguishing supply chain challenges amenable to market-driven adaptation from those requiring policy intervention.</w:t>
      </w:r>
    </w:p>
    <w:p w14:paraId="61CC9940" w14:textId="700678D1" w:rsidR="00BB4BB4" w:rsidRPr="002445C7" w:rsidRDefault="00000000" w:rsidP="00585384">
      <w:pPr>
        <w:spacing w:after="200" w:line="360" w:lineRule="auto"/>
        <w:rPr>
          <w:rFonts w:ascii="Arial" w:hAnsi="Arial" w:cs="Arial"/>
          <w:sz w:val="20"/>
          <w:szCs w:val="20"/>
        </w:rPr>
      </w:pPr>
      <w:r w:rsidRPr="002445C7">
        <w:rPr>
          <w:rFonts w:ascii="Arial" w:hAnsi="Arial" w:cs="Arial"/>
          <w:b/>
          <w:bCs/>
          <w:sz w:val="20"/>
          <w:szCs w:val="20"/>
        </w:rPr>
        <w:t>The dissertation comprises five chapters</w:t>
      </w:r>
      <w:r w:rsidRPr="00292B71">
        <w:rPr>
          <w:rFonts w:ascii="Arial" w:hAnsi="Arial" w:cs="Arial"/>
          <w:sz w:val="22"/>
          <w:szCs w:val="22"/>
        </w:rPr>
        <w:t xml:space="preserve">. </w:t>
      </w:r>
      <w:r w:rsidRPr="00960242">
        <w:rPr>
          <w:rFonts w:ascii="Arial" w:hAnsi="Arial" w:cs="Arial"/>
          <w:sz w:val="20"/>
          <w:szCs w:val="20"/>
        </w:rPr>
        <w:t xml:space="preserve">Chapter 2 builds directly from the disruption context established here by critically evaluating whether existing theoretical frameworks offer adequate guidance for fresh produce supply chains under these conditions, and by identifying the specific theoretical gaps this research addresses. Chapters 3 to 5 then present methodology, findings, and </w:t>
      </w:r>
      <w:r w:rsidR="00FF158F" w:rsidRPr="00960242">
        <w:rPr>
          <w:rFonts w:ascii="Arial" w:hAnsi="Arial" w:cs="Arial"/>
          <w:sz w:val="20"/>
          <w:szCs w:val="20"/>
        </w:rPr>
        <w:t>recommendations,</w:t>
      </w:r>
      <w:r w:rsidRPr="00960242">
        <w:rPr>
          <w:rFonts w:ascii="Arial" w:hAnsi="Arial" w:cs="Arial"/>
          <w:sz w:val="20"/>
          <w:szCs w:val="20"/>
        </w:rPr>
        <w:t xml:space="preserve"> respectively.</w:t>
      </w:r>
    </w:p>
    <w:p w14:paraId="46D83808" w14:textId="71936A03" w:rsidR="00BB4BB4" w:rsidRPr="00B1174F" w:rsidRDefault="00000000" w:rsidP="00B1174F">
      <w:pPr>
        <w:pageBreakBefore/>
        <w:rPr>
          <w:rFonts w:ascii="Arial" w:hAnsi="Arial" w:cs="Arial"/>
          <w:b/>
          <w:bCs/>
        </w:rPr>
      </w:pPr>
      <w:r w:rsidRPr="00B1174F">
        <w:rPr>
          <w:rFonts w:ascii="Arial" w:hAnsi="Arial" w:cs="Arial"/>
          <w:b/>
          <w:bCs/>
          <w:sz w:val="32"/>
          <w:szCs w:val="32"/>
        </w:rPr>
        <w:lastRenderedPageBreak/>
        <w:t>Chapter 2: Literature Review</w:t>
      </w:r>
    </w:p>
    <w:p w14:paraId="6FEA73F4" w14:textId="77777777" w:rsidR="00BB4BB4" w:rsidRPr="00862F58" w:rsidRDefault="00000000" w:rsidP="00585384">
      <w:pPr>
        <w:pStyle w:val="Heading2"/>
        <w:rPr>
          <w:rFonts w:ascii="Arial" w:hAnsi="Arial" w:cs="Arial"/>
          <w:sz w:val="24"/>
          <w:szCs w:val="24"/>
        </w:rPr>
      </w:pPr>
      <w:r w:rsidRPr="0034720E">
        <w:rPr>
          <w:rFonts w:ascii="Arial" w:hAnsi="Arial" w:cs="Arial"/>
          <w:sz w:val="28"/>
          <w:szCs w:val="28"/>
        </w:rPr>
        <w:t>2.1 Supply Chain Resilience:</w:t>
      </w:r>
      <w:r w:rsidRPr="00862F58">
        <w:rPr>
          <w:rFonts w:ascii="Arial" w:hAnsi="Arial" w:cs="Arial"/>
          <w:sz w:val="24"/>
          <w:szCs w:val="24"/>
        </w:rPr>
        <w:t xml:space="preserve"> Theoretical Foundations</w:t>
      </w:r>
    </w:p>
    <w:p w14:paraId="106F5646" w14:textId="1297B599" w:rsidR="00BB4BB4" w:rsidRPr="002445C7" w:rsidRDefault="00000000" w:rsidP="00585384">
      <w:pPr>
        <w:spacing w:after="200" w:line="360" w:lineRule="auto"/>
        <w:rPr>
          <w:rFonts w:ascii="Arial" w:hAnsi="Arial" w:cs="Arial"/>
          <w:sz w:val="22"/>
          <w:szCs w:val="22"/>
        </w:rPr>
      </w:pPr>
      <w:r w:rsidRPr="002445C7">
        <w:rPr>
          <w:rFonts w:ascii="Arial" w:hAnsi="Arial" w:cs="Arial"/>
          <w:sz w:val="22"/>
          <w:szCs w:val="22"/>
        </w:rPr>
        <w:t xml:space="preserve">Supply chain resilience has evolved from a peripheral concern to a central strategic imperative. </w:t>
      </w:r>
      <w:proofErr w:type="spellStart"/>
      <w:r w:rsidRPr="002445C7">
        <w:rPr>
          <w:rFonts w:ascii="Arial" w:hAnsi="Arial" w:cs="Arial"/>
          <w:sz w:val="22"/>
          <w:szCs w:val="22"/>
        </w:rPr>
        <w:t>Ponomarov</w:t>
      </w:r>
      <w:proofErr w:type="spellEnd"/>
      <w:r w:rsidRPr="002445C7">
        <w:rPr>
          <w:rFonts w:ascii="Arial" w:hAnsi="Arial" w:cs="Arial"/>
          <w:sz w:val="22"/>
          <w:szCs w:val="22"/>
        </w:rPr>
        <w:t xml:space="preserve"> and Holcomb (2009, p. 131) define it as the adaptive capability of a supply chain to prepare for unexpected events, respond to disruptions, and recover from them by maintaining continuity of operations. The strength of this definition lies in its emphasis on adaptive capability rather than static robustness and its acknowledgement of both proactive and reactive components. However, its critical limitation is the implicit assumption that supply chain resilience means returning to a pre-disruption state bouncing back to a stable norm that may no longer exist. In the UK fresh produce context, Brexit permanently altered the regulatory landscape in ways that make pre-2021 supply configurations unrecoverable, rendering a recovery-oriented conception of supply chain resilience analytically insufficient.</w:t>
      </w:r>
    </w:p>
    <w:p w14:paraId="1A4D6E02" w14:textId="6286A280" w:rsidR="00BB4BB4" w:rsidRPr="002445C7" w:rsidRDefault="00000000" w:rsidP="00585384">
      <w:pPr>
        <w:spacing w:after="200" w:line="360" w:lineRule="auto"/>
        <w:rPr>
          <w:rFonts w:ascii="Arial" w:hAnsi="Arial" w:cs="Arial"/>
          <w:sz w:val="22"/>
          <w:szCs w:val="22"/>
        </w:rPr>
      </w:pPr>
      <w:r w:rsidRPr="002445C7">
        <w:rPr>
          <w:rFonts w:ascii="Arial" w:hAnsi="Arial" w:cs="Arial"/>
          <w:sz w:val="22"/>
          <w:szCs w:val="22"/>
        </w:rPr>
        <w:t xml:space="preserve">Ivanov and </w:t>
      </w:r>
      <w:proofErr w:type="spellStart"/>
      <w:r w:rsidRPr="002445C7">
        <w:rPr>
          <w:rFonts w:ascii="Arial" w:hAnsi="Arial" w:cs="Arial"/>
          <w:sz w:val="22"/>
          <w:szCs w:val="22"/>
        </w:rPr>
        <w:t>Dolgui</w:t>
      </w:r>
      <w:proofErr w:type="spellEnd"/>
      <w:r w:rsidRPr="002445C7">
        <w:rPr>
          <w:rFonts w:ascii="Arial" w:hAnsi="Arial" w:cs="Arial"/>
          <w:sz w:val="22"/>
          <w:szCs w:val="22"/>
        </w:rPr>
        <w:t xml:space="preserve"> (2020) directly challenge this recovery orientation, arguing that contemporary supply chains face persistent volatility in which the notion of a stable normal state is questionable. In their framing, supply chain resilience requires evolution bouncing forward to adapted states better suited to permanently altered conditions. Whereas a bounce-back orientation leads practitioners to invest in restoring unrecoverable configurations, the bounce-forward framing demands fundamental strategic reorientation. Ivanov and Dolgui’s (2020) evolutionary framing is more analytically appropriate for UK fresh produce adaptation experiences, and this research accordingly adopts it as the primary theoretical lens.</w:t>
      </w:r>
    </w:p>
    <w:p w14:paraId="27820D82" w14:textId="5A35877F" w:rsidR="00BB4BB4" w:rsidRPr="002445C7" w:rsidRDefault="00000000" w:rsidP="00585384">
      <w:pPr>
        <w:spacing w:after="200" w:line="360" w:lineRule="auto"/>
        <w:rPr>
          <w:rFonts w:ascii="Arial" w:hAnsi="Arial" w:cs="Arial"/>
          <w:sz w:val="22"/>
          <w:szCs w:val="22"/>
        </w:rPr>
      </w:pPr>
      <w:r w:rsidRPr="002445C7">
        <w:rPr>
          <w:rFonts w:ascii="Arial" w:hAnsi="Arial" w:cs="Arial"/>
          <w:sz w:val="22"/>
          <w:szCs w:val="22"/>
        </w:rPr>
        <w:t>Christopher and Peck (2004) identify four supply chain resilience capabilities: flexibility, visibility, collaboration, and redundancy. The framework’s strength lies in its integrative parsimony four actionable capability areas communicable across practitioner and academic audiences. However, it was developed from manufacturing case studies, embedding assumptions about inventory redundancy, temporal flexibility, and inter-organisational power dynamics that fundamentally contradict fresh produce realities.</w:t>
      </w:r>
    </w:p>
    <w:p w14:paraId="434CF258" w14:textId="77777777" w:rsidR="00BB4BB4" w:rsidRPr="002445C7" w:rsidRDefault="00000000" w:rsidP="00585384">
      <w:pPr>
        <w:spacing w:after="200" w:line="360" w:lineRule="auto"/>
        <w:rPr>
          <w:rFonts w:ascii="Arial" w:hAnsi="Arial" w:cs="Arial"/>
          <w:sz w:val="22"/>
          <w:szCs w:val="22"/>
        </w:rPr>
      </w:pPr>
      <w:r w:rsidRPr="002445C7">
        <w:rPr>
          <w:rFonts w:ascii="Arial" w:hAnsi="Arial" w:cs="Arial"/>
          <w:sz w:val="22"/>
          <w:szCs w:val="22"/>
        </w:rPr>
        <w:t xml:space="preserve">Inventory redundancy, effective in manufacturing as disruption insurance via safety stock, becomes counterproductive in fresh produce supply chains. Here, perishability ensures that any inventory held beyond immediate demand is likely to spoil, turning a potential buffer into guaranteed waste. This is not a practical complication but a fundamental incompatibility: fresh produce operates under irreversible biological time constraints that manufactured goods do not face. As demonstrated by APS Group during the 2023 crisis, even substantial </w:t>
      </w:r>
      <w:r w:rsidRPr="002445C7">
        <w:rPr>
          <w:rFonts w:ascii="Arial" w:hAnsi="Arial" w:cs="Arial"/>
          <w:sz w:val="22"/>
          <w:szCs w:val="22"/>
        </w:rPr>
        <w:lastRenderedPageBreak/>
        <w:t xml:space="preserve">domestic production capacity proved unable to serve as a meaningful supply buffer once energy costs made its activation economically unviable (Food Foundation, 2023). </w:t>
      </w:r>
      <w:proofErr w:type="spellStart"/>
      <w:r w:rsidRPr="002445C7">
        <w:rPr>
          <w:rFonts w:ascii="Arial" w:hAnsi="Arial" w:cs="Arial"/>
          <w:sz w:val="22"/>
          <w:szCs w:val="22"/>
        </w:rPr>
        <w:t>Vlajic</w:t>
      </w:r>
      <w:proofErr w:type="spellEnd"/>
      <w:r w:rsidRPr="002445C7">
        <w:rPr>
          <w:rFonts w:ascii="Arial" w:hAnsi="Arial" w:cs="Arial"/>
          <w:sz w:val="22"/>
          <w:szCs w:val="22"/>
        </w:rPr>
        <w:t xml:space="preserve"> et al. (2012) partially address this, proposing process redundancy and relationship redundancy in place of inventory redundancy in agri-food contexts, though without systematic </w:t>
      </w:r>
      <w:proofErr w:type="spellStart"/>
      <w:r w:rsidRPr="002445C7">
        <w:rPr>
          <w:rFonts w:ascii="Arial" w:hAnsi="Arial" w:cs="Arial"/>
          <w:sz w:val="22"/>
          <w:szCs w:val="22"/>
        </w:rPr>
        <w:t>reconceptualisation</w:t>
      </w:r>
      <w:proofErr w:type="spellEnd"/>
      <w:r w:rsidRPr="002445C7">
        <w:rPr>
          <w:rFonts w:ascii="Arial" w:hAnsi="Arial" w:cs="Arial"/>
          <w:sz w:val="22"/>
          <w:szCs w:val="22"/>
        </w:rPr>
        <w:t xml:space="preserve"> for fresh produce specifically.</w:t>
      </w:r>
    </w:p>
    <w:p w14:paraId="79F9E3B2" w14:textId="492C10AF" w:rsidR="00BB4BB4" w:rsidRPr="002445C7" w:rsidRDefault="00000000" w:rsidP="00292B71">
      <w:pPr>
        <w:spacing w:after="200" w:line="360" w:lineRule="auto"/>
        <w:rPr>
          <w:rFonts w:ascii="Arial" w:hAnsi="Arial" w:cs="Arial"/>
          <w:sz w:val="22"/>
          <w:szCs w:val="22"/>
        </w:rPr>
      </w:pPr>
      <w:r w:rsidRPr="002445C7">
        <w:rPr>
          <w:rFonts w:ascii="Arial" w:hAnsi="Arial" w:cs="Arial"/>
          <w:sz w:val="22"/>
          <w:szCs w:val="22"/>
        </w:rPr>
        <w:t xml:space="preserve">The collaboration element embeds an optimistic assumption about power dynamics incompatible with UK grocery market realities. Christopher and Peck (2004) present collaboration as universally achievable, yet four supermarkets control approximately 70% of UK market share (Hobbs, 2021). As documented in the EFRA Select Committee’s 2023 inquiry into food supply chain resilience, suppliers consistently reported inability to negotiate cost-sharing arrangements with major retailers even during acute shortages, confirming that power asymmetry creates conditions more conducive to supplier compliance than genuine supply chain collaboration (EFRA, 2023). </w:t>
      </w:r>
      <w:proofErr w:type="spellStart"/>
      <w:r w:rsidRPr="002445C7">
        <w:rPr>
          <w:rFonts w:ascii="Arial" w:hAnsi="Arial" w:cs="Arial"/>
          <w:sz w:val="22"/>
          <w:szCs w:val="22"/>
        </w:rPr>
        <w:t>Zsidisin</w:t>
      </w:r>
      <w:proofErr w:type="spellEnd"/>
      <w:r w:rsidRPr="002445C7">
        <w:rPr>
          <w:rFonts w:ascii="Arial" w:hAnsi="Arial" w:cs="Arial"/>
          <w:sz w:val="22"/>
          <w:szCs w:val="22"/>
        </w:rPr>
        <w:t xml:space="preserve"> and Ritchie (2009) confirm that collaboration is structurally constrained in concentrated buyer markets directly applicable to UK grocery, yet unaddressed by Christopher and Peck’s (2004) framework. The visibility element similarly overlooks that SME growers lack the financial and technical capacity to implement digital traceability infrastructure (Hirth et al., 2023), creating a structural paradox where the supply chain actors most needing visibility are least able to provide it.</w:t>
      </w:r>
    </w:p>
    <w:p w14:paraId="02A119AE" w14:textId="404EBDC9" w:rsidR="00BB4BB4" w:rsidRPr="002445C7" w:rsidRDefault="00000000" w:rsidP="00292B71">
      <w:pPr>
        <w:spacing w:after="200" w:line="360" w:lineRule="auto"/>
        <w:rPr>
          <w:rFonts w:ascii="Arial" w:hAnsi="Arial" w:cs="Arial"/>
          <w:sz w:val="22"/>
          <w:szCs w:val="22"/>
        </w:rPr>
      </w:pPr>
      <w:r w:rsidRPr="002445C7">
        <w:rPr>
          <w:rFonts w:ascii="Arial" w:hAnsi="Arial" w:cs="Arial"/>
          <w:sz w:val="22"/>
          <w:szCs w:val="22"/>
        </w:rPr>
        <w:t>Three additional theoretical perspectives enrich the analytical framework. The Resource-Based View (Barney, 1991) argues that sustained competitive advantage derives from unique, valuable, and difficult-to-imitate internal resources. Applied to supply chain resilience, firms with proprietary supplier relationships or specialist cold chain expertise are better positioned to maintain continuity during disruptions. However, the Resource-Based View is essentially static it identifies valuable resources but does not theorise how firms must adapt them when conditions permanently change, a significant limitation post-Brexit.</w:t>
      </w:r>
    </w:p>
    <w:p w14:paraId="7962DEFB" w14:textId="2F4FD947" w:rsidR="00BB4BB4" w:rsidRPr="00585384" w:rsidRDefault="00000000" w:rsidP="00292B71">
      <w:pPr>
        <w:spacing w:after="200" w:line="360" w:lineRule="auto"/>
        <w:rPr>
          <w:rFonts w:ascii="Arial" w:hAnsi="Arial" w:cs="Arial"/>
        </w:rPr>
      </w:pPr>
      <w:r w:rsidRPr="002445C7">
        <w:rPr>
          <w:rFonts w:ascii="Arial" w:hAnsi="Arial" w:cs="Arial"/>
          <w:sz w:val="22"/>
          <w:szCs w:val="22"/>
        </w:rPr>
        <w:t xml:space="preserve">Dynamic Capabilities Theory (Teece et al., 1997) directly addresses this limitation, arguing that in volatile environments competitive advantage derives from the organisational ability to sense disruptions, seize adaptation opportunities, and reconfigure existing capabilities. For UK fresh produce supply chains, dynamic capabilities manifest as continuously restructuring supplier networks and reconfiguring traceability systems in response to successive disruptions the bounce-forward orientation advocated by Ivanov and </w:t>
      </w:r>
      <w:proofErr w:type="spellStart"/>
      <w:r w:rsidRPr="002445C7">
        <w:rPr>
          <w:rFonts w:ascii="Arial" w:hAnsi="Arial" w:cs="Arial"/>
          <w:sz w:val="22"/>
          <w:szCs w:val="22"/>
        </w:rPr>
        <w:t>Dolgui</w:t>
      </w:r>
      <w:proofErr w:type="spellEnd"/>
      <w:r w:rsidRPr="002445C7">
        <w:rPr>
          <w:rFonts w:ascii="Arial" w:hAnsi="Arial" w:cs="Arial"/>
          <w:sz w:val="22"/>
          <w:szCs w:val="22"/>
        </w:rPr>
        <w:t xml:space="preserve"> (2020). These two frameworks are theoretically complementary and are treated as mutually reinforcing lenses throughout this research.</w:t>
      </w:r>
    </w:p>
    <w:p w14:paraId="61113AEB" w14:textId="77777777" w:rsidR="00BB4BB4" w:rsidRPr="002445C7" w:rsidRDefault="00000000" w:rsidP="00585384">
      <w:pPr>
        <w:spacing w:after="200" w:line="360" w:lineRule="auto"/>
        <w:rPr>
          <w:rFonts w:ascii="Arial" w:hAnsi="Arial" w:cs="Arial"/>
          <w:sz w:val="22"/>
          <w:szCs w:val="22"/>
        </w:rPr>
      </w:pPr>
      <w:r w:rsidRPr="002445C7">
        <w:rPr>
          <w:rFonts w:ascii="Arial" w:hAnsi="Arial" w:cs="Arial"/>
          <w:sz w:val="22"/>
          <w:szCs w:val="22"/>
        </w:rPr>
        <w:t xml:space="preserve">Lean versus agile supply chain theory (Naylor et al., 1999) provides a further critical lens. Lean supply chains prioritise efficiency through waste and inventory redundancy elimination; </w:t>
      </w:r>
      <w:r w:rsidRPr="002445C7">
        <w:rPr>
          <w:rFonts w:ascii="Arial" w:hAnsi="Arial" w:cs="Arial"/>
          <w:sz w:val="22"/>
          <w:szCs w:val="22"/>
        </w:rPr>
        <w:lastRenderedPageBreak/>
        <w:t>agile supply chains prioritise responsiveness to volatility. The lean-agile tension directly mirrors the supply chain resilience-efficiency tension: UK grocery retail has historically driven lean configurations through cost pressure, but the 2023 crisis demonstrated lean systems are inherently fragile under compounding disruptions, reinforcing the case that sector-wide resilience requires structural intervention rather than individual firm-level responses.</w:t>
      </w:r>
    </w:p>
    <w:p w14:paraId="6D0E4453" w14:textId="77777777" w:rsidR="00BB4BB4" w:rsidRPr="002445C7" w:rsidRDefault="00000000" w:rsidP="00585384">
      <w:pPr>
        <w:spacing w:after="200" w:line="360" w:lineRule="auto"/>
        <w:rPr>
          <w:rFonts w:ascii="Arial" w:hAnsi="Arial" w:cs="Arial"/>
          <w:sz w:val="22"/>
          <w:szCs w:val="22"/>
        </w:rPr>
      </w:pPr>
      <w:r w:rsidRPr="002445C7">
        <w:rPr>
          <w:rFonts w:ascii="Arial" w:hAnsi="Arial" w:cs="Arial"/>
          <w:sz w:val="22"/>
          <w:szCs w:val="22"/>
        </w:rPr>
        <w:t>Key takeaway: No single existing framework adequately addresses the perishability constraints, power asymmetries, and persistent regulatory friction characterising UK fresh produce supply chains. A synthesis of bounce-forward orientation, process redundancy, dynamic capabilities, and agile logic is required.</w:t>
      </w:r>
    </w:p>
    <w:p w14:paraId="1EC9E3F3" w14:textId="36C7689A" w:rsidR="00BB4BB4" w:rsidRPr="002445C7" w:rsidRDefault="00000000" w:rsidP="002445C7">
      <w:pPr>
        <w:spacing w:after="200" w:line="360" w:lineRule="auto"/>
        <w:rPr>
          <w:rFonts w:ascii="Arial" w:hAnsi="Arial" w:cs="Arial"/>
          <w:sz w:val="16"/>
          <w:szCs w:val="16"/>
        </w:rPr>
      </w:pPr>
      <w:r w:rsidRPr="002445C7">
        <w:rPr>
          <w:rFonts w:ascii="Arial" w:hAnsi="Arial" w:cs="Arial"/>
          <w:b/>
          <w:bCs/>
          <w:sz w:val="16"/>
          <w:szCs w:val="16"/>
        </w:rPr>
        <w:t>Table 1</w:t>
      </w:r>
      <w:r w:rsidR="002445C7" w:rsidRPr="002445C7">
        <w:rPr>
          <w:rFonts w:ascii="Arial" w:hAnsi="Arial" w:cs="Arial"/>
          <w:b/>
          <w:bCs/>
          <w:sz w:val="16"/>
          <w:szCs w:val="16"/>
        </w:rPr>
        <w:t>:</w:t>
      </w:r>
      <w:r w:rsidRPr="002445C7">
        <w:rPr>
          <w:rFonts w:ascii="Arial" w:hAnsi="Arial" w:cs="Arial"/>
          <w:i/>
          <w:iCs/>
          <w:sz w:val="16"/>
          <w:szCs w:val="16"/>
        </w:rPr>
        <w:t xml:space="preserve"> </w:t>
      </w:r>
      <w:r w:rsidR="002445C7" w:rsidRPr="002445C7">
        <w:rPr>
          <w:rFonts w:ascii="Arial" w:hAnsi="Arial" w:cs="Arial"/>
          <w:i/>
          <w:iCs/>
          <w:sz w:val="16"/>
          <w:szCs w:val="16"/>
        </w:rPr>
        <w:t>S</w:t>
      </w:r>
      <w:r w:rsidRPr="002445C7">
        <w:rPr>
          <w:rFonts w:ascii="Arial" w:hAnsi="Arial" w:cs="Arial"/>
          <w:i/>
          <w:iCs/>
          <w:sz w:val="16"/>
          <w:szCs w:val="16"/>
        </w:rPr>
        <w:t>ynthesises all eight frameworks, comparing capabilities, strengths, and fresh produce limitations as a reference for the Chapter 4 analysis.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0"/>
        <w:gridCol w:w="3000"/>
        <w:gridCol w:w="3426"/>
      </w:tblGrid>
      <w:tr w:rsidR="00BB4BB4" w:rsidRPr="00585384" w14:paraId="23B21CCB" w14:textId="77777777" w:rsidTr="005167AD">
        <w:trPr>
          <w:tblHeader/>
        </w:trPr>
        <w:tc>
          <w:tcPr>
            <w:tcW w:w="2600" w:type="dxa"/>
            <w:tcBorders>
              <w:top w:val="single" w:sz="1" w:space="0" w:color="AAAAAA"/>
              <w:left w:val="single" w:sz="1" w:space="0" w:color="AAAAAA"/>
              <w:bottom w:val="single" w:sz="1" w:space="0" w:color="AAAAAA"/>
              <w:right w:val="single" w:sz="1" w:space="0" w:color="AAAAAA"/>
            </w:tcBorders>
            <w:shd w:val="clear" w:color="auto" w:fill="0C3512" w:themeFill="accent3" w:themeFillShade="80"/>
            <w:tcMar>
              <w:top w:w="100" w:type="dxa"/>
              <w:left w:w="140" w:type="dxa"/>
              <w:bottom w:w="100" w:type="dxa"/>
              <w:right w:w="140" w:type="dxa"/>
            </w:tcMar>
            <w:vAlign w:val="center"/>
          </w:tcPr>
          <w:p w14:paraId="423A9547" w14:textId="77777777" w:rsidR="00BB4BB4" w:rsidRPr="00585384" w:rsidRDefault="00000000" w:rsidP="00585384">
            <w:pPr>
              <w:spacing w:after="40"/>
              <w:rPr>
                <w:rFonts w:ascii="Arial" w:hAnsi="Arial" w:cs="Arial"/>
              </w:rPr>
            </w:pPr>
            <w:r w:rsidRPr="00585384">
              <w:rPr>
                <w:rFonts w:ascii="Arial" w:hAnsi="Arial" w:cs="Arial"/>
                <w:b/>
                <w:bCs/>
                <w:sz w:val="20"/>
                <w:szCs w:val="20"/>
              </w:rPr>
              <w:t>Framework &amp; Origin</w:t>
            </w:r>
          </w:p>
        </w:tc>
        <w:tc>
          <w:tcPr>
            <w:tcW w:w="3000" w:type="dxa"/>
            <w:tcBorders>
              <w:top w:val="single" w:sz="1" w:space="0" w:color="AAAAAA"/>
              <w:left w:val="single" w:sz="1" w:space="0" w:color="AAAAAA"/>
              <w:bottom w:val="single" w:sz="1" w:space="0" w:color="AAAAAA"/>
              <w:right w:val="single" w:sz="1" w:space="0" w:color="AAAAAA"/>
            </w:tcBorders>
            <w:shd w:val="clear" w:color="auto" w:fill="0C3512" w:themeFill="accent3" w:themeFillShade="80"/>
            <w:tcMar>
              <w:top w:w="100" w:type="dxa"/>
              <w:left w:w="140" w:type="dxa"/>
              <w:bottom w:w="100" w:type="dxa"/>
              <w:right w:w="140" w:type="dxa"/>
            </w:tcMar>
            <w:vAlign w:val="center"/>
          </w:tcPr>
          <w:p w14:paraId="5C7DA0E1" w14:textId="77777777" w:rsidR="00BB4BB4" w:rsidRPr="00585384" w:rsidRDefault="00000000" w:rsidP="00585384">
            <w:pPr>
              <w:spacing w:after="40"/>
              <w:rPr>
                <w:rFonts w:ascii="Arial" w:hAnsi="Arial" w:cs="Arial"/>
              </w:rPr>
            </w:pPr>
            <w:r w:rsidRPr="00585384">
              <w:rPr>
                <w:rFonts w:ascii="Arial" w:hAnsi="Arial" w:cs="Arial"/>
                <w:b/>
                <w:bCs/>
                <w:sz w:val="20"/>
                <w:szCs w:val="20"/>
              </w:rPr>
              <w:t>Core Capabilities</w:t>
            </w:r>
          </w:p>
        </w:tc>
        <w:tc>
          <w:tcPr>
            <w:tcW w:w="3426" w:type="dxa"/>
            <w:tcBorders>
              <w:top w:val="single" w:sz="1" w:space="0" w:color="AAAAAA"/>
              <w:left w:val="single" w:sz="1" w:space="0" w:color="AAAAAA"/>
              <w:bottom w:val="single" w:sz="1" w:space="0" w:color="AAAAAA"/>
              <w:right w:val="single" w:sz="1" w:space="0" w:color="AAAAAA"/>
            </w:tcBorders>
            <w:shd w:val="clear" w:color="auto" w:fill="0C3512" w:themeFill="accent3" w:themeFillShade="80"/>
            <w:tcMar>
              <w:top w:w="100" w:type="dxa"/>
              <w:left w:w="140" w:type="dxa"/>
              <w:bottom w:w="100" w:type="dxa"/>
              <w:right w:w="140" w:type="dxa"/>
            </w:tcMar>
            <w:vAlign w:val="center"/>
          </w:tcPr>
          <w:p w14:paraId="5A91BAA4" w14:textId="77777777" w:rsidR="00BB4BB4" w:rsidRPr="00585384" w:rsidRDefault="00000000" w:rsidP="00585384">
            <w:pPr>
              <w:spacing w:after="40"/>
              <w:rPr>
                <w:rFonts w:ascii="Arial" w:hAnsi="Arial" w:cs="Arial"/>
              </w:rPr>
            </w:pPr>
            <w:r w:rsidRPr="00585384">
              <w:rPr>
                <w:rFonts w:ascii="Arial" w:hAnsi="Arial" w:cs="Arial"/>
                <w:b/>
                <w:bCs/>
                <w:sz w:val="20"/>
                <w:szCs w:val="20"/>
              </w:rPr>
              <w:t>Key Limitation for Fresh Produce</w:t>
            </w:r>
          </w:p>
        </w:tc>
      </w:tr>
      <w:tr w:rsidR="00BB4BB4" w:rsidRPr="00585384" w14:paraId="3393C1B4" w14:textId="77777777">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03074ADA" w14:textId="77777777" w:rsidR="00BB4BB4" w:rsidRPr="002445C7" w:rsidRDefault="00000000" w:rsidP="00585384">
            <w:pPr>
              <w:spacing w:after="40"/>
              <w:rPr>
                <w:rFonts w:ascii="Arial" w:hAnsi="Arial" w:cs="Arial"/>
                <w:sz w:val="16"/>
                <w:szCs w:val="16"/>
              </w:rPr>
            </w:pPr>
            <w:r w:rsidRPr="002445C7">
              <w:rPr>
                <w:rFonts w:ascii="Arial" w:hAnsi="Arial" w:cs="Arial"/>
                <w:sz w:val="16"/>
                <w:szCs w:val="16"/>
              </w:rPr>
              <w:t>Christopher &amp; Peck (2004)</w:t>
            </w:r>
          </w:p>
        </w:tc>
        <w:tc>
          <w:tcPr>
            <w:tcW w:w="3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49CF3C06" w14:textId="77777777" w:rsidR="00BB4BB4" w:rsidRPr="002445C7" w:rsidRDefault="00000000" w:rsidP="00585384">
            <w:pPr>
              <w:spacing w:after="40"/>
              <w:rPr>
                <w:rFonts w:ascii="Arial" w:hAnsi="Arial" w:cs="Arial"/>
                <w:sz w:val="16"/>
                <w:szCs w:val="16"/>
              </w:rPr>
            </w:pPr>
            <w:r w:rsidRPr="002445C7">
              <w:rPr>
                <w:rFonts w:ascii="Arial" w:hAnsi="Arial" w:cs="Arial"/>
                <w:sz w:val="16"/>
                <w:szCs w:val="16"/>
              </w:rPr>
              <w:t>Flexibility, Visibility, Collaboration, Inventory Redundancy</w:t>
            </w:r>
          </w:p>
        </w:tc>
        <w:tc>
          <w:tcPr>
            <w:tcW w:w="34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2E3EA02E" w14:textId="77777777" w:rsidR="00BB4BB4" w:rsidRPr="002445C7" w:rsidRDefault="00000000" w:rsidP="00585384">
            <w:pPr>
              <w:spacing w:after="40"/>
              <w:rPr>
                <w:rFonts w:ascii="Arial" w:hAnsi="Arial" w:cs="Arial"/>
                <w:sz w:val="16"/>
                <w:szCs w:val="16"/>
              </w:rPr>
            </w:pPr>
            <w:r w:rsidRPr="002445C7">
              <w:rPr>
                <w:rFonts w:ascii="Arial" w:hAnsi="Arial" w:cs="Arial"/>
                <w:sz w:val="16"/>
                <w:szCs w:val="16"/>
              </w:rPr>
              <w:t>Inventory redundancy causes waste; ignores SME &amp; power issues</w:t>
            </w:r>
          </w:p>
        </w:tc>
      </w:tr>
      <w:tr w:rsidR="00BB4BB4" w:rsidRPr="00585384" w14:paraId="12D3D5D3" w14:textId="77777777" w:rsidTr="005167AD">
        <w:tc>
          <w:tcPr>
            <w:tcW w:w="2600"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40" w:type="dxa"/>
              <w:bottom w:w="80" w:type="dxa"/>
              <w:right w:w="140" w:type="dxa"/>
            </w:tcMar>
          </w:tcPr>
          <w:p w14:paraId="467AEAAF" w14:textId="77777777" w:rsidR="00BB4BB4" w:rsidRPr="002445C7" w:rsidRDefault="00000000" w:rsidP="00585384">
            <w:pPr>
              <w:spacing w:after="40"/>
              <w:rPr>
                <w:rFonts w:ascii="Arial" w:hAnsi="Arial" w:cs="Arial"/>
                <w:sz w:val="16"/>
                <w:szCs w:val="16"/>
              </w:rPr>
            </w:pPr>
            <w:proofErr w:type="spellStart"/>
            <w:r w:rsidRPr="002445C7">
              <w:rPr>
                <w:rFonts w:ascii="Arial" w:hAnsi="Arial" w:cs="Arial"/>
                <w:sz w:val="16"/>
                <w:szCs w:val="16"/>
              </w:rPr>
              <w:t>Ponomarov</w:t>
            </w:r>
            <w:proofErr w:type="spellEnd"/>
            <w:r w:rsidRPr="002445C7">
              <w:rPr>
                <w:rFonts w:ascii="Arial" w:hAnsi="Arial" w:cs="Arial"/>
                <w:sz w:val="16"/>
                <w:szCs w:val="16"/>
              </w:rPr>
              <w:t xml:space="preserve"> &amp; Holcomb (2009)</w:t>
            </w:r>
          </w:p>
        </w:tc>
        <w:tc>
          <w:tcPr>
            <w:tcW w:w="3000"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40" w:type="dxa"/>
              <w:bottom w:w="80" w:type="dxa"/>
              <w:right w:w="140" w:type="dxa"/>
            </w:tcMar>
          </w:tcPr>
          <w:p w14:paraId="748A22AC" w14:textId="77777777" w:rsidR="00BB4BB4" w:rsidRPr="002445C7" w:rsidRDefault="00000000" w:rsidP="00585384">
            <w:pPr>
              <w:spacing w:after="40"/>
              <w:rPr>
                <w:rFonts w:ascii="Arial" w:hAnsi="Arial" w:cs="Arial"/>
                <w:sz w:val="16"/>
                <w:szCs w:val="16"/>
              </w:rPr>
            </w:pPr>
            <w:r w:rsidRPr="002445C7">
              <w:rPr>
                <w:rFonts w:ascii="Arial" w:hAnsi="Arial" w:cs="Arial"/>
                <w:sz w:val="16"/>
                <w:szCs w:val="16"/>
              </w:rPr>
              <w:t>Adaptive capability, Recovery orientation</w:t>
            </w:r>
          </w:p>
        </w:tc>
        <w:tc>
          <w:tcPr>
            <w:tcW w:w="3426"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40" w:type="dxa"/>
              <w:bottom w:w="80" w:type="dxa"/>
              <w:right w:w="140" w:type="dxa"/>
            </w:tcMar>
          </w:tcPr>
          <w:p w14:paraId="72611E49" w14:textId="77777777" w:rsidR="00BB4BB4" w:rsidRPr="002445C7" w:rsidRDefault="00000000" w:rsidP="00585384">
            <w:pPr>
              <w:spacing w:after="40"/>
              <w:rPr>
                <w:rFonts w:ascii="Arial" w:hAnsi="Arial" w:cs="Arial"/>
                <w:sz w:val="16"/>
                <w:szCs w:val="16"/>
              </w:rPr>
            </w:pPr>
            <w:r w:rsidRPr="002445C7">
              <w:rPr>
                <w:rFonts w:ascii="Arial" w:hAnsi="Arial" w:cs="Arial"/>
                <w:sz w:val="16"/>
                <w:szCs w:val="16"/>
              </w:rPr>
              <w:t>Assumes return to normal; ignores permanent disruption</w:t>
            </w:r>
          </w:p>
        </w:tc>
      </w:tr>
      <w:tr w:rsidR="00BB4BB4" w:rsidRPr="00585384" w14:paraId="7A0D4281" w14:textId="77777777">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63BECA81" w14:textId="77777777" w:rsidR="00BB4BB4" w:rsidRPr="002445C7" w:rsidRDefault="00000000" w:rsidP="00585384">
            <w:pPr>
              <w:spacing w:after="40"/>
              <w:rPr>
                <w:rFonts w:ascii="Arial" w:hAnsi="Arial" w:cs="Arial"/>
                <w:sz w:val="16"/>
                <w:szCs w:val="16"/>
              </w:rPr>
            </w:pPr>
            <w:r w:rsidRPr="002445C7">
              <w:rPr>
                <w:rFonts w:ascii="Arial" w:hAnsi="Arial" w:cs="Arial"/>
                <w:sz w:val="16"/>
                <w:szCs w:val="16"/>
              </w:rPr>
              <w:t xml:space="preserve">Ivanov &amp; </w:t>
            </w:r>
            <w:proofErr w:type="spellStart"/>
            <w:r w:rsidRPr="002445C7">
              <w:rPr>
                <w:rFonts w:ascii="Arial" w:hAnsi="Arial" w:cs="Arial"/>
                <w:sz w:val="16"/>
                <w:szCs w:val="16"/>
              </w:rPr>
              <w:t>Dolgui</w:t>
            </w:r>
            <w:proofErr w:type="spellEnd"/>
            <w:r w:rsidRPr="002445C7">
              <w:rPr>
                <w:rFonts w:ascii="Arial" w:hAnsi="Arial" w:cs="Arial"/>
                <w:sz w:val="16"/>
                <w:szCs w:val="16"/>
              </w:rPr>
              <w:t xml:space="preserve"> (2020)</w:t>
            </w:r>
          </w:p>
        </w:tc>
        <w:tc>
          <w:tcPr>
            <w:tcW w:w="3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296BA250" w14:textId="77777777" w:rsidR="00BB4BB4" w:rsidRPr="002445C7" w:rsidRDefault="00000000" w:rsidP="00585384">
            <w:pPr>
              <w:spacing w:after="40"/>
              <w:rPr>
                <w:rFonts w:ascii="Arial" w:hAnsi="Arial" w:cs="Arial"/>
                <w:sz w:val="16"/>
                <w:szCs w:val="16"/>
              </w:rPr>
            </w:pPr>
            <w:r w:rsidRPr="002445C7">
              <w:rPr>
                <w:rFonts w:ascii="Arial" w:hAnsi="Arial" w:cs="Arial"/>
                <w:sz w:val="16"/>
                <w:szCs w:val="16"/>
              </w:rPr>
              <w:t>Bouncing-forward, Evolution</w:t>
            </w:r>
          </w:p>
        </w:tc>
        <w:tc>
          <w:tcPr>
            <w:tcW w:w="34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213E9CAC" w14:textId="77777777" w:rsidR="00BB4BB4" w:rsidRPr="002445C7" w:rsidRDefault="00000000" w:rsidP="00585384">
            <w:pPr>
              <w:spacing w:after="40"/>
              <w:rPr>
                <w:rFonts w:ascii="Arial" w:hAnsi="Arial" w:cs="Arial"/>
                <w:sz w:val="16"/>
                <w:szCs w:val="16"/>
              </w:rPr>
            </w:pPr>
            <w:r w:rsidRPr="002445C7">
              <w:rPr>
                <w:rFonts w:ascii="Arial" w:hAnsi="Arial" w:cs="Arial"/>
                <w:sz w:val="16"/>
                <w:szCs w:val="16"/>
              </w:rPr>
              <w:t>Abstract; lacks practical implementation guidance</w:t>
            </w:r>
          </w:p>
        </w:tc>
      </w:tr>
      <w:tr w:rsidR="00BB4BB4" w:rsidRPr="00585384" w14:paraId="24BD3804" w14:textId="77777777" w:rsidTr="005167AD">
        <w:tc>
          <w:tcPr>
            <w:tcW w:w="2600"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40" w:type="dxa"/>
              <w:bottom w:w="80" w:type="dxa"/>
              <w:right w:w="140" w:type="dxa"/>
            </w:tcMar>
          </w:tcPr>
          <w:p w14:paraId="69BD4EC3" w14:textId="77777777" w:rsidR="00BB4BB4" w:rsidRPr="002445C7" w:rsidRDefault="00000000" w:rsidP="00585384">
            <w:pPr>
              <w:spacing w:after="40"/>
              <w:rPr>
                <w:rFonts w:ascii="Arial" w:hAnsi="Arial" w:cs="Arial"/>
                <w:sz w:val="16"/>
                <w:szCs w:val="16"/>
              </w:rPr>
            </w:pPr>
            <w:proofErr w:type="spellStart"/>
            <w:r w:rsidRPr="002445C7">
              <w:rPr>
                <w:rFonts w:ascii="Arial" w:hAnsi="Arial" w:cs="Arial"/>
                <w:sz w:val="16"/>
                <w:szCs w:val="16"/>
              </w:rPr>
              <w:t>Vlajic</w:t>
            </w:r>
            <w:proofErr w:type="spellEnd"/>
            <w:r w:rsidRPr="002445C7">
              <w:rPr>
                <w:rFonts w:ascii="Arial" w:hAnsi="Arial" w:cs="Arial"/>
                <w:sz w:val="16"/>
                <w:szCs w:val="16"/>
              </w:rPr>
              <w:t xml:space="preserve"> et al. (2012)</w:t>
            </w:r>
          </w:p>
        </w:tc>
        <w:tc>
          <w:tcPr>
            <w:tcW w:w="3000"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40" w:type="dxa"/>
              <w:bottom w:w="80" w:type="dxa"/>
              <w:right w:w="140" w:type="dxa"/>
            </w:tcMar>
          </w:tcPr>
          <w:p w14:paraId="1E839171" w14:textId="77777777" w:rsidR="00BB4BB4" w:rsidRPr="002445C7" w:rsidRDefault="00000000" w:rsidP="00585384">
            <w:pPr>
              <w:spacing w:after="40"/>
              <w:rPr>
                <w:rFonts w:ascii="Arial" w:hAnsi="Arial" w:cs="Arial"/>
                <w:sz w:val="16"/>
                <w:szCs w:val="16"/>
              </w:rPr>
            </w:pPr>
            <w:r w:rsidRPr="002445C7">
              <w:rPr>
                <w:rFonts w:ascii="Arial" w:hAnsi="Arial" w:cs="Arial"/>
                <w:sz w:val="16"/>
                <w:szCs w:val="16"/>
              </w:rPr>
              <w:t>Process &amp; Relationship Redundancy</w:t>
            </w:r>
          </w:p>
        </w:tc>
        <w:tc>
          <w:tcPr>
            <w:tcW w:w="3426"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40" w:type="dxa"/>
              <w:bottom w:w="80" w:type="dxa"/>
              <w:right w:w="140" w:type="dxa"/>
            </w:tcMar>
          </w:tcPr>
          <w:p w14:paraId="386F6688" w14:textId="77777777" w:rsidR="00BB4BB4" w:rsidRPr="002445C7" w:rsidRDefault="00000000" w:rsidP="00585384">
            <w:pPr>
              <w:spacing w:after="40"/>
              <w:rPr>
                <w:rFonts w:ascii="Arial" w:hAnsi="Arial" w:cs="Arial"/>
                <w:sz w:val="16"/>
                <w:szCs w:val="16"/>
              </w:rPr>
            </w:pPr>
            <w:r w:rsidRPr="002445C7">
              <w:rPr>
                <w:rFonts w:ascii="Arial" w:hAnsi="Arial" w:cs="Arial"/>
                <w:sz w:val="16"/>
                <w:szCs w:val="16"/>
              </w:rPr>
              <w:t>Misses buyer power issues; limited UK empirical data</w:t>
            </w:r>
          </w:p>
        </w:tc>
      </w:tr>
      <w:tr w:rsidR="00BB4BB4" w:rsidRPr="00585384" w14:paraId="0233F544" w14:textId="77777777">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0A1AA54F" w14:textId="77777777" w:rsidR="00BB4BB4" w:rsidRPr="002445C7" w:rsidRDefault="00000000" w:rsidP="00585384">
            <w:pPr>
              <w:spacing w:after="40"/>
              <w:rPr>
                <w:rFonts w:ascii="Arial" w:hAnsi="Arial" w:cs="Arial"/>
                <w:sz w:val="16"/>
                <w:szCs w:val="16"/>
              </w:rPr>
            </w:pPr>
            <w:r w:rsidRPr="002445C7">
              <w:rPr>
                <w:rFonts w:ascii="Arial" w:hAnsi="Arial" w:cs="Arial"/>
                <w:sz w:val="16"/>
                <w:szCs w:val="16"/>
              </w:rPr>
              <w:t>Tang (2006)</w:t>
            </w:r>
          </w:p>
        </w:tc>
        <w:tc>
          <w:tcPr>
            <w:tcW w:w="3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3B446F7D" w14:textId="77777777" w:rsidR="00BB4BB4" w:rsidRPr="002445C7" w:rsidRDefault="00000000" w:rsidP="00585384">
            <w:pPr>
              <w:spacing w:after="40"/>
              <w:rPr>
                <w:rFonts w:ascii="Arial" w:hAnsi="Arial" w:cs="Arial"/>
                <w:sz w:val="16"/>
                <w:szCs w:val="16"/>
              </w:rPr>
            </w:pPr>
            <w:r w:rsidRPr="002445C7">
              <w:rPr>
                <w:rFonts w:ascii="Arial" w:hAnsi="Arial" w:cs="Arial"/>
                <w:sz w:val="16"/>
                <w:szCs w:val="16"/>
              </w:rPr>
              <w:t>Supply base diversification</w:t>
            </w:r>
          </w:p>
        </w:tc>
        <w:tc>
          <w:tcPr>
            <w:tcW w:w="34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4B75D332" w14:textId="77777777" w:rsidR="00BB4BB4" w:rsidRPr="002445C7" w:rsidRDefault="00000000" w:rsidP="00585384">
            <w:pPr>
              <w:spacing w:after="40"/>
              <w:rPr>
                <w:rFonts w:ascii="Arial" w:hAnsi="Arial" w:cs="Arial"/>
                <w:sz w:val="16"/>
                <w:szCs w:val="16"/>
              </w:rPr>
            </w:pPr>
            <w:r w:rsidRPr="002445C7">
              <w:rPr>
                <w:rFonts w:ascii="Arial" w:hAnsi="Arial" w:cs="Arial"/>
                <w:sz w:val="16"/>
                <w:szCs w:val="16"/>
              </w:rPr>
              <w:t>Brexit limits diversification options</w:t>
            </w:r>
          </w:p>
        </w:tc>
      </w:tr>
      <w:tr w:rsidR="00BB4BB4" w:rsidRPr="00585384" w14:paraId="76C5FFD7" w14:textId="77777777" w:rsidTr="005167AD">
        <w:tc>
          <w:tcPr>
            <w:tcW w:w="2600"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40" w:type="dxa"/>
              <w:bottom w:w="80" w:type="dxa"/>
              <w:right w:w="140" w:type="dxa"/>
            </w:tcMar>
          </w:tcPr>
          <w:p w14:paraId="1E54EBDA" w14:textId="02CE5572" w:rsidR="00BB4BB4" w:rsidRPr="002445C7" w:rsidRDefault="00000000" w:rsidP="00585384">
            <w:pPr>
              <w:spacing w:after="40"/>
              <w:rPr>
                <w:rFonts w:ascii="Arial" w:hAnsi="Arial" w:cs="Arial"/>
                <w:sz w:val="16"/>
                <w:szCs w:val="16"/>
              </w:rPr>
            </w:pPr>
            <w:r w:rsidRPr="002445C7">
              <w:rPr>
                <w:rFonts w:ascii="Arial" w:hAnsi="Arial" w:cs="Arial"/>
                <w:sz w:val="16"/>
                <w:szCs w:val="16"/>
              </w:rPr>
              <w:t xml:space="preserve">Barney (1991) </w:t>
            </w:r>
            <w:r w:rsidR="00B1174F">
              <w:rPr>
                <w:rFonts w:ascii="Arial" w:hAnsi="Arial" w:cs="Arial"/>
                <w:sz w:val="16"/>
                <w:szCs w:val="16"/>
              </w:rPr>
              <w:t>-</w:t>
            </w:r>
            <w:r w:rsidRPr="002445C7">
              <w:rPr>
                <w:rFonts w:ascii="Arial" w:hAnsi="Arial" w:cs="Arial"/>
                <w:sz w:val="16"/>
                <w:szCs w:val="16"/>
              </w:rPr>
              <w:t xml:space="preserve"> RBV</w:t>
            </w:r>
          </w:p>
        </w:tc>
        <w:tc>
          <w:tcPr>
            <w:tcW w:w="3000"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40" w:type="dxa"/>
              <w:bottom w:w="80" w:type="dxa"/>
              <w:right w:w="140" w:type="dxa"/>
            </w:tcMar>
          </w:tcPr>
          <w:p w14:paraId="3AE8BBE0" w14:textId="77777777" w:rsidR="00BB4BB4" w:rsidRPr="002445C7" w:rsidRDefault="00000000" w:rsidP="00585384">
            <w:pPr>
              <w:spacing w:after="40"/>
              <w:rPr>
                <w:rFonts w:ascii="Arial" w:hAnsi="Arial" w:cs="Arial"/>
                <w:sz w:val="16"/>
                <w:szCs w:val="16"/>
              </w:rPr>
            </w:pPr>
            <w:r w:rsidRPr="002445C7">
              <w:rPr>
                <w:rFonts w:ascii="Arial" w:hAnsi="Arial" w:cs="Arial"/>
                <w:sz w:val="16"/>
                <w:szCs w:val="16"/>
              </w:rPr>
              <w:t>Unique internal resources</w:t>
            </w:r>
          </w:p>
        </w:tc>
        <w:tc>
          <w:tcPr>
            <w:tcW w:w="3426"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40" w:type="dxa"/>
              <w:bottom w:w="80" w:type="dxa"/>
              <w:right w:w="140" w:type="dxa"/>
            </w:tcMar>
          </w:tcPr>
          <w:p w14:paraId="0D7C5B44" w14:textId="77777777" w:rsidR="00BB4BB4" w:rsidRPr="002445C7" w:rsidRDefault="00000000" w:rsidP="00585384">
            <w:pPr>
              <w:spacing w:after="40"/>
              <w:rPr>
                <w:rFonts w:ascii="Arial" w:hAnsi="Arial" w:cs="Arial"/>
                <w:sz w:val="16"/>
                <w:szCs w:val="16"/>
              </w:rPr>
            </w:pPr>
            <w:r w:rsidRPr="002445C7">
              <w:rPr>
                <w:rFonts w:ascii="Arial" w:hAnsi="Arial" w:cs="Arial"/>
                <w:sz w:val="16"/>
                <w:szCs w:val="16"/>
              </w:rPr>
              <w:t>Static; ignores need for continuous resource reconfiguration</w:t>
            </w:r>
          </w:p>
        </w:tc>
      </w:tr>
      <w:tr w:rsidR="00BB4BB4" w:rsidRPr="00585384" w14:paraId="57FBF081" w14:textId="77777777">
        <w:tc>
          <w:tcPr>
            <w:tcW w:w="2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24F4C787" w14:textId="71153CB4" w:rsidR="00BB4BB4" w:rsidRPr="002445C7" w:rsidRDefault="00000000" w:rsidP="00585384">
            <w:pPr>
              <w:spacing w:after="40"/>
              <w:rPr>
                <w:rFonts w:ascii="Arial" w:hAnsi="Arial" w:cs="Arial"/>
                <w:sz w:val="16"/>
                <w:szCs w:val="16"/>
              </w:rPr>
            </w:pPr>
            <w:r w:rsidRPr="002445C7">
              <w:rPr>
                <w:rFonts w:ascii="Arial" w:hAnsi="Arial" w:cs="Arial"/>
                <w:sz w:val="16"/>
                <w:szCs w:val="16"/>
              </w:rPr>
              <w:t xml:space="preserve">Teece et al. (1997) </w:t>
            </w:r>
            <w:r w:rsidR="002445C7">
              <w:rPr>
                <w:rFonts w:ascii="Arial" w:hAnsi="Arial" w:cs="Arial"/>
                <w:sz w:val="16"/>
                <w:szCs w:val="16"/>
              </w:rPr>
              <w:t>-</w:t>
            </w:r>
            <w:r w:rsidRPr="002445C7">
              <w:rPr>
                <w:rFonts w:ascii="Arial" w:hAnsi="Arial" w:cs="Arial"/>
                <w:sz w:val="16"/>
                <w:szCs w:val="16"/>
              </w:rPr>
              <w:t xml:space="preserve"> Dynamic Capabilities</w:t>
            </w:r>
          </w:p>
        </w:tc>
        <w:tc>
          <w:tcPr>
            <w:tcW w:w="30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5D975996" w14:textId="77777777" w:rsidR="00BB4BB4" w:rsidRPr="002445C7" w:rsidRDefault="00000000" w:rsidP="00585384">
            <w:pPr>
              <w:spacing w:after="40"/>
              <w:rPr>
                <w:rFonts w:ascii="Arial" w:hAnsi="Arial" w:cs="Arial"/>
                <w:sz w:val="16"/>
                <w:szCs w:val="16"/>
              </w:rPr>
            </w:pPr>
            <w:r w:rsidRPr="002445C7">
              <w:rPr>
                <w:rFonts w:ascii="Arial" w:hAnsi="Arial" w:cs="Arial"/>
                <w:sz w:val="16"/>
                <w:szCs w:val="16"/>
              </w:rPr>
              <w:t>Sense, seize, reconfigure capabilities</w:t>
            </w:r>
          </w:p>
        </w:tc>
        <w:tc>
          <w:tcPr>
            <w:tcW w:w="34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40" w:type="dxa"/>
              <w:bottom w:w="80" w:type="dxa"/>
              <w:right w:w="140" w:type="dxa"/>
            </w:tcMar>
          </w:tcPr>
          <w:p w14:paraId="1254BDA4" w14:textId="77777777" w:rsidR="00BB4BB4" w:rsidRPr="002445C7" w:rsidRDefault="00000000" w:rsidP="00585384">
            <w:pPr>
              <w:spacing w:after="40"/>
              <w:rPr>
                <w:rFonts w:ascii="Arial" w:hAnsi="Arial" w:cs="Arial"/>
                <w:sz w:val="16"/>
                <w:szCs w:val="16"/>
              </w:rPr>
            </w:pPr>
            <w:r w:rsidRPr="002445C7">
              <w:rPr>
                <w:rFonts w:ascii="Arial" w:hAnsi="Arial" w:cs="Arial"/>
                <w:sz w:val="16"/>
                <w:szCs w:val="16"/>
              </w:rPr>
              <w:t>Theoretical; needs practical application in fresh produce</w:t>
            </w:r>
          </w:p>
        </w:tc>
      </w:tr>
      <w:tr w:rsidR="00BB4BB4" w:rsidRPr="00585384" w14:paraId="5320D836" w14:textId="77777777" w:rsidTr="005167AD">
        <w:tc>
          <w:tcPr>
            <w:tcW w:w="2600"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40" w:type="dxa"/>
              <w:bottom w:w="80" w:type="dxa"/>
              <w:right w:w="140" w:type="dxa"/>
            </w:tcMar>
          </w:tcPr>
          <w:p w14:paraId="774659FB" w14:textId="204CC45A" w:rsidR="00BB4BB4" w:rsidRPr="002445C7" w:rsidRDefault="00000000" w:rsidP="00585384">
            <w:pPr>
              <w:spacing w:after="40"/>
              <w:rPr>
                <w:rFonts w:ascii="Arial" w:hAnsi="Arial" w:cs="Arial"/>
                <w:sz w:val="16"/>
                <w:szCs w:val="16"/>
                <w:lang w:val="fr-FR"/>
              </w:rPr>
            </w:pPr>
            <w:r w:rsidRPr="002445C7">
              <w:rPr>
                <w:rFonts w:ascii="Arial" w:hAnsi="Arial" w:cs="Arial"/>
                <w:sz w:val="16"/>
                <w:szCs w:val="16"/>
                <w:lang w:val="fr-FR"/>
              </w:rPr>
              <w:t xml:space="preserve">Naylor et al. (1999) </w:t>
            </w:r>
            <w:r w:rsidR="002445C7">
              <w:rPr>
                <w:rFonts w:ascii="Arial" w:hAnsi="Arial" w:cs="Arial"/>
                <w:sz w:val="16"/>
                <w:szCs w:val="16"/>
                <w:lang w:val="fr-FR"/>
              </w:rPr>
              <w:t>-</w:t>
            </w:r>
            <w:r w:rsidRPr="002445C7">
              <w:rPr>
                <w:rFonts w:ascii="Arial" w:hAnsi="Arial" w:cs="Arial"/>
                <w:sz w:val="16"/>
                <w:szCs w:val="16"/>
                <w:lang w:val="fr-FR"/>
              </w:rPr>
              <w:t xml:space="preserve"> Lean vs Agile</w:t>
            </w:r>
          </w:p>
        </w:tc>
        <w:tc>
          <w:tcPr>
            <w:tcW w:w="3000"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40" w:type="dxa"/>
              <w:bottom w:w="80" w:type="dxa"/>
              <w:right w:w="140" w:type="dxa"/>
            </w:tcMar>
          </w:tcPr>
          <w:p w14:paraId="60F6D935" w14:textId="77777777" w:rsidR="00BB4BB4" w:rsidRPr="002445C7" w:rsidRDefault="00000000" w:rsidP="00585384">
            <w:pPr>
              <w:spacing w:after="40"/>
              <w:rPr>
                <w:rFonts w:ascii="Arial" w:hAnsi="Arial" w:cs="Arial"/>
                <w:sz w:val="16"/>
                <w:szCs w:val="16"/>
              </w:rPr>
            </w:pPr>
            <w:r w:rsidRPr="002445C7">
              <w:rPr>
                <w:rFonts w:ascii="Arial" w:hAnsi="Arial" w:cs="Arial"/>
                <w:sz w:val="16"/>
                <w:szCs w:val="16"/>
              </w:rPr>
              <w:t>Lean (efficiency) vs Agile (responsiveness)</w:t>
            </w:r>
          </w:p>
        </w:tc>
        <w:tc>
          <w:tcPr>
            <w:tcW w:w="3426"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40" w:type="dxa"/>
              <w:bottom w:w="80" w:type="dxa"/>
              <w:right w:w="140" w:type="dxa"/>
            </w:tcMar>
          </w:tcPr>
          <w:p w14:paraId="78F7BD29" w14:textId="77777777" w:rsidR="00BB4BB4" w:rsidRPr="002445C7" w:rsidRDefault="00000000" w:rsidP="00585384">
            <w:pPr>
              <w:spacing w:after="40"/>
              <w:rPr>
                <w:rFonts w:ascii="Arial" w:hAnsi="Arial" w:cs="Arial"/>
                <w:sz w:val="16"/>
                <w:szCs w:val="16"/>
              </w:rPr>
            </w:pPr>
            <w:r w:rsidRPr="002445C7">
              <w:rPr>
                <w:rFonts w:ascii="Arial" w:hAnsi="Arial" w:cs="Arial"/>
                <w:sz w:val="16"/>
                <w:szCs w:val="16"/>
              </w:rPr>
              <w:t>Hard to balance under concentrated retailer power</w:t>
            </w:r>
          </w:p>
        </w:tc>
      </w:tr>
    </w:tbl>
    <w:p w14:paraId="2E137572" w14:textId="77777777" w:rsidR="00BB4BB4" w:rsidRPr="002445C7" w:rsidRDefault="00000000" w:rsidP="00585384">
      <w:pPr>
        <w:spacing w:before="80" w:after="240"/>
        <w:rPr>
          <w:rFonts w:ascii="Arial" w:hAnsi="Arial" w:cs="Arial"/>
          <w:sz w:val="16"/>
          <w:szCs w:val="16"/>
        </w:rPr>
      </w:pPr>
      <w:r w:rsidRPr="002445C7">
        <w:rPr>
          <w:rFonts w:ascii="Arial" w:hAnsi="Arial" w:cs="Arial"/>
          <w:b/>
          <w:bCs/>
          <w:sz w:val="16"/>
          <w:szCs w:val="16"/>
        </w:rPr>
        <w:t>Table 1:</w:t>
      </w:r>
      <w:r w:rsidRPr="002445C7">
        <w:rPr>
          <w:rFonts w:ascii="Arial" w:hAnsi="Arial" w:cs="Arial"/>
          <w:sz w:val="16"/>
          <w:szCs w:val="16"/>
        </w:rPr>
        <w:t xml:space="preserve"> Summary of Supply Chain Resilience Frameworks and Fresh Produce Limitations</w:t>
      </w:r>
    </w:p>
    <w:p w14:paraId="3B8D6A7C" w14:textId="77777777" w:rsidR="00BB4BB4" w:rsidRPr="0034720E" w:rsidRDefault="00000000" w:rsidP="00585384">
      <w:pPr>
        <w:pStyle w:val="Heading2"/>
        <w:rPr>
          <w:rFonts w:ascii="Arial" w:hAnsi="Arial" w:cs="Arial"/>
          <w:sz w:val="32"/>
          <w:szCs w:val="32"/>
        </w:rPr>
      </w:pPr>
      <w:r w:rsidRPr="0034720E">
        <w:rPr>
          <w:rFonts w:ascii="Arial" w:hAnsi="Arial" w:cs="Arial"/>
          <w:sz w:val="32"/>
          <w:szCs w:val="32"/>
        </w:rPr>
        <w:t>2.2 Fresh Produce Supply Chain Characteristics</w:t>
      </w:r>
    </w:p>
    <w:p w14:paraId="3B3AE93E" w14:textId="77777777" w:rsidR="00BB4BB4" w:rsidRPr="0034720E" w:rsidRDefault="00000000" w:rsidP="00585384">
      <w:pPr>
        <w:pStyle w:val="Heading3"/>
        <w:rPr>
          <w:rFonts w:ascii="Arial" w:hAnsi="Arial" w:cs="Arial"/>
          <w:i w:val="0"/>
          <w:iCs w:val="0"/>
          <w:sz w:val="32"/>
          <w:szCs w:val="32"/>
        </w:rPr>
      </w:pPr>
      <w:r w:rsidRPr="0034720E">
        <w:rPr>
          <w:rFonts w:ascii="Arial" w:hAnsi="Arial" w:cs="Arial"/>
          <w:i w:val="0"/>
          <w:iCs w:val="0"/>
          <w:sz w:val="32"/>
          <w:szCs w:val="32"/>
        </w:rPr>
        <w:t>2.2.1 Perishability</w:t>
      </w:r>
    </w:p>
    <w:p w14:paraId="5E12D354" w14:textId="0D8CA76A" w:rsidR="00BB4BB4" w:rsidRPr="00F62EB9" w:rsidRDefault="00000000" w:rsidP="00585384">
      <w:pPr>
        <w:spacing w:after="200" w:line="360" w:lineRule="auto"/>
        <w:rPr>
          <w:rFonts w:ascii="Arial" w:hAnsi="Arial" w:cs="Arial"/>
          <w:sz w:val="22"/>
          <w:szCs w:val="22"/>
        </w:rPr>
      </w:pPr>
      <w:r w:rsidRPr="00F62EB9">
        <w:rPr>
          <w:rFonts w:ascii="Arial" w:hAnsi="Arial" w:cs="Arial"/>
          <w:sz w:val="22"/>
          <w:szCs w:val="22"/>
        </w:rPr>
        <w:t xml:space="preserve">Perishability is a fundamental constraint that inverts conventional supply chain management logic. Van der Vorst et al. (2009) frame it as a non-negotiable design constraint rather than a manageable variable, shifting the resilience question from how much inventory redundancy to hold to how rapidly fresh produce can be sourced and moved. This exposes the central paradox: inventory redundancy becomes counterproductive when inventory is a rapidly depreciating biological asset. Aung and Chang (2014) extend this, demonstrating that cold chain failures and perishability interact synergistically minor delays trivial in manufactured </w:t>
      </w:r>
      <w:r w:rsidRPr="00F62EB9">
        <w:rPr>
          <w:rFonts w:ascii="Arial" w:hAnsi="Arial" w:cs="Arial"/>
          <w:sz w:val="22"/>
          <w:szCs w:val="22"/>
        </w:rPr>
        <w:lastRenderedPageBreak/>
        <w:t>goods contexts can render entire shipments commercially unmarketable, amplifying the consequences of modest disruptions.</w:t>
      </w:r>
    </w:p>
    <w:p w14:paraId="13421542" w14:textId="77777777" w:rsidR="00BB4BB4" w:rsidRPr="0034720E" w:rsidRDefault="00000000" w:rsidP="00585384">
      <w:pPr>
        <w:pStyle w:val="Heading3"/>
        <w:rPr>
          <w:rFonts w:ascii="Arial" w:hAnsi="Arial" w:cs="Arial"/>
          <w:i w:val="0"/>
          <w:iCs w:val="0"/>
          <w:sz w:val="32"/>
          <w:szCs w:val="32"/>
        </w:rPr>
      </w:pPr>
      <w:r w:rsidRPr="0034720E">
        <w:rPr>
          <w:rFonts w:ascii="Arial" w:hAnsi="Arial" w:cs="Arial"/>
          <w:i w:val="0"/>
          <w:iCs w:val="0"/>
          <w:sz w:val="32"/>
          <w:szCs w:val="32"/>
        </w:rPr>
        <w:t>2.2.2 Cold Chain and Energy Dependency</w:t>
      </w:r>
    </w:p>
    <w:p w14:paraId="69365359" w14:textId="72524CF9" w:rsidR="00BB4BB4" w:rsidRPr="00F62EB9" w:rsidRDefault="00000000" w:rsidP="00585384">
      <w:pPr>
        <w:spacing w:after="200" w:line="360" w:lineRule="auto"/>
        <w:rPr>
          <w:rFonts w:ascii="Arial" w:hAnsi="Arial" w:cs="Arial"/>
          <w:sz w:val="22"/>
          <w:szCs w:val="22"/>
        </w:rPr>
      </w:pPr>
      <w:r w:rsidRPr="00F62EB9">
        <w:rPr>
          <w:rFonts w:ascii="Arial" w:hAnsi="Arial" w:cs="Arial"/>
          <w:sz w:val="22"/>
          <w:szCs w:val="22"/>
        </w:rPr>
        <w:t xml:space="preserve">Maintaining fresh produce quality requires an unbroken cold chain from harvest to consumer purchase, creating infrastructure dependencies at every supply chain stage. Manning and Soon (2016) demonstrate that refrigeration represents the dominant operating cost in fresh produce supply </w:t>
      </w:r>
      <w:r w:rsidR="00F62EB9" w:rsidRPr="00F62EB9">
        <w:rPr>
          <w:rFonts w:ascii="Arial" w:hAnsi="Arial" w:cs="Arial"/>
          <w:sz w:val="22"/>
          <w:szCs w:val="22"/>
        </w:rPr>
        <w:t>chains but</w:t>
      </w:r>
      <w:r w:rsidRPr="00F62EB9">
        <w:rPr>
          <w:rFonts w:ascii="Arial" w:hAnsi="Arial" w:cs="Arial"/>
          <w:sz w:val="22"/>
          <w:szCs w:val="22"/>
        </w:rPr>
        <w:t xml:space="preserve"> substantially underestimate the systemic consequences of sustained energy cost escalation, starkly exposed by the 2022–2023 energy crisis. APS Group’s decision to leave 8% of glasshouse capacity unused demonstrates energy vulnerability can render domestic production unviable regardless of other supply chain resilience investments (Food Foundation, 2023), echoing </w:t>
      </w:r>
      <w:r w:rsidR="00FF158F" w:rsidRPr="00F62EB9">
        <w:rPr>
          <w:rFonts w:ascii="Arial" w:hAnsi="Arial" w:cs="Arial"/>
          <w:sz w:val="22"/>
          <w:szCs w:val="22"/>
        </w:rPr>
        <w:t>Wieland,</w:t>
      </w:r>
      <w:r w:rsidRPr="00F62EB9">
        <w:rPr>
          <w:rFonts w:ascii="Arial" w:hAnsi="Arial" w:cs="Arial"/>
          <w:sz w:val="22"/>
          <w:szCs w:val="22"/>
        </w:rPr>
        <w:t xml:space="preserve"> and Wallenburg’s (2012) warning that strategies addressing one vulnerability can create new exposure elsewhere.</w:t>
      </w:r>
    </w:p>
    <w:p w14:paraId="64287D62" w14:textId="77777777" w:rsidR="00BB4BB4" w:rsidRPr="0034720E" w:rsidRDefault="00000000" w:rsidP="00585384">
      <w:pPr>
        <w:pStyle w:val="Heading3"/>
        <w:rPr>
          <w:rFonts w:ascii="Arial" w:hAnsi="Arial" w:cs="Arial"/>
          <w:i w:val="0"/>
          <w:iCs w:val="0"/>
          <w:sz w:val="32"/>
          <w:szCs w:val="32"/>
        </w:rPr>
      </w:pPr>
      <w:r w:rsidRPr="0034720E">
        <w:rPr>
          <w:rFonts w:ascii="Arial" w:hAnsi="Arial" w:cs="Arial"/>
          <w:i w:val="0"/>
          <w:iCs w:val="0"/>
          <w:sz w:val="32"/>
          <w:szCs w:val="32"/>
        </w:rPr>
        <w:t>2.2.3 Import Dependency and Geographic Concentration</w:t>
      </w:r>
    </w:p>
    <w:p w14:paraId="005F02B4" w14:textId="08A1AC80" w:rsidR="00BB4BB4" w:rsidRPr="00F62EB9" w:rsidRDefault="00000000" w:rsidP="00585384">
      <w:pPr>
        <w:spacing w:after="200" w:line="360" w:lineRule="auto"/>
        <w:rPr>
          <w:rFonts w:ascii="Arial" w:hAnsi="Arial" w:cs="Arial"/>
          <w:sz w:val="22"/>
          <w:szCs w:val="22"/>
        </w:rPr>
      </w:pPr>
      <w:r w:rsidRPr="00F62EB9">
        <w:rPr>
          <w:rFonts w:ascii="Arial" w:hAnsi="Arial" w:cs="Arial"/>
          <w:sz w:val="22"/>
          <w:szCs w:val="22"/>
        </w:rPr>
        <w:t>The UK imports 84% of fresh vegetables and 46% of fresh fruit, predominantly from Spain, the Netherlands, and Morocco (Food Foundation, 2023). Tang (2006) argues that supply chain resilience requires diversification across geographically uncorrelated sourcing regions to reduce simultaneous supply failure risk. However, Tang’s (2006) framework assumes alternative sources are economically accessible an assumption substantially undermined by post-Brexit realities where UK buyers have become less attractive to many continental European suppliers (Euronews, 2023). Furthermore, 54% of UK imports originate from countries projected to face high water scarcity by 2040 (Food Foundation, 2023), indicating that concentration vulnerability will intensify under climate change a dimension absent from Tang’s framework.</w:t>
      </w:r>
    </w:p>
    <w:p w14:paraId="5D3D475D" w14:textId="40B0B91A" w:rsidR="0034720E" w:rsidRPr="00F62EB9" w:rsidRDefault="00000000" w:rsidP="00585384">
      <w:pPr>
        <w:spacing w:after="200" w:line="360" w:lineRule="auto"/>
        <w:rPr>
          <w:rFonts w:ascii="Arial" w:hAnsi="Arial" w:cs="Arial"/>
          <w:sz w:val="20"/>
          <w:szCs w:val="20"/>
        </w:rPr>
      </w:pPr>
      <w:r w:rsidRPr="00F61B71">
        <w:rPr>
          <w:rFonts w:ascii="Arial" w:hAnsi="Arial" w:cs="Arial"/>
          <w:sz w:val="20"/>
          <w:szCs w:val="20"/>
        </w:rPr>
        <w:t>Key takeaway: Perishability, cold chain energy dependency, and geographic concentration collectively create a compounding vulnerability profile that standard supply chain resilience frameworks, developed without these constraints, cannot adequately address.</w:t>
      </w:r>
    </w:p>
    <w:p w14:paraId="4A5D16DF" w14:textId="77777777" w:rsidR="00BB4BB4" w:rsidRPr="0034720E" w:rsidRDefault="00000000" w:rsidP="00585384">
      <w:pPr>
        <w:pStyle w:val="Heading2"/>
        <w:rPr>
          <w:rFonts w:ascii="Arial" w:hAnsi="Arial" w:cs="Arial"/>
          <w:sz w:val="32"/>
          <w:szCs w:val="32"/>
        </w:rPr>
      </w:pPr>
      <w:r w:rsidRPr="0034720E">
        <w:rPr>
          <w:rFonts w:ascii="Arial" w:hAnsi="Arial" w:cs="Arial"/>
          <w:sz w:val="32"/>
          <w:szCs w:val="32"/>
        </w:rPr>
        <w:t>2.3 Recent Disruptions and Documented Impacts</w:t>
      </w:r>
    </w:p>
    <w:p w14:paraId="70434A31" w14:textId="77777777" w:rsidR="00BB4BB4" w:rsidRPr="00F62EB9" w:rsidRDefault="00000000" w:rsidP="00585384">
      <w:pPr>
        <w:spacing w:after="200" w:line="360" w:lineRule="auto"/>
        <w:rPr>
          <w:rFonts w:ascii="Arial" w:hAnsi="Arial" w:cs="Arial"/>
          <w:sz w:val="22"/>
          <w:szCs w:val="22"/>
        </w:rPr>
      </w:pPr>
      <w:r w:rsidRPr="00F62EB9">
        <w:rPr>
          <w:rFonts w:ascii="Arial" w:hAnsi="Arial" w:cs="Arial"/>
          <w:sz w:val="22"/>
          <w:szCs w:val="22"/>
        </w:rPr>
        <w:t>Brexit demonstrates that regulatory changes create persistent supply chain disruption rather than episodic events companies can recover from. Even modest 12–24-hour border delays translate into 20–40% shelf-life reduction for fresh produce (Euronews, 2023), and Hirth et al. (2023) document that compliance costs have intensified since implementation. This slow-burn pattern challenges resilience frameworks focused on acute, bounded events.</w:t>
      </w:r>
    </w:p>
    <w:p w14:paraId="60822A31" w14:textId="77777777" w:rsidR="00BB4BB4" w:rsidRPr="00F62EB9" w:rsidRDefault="00000000" w:rsidP="00585384">
      <w:pPr>
        <w:spacing w:after="200" w:line="360" w:lineRule="auto"/>
        <w:rPr>
          <w:rFonts w:ascii="Arial" w:hAnsi="Arial" w:cs="Arial"/>
          <w:sz w:val="22"/>
          <w:szCs w:val="22"/>
        </w:rPr>
      </w:pPr>
      <w:r w:rsidRPr="00F62EB9">
        <w:rPr>
          <w:rFonts w:ascii="Arial" w:hAnsi="Arial" w:cs="Arial"/>
          <w:sz w:val="22"/>
          <w:szCs w:val="22"/>
        </w:rPr>
        <w:lastRenderedPageBreak/>
        <w:t xml:space="preserve">The COVID-19 pandemic (2020–2023) provided counterintuitively positive evidence of supply chain adaptive capacity: despite demand surges of 300–400% and food service channel collapse, basic availability was broadly maintained (Hobbs, 2021). However, Hobbs (2021) and </w:t>
      </w:r>
      <w:proofErr w:type="spellStart"/>
      <w:r w:rsidRPr="00F62EB9">
        <w:rPr>
          <w:rFonts w:ascii="Arial" w:hAnsi="Arial" w:cs="Arial"/>
          <w:sz w:val="22"/>
          <w:szCs w:val="22"/>
        </w:rPr>
        <w:t>Sheffi</w:t>
      </w:r>
      <w:proofErr w:type="spellEnd"/>
      <w:r w:rsidRPr="00F62EB9">
        <w:rPr>
          <w:rFonts w:ascii="Arial" w:hAnsi="Arial" w:cs="Arial"/>
          <w:sz w:val="22"/>
          <w:szCs w:val="22"/>
        </w:rPr>
        <w:t xml:space="preserve"> (2015) caution that crisis-period performance reflects discretionary effort not replicable without deliberate structural investment and is not a reliable indicator of structural supply chain resilience capacity.</w:t>
      </w:r>
    </w:p>
    <w:p w14:paraId="7C998552" w14:textId="77777777" w:rsidR="00BB4BB4" w:rsidRPr="00F62EB9" w:rsidRDefault="00000000" w:rsidP="00585384">
      <w:pPr>
        <w:spacing w:after="200" w:line="360" w:lineRule="auto"/>
        <w:rPr>
          <w:rFonts w:ascii="Arial" w:hAnsi="Arial" w:cs="Arial"/>
          <w:sz w:val="20"/>
          <w:szCs w:val="20"/>
        </w:rPr>
      </w:pPr>
      <w:r w:rsidRPr="00F62EB9">
        <w:rPr>
          <w:rFonts w:ascii="Arial" w:hAnsi="Arial" w:cs="Arial"/>
          <w:sz w:val="20"/>
          <w:szCs w:val="20"/>
        </w:rPr>
        <w:t>Section 2.4 examines the strategic tensions these disruptions expose.</w:t>
      </w:r>
    </w:p>
    <w:p w14:paraId="289C8DBB" w14:textId="77777777" w:rsidR="00BB4BB4" w:rsidRPr="0034720E" w:rsidRDefault="00000000" w:rsidP="00585384">
      <w:pPr>
        <w:pStyle w:val="Heading2"/>
        <w:rPr>
          <w:rFonts w:ascii="Arial" w:hAnsi="Arial" w:cs="Arial"/>
          <w:sz w:val="32"/>
          <w:szCs w:val="32"/>
        </w:rPr>
      </w:pPr>
      <w:r w:rsidRPr="0034720E">
        <w:rPr>
          <w:rFonts w:ascii="Arial" w:hAnsi="Arial" w:cs="Arial"/>
          <w:sz w:val="32"/>
          <w:szCs w:val="32"/>
        </w:rPr>
        <w:t>2.4 Strategic Tensions</w:t>
      </w:r>
    </w:p>
    <w:p w14:paraId="18F60AFD" w14:textId="77777777" w:rsidR="00BB4BB4" w:rsidRPr="00F62EB9" w:rsidRDefault="00000000" w:rsidP="00585384">
      <w:pPr>
        <w:spacing w:after="200" w:line="360" w:lineRule="auto"/>
        <w:rPr>
          <w:rFonts w:ascii="Arial" w:hAnsi="Arial" w:cs="Arial"/>
          <w:sz w:val="22"/>
          <w:szCs w:val="22"/>
        </w:rPr>
      </w:pPr>
      <w:r w:rsidRPr="00F62EB9">
        <w:rPr>
          <w:rFonts w:ascii="Arial" w:hAnsi="Arial" w:cs="Arial"/>
          <w:sz w:val="22"/>
          <w:szCs w:val="22"/>
        </w:rPr>
        <w:t>The localisation debate illustrates fundamental tensions between supply chain resilience recommendations and economic feasibility. Domestic production has been widely proposed as a resilience solution (Sustain, 2023), yet the 2022–2023 experience demonstrated it failing as catastrophically as import-dependent supply chains when energy costs inverted greenhouse economics, suggesting neither localisation nor diversification alone provides adequate resilience.</w:t>
      </w:r>
    </w:p>
    <w:p w14:paraId="32104D66" w14:textId="77777777" w:rsidR="00BB4BB4" w:rsidRPr="00F62EB9" w:rsidRDefault="00000000" w:rsidP="00585384">
      <w:pPr>
        <w:spacing w:after="200" w:line="360" w:lineRule="auto"/>
        <w:rPr>
          <w:rFonts w:ascii="Arial" w:hAnsi="Arial" w:cs="Arial"/>
          <w:sz w:val="22"/>
          <w:szCs w:val="22"/>
        </w:rPr>
      </w:pPr>
      <w:r w:rsidRPr="00F62EB9">
        <w:rPr>
          <w:rFonts w:ascii="Arial" w:hAnsi="Arial" w:cs="Arial"/>
          <w:sz w:val="22"/>
          <w:szCs w:val="22"/>
        </w:rPr>
        <w:t>The resilience–efficiency tension mirrors the lean versus agile debate: lean configurations proved structurally fragile under compounding disruptions, whilst agile configurations provide resilience that lean efficiency sacrifices. Christopher and Peck (2004) acknowledge this tension but provide limited resolution guidance. In markets where food inflation reached 16.9% in 2023 (Food Foundation, 2023), firms investing in resilience risk competitive disadvantage, suggesting effective sectoral resilience requires coordinated policy intervention beyond individual firm strategy.</w:t>
      </w:r>
    </w:p>
    <w:p w14:paraId="36761274" w14:textId="77777777" w:rsidR="00BB4BB4" w:rsidRPr="0034720E" w:rsidRDefault="00000000" w:rsidP="00585384">
      <w:pPr>
        <w:pStyle w:val="Heading2"/>
        <w:rPr>
          <w:rFonts w:ascii="Arial" w:hAnsi="Arial" w:cs="Arial"/>
          <w:sz w:val="32"/>
          <w:szCs w:val="32"/>
        </w:rPr>
      </w:pPr>
      <w:r w:rsidRPr="0034720E">
        <w:rPr>
          <w:rFonts w:ascii="Arial" w:hAnsi="Arial" w:cs="Arial"/>
          <w:sz w:val="32"/>
          <w:szCs w:val="32"/>
        </w:rPr>
        <w:t>2.5 International Comparisons</w:t>
      </w:r>
    </w:p>
    <w:p w14:paraId="6AAEC228" w14:textId="77777777" w:rsidR="00BB4BB4" w:rsidRPr="00585384" w:rsidRDefault="00000000" w:rsidP="00585384">
      <w:pPr>
        <w:spacing w:after="200" w:line="360" w:lineRule="auto"/>
        <w:rPr>
          <w:rFonts w:ascii="Arial" w:hAnsi="Arial" w:cs="Arial"/>
        </w:rPr>
      </w:pPr>
      <w:r w:rsidRPr="00F62EB9">
        <w:rPr>
          <w:rFonts w:ascii="Arial" w:hAnsi="Arial" w:cs="Arial"/>
          <w:sz w:val="22"/>
          <w:szCs w:val="22"/>
        </w:rPr>
        <w:t>Brief international comparison highlights the distinctiveness of the UK case. The Netherlands has achieved supply chain resilience through cooperative grower models and glasshouse energy efficiency investment (</w:t>
      </w:r>
      <w:proofErr w:type="spellStart"/>
      <w:r w:rsidRPr="00F62EB9">
        <w:rPr>
          <w:rFonts w:ascii="Arial" w:hAnsi="Arial" w:cs="Arial"/>
          <w:sz w:val="22"/>
          <w:szCs w:val="22"/>
        </w:rPr>
        <w:t>Wijnands</w:t>
      </w:r>
      <w:proofErr w:type="spellEnd"/>
      <w:r w:rsidRPr="00F62EB9">
        <w:rPr>
          <w:rFonts w:ascii="Arial" w:hAnsi="Arial" w:cs="Arial"/>
          <w:sz w:val="22"/>
          <w:szCs w:val="22"/>
        </w:rPr>
        <w:t xml:space="preserve"> et al., 2015). The cooperative model has potential transferability to the UK, though requiring structural adjustment given UK grocery’s adversarial buyer-supplier dynamics. Australia’s experience following biosecurity-driven import restrictions parallels Brexit’s phytosanitary friction: regulatory barriers can stimulate domestic production investment when government policy is consistent (Productivity Commission, 2020). UK policy excluded horticulture from energy relief available to other industries (Food Foundation, 2023). Both cases confirm that supply chain resilience requires coordinated policy support alongside individual firm strategy (see Section 5.1.3 for direct policy implications).</w:t>
      </w:r>
    </w:p>
    <w:p w14:paraId="46763586" w14:textId="1617B9C9" w:rsidR="00BB4BB4" w:rsidRPr="0034720E" w:rsidRDefault="00000000" w:rsidP="00F62EB9">
      <w:pPr>
        <w:pStyle w:val="Heading2"/>
        <w:rPr>
          <w:rFonts w:ascii="Arial" w:hAnsi="Arial" w:cs="Arial"/>
          <w:sz w:val="32"/>
          <w:szCs w:val="32"/>
        </w:rPr>
      </w:pPr>
      <w:r w:rsidRPr="0034720E">
        <w:rPr>
          <w:rFonts w:ascii="Arial" w:hAnsi="Arial" w:cs="Arial"/>
          <w:sz w:val="32"/>
          <w:szCs w:val="32"/>
        </w:rPr>
        <w:lastRenderedPageBreak/>
        <w:t>2.6 Synthesis, Research Gap, and Conceptual Framework</w:t>
      </w:r>
    </w:p>
    <w:p w14:paraId="3FF03729" w14:textId="77777777" w:rsidR="00BB4BB4" w:rsidRPr="00F62EB9" w:rsidRDefault="00000000" w:rsidP="00585384">
      <w:pPr>
        <w:spacing w:after="200" w:line="360" w:lineRule="auto"/>
        <w:rPr>
          <w:rFonts w:ascii="Arial" w:hAnsi="Arial" w:cs="Arial"/>
          <w:sz w:val="22"/>
          <w:szCs w:val="22"/>
        </w:rPr>
      </w:pPr>
      <w:r w:rsidRPr="00F62EB9">
        <w:rPr>
          <w:rFonts w:ascii="Arial" w:hAnsi="Arial" w:cs="Arial"/>
          <w:sz w:val="22"/>
          <w:szCs w:val="22"/>
        </w:rPr>
        <w:t>The preceding review reveals a compounding research gap across four dimensions. First, established frameworks embed manufacturing assumptions structurally incompatible with fresh produce perishability: no framework to date systematically reconceptualises supply chain resilience for perishable goods. Second, Brexit’s persistent regulatory friction constitutes a slow-burn disruption category that acute-event frameworks do not theorise, yet no post-2021 UK-specific resilience literature addresses it empirically. Third, the convergence of Brexit, COVID-19, and the 2022–2023 energy and weather crises created compounding simultaneous shocks that discrete-disruption frameworks cannot model. Fourth, no existing research has systematically synthesised documented adaptation experiences across the UK fresh produce sector following this convergence. This research is the first to propose a supply chain resilience framework that systematically integrates perishability, process redundancy, adaptive governance, and structural power asymmetries for the UK fresh produce context, filling a critical empirical and conceptual gap in the literature. This framework not only fills that gap but also provides a practical tool for both researchers and practitioners navigating supply chain resilience in volatile, perishable goods environments.</w:t>
      </w:r>
    </w:p>
    <w:p w14:paraId="7D8105CB" w14:textId="77777777" w:rsidR="00BB4BB4" w:rsidRPr="00205832" w:rsidRDefault="00000000" w:rsidP="00585384">
      <w:pPr>
        <w:pStyle w:val="Heading3"/>
        <w:rPr>
          <w:rFonts w:ascii="Arial" w:hAnsi="Arial" w:cs="Arial"/>
          <w:i w:val="0"/>
          <w:iCs w:val="0"/>
          <w:sz w:val="22"/>
          <w:szCs w:val="22"/>
        </w:rPr>
      </w:pPr>
      <w:r w:rsidRPr="00205832">
        <w:rPr>
          <w:rFonts w:ascii="Arial" w:hAnsi="Arial" w:cs="Arial"/>
          <w:i w:val="0"/>
          <w:iCs w:val="0"/>
          <w:sz w:val="22"/>
          <w:szCs w:val="22"/>
        </w:rPr>
        <w:t>Conceptual Framework</w:t>
      </w:r>
    </w:p>
    <w:p w14:paraId="27049727" w14:textId="66610865" w:rsidR="00F62EB9" w:rsidRDefault="00000000" w:rsidP="00585384">
      <w:pPr>
        <w:spacing w:after="200" w:line="360" w:lineRule="auto"/>
        <w:rPr>
          <w:rFonts w:ascii="Arial" w:hAnsi="Arial" w:cs="Arial"/>
          <w:sz w:val="22"/>
          <w:szCs w:val="22"/>
        </w:rPr>
      </w:pPr>
      <w:r w:rsidRPr="00F62EB9">
        <w:rPr>
          <w:rFonts w:ascii="Arial" w:hAnsi="Arial" w:cs="Arial"/>
          <w:sz w:val="22"/>
          <w:szCs w:val="22"/>
        </w:rPr>
        <w:t xml:space="preserve">The proposed framework (see Figure 1) builds on Ivanov and Dolgui’s (2020) bounce-forward orientation, </w:t>
      </w:r>
      <w:proofErr w:type="spellStart"/>
      <w:r w:rsidRPr="00F62EB9">
        <w:rPr>
          <w:rFonts w:ascii="Arial" w:hAnsi="Arial" w:cs="Arial"/>
          <w:sz w:val="22"/>
          <w:szCs w:val="22"/>
        </w:rPr>
        <w:t>Vlajic</w:t>
      </w:r>
      <w:proofErr w:type="spellEnd"/>
      <w:r w:rsidRPr="00F62EB9">
        <w:rPr>
          <w:rFonts w:ascii="Arial" w:hAnsi="Arial" w:cs="Arial"/>
          <w:sz w:val="22"/>
          <w:szCs w:val="22"/>
        </w:rPr>
        <w:t xml:space="preserve"> et al.’s (2012) process and relationship redundancy, Teece et al.’s (1997) dynamic capabilities, and Naylor et al.’s (1999) lean-agile logic. Unlike Christopher and Peck’s (2004) model, it replaces inventory redundancy with process redundancy, treats biological perishability as a non-negotiable design constraint, and adds adaptive governance absent from all reviewed frameworks but evidenced as necessary by the Brexit context. The four capabilities operate within two contextual conditions unique to UK fresh produce: biological perishability and permanent post-Brexit regulatory friction. The four capabilities are mutually reinforcing: sourcing agility is underpinned by robust process redundancy and collaborative risk-sharing, while adaptive governance ensures that these capabilities remain effective amid evolving regulatory and market conditions. This framework directly informs the coding and thematic structure of Chapter 4, ensuring results are interpreted through a lens integrating sector-specific constraints and resilience requirements.</w:t>
      </w:r>
    </w:p>
    <w:p w14:paraId="34E953B3" w14:textId="77777777" w:rsidR="00B1174F" w:rsidRDefault="00B1174F" w:rsidP="00585384">
      <w:pPr>
        <w:spacing w:after="200" w:line="360" w:lineRule="auto"/>
        <w:rPr>
          <w:rFonts w:ascii="Arial" w:hAnsi="Arial" w:cs="Arial"/>
          <w:sz w:val="22"/>
          <w:szCs w:val="22"/>
        </w:rPr>
      </w:pPr>
    </w:p>
    <w:p w14:paraId="1365822E" w14:textId="77777777" w:rsidR="00B1174F" w:rsidRDefault="00B1174F" w:rsidP="00585384">
      <w:pPr>
        <w:spacing w:after="200" w:line="360" w:lineRule="auto"/>
        <w:rPr>
          <w:rFonts w:ascii="Arial" w:hAnsi="Arial" w:cs="Arial"/>
          <w:sz w:val="22"/>
          <w:szCs w:val="22"/>
        </w:rPr>
      </w:pPr>
    </w:p>
    <w:p w14:paraId="06EA6506" w14:textId="77777777" w:rsidR="00B1174F" w:rsidRPr="00F62EB9" w:rsidRDefault="00B1174F" w:rsidP="00585384">
      <w:pPr>
        <w:spacing w:after="200" w:line="360" w:lineRule="auto"/>
        <w:rPr>
          <w:rFonts w:ascii="Arial" w:hAnsi="Arial" w:cs="Arial"/>
          <w:sz w:val="22"/>
          <w:szCs w:val="22"/>
        </w:rPr>
      </w:pPr>
    </w:p>
    <w:p w14:paraId="720505F4" w14:textId="77777777" w:rsidR="00BB4BB4" w:rsidRPr="00585384" w:rsidRDefault="00000000" w:rsidP="00585384">
      <w:pPr>
        <w:spacing w:before="200" w:after="100"/>
        <w:rPr>
          <w:rFonts w:ascii="Arial" w:hAnsi="Arial" w:cs="Arial"/>
        </w:rPr>
      </w:pPr>
      <w:r w:rsidRPr="00585384">
        <w:rPr>
          <w:rFonts w:ascii="Arial" w:hAnsi="Arial" w:cs="Arial"/>
          <w:b/>
          <w:bCs/>
          <w:i/>
          <w:iCs/>
          <w:sz w:val="20"/>
          <w:szCs w:val="20"/>
        </w:rPr>
        <w:lastRenderedPageBreak/>
        <w:t>Figure 1: Proposed Conceptual Framework for UK Fresh Produce Supply Chain Resilience</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34"/>
        <w:gridCol w:w="4492"/>
      </w:tblGrid>
      <w:tr w:rsidR="00BB4BB4" w:rsidRPr="00585384" w14:paraId="4A935BEF" w14:textId="77777777" w:rsidTr="00383FC9">
        <w:tc>
          <w:tcPr>
            <w:tcW w:w="0" w:type="auto"/>
            <w:gridSpan w:val="2"/>
            <w:tcBorders>
              <w:top w:val="single" w:sz="1" w:space="0" w:color="AAAAAA"/>
              <w:left w:val="single" w:sz="1" w:space="0" w:color="AAAAAA"/>
              <w:bottom w:val="single" w:sz="1" w:space="0" w:color="AAAAAA"/>
              <w:right w:val="single" w:sz="1" w:space="0" w:color="AAAAAA"/>
            </w:tcBorders>
            <w:shd w:val="clear" w:color="auto" w:fill="124F1A" w:themeFill="accent3" w:themeFillShade="BF"/>
            <w:tcMar>
              <w:top w:w="120" w:type="dxa"/>
              <w:left w:w="200" w:type="dxa"/>
              <w:bottom w:w="120" w:type="dxa"/>
              <w:right w:w="200" w:type="dxa"/>
            </w:tcMar>
          </w:tcPr>
          <w:p w14:paraId="45C24CCA" w14:textId="77777777" w:rsidR="00BB4BB4" w:rsidRPr="00585384" w:rsidRDefault="00000000" w:rsidP="00585384">
            <w:pPr>
              <w:spacing w:after="40"/>
              <w:rPr>
                <w:rFonts w:ascii="Arial" w:hAnsi="Arial" w:cs="Arial"/>
              </w:rPr>
            </w:pPr>
            <w:r w:rsidRPr="00585384">
              <w:rPr>
                <w:rFonts w:ascii="Arial" w:hAnsi="Arial" w:cs="Arial"/>
                <w:b/>
                <w:bCs/>
                <w:color w:val="FFFFFF"/>
                <w:sz w:val="22"/>
                <w:szCs w:val="22"/>
              </w:rPr>
              <w:t>UK FRESH PRODUCE CONTEXT</w:t>
            </w:r>
          </w:p>
          <w:p w14:paraId="4A08B1A1" w14:textId="77777777" w:rsidR="00BB4BB4" w:rsidRPr="00F62EB9" w:rsidRDefault="00000000" w:rsidP="00585384">
            <w:pPr>
              <w:rPr>
                <w:rFonts w:ascii="Arial" w:hAnsi="Arial" w:cs="Arial"/>
                <w:sz w:val="16"/>
                <w:szCs w:val="16"/>
              </w:rPr>
            </w:pPr>
            <w:r w:rsidRPr="00F62EB9">
              <w:rPr>
                <w:rFonts w:ascii="Arial" w:hAnsi="Arial" w:cs="Arial"/>
                <w:color w:val="D9E1F2"/>
                <w:sz w:val="16"/>
                <w:szCs w:val="16"/>
              </w:rPr>
              <w:t>Biological Perishability (non-negotiable constraint)  |  Post-Brexit Regulatory Friction (permanent environment)</w:t>
            </w:r>
          </w:p>
        </w:tc>
      </w:tr>
      <w:tr w:rsidR="00BB4BB4" w:rsidRPr="00585384" w14:paraId="1E14E5AA" w14:textId="77777777" w:rsidTr="00862F58">
        <w:tc>
          <w:tcPr>
            <w:tcW w:w="4534"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120" w:type="dxa"/>
              <w:left w:w="160" w:type="dxa"/>
              <w:bottom w:w="120" w:type="dxa"/>
              <w:right w:w="160" w:type="dxa"/>
            </w:tcMar>
          </w:tcPr>
          <w:p w14:paraId="1FFD6801" w14:textId="77777777" w:rsidR="00BB4BB4" w:rsidRPr="00862F58" w:rsidRDefault="00000000" w:rsidP="00585384">
            <w:pPr>
              <w:spacing w:after="80"/>
              <w:rPr>
                <w:rFonts w:ascii="Arial" w:hAnsi="Arial" w:cs="Arial"/>
              </w:rPr>
            </w:pPr>
            <w:r w:rsidRPr="00862F58">
              <w:rPr>
                <w:rFonts w:ascii="Arial" w:hAnsi="Arial" w:cs="Arial"/>
                <w:b/>
                <w:bCs/>
                <w:sz w:val="20"/>
                <w:szCs w:val="20"/>
              </w:rPr>
              <w:t>1. SOURCING AGILITY</w:t>
            </w:r>
          </w:p>
          <w:p w14:paraId="578BB0D3" w14:textId="77777777" w:rsidR="00BB4BB4" w:rsidRPr="00F62EB9" w:rsidRDefault="00000000" w:rsidP="00585384">
            <w:pPr>
              <w:spacing w:after="60"/>
              <w:rPr>
                <w:rFonts w:ascii="Arial" w:hAnsi="Arial" w:cs="Arial"/>
                <w:sz w:val="16"/>
                <w:szCs w:val="16"/>
              </w:rPr>
            </w:pPr>
            <w:r w:rsidRPr="00F62EB9">
              <w:rPr>
                <w:rFonts w:ascii="Arial" w:hAnsi="Arial" w:cs="Arial"/>
                <w:sz w:val="16"/>
                <w:szCs w:val="16"/>
              </w:rPr>
              <w:t>Rapid procurement redirection across geographically diverse, low-correlation suppliers</w:t>
            </w:r>
          </w:p>
          <w:p w14:paraId="250B6CEA" w14:textId="77777777" w:rsidR="00BB4BB4" w:rsidRPr="00F62EB9" w:rsidRDefault="00000000" w:rsidP="00585384">
            <w:pPr>
              <w:spacing w:after="60"/>
              <w:rPr>
                <w:rFonts w:ascii="Arial" w:hAnsi="Arial" w:cs="Arial"/>
                <w:sz w:val="16"/>
                <w:szCs w:val="16"/>
              </w:rPr>
            </w:pPr>
            <w:r w:rsidRPr="00F62EB9">
              <w:rPr>
                <w:rFonts w:ascii="Arial" w:hAnsi="Arial" w:cs="Arial"/>
                <w:sz w:val="16"/>
                <w:szCs w:val="16"/>
              </w:rPr>
              <w:t>Theoretical basis: Tang (2006) diversification logic + Dynamic Capabilities (Teece et al., 1997)</w:t>
            </w:r>
          </w:p>
          <w:p w14:paraId="425E13D1" w14:textId="77777777" w:rsidR="00BB4BB4" w:rsidRPr="00585384" w:rsidRDefault="00000000" w:rsidP="00585384">
            <w:pPr>
              <w:spacing w:after="60"/>
              <w:rPr>
                <w:rFonts w:ascii="Arial" w:hAnsi="Arial" w:cs="Arial"/>
              </w:rPr>
            </w:pPr>
            <w:r w:rsidRPr="00F62EB9">
              <w:rPr>
                <w:rFonts w:ascii="Arial" w:hAnsi="Arial" w:cs="Arial"/>
                <w:sz w:val="16"/>
                <w:szCs w:val="16"/>
              </w:rPr>
              <w:t>Replaces: Static supplier base optimisation</w:t>
            </w:r>
          </w:p>
        </w:tc>
        <w:tc>
          <w:tcPr>
            <w:tcW w:w="4492"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120" w:type="dxa"/>
              <w:left w:w="160" w:type="dxa"/>
              <w:bottom w:w="120" w:type="dxa"/>
              <w:right w:w="160" w:type="dxa"/>
            </w:tcMar>
          </w:tcPr>
          <w:p w14:paraId="2E2B055B" w14:textId="77777777" w:rsidR="00BB4BB4" w:rsidRPr="00862F58" w:rsidRDefault="00000000" w:rsidP="00585384">
            <w:pPr>
              <w:spacing w:after="80"/>
              <w:rPr>
                <w:rFonts w:ascii="Arial" w:hAnsi="Arial" w:cs="Arial"/>
              </w:rPr>
            </w:pPr>
            <w:r w:rsidRPr="00862F58">
              <w:rPr>
                <w:rFonts w:ascii="Arial" w:hAnsi="Arial" w:cs="Arial"/>
                <w:b/>
                <w:bCs/>
                <w:sz w:val="20"/>
                <w:szCs w:val="20"/>
              </w:rPr>
              <w:t>2. PROCESS REDUNDANCY</w:t>
            </w:r>
          </w:p>
          <w:p w14:paraId="43793206" w14:textId="77777777" w:rsidR="00BB4BB4" w:rsidRPr="00F62EB9" w:rsidRDefault="00000000" w:rsidP="00585384">
            <w:pPr>
              <w:spacing w:after="60"/>
              <w:rPr>
                <w:rFonts w:ascii="Arial" w:hAnsi="Arial" w:cs="Arial"/>
                <w:sz w:val="16"/>
                <w:szCs w:val="16"/>
              </w:rPr>
            </w:pPr>
            <w:r w:rsidRPr="00F62EB9">
              <w:rPr>
                <w:rFonts w:ascii="Arial" w:hAnsi="Arial" w:cs="Arial"/>
                <w:sz w:val="16"/>
                <w:szCs w:val="16"/>
              </w:rPr>
              <w:t>Maintained logistics, cold chain, and distribution capacity absorbing disruptions without inventory buffers</w:t>
            </w:r>
          </w:p>
          <w:p w14:paraId="1B80F257" w14:textId="77777777" w:rsidR="00BB4BB4" w:rsidRPr="00F62EB9" w:rsidRDefault="00000000" w:rsidP="00585384">
            <w:pPr>
              <w:spacing w:after="60"/>
              <w:rPr>
                <w:rFonts w:ascii="Arial" w:hAnsi="Arial" w:cs="Arial"/>
                <w:sz w:val="16"/>
                <w:szCs w:val="16"/>
              </w:rPr>
            </w:pPr>
            <w:r w:rsidRPr="00F62EB9">
              <w:rPr>
                <w:rFonts w:ascii="Arial" w:hAnsi="Arial" w:cs="Arial"/>
                <w:sz w:val="16"/>
                <w:szCs w:val="16"/>
              </w:rPr>
              <w:t xml:space="preserve">Theoretical basis: </w:t>
            </w:r>
            <w:proofErr w:type="spellStart"/>
            <w:r w:rsidRPr="00F62EB9">
              <w:rPr>
                <w:rFonts w:ascii="Arial" w:hAnsi="Arial" w:cs="Arial"/>
                <w:sz w:val="16"/>
                <w:szCs w:val="16"/>
              </w:rPr>
              <w:t>Vlajic</w:t>
            </w:r>
            <w:proofErr w:type="spellEnd"/>
            <w:r w:rsidRPr="00F62EB9">
              <w:rPr>
                <w:rFonts w:ascii="Arial" w:hAnsi="Arial" w:cs="Arial"/>
                <w:sz w:val="16"/>
                <w:szCs w:val="16"/>
              </w:rPr>
              <w:t xml:space="preserve"> et al. (2012) process redundancy</w:t>
            </w:r>
          </w:p>
          <w:p w14:paraId="3CDDA522" w14:textId="77777777" w:rsidR="00BB4BB4" w:rsidRPr="00585384" w:rsidRDefault="00000000" w:rsidP="00585384">
            <w:pPr>
              <w:spacing w:after="60"/>
              <w:rPr>
                <w:rFonts w:ascii="Arial" w:hAnsi="Arial" w:cs="Arial"/>
              </w:rPr>
            </w:pPr>
            <w:r w:rsidRPr="00F62EB9">
              <w:rPr>
                <w:rFonts w:ascii="Arial" w:hAnsi="Arial" w:cs="Arial"/>
                <w:sz w:val="16"/>
                <w:szCs w:val="16"/>
              </w:rPr>
              <w:t>Replaces: Inventory redundancy (Christopher &amp; Peck, 2004)</w:t>
            </w:r>
          </w:p>
        </w:tc>
      </w:tr>
      <w:tr w:rsidR="00BB4BB4" w:rsidRPr="00585384" w14:paraId="7566B74A" w14:textId="77777777" w:rsidTr="00862F58">
        <w:tc>
          <w:tcPr>
            <w:tcW w:w="4534"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120" w:type="dxa"/>
              <w:left w:w="160" w:type="dxa"/>
              <w:bottom w:w="120" w:type="dxa"/>
              <w:right w:w="160" w:type="dxa"/>
            </w:tcMar>
          </w:tcPr>
          <w:p w14:paraId="22BB7C35" w14:textId="77777777" w:rsidR="00BB4BB4" w:rsidRPr="00862F58" w:rsidRDefault="00000000" w:rsidP="00585384">
            <w:pPr>
              <w:spacing w:after="80"/>
              <w:rPr>
                <w:rFonts w:ascii="Arial" w:hAnsi="Arial" w:cs="Arial"/>
              </w:rPr>
            </w:pPr>
            <w:r w:rsidRPr="00862F58">
              <w:rPr>
                <w:rFonts w:ascii="Arial" w:hAnsi="Arial" w:cs="Arial"/>
                <w:b/>
                <w:bCs/>
                <w:sz w:val="20"/>
                <w:szCs w:val="20"/>
              </w:rPr>
              <w:t>3. COLLABORATIVE RISK-SHARING</w:t>
            </w:r>
          </w:p>
          <w:p w14:paraId="0D98C1BE" w14:textId="77777777" w:rsidR="00BB4BB4" w:rsidRPr="00F62EB9" w:rsidRDefault="00000000" w:rsidP="00585384">
            <w:pPr>
              <w:spacing w:after="60"/>
              <w:rPr>
                <w:rFonts w:ascii="Arial" w:hAnsi="Arial" w:cs="Arial"/>
                <w:sz w:val="16"/>
                <w:szCs w:val="16"/>
              </w:rPr>
            </w:pPr>
            <w:r w:rsidRPr="00F62EB9">
              <w:rPr>
                <w:rFonts w:ascii="Arial" w:hAnsi="Arial" w:cs="Arial"/>
                <w:sz w:val="16"/>
                <w:szCs w:val="16"/>
              </w:rPr>
              <w:t>Structured cost and responsibility distribution across supply chain tiers; governance mechanisms overcoming power asymmetries</w:t>
            </w:r>
          </w:p>
          <w:p w14:paraId="384D4A40" w14:textId="77777777" w:rsidR="00BB4BB4" w:rsidRPr="00F62EB9" w:rsidRDefault="00000000" w:rsidP="00585384">
            <w:pPr>
              <w:spacing w:after="60"/>
              <w:rPr>
                <w:rFonts w:ascii="Arial" w:hAnsi="Arial" w:cs="Arial"/>
                <w:sz w:val="16"/>
                <w:szCs w:val="16"/>
              </w:rPr>
            </w:pPr>
            <w:r w:rsidRPr="00F62EB9">
              <w:rPr>
                <w:rFonts w:ascii="Arial" w:hAnsi="Arial" w:cs="Arial"/>
                <w:sz w:val="16"/>
                <w:szCs w:val="16"/>
              </w:rPr>
              <w:t xml:space="preserve">Theoretical basis: </w:t>
            </w:r>
            <w:proofErr w:type="spellStart"/>
            <w:r w:rsidRPr="00F62EB9">
              <w:rPr>
                <w:rFonts w:ascii="Arial" w:hAnsi="Arial" w:cs="Arial"/>
                <w:sz w:val="16"/>
                <w:szCs w:val="16"/>
              </w:rPr>
              <w:t>Zsidisin</w:t>
            </w:r>
            <w:proofErr w:type="spellEnd"/>
            <w:r w:rsidRPr="00F62EB9">
              <w:rPr>
                <w:rFonts w:ascii="Arial" w:hAnsi="Arial" w:cs="Arial"/>
                <w:sz w:val="16"/>
                <w:szCs w:val="16"/>
              </w:rPr>
              <w:t xml:space="preserve"> &amp; Ritchie (2009) structural collaboration constraints</w:t>
            </w:r>
          </w:p>
          <w:p w14:paraId="082643E2" w14:textId="77777777" w:rsidR="00BB4BB4" w:rsidRPr="00585384" w:rsidRDefault="00000000" w:rsidP="00585384">
            <w:pPr>
              <w:spacing w:after="60"/>
              <w:rPr>
                <w:rFonts w:ascii="Arial" w:hAnsi="Arial" w:cs="Arial"/>
              </w:rPr>
            </w:pPr>
            <w:r w:rsidRPr="00F62EB9">
              <w:rPr>
                <w:rFonts w:ascii="Arial" w:hAnsi="Arial" w:cs="Arial"/>
                <w:sz w:val="16"/>
                <w:szCs w:val="16"/>
              </w:rPr>
              <w:t>Replaces: Aspirational collaboration assumption</w:t>
            </w:r>
          </w:p>
        </w:tc>
        <w:tc>
          <w:tcPr>
            <w:tcW w:w="4492"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120" w:type="dxa"/>
              <w:left w:w="160" w:type="dxa"/>
              <w:bottom w:w="120" w:type="dxa"/>
              <w:right w:w="160" w:type="dxa"/>
            </w:tcMar>
          </w:tcPr>
          <w:p w14:paraId="3F06E548" w14:textId="77777777" w:rsidR="00BB4BB4" w:rsidRPr="00585384" w:rsidRDefault="00000000" w:rsidP="00585384">
            <w:pPr>
              <w:spacing w:after="80"/>
              <w:rPr>
                <w:rFonts w:ascii="Arial" w:hAnsi="Arial" w:cs="Arial"/>
              </w:rPr>
            </w:pPr>
            <w:r w:rsidRPr="00862F58">
              <w:rPr>
                <w:rFonts w:ascii="Arial" w:hAnsi="Arial" w:cs="Arial"/>
                <w:b/>
                <w:bCs/>
                <w:sz w:val="20"/>
                <w:szCs w:val="20"/>
              </w:rPr>
              <w:t>4. ADAPTIVE GOVERNANCE</w:t>
            </w:r>
          </w:p>
          <w:p w14:paraId="0696CD22" w14:textId="77777777" w:rsidR="00BB4BB4" w:rsidRPr="00F62EB9" w:rsidRDefault="00000000" w:rsidP="00585384">
            <w:pPr>
              <w:spacing w:after="60"/>
              <w:rPr>
                <w:rFonts w:ascii="Arial" w:hAnsi="Arial" w:cs="Arial"/>
                <w:sz w:val="16"/>
                <w:szCs w:val="16"/>
              </w:rPr>
            </w:pPr>
            <w:r w:rsidRPr="00F62EB9">
              <w:rPr>
                <w:rFonts w:ascii="Arial" w:hAnsi="Arial" w:cs="Arial"/>
                <w:sz w:val="16"/>
                <w:szCs w:val="16"/>
              </w:rPr>
              <w:t>Active engagement with regulatory and policy processes to modify persistent structural friction</w:t>
            </w:r>
          </w:p>
          <w:p w14:paraId="624839E3" w14:textId="77777777" w:rsidR="00BB4BB4" w:rsidRPr="00F62EB9" w:rsidRDefault="00000000" w:rsidP="00585384">
            <w:pPr>
              <w:spacing w:after="60"/>
              <w:rPr>
                <w:rFonts w:ascii="Arial" w:hAnsi="Arial" w:cs="Arial"/>
                <w:sz w:val="16"/>
                <w:szCs w:val="16"/>
              </w:rPr>
            </w:pPr>
            <w:r w:rsidRPr="00F62EB9">
              <w:rPr>
                <w:rFonts w:ascii="Arial" w:hAnsi="Arial" w:cs="Arial"/>
                <w:sz w:val="16"/>
                <w:szCs w:val="16"/>
              </w:rPr>
              <w:t xml:space="preserve">Theoretical basis: Ivanov &amp; </w:t>
            </w:r>
            <w:proofErr w:type="spellStart"/>
            <w:r w:rsidRPr="00F62EB9">
              <w:rPr>
                <w:rFonts w:ascii="Arial" w:hAnsi="Arial" w:cs="Arial"/>
                <w:sz w:val="16"/>
                <w:szCs w:val="16"/>
              </w:rPr>
              <w:t>Dolgui</w:t>
            </w:r>
            <w:proofErr w:type="spellEnd"/>
            <w:r w:rsidRPr="00F62EB9">
              <w:rPr>
                <w:rFonts w:ascii="Arial" w:hAnsi="Arial" w:cs="Arial"/>
                <w:sz w:val="16"/>
                <w:szCs w:val="16"/>
              </w:rPr>
              <w:t xml:space="preserve"> (2020) bounce-forward; Brexit-specific evidence</w:t>
            </w:r>
          </w:p>
          <w:p w14:paraId="07E19D93" w14:textId="77777777" w:rsidR="00BB4BB4" w:rsidRPr="00585384" w:rsidRDefault="00000000" w:rsidP="00585384">
            <w:pPr>
              <w:spacing w:after="60"/>
              <w:rPr>
                <w:rFonts w:ascii="Arial" w:hAnsi="Arial" w:cs="Arial"/>
              </w:rPr>
            </w:pPr>
            <w:r w:rsidRPr="00F62EB9">
              <w:rPr>
                <w:rFonts w:ascii="Arial" w:hAnsi="Arial" w:cs="Arial"/>
                <w:sz w:val="16"/>
                <w:szCs w:val="16"/>
              </w:rPr>
              <w:t>New capability: Absent from all reviewed frameworks</w:t>
            </w:r>
          </w:p>
        </w:tc>
      </w:tr>
      <w:tr w:rsidR="00BB4BB4" w:rsidRPr="00585384" w14:paraId="0DCAF80E" w14:textId="77777777" w:rsidTr="00383FC9">
        <w:tc>
          <w:tcPr>
            <w:tcW w:w="0" w:type="auto"/>
            <w:gridSpan w:val="2"/>
            <w:tcBorders>
              <w:top w:val="single" w:sz="1" w:space="0" w:color="AAAAAA"/>
              <w:left w:val="single" w:sz="1" w:space="0" w:color="AAAAAA"/>
              <w:bottom w:val="single" w:sz="1" w:space="0" w:color="AAAAAA"/>
              <w:right w:val="single" w:sz="1" w:space="0" w:color="AAAAAA"/>
            </w:tcBorders>
            <w:shd w:val="clear" w:color="auto" w:fill="124F1A" w:themeFill="accent3" w:themeFillShade="BF"/>
            <w:tcMar>
              <w:top w:w="100" w:type="dxa"/>
              <w:left w:w="160" w:type="dxa"/>
              <w:bottom w:w="100" w:type="dxa"/>
              <w:right w:w="160" w:type="dxa"/>
            </w:tcMar>
          </w:tcPr>
          <w:p w14:paraId="00927624" w14:textId="4940AAB0" w:rsidR="00BB4BB4" w:rsidRPr="00862F58" w:rsidRDefault="00000000" w:rsidP="00585384">
            <w:pPr>
              <w:rPr>
                <w:rFonts w:ascii="Arial" w:hAnsi="Arial" w:cs="Arial"/>
                <w:sz w:val="14"/>
                <w:szCs w:val="14"/>
              </w:rPr>
            </w:pPr>
            <w:r w:rsidRPr="00862F58">
              <w:rPr>
                <w:rFonts w:ascii="Arial" w:hAnsi="Arial" w:cs="Arial"/>
                <w:color w:val="FFFFFF"/>
                <w:sz w:val="14"/>
                <w:szCs w:val="14"/>
              </w:rPr>
              <w:t xml:space="preserve">Overarching orientation: Bounce-Forward (Ivanov &amp; Dolgui, 2020) </w:t>
            </w:r>
            <w:r w:rsidR="00F62EB9" w:rsidRPr="00862F58">
              <w:rPr>
                <w:rFonts w:ascii="Arial" w:hAnsi="Arial" w:cs="Arial"/>
                <w:color w:val="FFFFFF"/>
                <w:sz w:val="14"/>
                <w:szCs w:val="14"/>
              </w:rPr>
              <w:t>-</w:t>
            </w:r>
            <w:r w:rsidRPr="00862F58">
              <w:rPr>
                <w:rFonts w:ascii="Arial" w:hAnsi="Arial" w:cs="Arial"/>
                <w:color w:val="FFFFFF"/>
                <w:sz w:val="14"/>
                <w:szCs w:val="14"/>
              </w:rPr>
              <w:t xml:space="preserve"> evolution toward adapted states, not recovery to prior configurations</w:t>
            </w:r>
          </w:p>
        </w:tc>
      </w:tr>
    </w:tbl>
    <w:p w14:paraId="3E9AF4AC" w14:textId="77777777" w:rsidR="00BB4BB4" w:rsidRPr="00F62EB9" w:rsidRDefault="00000000" w:rsidP="00585384">
      <w:pPr>
        <w:spacing w:before="80" w:after="240"/>
        <w:rPr>
          <w:rFonts w:ascii="Arial" w:hAnsi="Arial" w:cs="Arial"/>
          <w:sz w:val="16"/>
          <w:szCs w:val="16"/>
        </w:rPr>
      </w:pPr>
      <w:r w:rsidRPr="00F62EB9">
        <w:rPr>
          <w:rFonts w:ascii="Arial" w:hAnsi="Arial" w:cs="Arial"/>
          <w:b/>
          <w:bCs/>
          <w:sz w:val="20"/>
          <w:szCs w:val="20"/>
        </w:rPr>
        <w:t>Figure 1:</w:t>
      </w:r>
      <w:r w:rsidRPr="00585384">
        <w:rPr>
          <w:rFonts w:ascii="Arial" w:hAnsi="Arial" w:cs="Arial"/>
          <w:i/>
          <w:iCs/>
          <w:sz w:val="20"/>
          <w:szCs w:val="20"/>
        </w:rPr>
        <w:t xml:space="preserve"> </w:t>
      </w:r>
      <w:r w:rsidRPr="00F62EB9">
        <w:rPr>
          <w:rFonts w:ascii="Arial" w:hAnsi="Arial" w:cs="Arial"/>
          <w:i/>
          <w:iCs/>
          <w:sz w:val="16"/>
          <w:szCs w:val="16"/>
        </w:rPr>
        <w:t>Proposed conceptual framework for UK fresh produce supply chain resilience (author’s own)</w:t>
      </w:r>
    </w:p>
    <w:p w14:paraId="59A949AE" w14:textId="77777777" w:rsidR="00BB4BB4" w:rsidRPr="00F62EB9" w:rsidRDefault="00000000" w:rsidP="00585384">
      <w:pPr>
        <w:spacing w:after="200" w:line="360" w:lineRule="auto"/>
        <w:rPr>
          <w:rFonts w:ascii="Arial" w:hAnsi="Arial" w:cs="Arial"/>
          <w:sz w:val="20"/>
          <w:szCs w:val="20"/>
        </w:rPr>
      </w:pPr>
      <w:r w:rsidRPr="00F62EB9">
        <w:rPr>
          <w:rFonts w:ascii="Arial" w:hAnsi="Arial" w:cs="Arial"/>
          <w:sz w:val="20"/>
          <w:szCs w:val="20"/>
        </w:rPr>
        <w:t>These themes and framework elements directly inform both the analytical strategy and the coding structure outlined in Chapter 3 and applied in Chapter 4.</w:t>
      </w:r>
    </w:p>
    <w:p w14:paraId="4E7C7C9D" w14:textId="77777777" w:rsidR="00BB4BB4" w:rsidRPr="00585384" w:rsidRDefault="00000000" w:rsidP="00585384">
      <w:pPr>
        <w:pageBreakBefore/>
        <w:rPr>
          <w:rFonts w:ascii="Arial" w:hAnsi="Arial" w:cs="Arial"/>
        </w:rPr>
      </w:pPr>
      <w:r w:rsidRPr="00585384">
        <w:rPr>
          <w:rFonts w:ascii="Arial" w:hAnsi="Arial" w:cs="Arial"/>
        </w:rPr>
        <w:lastRenderedPageBreak/>
        <w:br/>
      </w:r>
    </w:p>
    <w:p w14:paraId="18C57C2A" w14:textId="77777777" w:rsidR="00BB4BB4" w:rsidRPr="0034720E" w:rsidRDefault="00000000" w:rsidP="00585384">
      <w:pPr>
        <w:pStyle w:val="Heading1"/>
        <w:rPr>
          <w:rFonts w:ascii="Arial" w:hAnsi="Arial" w:cs="Arial"/>
          <w:sz w:val="32"/>
          <w:szCs w:val="32"/>
        </w:rPr>
      </w:pPr>
      <w:r w:rsidRPr="0034720E">
        <w:rPr>
          <w:rFonts w:ascii="Arial" w:hAnsi="Arial" w:cs="Arial"/>
          <w:sz w:val="32"/>
          <w:szCs w:val="32"/>
        </w:rPr>
        <w:t>Chapter 3: Methodology</w:t>
      </w:r>
    </w:p>
    <w:p w14:paraId="6B3904A9" w14:textId="77777777" w:rsidR="00BB4BB4" w:rsidRPr="00862F58" w:rsidRDefault="00000000" w:rsidP="00585384">
      <w:pPr>
        <w:pStyle w:val="Heading2"/>
        <w:rPr>
          <w:rFonts w:ascii="Arial" w:hAnsi="Arial" w:cs="Arial"/>
          <w:sz w:val="24"/>
          <w:szCs w:val="24"/>
        </w:rPr>
      </w:pPr>
      <w:r w:rsidRPr="0034720E">
        <w:rPr>
          <w:rFonts w:ascii="Arial" w:hAnsi="Arial" w:cs="Arial"/>
          <w:sz w:val="28"/>
          <w:szCs w:val="28"/>
        </w:rPr>
        <w:t>3.1 Research Design:</w:t>
      </w:r>
      <w:r w:rsidRPr="00862F58">
        <w:rPr>
          <w:rFonts w:ascii="Arial" w:hAnsi="Arial" w:cs="Arial"/>
          <w:sz w:val="24"/>
          <w:szCs w:val="24"/>
        </w:rPr>
        <w:t xml:space="preserve"> The Melnikovas Research Onion</w:t>
      </w:r>
    </w:p>
    <w:p w14:paraId="0574CA73" w14:textId="77777777" w:rsidR="00BB4BB4" w:rsidRPr="00383FC9" w:rsidRDefault="00000000" w:rsidP="00585384">
      <w:pPr>
        <w:spacing w:after="200" w:line="360" w:lineRule="auto"/>
        <w:rPr>
          <w:rFonts w:ascii="Arial" w:hAnsi="Arial" w:cs="Arial"/>
          <w:sz w:val="22"/>
          <w:szCs w:val="22"/>
        </w:rPr>
      </w:pPr>
      <w:r w:rsidRPr="00383FC9">
        <w:rPr>
          <w:rFonts w:ascii="Arial" w:hAnsi="Arial" w:cs="Arial"/>
          <w:sz w:val="22"/>
          <w:szCs w:val="22"/>
        </w:rPr>
        <w:t>This chapter justifies the methodological choices underpinning this research using the Research Onion model (Melnikovas, 2018), which provides a layered framework moving systematically from broad philosophical commitments at the outer layers inward to specific data collection methods at the core. Melnikovas’ adaptation is particularly appropriate here because it makes the interdependencies between philosophy, approach, strategy, and method visible rather than treating them as independent choices. Figure 2 illustrates the six layers as applied to this research.</w:t>
      </w:r>
    </w:p>
    <w:p w14:paraId="6C874569" w14:textId="77777777" w:rsidR="00BB4BB4" w:rsidRPr="00585384" w:rsidRDefault="00000000" w:rsidP="00585384">
      <w:pPr>
        <w:spacing w:before="160" w:after="100"/>
        <w:rPr>
          <w:rFonts w:ascii="Arial" w:hAnsi="Arial" w:cs="Arial"/>
        </w:rPr>
      </w:pPr>
      <w:r w:rsidRPr="00585384">
        <w:rPr>
          <w:rFonts w:ascii="Arial" w:hAnsi="Arial" w:cs="Arial"/>
          <w:b/>
          <w:bCs/>
          <w:i/>
          <w:iCs/>
          <w:sz w:val="20"/>
          <w:szCs w:val="20"/>
        </w:rPr>
        <w:t>Figure 2: Research Onion applied to this study (adapted from Melnikovas, 2018)</w:t>
      </w:r>
    </w:p>
    <w:tbl>
      <w:tblPr>
        <w:tblW w:w="8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8000"/>
      </w:tblGrid>
      <w:tr w:rsidR="00BB4BB4" w:rsidRPr="00585384" w14:paraId="4819FB2F" w14:textId="77777777" w:rsidTr="00383FC9">
        <w:tc>
          <w:tcPr>
            <w:tcW w:w="0" w:type="auto"/>
            <w:tcBorders>
              <w:top w:val="single" w:sz="1" w:space="0" w:color="AAAAAA"/>
              <w:left w:val="single" w:sz="1" w:space="0" w:color="AAAAAA"/>
              <w:bottom w:val="single" w:sz="1" w:space="0" w:color="AAAAAA"/>
              <w:right w:val="single" w:sz="1" w:space="0" w:color="AAAAAA"/>
            </w:tcBorders>
            <w:shd w:val="clear" w:color="auto" w:fill="501549" w:themeFill="accent5" w:themeFillShade="80"/>
            <w:tcMar>
              <w:top w:w="80" w:type="dxa"/>
              <w:left w:w="120" w:type="dxa"/>
              <w:bottom w:w="80" w:type="dxa"/>
              <w:right w:w="120" w:type="dxa"/>
            </w:tcMar>
          </w:tcPr>
          <w:p w14:paraId="1C7ED0B9" w14:textId="13715AB1" w:rsidR="00BB4BB4" w:rsidRPr="00862F58" w:rsidRDefault="00000000" w:rsidP="00585384">
            <w:pPr>
              <w:rPr>
                <w:rFonts w:ascii="Arial" w:hAnsi="Arial" w:cs="Arial"/>
              </w:rPr>
            </w:pPr>
            <w:r w:rsidRPr="00862F58">
              <w:rPr>
                <w:rFonts w:ascii="Arial" w:hAnsi="Arial" w:cs="Arial"/>
                <w:b/>
                <w:bCs/>
                <w:sz w:val="20"/>
                <w:szCs w:val="20"/>
              </w:rPr>
              <w:t xml:space="preserve"> Philosophy: Interpretivism</w:t>
            </w:r>
          </w:p>
        </w:tc>
      </w:tr>
      <w:tr w:rsidR="00BB4BB4" w:rsidRPr="00585384" w14:paraId="75D9DF76" w14:textId="77777777" w:rsidTr="00383FC9">
        <w:tc>
          <w:tcPr>
            <w:tcW w:w="0" w:type="auto"/>
            <w:tcBorders>
              <w:top w:val="single" w:sz="1" w:space="0" w:color="AAAAAA"/>
              <w:left w:val="single" w:sz="1" w:space="0" w:color="AAAAAA"/>
              <w:bottom w:val="single" w:sz="1" w:space="0" w:color="AAAAAA"/>
              <w:right w:val="single" w:sz="1" w:space="0" w:color="AAAAAA"/>
            </w:tcBorders>
            <w:shd w:val="clear" w:color="auto" w:fill="77206D" w:themeFill="accent5" w:themeFillShade="BF"/>
            <w:tcMar>
              <w:top w:w="80" w:type="dxa"/>
              <w:left w:w="240" w:type="dxa"/>
              <w:bottom w:w="80" w:type="dxa"/>
              <w:right w:w="240" w:type="dxa"/>
            </w:tcMar>
          </w:tcPr>
          <w:p w14:paraId="27C619D6" w14:textId="515A147A" w:rsidR="00BB4BB4" w:rsidRPr="00862F58" w:rsidRDefault="00000000" w:rsidP="00585384">
            <w:pPr>
              <w:rPr>
                <w:rFonts w:ascii="Arial" w:hAnsi="Arial" w:cs="Arial"/>
                <w:color w:val="FFFFFF" w:themeColor="background1"/>
              </w:rPr>
            </w:pPr>
            <w:r w:rsidRPr="00862F58">
              <w:rPr>
                <w:rFonts w:ascii="Arial" w:hAnsi="Arial" w:cs="Arial"/>
                <w:b/>
                <w:bCs/>
                <w:color w:val="FFFFFF" w:themeColor="background1"/>
                <w:sz w:val="20"/>
                <w:szCs w:val="20"/>
              </w:rPr>
              <w:t xml:space="preserve"> Approach: Inductive</w:t>
            </w:r>
          </w:p>
        </w:tc>
      </w:tr>
      <w:tr w:rsidR="00BB4BB4" w:rsidRPr="00585384" w14:paraId="43052F30" w14:textId="77777777" w:rsidTr="00383FC9">
        <w:tc>
          <w:tcPr>
            <w:tcW w:w="0" w:type="auto"/>
            <w:tcBorders>
              <w:top w:val="single" w:sz="1" w:space="0" w:color="AAAAAA"/>
              <w:left w:val="single" w:sz="1" w:space="0" w:color="AAAAAA"/>
              <w:bottom w:val="single" w:sz="1" w:space="0" w:color="AAAAAA"/>
              <w:right w:val="single" w:sz="1" w:space="0" w:color="AAAAAA"/>
            </w:tcBorders>
            <w:shd w:val="clear" w:color="auto" w:fill="A02B93" w:themeFill="accent5"/>
            <w:tcMar>
              <w:top w:w="80" w:type="dxa"/>
              <w:left w:w="360" w:type="dxa"/>
              <w:bottom w:w="80" w:type="dxa"/>
              <w:right w:w="360" w:type="dxa"/>
            </w:tcMar>
          </w:tcPr>
          <w:p w14:paraId="425E9EF7" w14:textId="736D59D5" w:rsidR="00BB4BB4" w:rsidRPr="00862F58" w:rsidRDefault="00000000" w:rsidP="00585384">
            <w:pPr>
              <w:rPr>
                <w:rFonts w:ascii="Arial" w:hAnsi="Arial" w:cs="Arial"/>
                <w:color w:val="FFFFFF" w:themeColor="background1"/>
              </w:rPr>
            </w:pPr>
            <w:r w:rsidRPr="00862F58">
              <w:rPr>
                <w:rFonts w:ascii="Arial" w:hAnsi="Arial" w:cs="Arial"/>
                <w:b/>
                <w:bCs/>
                <w:color w:val="FFFFFF" w:themeColor="background1"/>
                <w:sz w:val="20"/>
                <w:szCs w:val="20"/>
              </w:rPr>
              <w:t xml:space="preserve"> Strategy: Secondary Qualitative Research</w:t>
            </w:r>
          </w:p>
        </w:tc>
      </w:tr>
      <w:tr w:rsidR="00BB4BB4" w:rsidRPr="005728F7" w14:paraId="70F6E23E" w14:textId="77777777" w:rsidTr="00383FC9">
        <w:tc>
          <w:tcPr>
            <w:tcW w:w="0" w:type="auto"/>
            <w:tcBorders>
              <w:top w:val="single" w:sz="1" w:space="0" w:color="AAAAAA"/>
              <w:left w:val="single" w:sz="1" w:space="0" w:color="AAAAAA"/>
              <w:bottom w:val="single" w:sz="1" w:space="0" w:color="AAAAAA"/>
              <w:right w:val="single" w:sz="1" w:space="0" w:color="AAAAAA"/>
            </w:tcBorders>
            <w:shd w:val="clear" w:color="auto" w:fill="D86DCB" w:themeFill="accent5" w:themeFillTint="99"/>
            <w:tcMar>
              <w:top w:w="80" w:type="dxa"/>
              <w:left w:w="480" w:type="dxa"/>
              <w:bottom w:w="80" w:type="dxa"/>
              <w:right w:w="480" w:type="dxa"/>
            </w:tcMar>
          </w:tcPr>
          <w:p w14:paraId="38F02CE3" w14:textId="1EAA1F97" w:rsidR="00BB4BB4" w:rsidRPr="00862F58" w:rsidRDefault="00000000" w:rsidP="00585384">
            <w:pPr>
              <w:rPr>
                <w:rFonts w:ascii="Arial" w:hAnsi="Arial" w:cs="Arial"/>
                <w:color w:val="FFFFFF" w:themeColor="background1"/>
                <w:lang w:val="fr-FR"/>
              </w:rPr>
            </w:pPr>
            <w:r w:rsidRPr="00862F58">
              <w:rPr>
                <w:rFonts w:ascii="Arial" w:hAnsi="Arial" w:cs="Arial"/>
                <w:b/>
                <w:bCs/>
                <w:color w:val="FFFFFF" w:themeColor="background1"/>
                <w:sz w:val="20"/>
                <w:szCs w:val="20"/>
                <w:lang w:val="fr-FR"/>
              </w:rPr>
              <w:t xml:space="preserve"> Methodological Choice: Qualitative (Multi-Source Documentary)</w:t>
            </w:r>
          </w:p>
        </w:tc>
      </w:tr>
      <w:tr w:rsidR="00BB4BB4" w:rsidRPr="00585384" w14:paraId="562B6286" w14:textId="77777777" w:rsidTr="00383FC9">
        <w:tc>
          <w:tcPr>
            <w:tcW w:w="0" w:type="auto"/>
            <w:tcBorders>
              <w:top w:val="single" w:sz="1" w:space="0" w:color="AAAAAA"/>
              <w:left w:val="single" w:sz="1" w:space="0" w:color="AAAAAA"/>
              <w:bottom w:val="single" w:sz="1" w:space="0" w:color="AAAAAA"/>
              <w:right w:val="single" w:sz="1" w:space="0" w:color="AAAAAA"/>
            </w:tcBorders>
            <w:shd w:val="clear" w:color="auto" w:fill="E59EDC" w:themeFill="accent5" w:themeFillTint="66"/>
            <w:tcMar>
              <w:top w:w="80" w:type="dxa"/>
              <w:left w:w="600" w:type="dxa"/>
              <w:bottom w:w="80" w:type="dxa"/>
              <w:right w:w="600" w:type="dxa"/>
            </w:tcMar>
          </w:tcPr>
          <w:p w14:paraId="4A52664D" w14:textId="1EC7FAAC" w:rsidR="00BB4BB4" w:rsidRPr="00862F58" w:rsidRDefault="00000000" w:rsidP="00585384">
            <w:pPr>
              <w:rPr>
                <w:rFonts w:ascii="Arial" w:hAnsi="Arial" w:cs="Arial"/>
                <w:color w:val="FFFFFF" w:themeColor="background1"/>
              </w:rPr>
            </w:pPr>
            <w:r w:rsidRPr="00862F58">
              <w:rPr>
                <w:rFonts w:ascii="Arial" w:hAnsi="Arial" w:cs="Arial"/>
                <w:b/>
                <w:bCs/>
                <w:color w:val="FFFFFF" w:themeColor="background1"/>
                <w:sz w:val="20"/>
                <w:szCs w:val="20"/>
                <w:lang w:val="fr-FR"/>
              </w:rPr>
              <w:t xml:space="preserve"> </w:t>
            </w:r>
            <w:r w:rsidRPr="00862F58">
              <w:rPr>
                <w:rFonts w:ascii="Arial" w:hAnsi="Arial" w:cs="Arial"/>
                <w:b/>
                <w:bCs/>
                <w:color w:val="FFFFFF" w:themeColor="background1"/>
                <w:sz w:val="20"/>
                <w:szCs w:val="20"/>
              </w:rPr>
              <w:t>Time Horizon: Cross-Sectional (2020–2025)</w:t>
            </w:r>
          </w:p>
        </w:tc>
      </w:tr>
      <w:tr w:rsidR="00BB4BB4" w:rsidRPr="00585384" w14:paraId="2B0B177E" w14:textId="77777777" w:rsidTr="00383FC9">
        <w:tc>
          <w:tcPr>
            <w:tcW w:w="0" w:type="auto"/>
            <w:tcBorders>
              <w:top w:val="single" w:sz="1" w:space="0" w:color="AAAAAA"/>
              <w:left w:val="single" w:sz="1" w:space="0" w:color="AAAAAA"/>
              <w:bottom w:val="single" w:sz="1" w:space="0" w:color="AAAAAA"/>
              <w:right w:val="single" w:sz="1" w:space="0" w:color="AAAAAA"/>
            </w:tcBorders>
            <w:shd w:val="clear" w:color="auto" w:fill="F2CEED" w:themeFill="accent5" w:themeFillTint="33"/>
            <w:tcMar>
              <w:top w:w="80" w:type="dxa"/>
              <w:left w:w="720" w:type="dxa"/>
              <w:bottom w:w="80" w:type="dxa"/>
              <w:right w:w="720" w:type="dxa"/>
            </w:tcMar>
          </w:tcPr>
          <w:p w14:paraId="596FA49E" w14:textId="602723FA" w:rsidR="00BB4BB4" w:rsidRPr="00862F58" w:rsidRDefault="00000000" w:rsidP="00585384">
            <w:pPr>
              <w:rPr>
                <w:rFonts w:ascii="Arial" w:hAnsi="Arial" w:cs="Arial"/>
                <w:color w:val="FFFFFF" w:themeColor="background1"/>
              </w:rPr>
            </w:pPr>
            <w:r w:rsidRPr="00862F58">
              <w:rPr>
                <w:rFonts w:ascii="Arial" w:hAnsi="Arial" w:cs="Arial"/>
                <w:b/>
                <w:bCs/>
                <w:color w:val="FFFFFF" w:themeColor="background1"/>
                <w:sz w:val="20"/>
                <w:szCs w:val="20"/>
              </w:rPr>
              <w:t xml:space="preserve"> Core: Thematic Analysis (Braun &amp; Clarke, 2006)</w:t>
            </w:r>
          </w:p>
        </w:tc>
      </w:tr>
    </w:tbl>
    <w:p w14:paraId="63910B4C" w14:textId="77777777" w:rsidR="00BB4BB4" w:rsidRPr="00383FC9" w:rsidRDefault="00000000" w:rsidP="00585384">
      <w:pPr>
        <w:spacing w:before="80" w:after="240"/>
        <w:rPr>
          <w:rFonts w:ascii="Arial" w:hAnsi="Arial" w:cs="Arial"/>
          <w:sz w:val="16"/>
          <w:szCs w:val="16"/>
        </w:rPr>
      </w:pPr>
      <w:r w:rsidRPr="00383FC9">
        <w:rPr>
          <w:rFonts w:ascii="Arial" w:hAnsi="Arial" w:cs="Arial"/>
          <w:b/>
          <w:bCs/>
          <w:sz w:val="16"/>
          <w:szCs w:val="16"/>
        </w:rPr>
        <w:t>Figure 2:</w:t>
      </w:r>
      <w:r w:rsidRPr="00383FC9">
        <w:rPr>
          <w:rFonts w:ascii="Arial" w:hAnsi="Arial" w:cs="Arial"/>
          <w:sz w:val="16"/>
          <w:szCs w:val="16"/>
        </w:rPr>
        <w:t xml:space="preserve"> Melnikovas (2018) Research Onion applied to this study</w:t>
      </w:r>
    </w:p>
    <w:p w14:paraId="4E6B4A3C" w14:textId="3EBA6217" w:rsidR="00BB4BB4" w:rsidRPr="00D47AAA" w:rsidRDefault="00000000" w:rsidP="00585384">
      <w:pPr>
        <w:pStyle w:val="Heading2"/>
        <w:rPr>
          <w:rFonts w:ascii="Arial" w:hAnsi="Arial" w:cs="Arial"/>
          <w:sz w:val="28"/>
          <w:szCs w:val="28"/>
        </w:rPr>
      </w:pPr>
      <w:r w:rsidRPr="00D47AAA">
        <w:rPr>
          <w:rFonts w:ascii="Arial" w:hAnsi="Arial" w:cs="Arial"/>
          <w:sz w:val="28"/>
          <w:szCs w:val="28"/>
        </w:rPr>
        <w:t>3.2 Research Philosophy: Interpretivism</w:t>
      </w:r>
    </w:p>
    <w:p w14:paraId="050BC1A8" w14:textId="37C41E07" w:rsidR="00BB4BB4" w:rsidRPr="00383FC9" w:rsidRDefault="00000000" w:rsidP="00585384">
      <w:pPr>
        <w:spacing w:after="200" w:line="360" w:lineRule="auto"/>
        <w:rPr>
          <w:rFonts w:ascii="Arial" w:hAnsi="Arial" w:cs="Arial"/>
          <w:sz w:val="22"/>
          <w:szCs w:val="22"/>
        </w:rPr>
      </w:pPr>
      <w:r w:rsidRPr="00383FC9">
        <w:rPr>
          <w:rFonts w:ascii="Arial" w:hAnsi="Arial" w:cs="Arial"/>
          <w:sz w:val="22"/>
          <w:szCs w:val="22"/>
        </w:rPr>
        <w:t xml:space="preserve">At the outermost layer, Melnikovas (2018) identifies research philosophy as the lens through which all subsequent methodological choices must be justified. This research adopts an interpretivist stance, recognising that organisational accounts of disruption and resilience are constructed narratives, shaped by stakeholder perspectives rather than objective realities. Companies’ published resilience strategies reflect commercial sensitivities, reputational pressures, and retrospective interpretation of complex events. Interpretivism treats this </w:t>
      </w:r>
      <w:proofErr w:type="spellStart"/>
      <w:r w:rsidRPr="00383FC9">
        <w:rPr>
          <w:rFonts w:ascii="Arial" w:hAnsi="Arial" w:cs="Arial"/>
          <w:sz w:val="22"/>
          <w:szCs w:val="22"/>
        </w:rPr>
        <w:t>constructedness</w:t>
      </w:r>
      <w:proofErr w:type="spellEnd"/>
      <w:r w:rsidRPr="00383FC9">
        <w:rPr>
          <w:rFonts w:ascii="Arial" w:hAnsi="Arial" w:cs="Arial"/>
          <w:sz w:val="22"/>
          <w:szCs w:val="22"/>
        </w:rPr>
        <w:t xml:space="preserve"> as analytically important rather than a bias to be eliminated. A positivist stance seeking generalisable causal laws through quantitative analysis is inappropriate here because the research concerns a historically unique configuration of disruptions where contextually rich understanding is required rather than statistical generalisation.</w:t>
      </w:r>
    </w:p>
    <w:p w14:paraId="2F11060D" w14:textId="1A8C17C0" w:rsidR="00BB4BB4" w:rsidRPr="00451D8F" w:rsidRDefault="00000000" w:rsidP="00585384">
      <w:pPr>
        <w:pStyle w:val="Heading2"/>
        <w:rPr>
          <w:rFonts w:ascii="Arial" w:hAnsi="Arial" w:cs="Arial"/>
          <w:sz w:val="28"/>
          <w:szCs w:val="28"/>
        </w:rPr>
      </w:pPr>
      <w:r w:rsidRPr="00451D8F">
        <w:rPr>
          <w:rFonts w:ascii="Arial" w:hAnsi="Arial" w:cs="Arial"/>
          <w:sz w:val="28"/>
          <w:szCs w:val="28"/>
        </w:rPr>
        <w:t>3.3 Research Approach: Inductive</w:t>
      </w:r>
    </w:p>
    <w:p w14:paraId="3B21E728" w14:textId="73092D4F" w:rsidR="00BB4BB4" w:rsidRPr="00D06328" w:rsidRDefault="00000000" w:rsidP="00585384">
      <w:pPr>
        <w:spacing w:after="200" w:line="360" w:lineRule="auto"/>
        <w:rPr>
          <w:rFonts w:ascii="Arial" w:hAnsi="Arial" w:cs="Arial"/>
          <w:sz w:val="22"/>
          <w:szCs w:val="22"/>
        </w:rPr>
      </w:pPr>
      <w:r w:rsidRPr="00D06328">
        <w:rPr>
          <w:rFonts w:ascii="Arial" w:hAnsi="Arial" w:cs="Arial"/>
          <w:sz w:val="22"/>
          <w:szCs w:val="22"/>
        </w:rPr>
        <w:t xml:space="preserve">The second layer concerns the relationship between theory and data. Melnikovas (2018) distinguishes inductive approaches which develop understanding from data patterns from </w:t>
      </w:r>
      <w:r w:rsidRPr="00D06328">
        <w:rPr>
          <w:rFonts w:ascii="Arial" w:hAnsi="Arial" w:cs="Arial"/>
          <w:sz w:val="22"/>
          <w:szCs w:val="22"/>
        </w:rPr>
        <w:lastRenderedPageBreak/>
        <w:t>deductive approaches that test predetermined hypotheses. This research adopts an inductive approach because the research questions concern what adaptation patterns have actually emerged in the sector, and because the complexity of compounding disruptions means predetermined coding frameworks risk distorting the evidence. Braun and Clarke (2006) argue that inductive thematic analysis is particularly suited to capturing the complexity that deductive testing may obscure.</w:t>
      </w:r>
    </w:p>
    <w:p w14:paraId="1EADB97B" w14:textId="25062F7C" w:rsidR="00BB4BB4" w:rsidRPr="00D47AAA" w:rsidRDefault="00000000" w:rsidP="00585384">
      <w:pPr>
        <w:pStyle w:val="Heading2"/>
        <w:rPr>
          <w:rFonts w:ascii="Arial" w:hAnsi="Arial" w:cs="Arial"/>
          <w:sz w:val="28"/>
          <w:szCs w:val="28"/>
        </w:rPr>
      </w:pPr>
      <w:r w:rsidRPr="00D47AAA">
        <w:rPr>
          <w:rFonts w:ascii="Arial" w:hAnsi="Arial" w:cs="Arial"/>
          <w:sz w:val="28"/>
          <w:szCs w:val="28"/>
        </w:rPr>
        <w:t>3.4 Research Strategy: Secondary Qualitative Analysis</w:t>
      </w:r>
    </w:p>
    <w:p w14:paraId="09B17642" w14:textId="77777777" w:rsidR="00BB4BB4" w:rsidRPr="00D06328" w:rsidRDefault="00000000" w:rsidP="00585384">
      <w:pPr>
        <w:spacing w:after="200" w:line="360" w:lineRule="auto"/>
        <w:rPr>
          <w:rFonts w:ascii="Arial" w:hAnsi="Arial" w:cs="Arial"/>
          <w:sz w:val="22"/>
          <w:szCs w:val="22"/>
        </w:rPr>
      </w:pPr>
      <w:r w:rsidRPr="00D06328">
        <w:rPr>
          <w:rFonts w:ascii="Arial" w:hAnsi="Arial" w:cs="Arial"/>
          <w:sz w:val="22"/>
          <w:szCs w:val="22"/>
        </w:rPr>
        <w:t>The third layer concerns the overall research strategy. Secondary qualitative research was selected because substantial documentary evidence documenting recent UK fresh produce sector disruptions and responses exists across multiple source types. This approach was essential given time and resource constraints and the need to capture sector-wide adaptation rather than single-firm experience. Synthesising across independent sources enables broader insights than single case studies whilst avoiding retrospective recall biases inherent in interviews conducted years after events.</w:t>
      </w:r>
    </w:p>
    <w:p w14:paraId="78127BE5" w14:textId="77777777" w:rsidR="00BB4BB4" w:rsidRPr="00862F58" w:rsidRDefault="00000000" w:rsidP="00585384">
      <w:pPr>
        <w:spacing w:after="200" w:line="360" w:lineRule="auto"/>
        <w:rPr>
          <w:rFonts w:ascii="Arial" w:hAnsi="Arial" w:cs="Arial"/>
          <w:b/>
          <w:bCs/>
          <w:sz w:val="22"/>
          <w:szCs w:val="22"/>
        </w:rPr>
      </w:pPr>
      <w:r w:rsidRPr="00862F58">
        <w:rPr>
          <w:rFonts w:ascii="Arial" w:hAnsi="Arial" w:cs="Arial"/>
          <w:b/>
          <w:bCs/>
          <w:sz w:val="22"/>
          <w:szCs w:val="22"/>
        </w:rPr>
        <w:t>Six document categories were analysed, each providing a distinct analytical perspective:</w:t>
      </w:r>
    </w:p>
    <w:p w14:paraId="7827E9B0" w14:textId="77777777" w:rsidR="00BB4BB4" w:rsidRPr="00D06328" w:rsidRDefault="00000000" w:rsidP="00D06328">
      <w:pPr>
        <w:pStyle w:val="ListParagraph"/>
        <w:numPr>
          <w:ilvl w:val="0"/>
          <w:numId w:val="4"/>
        </w:numPr>
        <w:spacing w:after="100"/>
        <w:rPr>
          <w:rFonts w:ascii="Arial" w:hAnsi="Arial" w:cs="Arial"/>
          <w:sz w:val="22"/>
          <w:szCs w:val="22"/>
        </w:rPr>
      </w:pPr>
      <w:r w:rsidRPr="00D06328">
        <w:rPr>
          <w:rFonts w:ascii="Arial" w:hAnsi="Arial" w:cs="Arial"/>
          <w:sz w:val="22"/>
          <w:szCs w:val="22"/>
        </w:rPr>
        <w:t>Industry association reports (Fresh Produce Consortium, British Retail Consortium, Food and Drink Federation)</w:t>
      </w:r>
    </w:p>
    <w:p w14:paraId="2E3CFB8D" w14:textId="77777777" w:rsidR="00BB4BB4" w:rsidRPr="00D06328" w:rsidRDefault="00000000" w:rsidP="00D06328">
      <w:pPr>
        <w:pStyle w:val="ListParagraph"/>
        <w:numPr>
          <w:ilvl w:val="0"/>
          <w:numId w:val="4"/>
        </w:numPr>
        <w:spacing w:after="100"/>
        <w:rPr>
          <w:rFonts w:ascii="Arial" w:hAnsi="Arial" w:cs="Arial"/>
          <w:sz w:val="22"/>
          <w:szCs w:val="22"/>
        </w:rPr>
      </w:pPr>
      <w:r w:rsidRPr="00D06328">
        <w:rPr>
          <w:rFonts w:ascii="Arial" w:hAnsi="Arial" w:cs="Arial"/>
          <w:sz w:val="22"/>
          <w:szCs w:val="22"/>
        </w:rPr>
        <w:t>Government documents: DEFRA reports, parliamentary inquiries, and select committee evidence</w:t>
      </w:r>
    </w:p>
    <w:p w14:paraId="748B1860" w14:textId="77777777" w:rsidR="00BB4BB4" w:rsidRPr="00D06328" w:rsidRDefault="00000000" w:rsidP="00D06328">
      <w:pPr>
        <w:pStyle w:val="ListParagraph"/>
        <w:numPr>
          <w:ilvl w:val="0"/>
          <w:numId w:val="4"/>
        </w:numPr>
        <w:spacing w:after="100"/>
        <w:rPr>
          <w:rFonts w:ascii="Arial" w:hAnsi="Arial" w:cs="Arial"/>
          <w:sz w:val="22"/>
          <w:szCs w:val="22"/>
        </w:rPr>
      </w:pPr>
      <w:r w:rsidRPr="00D06328">
        <w:rPr>
          <w:rFonts w:ascii="Arial" w:hAnsi="Arial" w:cs="Arial"/>
          <w:sz w:val="22"/>
          <w:szCs w:val="22"/>
        </w:rPr>
        <w:t>Trade press: The Grocer, Fresh Produce Journal, and Farmers Weekly</w:t>
      </w:r>
    </w:p>
    <w:p w14:paraId="17331802" w14:textId="77777777" w:rsidR="00BB4BB4" w:rsidRPr="00D06328" w:rsidRDefault="00000000" w:rsidP="00D06328">
      <w:pPr>
        <w:pStyle w:val="ListParagraph"/>
        <w:numPr>
          <w:ilvl w:val="0"/>
          <w:numId w:val="4"/>
        </w:numPr>
        <w:spacing w:after="100"/>
        <w:rPr>
          <w:rFonts w:ascii="Arial" w:hAnsi="Arial" w:cs="Arial"/>
          <w:sz w:val="22"/>
          <w:szCs w:val="22"/>
        </w:rPr>
      </w:pPr>
      <w:r w:rsidRPr="00D06328">
        <w:rPr>
          <w:rFonts w:ascii="Arial" w:hAnsi="Arial" w:cs="Arial"/>
          <w:sz w:val="22"/>
          <w:szCs w:val="22"/>
        </w:rPr>
        <w:t>Company annual reports and sustainability disclosures</w:t>
      </w:r>
    </w:p>
    <w:p w14:paraId="1E2CC564" w14:textId="77777777" w:rsidR="00BB4BB4" w:rsidRPr="00D06328" w:rsidRDefault="00000000" w:rsidP="00D06328">
      <w:pPr>
        <w:pStyle w:val="ListParagraph"/>
        <w:numPr>
          <w:ilvl w:val="0"/>
          <w:numId w:val="4"/>
        </w:numPr>
        <w:spacing w:after="100"/>
        <w:rPr>
          <w:rFonts w:ascii="Arial" w:hAnsi="Arial" w:cs="Arial"/>
          <w:sz w:val="22"/>
          <w:szCs w:val="22"/>
        </w:rPr>
      </w:pPr>
      <w:r w:rsidRPr="00D06328">
        <w:rPr>
          <w:rFonts w:ascii="Arial" w:hAnsi="Arial" w:cs="Arial"/>
          <w:sz w:val="22"/>
          <w:szCs w:val="22"/>
        </w:rPr>
        <w:t>Academic peer-reviewed research</w:t>
      </w:r>
    </w:p>
    <w:p w14:paraId="369D5DCD" w14:textId="77777777" w:rsidR="00BB4BB4" w:rsidRPr="00D06328" w:rsidRDefault="00000000" w:rsidP="00D06328">
      <w:pPr>
        <w:pStyle w:val="ListParagraph"/>
        <w:numPr>
          <w:ilvl w:val="0"/>
          <w:numId w:val="4"/>
        </w:numPr>
        <w:spacing w:after="160"/>
        <w:rPr>
          <w:rFonts w:ascii="Arial" w:hAnsi="Arial" w:cs="Arial"/>
          <w:sz w:val="22"/>
          <w:szCs w:val="22"/>
        </w:rPr>
      </w:pPr>
      <w:r w:rsidRPr="00D06328">
        <w:rPr>
          <w:rFonts w:ascii="Arial" w:hAnsi="Arial" w:cs="Arial"/>
          <w:sz w:val="22"/>
          <w:szCs w:val="22"/>
        </w:rPr>
        <w:t>Think tank reports: Food Foundation, Chatham House, and Sustain</w:t>
      </w:r>
    </w:p>
    <w:p w14:paraId="4E245E75" w14:textId="4148846C" w:rsidR="00BB4BB4" w:rsidRDefault="00000000" w:rsidP="00585384">
      <w:pPr>
        <w:spacing w:after="200" w:line="360" w:lineRule="auto"/>
        <w:rPr>
          <w:rFonts w:ascii="Arial" w:hAnsi="Arial" w:cs="Arial"/>
          <w:sz w:val="22"/>
          <w:szCs w:val="22"/>
        </w:rPr>
      </w:pPr>
      <w:r w:rsidRPr="00D06328">
        <w:rPr>
          <w:rFonts w:ascii="Arial" w:hAnsi="Arial" w:cs="Arial"/>
          <w:sz w:val="22"/>
          <w:szCs w:val="22"/>
        </w:rPr>
        <w:t xml:space="preserve">Inclusion criteria </w:t>
      </w:r>
      <w:r w:rsidR="00D06328" w:rsidRPr="00D06328">
        <w:rPr>
          <w:rFonts w:ascii="Arial" w:hAnsi="Arial" w:cs="Arial"/>
          <w:sz w:val="22"/>
          <w:szCs w:val="22"/>
        </w:rPr>
        <w:t>were: P</w:t>
      </w:r>
      <w:r w:rsidRPr="00D06328">
        <w:rPr>
          <w:rFonts w:ascii="Arial" w:hAnsi="Arial" w:cs="Arial"/>
          <w:sz w:val="22"/>
          <w:szCs w:val="22"/>
        </w:rPr>
        <w:t>ublished January 2020</w:t>
      </w:r>
      <w:r w:rsidR="00D06328">
        <w:rPr>
          <w:rFonts w:ascii="Arial" w:hAnsi="Arial" w:cs="Arial"/>
          <w:sz w:val="22"/>
          <w:szCs w:val="22"/>
        </w:rPr>
        <w:t>-</w:t>
      </w:r>
      <w:r w:rsidRPr="00D06328">
        <w:rPr>
          <w:rFonts w:ascii="Arial" w:hAnsi="Arial" w:cs="Arial"/>
          <w:sz w:val="22"/>
          <w:szCs w:val="22"/>
        </w:rPr>
        <w:t>December 2025; substantive UK fresh produce focus; analytical discussion of supply chain disruptions, resilience strategies, or outcomes; publicly available; and English language. Exclusion criteria eliminated pre-2020 publications, generic food supply chain content, promotional materials, items under 300 words, and opinion pieces without evidential basis. Where document relevance was uncertain, inclusion was determined through review against the research questions and discussion with the supervising academic. The target of 50</w:t>
      </w:r>
      <w:r w:rsidR="00D06328">
        <w:rPr>
          <w:rFonts w:ascii="Arial" w:hAnsi="Arial" w:cs="Arial"/>
          <w:sz w:val="22"/>
          <w:szCs w:val="22"/>
        </w:rPr>
        <w:t>-</w:t>
      </w:r>
      <w:r w:rsidRPr="00D06328">
        <w:rPr>
          <w:rFonts w:ascii="Arial" w:hAnsi="Arial" w:cs="Arial"/>
          <w:sz w:val="22"/>
          <w:szCs w:val="22"/>
        </w:rPr>
        <w:t>60 documents was determined by thematic saturation. A full document summary is provided in Appendix A.</w:t>
      </w:r>
    </w:p>
    <w:p w14:paraId="29ABB635" w14:textId="77777777" w:rsidR="00205832" w:rsidRDefault="00205832" w:rsidP="00585384">
      <w:pPr>
        <w:spacing w:after="200" w:line="360" w:lineRule="auto"/>
        <w:rPr>
          <w:rFonts w:ascii="Arial" w:hAnsi="Arial" w:cs="Arial"/>
          <w:sz w:val="22"/>
          <w:szCs w:val="22"/>
        </w:rPr>
      </w:pPr>
    </w:p>
    <w:p w14:paraId="49B76B87" w14:textId="77777777" w:rsidR="00205832" w:rsidRPr="00D06328" w:rsidRDefault="00205832" w:rsidP="00585384">
      <w:pPr>
        <w:spacing w:after="200" w:line="360" w:lineRule="auto"/>
        <w:rPr>
          <w:rFonts w:ascii="Arial" w:hAnsi="Arial" w:cs="Arial"/>
          <w:sz w:val="22"/>
          <w:szCs w:val="22"/>
        </w:rPr>
      </w:pPr>
    </w:p>
    <w:p w14:paraId="6448984D" w14:textId="6FEC75BF" w:rsidR="00BB4BB4" w:rsidRPr="00D47AAA" w:rsidRDefault="00000000" w:rsidP="00585384">
      <w:pPr>
        <w:pStyle w:val="Heading2"/>
        <w:rPr>
          <w:rFonts w:ascii="Arial" w:hAnsi="Arial" w:cs="Arial"/>
          <w:sz w:val="28"/>
          <w:szCs w:val="28"/>
        </w:rPr>
      </w:pPr>
      <w:r w:rsidRPr="00D47AAA">
        <w:rPr>
          <w:rFonts w:ascii="Arial" w:hAnsi="Arial" w:cs="Arial"/>
          <w:sz w:val="28"/>
          <w:szCs w:val="28"/>
        </w:rPr>
        <w:lastRenderedPageBreak/>
        <w:t>3.5 Methodological Choice: Qualitative Multi-Source</w:t>
      </w:r>
    </w:p>
    <w:p w14:paraId="5007AE18" w14:textId="77777777" w:rsidR="00BB4BB4" w:rsidRPr="00D06328" w:rsidRDefault="00000000" w:rsidP="00585384">
      <w:pPr>
        <w:spacing w:after="200" w:line="360" w:lineRule="auto"/>
        <w:rPr>
          <w:rFonts w:ascii="Arial" w:hAnsi="Arial" w:cs="Arial"/>
          <w:sz w:val="22"/>
          <w:szCs w:val="22"/>
        </w:rPr>
      </w:pPr>
      <w:r w:rsidRPr="00D06328">
        <w:rPr>
          <w:rFonts w:ascii="Arial" w:hAnsi="Arial" w:cs="Arial"/>
          <w:sz w:val="22"/>
          <w:szCs w:val="22"/>
        </w:rPr>
        <w:t>The fourth layer specifies the methodological choice. A qualitative, multi-source approach was selected to enable depth, contextual richness, and identification of contradictions across source types. Triangulation across independent sources serves as the primary validity mechanism: findings supported by multiple document types carry greater evidential weight. Document quality was assessed using four criteria adapted for secondary research: Authenticity, Credibility, Representativeness, and Meaning (Lincoln and Guba, 1985), applied as graded analytical weight indicators rather than binary filters.</w:t>
      </w:r>
    </w:p>
    <w:p w14:paraId="51AEACAE" w14:textId="66449330" w:rsidR="00BB4BB4" w:rsidRPr="00FF2E55" w:rsidRDefault="00000000" w:rsidP="00585384">
      <w:pPr>
        <w:pStyle w:val="Heading2"/>
        <w:rPr>
          <w:rFonts w:ascii="Arial" w:hAnsi="Arial" w:cs="Arial"/>
          <w:sz w:val="28"/>
          <w:szCs w:val="28"/>
        </w:rPr>
      </w:pPr>
      <w:r w:rsidRPr="00FF2E55">
        <w:rPr>
          <w:rFonts w:ascii="Arial" w:hAnsi="Arial" w:cs="Arial"/>
          <w:sz w:val="28"/>
          <w:szCs w:val="28"/>
        </w:rPr>
        <w:t>3.6 Time Horizon: Cross-Sectional</w:t>
      </w:r>
    </w:p>
    <w:p w14:paraId="35236082" w14:textId="77777777" w:rsidR="00BB4BB4" w:rsidRPr="00D06328" w:rsidRDefault="00000000" w:rsidP="00585384">
      <w:pPr>
        <w:spacing w:after="200" w:line="360" w:lineRule="auto"/>
        <w:rPr>
          <w:rFonts w:ascii="Arial" w:hAnsi="Arial" w:cs="Arial"/>
          <w:sz w:val="22"/>
          <w:szCs w:val="22"/>
        </w:rPr>
      </w:pPr>
      <w:r w:rsidRPr="00D06328">
        <w:rPr>
          <w:rFonts w:ascii="Arial" w:hAnsi="Arial" w:cs="Arial"/>
          <w:sz w:val="22"/>
          <w:szCs w:val="22"/>
        </w:rPr>
        <w:t>The fifth layer concerns the time horizon. This research adopts a cross-sectional design, analysing documentary evidence from January 2020–December 2025 to capture adaptation patterns across the full cycle of compounding disruptions. A longitudinal design would have provided richer evolution tracking but was not feasible within this dissertation’s scope. The January 2020 threshold ensures capture of the entire compounding disruption cycle, beginning with Brexit and the onset of the pandemic.</w:t>
      </w:r>
    </w:p>
    <w:p w14:paraId="293A3824" w14:textId="6FE52A7D" w:rsidR="00BB4BB4" w:rsidRPr="00FF2E55" w:rsidRDefault="00000000" w:rsidP="00585384">
      <w:pPr>
        <w:pStyle w:val="Heading2"/>
        <w:rPr>
          <w:rFonts w:ascii="Arial" w:hAnsi="Arial" w:cs="Arial"/>
          <w:sz w:val="28"/>
          <w:szCs w:val="28"/>
        </w:rPr>
      </w:pPr>
      <w:r w:rsidRPr="00FF2E55">
        <w:rPr>
          <w:rFonts w:ascii="Arial" w:hAnsi="Arial" w:cs="Arial"/>
          <w:sz w:val="28"/>
          <w:szCs w:val="28"/>
        </w:rPr>
        <w:t>3.7 Data Collection and Analysis: Thematic Analysis</w:t>
      </w:r>
    </w:p>
    <w:p w14:paraId="3988798C" w14:textId="09B9C01A" w:rsidR="00BB4BB4" w:rsidRPr="00D06328" w:rsidRDefault="00000000" w:rsidP="00585384">
      <w:pPr>
        <w:spacing w:after="200" w:line="360" w:lineRule="auto"/>
        <w:rPr>
          <w:rFonts w:ascii="Arial" w:hAnsi="Arial" w:cs="Arial"/>
          <w:sz w:val="22"/>
          <w:szCs w:val="22"/>
        </w:rPr>
      </w:pPr>
      <w:r w:rsidRPr="00D06328">
        <w:rPr>
          <w:rFonts w:ascii="Arial" w:hAnsi="Arial" w:cs="Arial"/>
          <w:sz w:val="22"/>
          <w:szCs w:val="22"/>
        </w:rPr>
        <w:t>At the core of the onion, Melnikovas (2018) positions the specific data collection and analysis methods. Thematic analysis employed Braun and Clarke’s (2006) six-phase process: familiarisation, initial coding, theme development through concept mapping, theme review against the full corpus, theme definition, and report production. Inductive codes were supplemented by theoretically sensitising codes from the literature review including inventory redundancy, process redundancy, relationship redundancy, collaboration, and bounce-forward. A sample coding excerpt is provided in Appendix C. Researcher bias was managed through adversarial reading and a reflexive journal, ensuring emerging patterns were critically examined for potential bias and enhancing trustworthiness of findings. Deliberate SME-focused supplementary searches offset structural coverage bias toward larger organisations.</w:t>
      </w:r>
    </w:p>
    <w:p w14:paraId="43ABB9BD" w14:textId="77777777" w:rsidR="00BB4BB4" w:rsidRPr="00D06328" w:rsidRDefault="00000000" w:rsidP="00585384">
      <w:pPr>
        <w:spacing w:after="200" w:line="360" w:lineRule="auto"/>
        <w:rPr>
          <w:rFonts w:ascii="Arial" w:hAnsi="Arial" w:cs="Arial"/>
          <w:sz w:val="22"/>
          <w:szCs w:val="22"/>
        </w:rPr>
      </w:pPr>
      <w:r w:rsidRPr="00D06328">
        <w:rPr>
          <w:rFonts w:ascii="Arial" w:hAnsi="Arial" w:cs="Arial"/>
          <w:sz w:val="22"/>
          <w:szCs w:val="22"/>
        </w:rPr>
        <w:t xml:space="preserve">Ethical considerations were addressed throughout. As this research relies exclusively on publicly available secondary documents, no primary data collection involving human participants was undertaken and therefore no issues of informed consent, participant anonymity, or confidentiality of personal data arise. Where company disclosures were used, organisations are identified by name only where they have made information publicly available; no internal or confidential documents were accessed. One company annual report is anonymised where the organisation did not publicly identify itself in the relevant </w:t>
      </w:r>
      <w:r w:rsidRPr="00D06328">
        <w:rPr>
          <w:rFonts w:ascii="Arial" w:hAnsi="Arial" w:cs="Arial"/>
          <w:sz w:val="22"/>
          <w:szCs w:val="22"/>
        </w:rPr>
        <w:lastRenderedPageBreak/>
        <w:t>disclosure. All sources are attributed in full following Harvard referencing conventions, and documentary extracts comply with fair dealing provisions under UK copyright law. University ethics approval confirms the design meets institutional standards for secondary research using publicly available documents.</w:t>
      </w:r>
    </w:p>
    <w:p w14:paraId="2E01653F" w14:textId="77777777" w:rsidR="00BB4BB4" w:rsidRPr="00292B71" w:rsidRDefault="00000000" w:rsidP="00585384">
      <w:pPr>
        <w:spacing w:after="200" w:line="360" w:lineRule="auto"/>
        <w:rPr>
          <w:rFonts w:ascii="Arial" w:hAnsi="Arial" w:cs="Arial"/>
          <w:sz w:val="20"/>
          <w:szCs w:val="20"/>
        </w:rPr>
      </w:pPr>
      <w:r w:rsidRPr="00292B71">
        <w:rPr>
          <w:rFonts w:ascii="Arial" w:hAnsi="Arial" w:cs="Arial"/>
          <w:sz w:val="20"/>
          <w:szCs w:val="20"/>
        </w:rPr>
        <w:t>Chapter 4 applies this framework and methodological approach to analyse the adaptation strategies and documented experiences of UK fresh produce supply chain actors.</w:t>
      </w:r>
    </w:p>
    <w:p w14:paraId="422648E8" w14:textId="07E4ADF4" w:rsidR="00BB4BB4" w:rsidRPr="006554B9" w:rsidRDefault="00000000" w:rsidP="006554B9">
      <w:pPr>
        <w:pageBreakBefore/>
        <w:rPr>
          <w:rFonts w:ascii="Arial" w:hAnsi="Arial" w:cs="Arial"/>
          <w:b/>
          <w:bCs/>
        </w:rPr>
      </w:pPr>
      <w:r w:rsidRPr="006554B9">
        <w:rPr>
          <w:rFonts w:ascii="Arial" w:hAnsi="Arial" w:cs="Arial"/>
          <w:b/>
          <w:bCs/>
          <w:sz w:val="32"/>
          <w:szCs w:val="32"/>
        </w:rPr>
        <w:lastRenderedPageBreak/>
        <w:t>Chapter 4: Results and Discussion</w:t>
      </w:r>
    </w:p>
    <w:p w14:paraId="51C7CD3D" w14:textId="77777777" w:rsidR="00BB4BB4" w:rsidRPr="00FF2E55" w:rsidRDefault="00000000" w:rsidP="00585384">
      <w:pPr>
        <w:pStyle w:val="Heading2"/>
        <w:rPr>
          <w:rFonts w:ascii="Arial" w:hAnsi="Arial" w:cs="Arial"/>
          <w:sz w:val="28"/>
          <w:szCs w:val="28"/>
        </w:rPr>
      </w:pPr>
      <w:r w:rsidRPr="00FF2E55">
        <w:rPr>
          <w:rFonts w:ascii="Arial" w:hAnsi="Arial" w:cs="Arial"/>
          <w:sz w:val="28"/>
          <w:szCs w:val="28"/>
        </w:rPr>
        <w:t>4.1 Introduction</w:t>
      </w:r>
    </w:p>
    <w:p w14:paraId="791978A5" w14:textId="77777777" w:rsidR="00BB4BB4" w:rsidRPr="00D06328" w:rsidRDefault="00000000" w:rsidP="00585384">
      <w:pPr>
        <w:spacing w:after="200" w:line="360" w:lineRule="auto"/>
        <w:rPr>
          <w:rFonts w:ascii="Arial" w:hAnsi="Arial" w:cs="Arial"/>
          <w:sz w:val="22"/>
          <w:szCs w:val="22"/>
        </w:rPr>
      </w:pPr>
      <w:r w:rsidRPr="00D06328">
        <w:rPr>
          <w:rFonts w:ascii="Arial" w:hAnsi="Arial" w:cs="Arial"/>
          <w:sz w:val="22"/>
          <w:szCs w:val="22"/>
        </w:rPr>
        <w:t>This chapter presents and critically discusses findings from systematic secondary analysis of over 50 documents relating to supply chain resilience in the UK fresh produce sector. Thematic synthesis addresses each of the three research questions, integrating evidence from industry reports (Fresh Produce Consortium, British Retail Consortium), government publications (DEFRA reports, parliamentary inquiries), trade press articles (The Grocer, Fresh Produce Journal, Farmers Weekly), company disclosures (annual reports, sustainability reports), and academic case studies. Findings are discussed in immediate relation to theoretical frameworks and practical implications, with contradictions and variations across source types explicitly highlighted and analysed rather than suppressed for narrative convenience. This integrated results and discussion structure enables critical evaluation of patterns as they emerge from documentary evidence whilst maintaining clear connection to the three overarching research questions that guide this investigation.</w:t>
      </w:r>
    </w:p>
    <w:p w14:paraId="613649D3" w14:textId="77777777" w:rsidR="00BB4BB4" w:rsidRPr="00FF2E55" w:rsidRDefault="00000000" w:rsidP="00585384">
      <w:pPr>
        <w:pStyle w:val="Heading2"/>
        <w:rPr>
          <w:rFonts w:ascii="Arial" w:hAnsi="Arial" w:cs="Arial"/>
          <w:sz w:val="28"/>
          <w:szCs w:val="28"/>
        </w:rPr>
      </w:pPr>
      <w:r w:rsidRPr="00FF2E55">
        <w:rPr>
          <w:rFonts w:ascii="Arial" w:hAnsi="Arial" w:cs="Arial"/>
          <w:sz w:val="28"/>
          <w:szCs w:val="28"/>
        </w:rPr>
        <w:t>4.2 Documented Disruptions and Strategic Responses (RQ1)</w:t>
      </w:r>
    </w:p>
    <w:p w14:paraId="7ABB1577" w14:textId="77777777" w:rsidR="00BB4BB4" w:rsidRPr="00D06328" w:rsidRDefault="00000000" w:rsidP="00585384">
      <w:pPr>
        <w:spacing w:after="200" w:line="360" w:lineRule="auto"/>
        <w:rPr>
          <w:rFonts w:ascii="Arial" w:hAnsi="Arial" w:cs="Arial"/>
          <w:sz w:val="22"/>
          <w:szCs w:val="22"/>
        </w:rPr>
      </w:pPr>
      <w:r w:rsidRPr="00D06328">
        <w:rPr>
          <w:rFonts w:ascii="Arial" w:hAnsi="Arial" w:cs="Arial"/>
          <w:sz w:val="22"/>
          <w:szCs w:val="22"/>
        </w:rPr>
        <w:t>This section addresses Research Question 1 by examining both the key disruptions documented across sources and the strategic responses adopted by UK fresh produce companies. The analysis integrates disruption assessment with strategy identification to provide comprehensive understanding of sectoral adaptation patterns.</w:t>
      </w:r>
    </w:p>
    <w:p w14:paraId="7633730F" w14:textId="77777777" w:rsidR="00BB4BB4" w:rsidRPr="00FF2E55" w:rsidRDefault="00000000" w:rsidP="00585384">
      <w:pPr>
        <w:pStyle w:val="Heading3"/>
        <w:rPr>
          <w:rFonts w:ascii="Arial" w:hAnsi="Arial" w:cs="Arial"/>
          <w:i w:val="0"/>
          <w:iCs w:val="0"/>
          <w:sz w:val="28"/>
          <w:szCs w:val="28"/>
        </w:rPr>
      </w:pPr>
      <w:r w:rsidRPr="00FF2E55">
        <w:rPr>
          <w:rFonts w:ascii="Arial" w:hAnsi="Arial" w:cs="Arial"/>
          <w:i w:val="0"/>
          <w:iCs w:val="0"/>
          <w:sz w:val="28"/>
          <w:szCs w:val="28"/>
        </w:rPr>
        <w:t>4.2.1 Brexit and Persistent Trade Friction</w:t>
      </w:r>
    </w:p>
    <w:p w14:paraId="2ED1F7F8" w14:textId="2955A7BA" w:rsidR="00BB4BB4" w:rsidRPr="00D06328" w:rsidRDefault="00000000" w:rsidP="00585384">
      <w:pPr>
        <w:spacing w:after="200" w:line="360" w:lineRule="auto"/>
        <w:rPr>
          <w:rFonts w:ascii="Arial" w:hAnsi="Arial" w:cs="Arial"/>
          <w:sz w:val="22"/>
          <w:szCs w:val="22"/>
        </w:rPr>
      </w:pPr>
      <w:r w:rsidRPr="00D06328">
        <w:rPr>
          <w:rFonts w:ascii="Arial" w:hAnsi="Arial" w:cs="Arial"/>
          <w:sz w:val="22"/>
          <w:szCs w:val="22"/>
        </w:rPr>
        <w:t>Analysis of industry and government documents reveals three major disruptions most frequently documented as affecting the UK fresh produce sector post-2020, each creating distinct vulnerability patterns. Brexit introduced new customs checks, phytosanitary certifications, and border inspections creating persistent supply chain friction. The Fresh Produce Consortium (2023) member survey reported that 78% of respondents experienced ongoing operational challenges due to Brexit-related delays, with average import transit times increasing by 12–24 hours. This figure is significant because it suggests Brexit-related friction is not an isolated experience affecting a minority of operators but a near-universal sectoral condition one that cannot be resolved through the adaptations of individual firms alone. Trade press and company annual reports documented increased spoilage rates and logistics costs, with The Grocer (2023) reporting that Brexit-related border delays continue to undermine the freshness and shelf-life of imported produce.</w:t>
      </w:r>
    </w:p>
    <w:p w14:paraId="48229FC3" w14:textId="77777777" w:rsidR="00BB4BB4" w:rsidRPr="00D06328" w:rsidRDefault="00000000" w:rsidP="00585384">
      <w:pPr>
        <w:spacing w:after="200" w:line="360" w:lineRule="auto"/>
        <w:rPr>
          <w:rFonts w:ascii="Arial" w:hAnsi="Arial" w:cs="Arial"/>
          <w:sz w:val="22"/>
          <w:szCs w:val="22"/>
        </w:rPr>
      </w:pPr>
      <w:r w:rsidRPr="00D06328">
        <w:rPr>
          <w:rFonts w:ascii="Arial" w:hAnsi="Arial" w:cs="Arial"/>
          <w:sz w:val="22"/>
          <w:szCs w:val="22"/>
        </w:rPr>
        <w:lastRenderedPageBreak/>
        <w:t>These chronic delays proved especially problematic for SMEs lacking resources to absorb additional compliance costs or invest in alternative supply arrangements. The Grocer (2023) analysis revealed that small businesses lack the resources to develop dedicated customs teams or alternative sourcing arrangements, making them disproportionately vulnerable to border friction. This size-differentiated impact pattern suggests Brexit created a stratifying effect, widening gaps between large corporations with resources to adapt and smaller operators struggling with new compliance requirements.</w:t>
      </w:r>
    </w:p>
    <w:p w14:paraId="7357DE4B" w14:textId="77777777" w:rsidR="00BB4BB4" w:rsidRPr="00FF2E55" w:rsidRDefault="00000000" w:rsidP="00585384">
      <w:pPr>
        <w:pStyle w:val="Heading3"/>
        <w:rPr>
          <w:rFonts w:ascii="Arial" w:hAnsi="Arial" w:cs="Arial"/>
          <w:i w:val="0"/>
          <w:iCs w:val="0"/>
          <w:sz w:val="28"/>
          <w:szCs w:val="28"/>
        </w:rPr>
      </w:pPr>
      <w:r w:rsidRPr="00FF2E55">
        <w:rPr>
          <w:rFonts w:ascii="Arial" w:hAnsi="Arial" w:cs="Arial"/>
          <w:i w:val="0"/>
          <w:iCs w:val="0"/>
          <w:sz w:val="28"/>
          <w:szCs w:val="28"/>
        </w:rPr>
        <w:t>4.2.2 COVID-19 Pandemic and System Inflexibility</w:t>
      </w:r>
    </w:p>
    <w:p w14:paraId="0CF7D704" w14:textId="77777777" w:rsidR="00BB4BB4" w:rsidRPr="0041688E" w:rsidRDefault="00000000" w:rsidP="00585384">
      <w:pPr>
        <w:spacing w:after="200" w:line="360" w:lineRule="auto"/>
        <w:rPr>
          <w:rFonts w:ascii="Arial" w:hAnsi="Arial" w:cs="Arial"/>
          <w:sz w:val="22"/>
          <w:szCs w:val="22"/>
        </w:rPr>
      </w:pPr>
      <w:r w:rsidRPr="0041688E">
        <w:rPr>
          <w:rFonts w:ascii="Arial" w:hAnsi="Arial" w:cs="Arial"/>
          <w:sz w:val="22"/>
          <w:szCs w:val="22"/>
        </w:rPr>
        <w:t>The pandemic brought simultaneous demand and supply shocks exposing supply chain inflexibility. Food Foundation (2023) documented demand surges of up to 400% that overwhelmed retail supply chains in the first weeks of lockdown, whilst Hobbs (2021) observed that supply chains optimised for foodservice proved unable to redirect flows quickly to retail channels. DEFRA reports highlighted panic buying, demand pattern shifts, labour shortages across harvest operations and processing facilities, and logistics capacity constraints as air freight collapsed and border measures affected port operations.</w:t>
      </w:r>
    </w:p>
    <w:p w14:paraId="1B0059FF" w14:textId="77777777" w:rsidR="00BB4BB4" w:rsidRPr="0041688E" w:rsidRDefault="00000000" w:rsidP="00585384">
      <w:pPr>
        <w:spacing w:after="200" w:line="360" w:lineRule="auto"/>
        <w:rPr>
          <w:rFonts w:ascii="Arial" w:hAnsi="Arial" w:cs="Arial"/>
          <w:sz w:val="22"/>
          <w:szCs w:val="22"/>
        </w:rPr>
      </w:pPr>
      <w:r w:rsidRPr="0041688E">
        <w:rPr>
          <w:rFonts w:ascii="Arial" w:hAnsi="Arial" w:cs="Arial"/>
          <w:sz w:val="22"/>
          <w:szCs w:val="22"/>
        </w:rPr>
        <w:t>This inflexibility revealed a fundamental weakness in systems presumed flexible: channel optimisation created path dependencies difficult to reconfigure rapidly when circumstances demanded. The practical significance is that the theoretical flexibility presumed as a core supply chain resilience capability (Christopher and Peck, 2004) proved more constrained in practice than theory suggested. Companies with pre-existing multi-channel capabilities adapted more successfully, suggesting flexibility requires proactive investment rather than representing an inherent organisational attribute activated during crisis.</w:t>
      </w:r>
    </w:p>
    <w:p w14:paraId="77893F2F" w14:textId="77777777" w:rsidR="00BB4BB4" w:rsidRPr="00FF2E55" w:rsidRDefault="00000000" w:rsidP="00585384">
      <w:pPr>
        <w:pStyle w:val="Heading3"/>
        <w:rPr>
          <w:rFonts w:ascii="Arial" w:hAnsi="Arial" w:cs="Arial"/>
          <w:i w:val="0"/>
          <w:iCs w:val="0"/>
          <w:sz w:val="28"/>
          <w:szCs w:val="28"/>
        </w:rPr>
      </w:pPr>
      <w:r w:rsidRPr="00FF2E55">
        <w:rPr>
          <w:rFonts w:ascii="Arial" w:hAnsi="Arial" w:cs="Arial"/>
          <w:i w:val="0"/>
          <w:iCs w:val="0"/>
          <w:sz w:val="28"/>
          <w:szCs w:val="28"/>
        </w:rPr>
        <w:t>4.2.3 Energy Crisis and Weather Convergence</w:t>
      </w:r>
    </w:p>
    <w:p w14:paraId="6749ED13" w14:textId="2A1EE31A" w:rsidR="00BB4BB4" w:rsidRPr="0041688E" w:rsidRDefault="00000000" w:rsidP="00585384">
      <w:pPr>
        <w:spacing w:after="200" w:line="360" w:lineRule="auto"/>
        <w:rPr>
          <w:rFonts w:ascii="Arial" w:hAnsi="Arial" w:cs="Arial"/>
          <w:sz w:val="22"/>
          <w:szCs w:val="22"/>
        </w:rPr>
      </w:pPr>
      <w:r w:rsidRPr="0041688E">
        <w:rPr>
          <w:rFonts w:ascii="Arial" w:hAnsi="Arial" w:cs="Arial"/>
          <w:sz w:val="22"/>
          <w:szCs w:val="22"/>
        </w:rPr>
        <w:t>The 2022–2023 episode demonstrated cascading, compounding supply chain disruption effects. Adverse weather in Spain and Morocco damaged crops whilst energy price spikes made UK greenhouse production uneconomical, and Brexit factors simultaneously made UK buyers less attractive to constrained continental suppliers. Countryfile (2023) reported that energy costs rendered winter greenhouse production economically unviable for many UK growers. Food Foundation (2023) documented the unprecedented decision of APS Group to leave 8% of glasshouses empty in 2023 for the first time in its history, representing approximately 33% reduction in UK tomato production capacity during critical winter months. The APS Group case is particularly significant because it demonstrates that domestic production the most frequently cited resilience alternative to import dependency is itself vulnerable to structural cost conditions that no individual firm strategy can address.</w:t>
      </w:r>
    </w:p>
    <w:p w14:paraId="1A18ED9D" w14:textId="26A99F5C" w:rsidR="00BB4BB4" w:rsidRPr="0041688E" w:rsidRDefault="00000000" w:rsidP="00585384">
      <w:pPr>
        <w:spacing w:after="200" w:line="360" w:lineRule="auto"/>
        <w:rPr>
          <w:rFonts w:ascii="Arial" w:hAnsi="Arial" w:cs="Arial"/>
          <w:sz w:val="22"/>
          <w:szCs w:val="22"/>
        </w:rPr>
      </w:pPr>
      <w:r w:rsidRPr="0041688E">
        <w:rPr>
          <w:rFonts w:ascii="Arial" w:hAnsi="Arial" w:cs="Arial"/>
          <w:sz w:val="22"/>
          <w:szCs w:val="22"/>
        </w:rPr>
        <w:lastRenderedPageBreak/>
        <w:t xml:space="preserve">The critical insight is that neither import dependency nor domestic production alone guaranteed supply chain resilience both failed simultaneously for different reasons. This challenges binary localisation-versus-globalisation debates, suggesting that portfolio approaches balancing both strategies whilst acknowledging the inherent limitations of each may prove more realistic than pursuing </w:t>
      </w:r>
      <w:r w:rsidR="0041688E" w:rsidRPr="0041688E">
        <w:rPr>
          <w:rFonts w:ascii="Arial" w:hAnsi="Arial" w:cs="Arial"/>
          <w:sz w:val="22"/>
          <w:szCs w:val="22"/>
        </w:rPr>
        <w:t>exclusively</w:t>
      </w:r>
      <w:r w:rsidRPr="0041688E">
        <w:rPr>
          <w:rFonts w:ascii="Arial" w:hAnsi="Arial" w:cs="Arial"/>
          <w:sz w:val="22"/>
          <w:szCs w:val="22"/>
        </w:rPr>
        <w:t>. The episode also revealed policy inconsistency: whilst energy-intensive manufacturing industries received substantial support, horticulture was notably excluded from energy bill support schemes (Food Foundation, 2023), demonstrating how policy gaps can undermine sectoral supply chain resilience regardless of companies’ own adaptation efforts.</w:t>
      </w:r>
    </w:p>
    <w:p w14:paraId="49604F3D" w14:textId="77777777" w:rsidR="00BB4BB4" w:rsidRPr="00FF2E55" w:rsidRDefault="00000000" w:rsidP="00585384">
      <w:pPr>
        <w:pStyle w:val="Heading3"/>
        <w:rPr>
          <w:rFonts w:ascii="Arial" w:hAnsi="Arial" w:cs="Arial"/>
          <w:i w:val="0"/>
          <w:iCs w:val="0"/>
          <w:sz w:val="28"/>
          <w:szCs w:val="28"/>
        </w:rPr>
      </w:pPr>
      <w:r w:rsidRPr="00FF2E55">
        <w:rPr>
          <w:rFonts w:ascii="Arial" w:hAnsi="Arial" w:cs="Arial"/>
          <w:i w:val="0"/>
          <w:iCs w:val="0"/>
          <w:sz w:val="28"/>
          <w:szCs w:val="28"/>
        </w:rPr>
        <w:t>4.2.4 Critical Discussion of Disruption Impacts</w:t>
      </w:r>
    </w:p>
    <w:p w14:paraId="0ECCC1A3" w14:textId="059D8AA6" w:rsidR="00BB4BB4" w:rsidRPr="0041688E" w:rsidRDefault="00000000" w:rsidP="00585384">
      <w:pPr>
        <w:spacing w:after="200" w:line="360" w:lineRule="auto"/>
        <w:rPr>
          <w:rFonts w:ascii="Arial" w:hAnsi="Arial" w:cs="Arial"/>
          <w:sz w:val="22"/>
          <w:szCs w:val="22"/>
        </w:rPr>
      </w:pPr>
      <w:r w:rsidRPr="0041688E">
        <w:rPr>
          <w:rFonts w:ascii="Arial" w:hAnsi="Arial" w:cs="Arial"/>
          <w:sz w:val="22"/>
          <w:szCs w:val="22"/>
        </w:rPr>
        <w:t>These documented disruptions are significant not only for their acute impacts but also for persistent, compounding effects revealing systemic vulnerabilities. Brexit introduced chronic friction making the UK market less attractive; COVID-19 demonstrated system inflexibility; the energy crisis showed domestic production’s vulnerability to input cost volatility. The convergence during the 2023 crisis where multiple simultaneous shocks overwhelmed adaptive capacity in ways individual disruptions might not have supports Ivanov and Dolgui’s (2020) argument that contemporary supply chains must adapt to both persistent volatility and acute crises rather than presuming return to stable baseline conditions.</w:t>
      </w:r>
    </w:p>
    <w:p w14:paraId="3974C19E" w14:textId="0558F35B" w:rsidR="00D47AAA" w:rsidRPr="0041688E" w:rsidRDefault="00000000" w:rsidP="00585384">
      <w:pPr>
        <w:spacing w:after="200" w:line="360" w:lineRule="auto"/>
        <w:rPr>
          <w:rFonts w:ascii="Arial" w:hAnsi="Arial" w:cs="Arial"/>
          <w:sz w:val="22"/>
          <w:szCs w:val="22"/>
        </w:rPr>
      </w:pPr>
      <w:r w:rsidRPr="0041688E">
        <w:rPr>
          <w:rFonts w:ascii="Arial" w:hAnsi="Arial" w:cs="Arial"/>
          <w:sz w:val="22"/>
          <w:szCs w:val="22"/>
        </w:rPr>
        <w:t>Documentary evidence consistently suggested SMEs lacked the resources to absorb additional costs, develop alternative supply arrangements, or invest in protective infrastructure making them systematically more vulnerable than larger firms across all disruption types. This size-differentiated vulnerability raises an equity concern: if supply chain resilience-building systematically advantages larger organisations whilst disadvantaging smaller operators, disruptions may accelerate market concentration rather than representing neutral selection pressure. Whether this represents efficient market adaptation or problematic concentration requiring policy attention remains contested, with industry associations emphasising support needs whilst government documents prioritise market-driven adaptation. For policymakers, the implication is clear: sectoral resilience cannot be achieved through firm-level strategy alone if the most numerous participants in the supply chain are structurally excluded from resilience investment.</w:t>
      </w:r>
    </w:p>
    <w:p w14:paraId="4348599A" w14:textId="77777777" w:rsidR="00BB4BB4" w:rsidRPr="00FF2E55" w:rsidRDefault="00000000" w:rsidP="00585384">
      <w:pPr>
        <w:pStyle w:val="Heading2"/>
        <w:rPr>
          <w:rFonts w:ascii="Arial" w:hAnsi="Arial" w:cs="Arial"/>
          <w:sz w:val="28"/>
          <w:szCs w:val="28"/>
        </w:rPr>
      </w:pPr>
      <w:r w:rsidRPr="00FF2E55">
        <w:rPr>
          <w:rFonts w:ascii="Arial" w:hAnsi="Arial" w:cs="Arial"/>
          <w:sz w:val="28"/>
          <w:szCs w:val="28"/>
        </w:rPr>
        <w:t>4.3 Resilience Strategy Patterns (RQ1 continued)</w:t>
      </w:r>
    </w:p>
    <w:p w14:paraId="49A23D9D" w14:textId="77777777" w:rsidR="00BB4BB4" w:rsidRPr="0041688E" w:rsidRDefault="00000000" w:rsidP="00585384">
      <w:pPr>
        <w:spacing w:after="200" w:line="360" w:lineRule="auto"/>
        <w:rPr>
          <w:rFonts w:ascii="Arial" w:hAnsi="Arial" w:cs="Arial"/>
          <w:sz w:val="22"/>
          <w:szCs w:val="22"/>
        </w:rPr>
      </w:pPr>
      <w:r w:rsidRPr="0041688E">
        <w:rPr>
          <w:rFonts w:ascii="Arial" w:hAnsi="Arial" w:cs="Arial"/>
          <w:sz w:val="22"/>
          <w:szCs w:val="22"/>
        </w:rPr>
        <w:t xml:space="preserve">Building on the disruption analysis in Section 4.2, this section completes the response to Research Question 1 by examining the supply chain resilience strategies documented across the UK fresh produce sector. Three dominant approaches emerged from </w:t>
      </w:r>
      <w:r w:rsidRPr="0041688E">
        <w:rPr>
          <w:rFonts w:ascii="Arial" w:hAnsi="Arial" w:cs="Arial"/>
          <w:sz w:val="22"/>
          <w:szCs w:val="22"/>
        </w:rPr>
        <w:lastRenderedPageBreak/>
        <w:t>documentary analysis: supplier geographic diversification, nearshoring and domestic production investment, and supply chain visibility through technology adoption.</w:t>
      </w:r>
    </w:p>
    <w:p w14:paraId="7022939D" w14:textId="77777777" w:rsidR="00BB4BB4" w:rsidRPr="00FF2E55" w:rsidRDefault="00000000" w:rsidP="00585384">
      <w:pPr>
        <w:pStyle w:val="Heading3"/>
        <w:rPr>
          <w:rFonts w:ascii="Arial" w:hAnsi="Arial" w:cs="Arial"/>
          <w:i w:val="0"/>
          <w:iCs w:val="0"/>
          <w:sz w:val="28"/>
          <w:szCs w:val="28"/>
        </w:rPr>
      </w:pPr>
      <w:r w:rsidRPr="00FF2E55">
        <w:rPr>
          <w:rFonts w:ascii="Arial" w:hAnsi="Arial" w:cs="Arial"/>
          <w:i w:val="0"/>
          <w:iCs w:val="0"/>
          <w:sz w:val="28"/>
          <w:szCs w:val="28"/>
        </w:rPr>
        <w:t>4.3.1 Supplier Geographic Diversification</w:t>
      </w:r>
    </w:p>
    <w:p w14:paraId="7985D73B" w14:textId="7BA00F44" w:rsidR="00BB4BB4" w:rsidRPr="0041688E" w:rsidRDefault="00000000" w:rsidP="00585384">
      <w:pPr>
        <w:spacing w:after="200" w:line="360" w:lineRule="auto"/>
        <w:rPr>
          <w:rFonts w:ascii="Arial" w:hAnsi="Arial" w:cs="Arial"/>
          <w:sz w:val="22"/>
          <w:szCs w:val="22"/>
        </w:rPr>
      </w:pPr>
      <w:r w:rsidRPr="0041688E">
        <w:rPr>
          <w:rFonts w:ascii="Arial" w:hAnsi="Arial" w:cs="Arial"/>
          <w:sz w:val="22"/>
          <w:szCs w:val="22"/>
        </w:rPr>
        <w:t>Supplier diversification emerged as the most widely documented supply chain resilience strategy. The Fresh Produce Consortium (2023) reported that 68% of members had initiated or expanded diversification efforts post-2020 a notable majority, yet one that also reveals approximately one-third of the sector had not yet begun, a gap correlating closely with SME status and capital constraints rather than strategic indifference. The rationale was clear: reducing single-region dependency was seen as a buffer against climate variability, regulatory change, and geopolitical disruption.</w:t>
      </w:r>
    </w:p>
    <w:p w14:paraId="1E9EF38A" w14:textId="78B6CD40" w:rsidR="00BB4BB4" w:rsidRPr="0041688E" w:rsidRDefault="00000000" w:rsidP="00585384">
      <w:pPr>
        <w:spacing w:after="200" w:line="360" w:lineRule="auto"/>
        <w:rPr>
          <w:rFonts w:ascii="Arial" w:hAnsi="Arial" w:cs="Arial"/>
          <w:sz w:val="22"/>
          <w:szCs w:val="22"/>
        </w:rPr>
      </w:pPr>
      <w:r w:rsidRPr="0041688E">
        <w:rPr>
          <w:rFonts w:ascii="Arial" w:hAnsi="Arial" w:cs="Arial"/>
          <w:sz w:val="22"/>
          <w:szCs w:val="22"/>
        </w:rPr>
        <w:t>However, implementation proved more complex than anticipated. The Grocer (2023) reported that diversification introduced new logistical challenges and inconsistent product quality, and Food Foundation (2023) highlighted that quality assurance resource requirements rose significantly for diversified portfolios. This evidence underscores a resilience-complexity trade-off: whilst diversification aligns with Christopher and Peck’s (2004) flexibility capability, it simultaneously increases managerial burden in ways that can reduce operational responsiveness if not carefully structured. It is worth noting that some larger UK importers managed diversification successfully by investing in dedicated supplier development teams an approach inaccessible to most SMEs, reinforcing size as a key determinant of strategy feasibility. For practitioners, this means diversification should be pursued incrementally with upfront investment in relationship and quality management infrastructure, not as a standalone sourcing decision.</w:t>
      </w:r>
    </w:p>
    <w:p w14:paraId="52F1A769" w14:textId="77777777" w:rsidR="00BB4BB4" w:rsidRPr="00FF2E55" w:rsidRDefault="00000000" w:rsidP="00585384">
      <w:pPr>
        <w:pStyle w:val="Heading3"/>
        <w:rPr>
          <w:rFonts w:ascii="Arial" w:hAnsi="Arial" w:cs="Arial"/>
          <w:i w:val="0"/>
          <w:iCs w:val="0"/>
          <w:sz w:val="28"/>
          <w:szCs w:val="28"/>
        </w:rPr>
      </w:pPr>
      <w:r w:rsidRPr="00FF2E55">
        <w:rPr>
          <w:rFonts w:ascii="Arial" w:hAnsi="Arial" w:cs="Arial"/>
          <w:i w:val="0"/>
          <w:iCs w:val="0"/>
          <w:sz w:val="28"/>
          <w:szCs w:val="28"/>
        </w:rPr>
        <w:t>4.3.2 Nearshoring and Domestic Production Investment</w:t>
      </w:r>
    </w:p>
    <w:p w14:paraId="1BB03C6A" w14:textId="71292468" w:rsidR="00BB4BB4" w:rsidRPr="0041688E" w:rsidRDefault="00000000" w:rsidP="00585384">
      <w:pPr>
        <w:spacing w:after="200" w:line="360" w:lineRule="auto"/>
        <w:rPr>
          <w:rFonts w:ascii="Arial" w:hAnsi="Arial" w:cs="Arial"/>
          <w:sz w:val="22"/>
          <w:szCs w:val="22"/>
        </w:rPr>
      </w:pPr>
      <w:r w:rsidRPr="0041688E">
        <w:rPr>
          <w:rFonts w:ascii="Arial" w:hAnsi="Arial" w:cs="Arial"/>
          <w:sz w:val="22"/>
          <w:szCs w:val="22"/>
        </w:rPr>
        <w:t>Nearshoring, particularly investment in UK greenhouse and vertical farming technologies, was documented in 18 sources as a growing trend, especially following the 2022–2023 energy crisis. Sustain (2023) advocated for increased domestic production, citing benefits for supply chain resilience, sustainability, and rural employment. However, practical realities proved challenging. Countryfile (2023) reported that energy costs rendered winter greenhouse production economically unviable for many UK growers, leading to APS Group’s unprecedented decision to leave 8% of glasshouse capacity unused a first in its 80-year history (Food Foundation, 2023).</w:t>
      </w:r>
    </w:p>
    <w:p w14:paraId="530A7D1B" w14:textId="7C9AB536" w:rsidR="00BB4BB4" w:rsidRPr="0041688E" w:rsidRDefault="00000000" w:rsidP="00585384">
      <w:pPr>
        <w:spacing w:after="200" w:line="360" w:lineRule="auto"/>
        <w:rPr>
          <w:rFonts w:ascii="Arial" w:hAnsi="Arial" w:cs="Arial"/>
          <w:sz w:val="22"/>
          <w:szCs w:val="22"/>
        </w:rPr>
      </w:pPr>
      <w:r w:rsidRPr="0041688E">
        <w:rPr>
          <w:rFonts w:ascii="Arial" w:hAnsi="Arial" w:cs="Arial"/>
          <w:sz w:val="22"/>
          <w:szCs w:val="22"/>
        </w:rPr>
        <w:t xml:space="preserve">Policy inconsistencies further complicated nearshoring efforts. DEFRA and parliamentary inquiry documents revealed that whilst government rhetoric supported domestic production, actual policy excluded horticulture from the energy bill support enjoyed by other sectors </w:t>
      </w:r>
      <w:r w:rsidRPr="0041688E">
        <w:rPr>
          <w:rFonts w:ascii="Arial" w:hAnsi="Arial" w:cs="Arial"/>
          <w:sz w:val="22"/>
          <w:szCs w:val="22"/>
        </w:rPr>
        <w:lastRenderedPageBreak/>
        <w:t>(Food Foundation, 2023). This exclusion directly led to deferred and cancelled expansion projects, with company reports acknowledging that planned domestic capacity investments became financially untenable once energy price spikes were not offset by the support available to comparable industries. For policymakers, this causal link is significant: it demonstrates that domestic production capacity the most commonly proposed resilience solution is as dependent on consistent policy as it is on investment from the sector itself.</w:t>
      </w:r>
    </w:p>
    <w:p w14:paraId="546E6367" w14:textId="77777777" w:rsidR="00BB4BB4" w:rsidRPr="00FF2E55" w:rsidRDefault="00000000" w:rsidP="00585384">
      <w:pPr>
        <w:pStyle w:val="Heading3"/>
        <w:rPr>
          <w:rFonts w:ascii="Arial" w:hAnsi="Arial" w:cs="Arial"/>
          <w:i w:val="0"/>
          <w:iCs w:val="0"/>
          <w:sz w:val="28"/>
          <w:szCs w:val="28"/>
        </w:rPr>
      </w:pPr>
      <w:r w:rsidRPr="00FF2E55">
        <w:rPr>
          <w:rFonts w:ascii="Arial" w:hAnsi="Arial" w:cs="Arial"/>
          <w:i w:val="0"/>
          <w:iCs w:val="0"/>
          <w:sz w:val="28"/>
          <w:szCs w:val="28"/>
        </w:rPr>
        <w:t>4.3.3 Supply Chain Visibility and Technology Adoption</w:t>
      </w:r>
    </w:p>
    <w:p w14:paraId="29E84428" w14:textId="75AAD84B" w:rsidR="00BB4BB4" w:rsidRPr="0041688E" w:rsidRDefault="00000000" w:rsidP="00585384">
      <w:pPr>
        <w:spacing w:after="200" w:line="360" w:lineRule="auto"/>
        <w:rPr>
          <w:rFonts w:ascii="Arial" w:hAnsi="Arial" w:cs="Arial"/>
          <w:sz w:val="22"/>
          <w:szCs w:val="22"/>
        </w:rPr>
      </w:pPr>
      <w:r w:rsidRPr="0041688E">
        <w:rPr>
          <w:rFonts w:ascii="Arial" w:hAnsi="Arial" w:cs="Arial"/>
          <w:sz w:val="22"/>
          <w:szCs w:val="22"/>
        </w:rPr>
        <w:t xml:space="preserve">Technology adoption was documented in 24 sources as a prominent supply chain resilience strategy. Large retailers invested heavily in real-time tracking platforms, automated quality controls, and predictive analytics. Food Foundation (2023) acknowledged that real-time shipment tracking improved the ability to respond to supply chain </w:t>
      </w:r>
      <w:r w:rsidR="0041688E" w:rsidRPr="0041688E">
        <w:rPr>
          <w:rFonts w:ascii="Arial" w:hAnsi="Arial" w:cs="Arial"/>
          <w:sz w:val="22"/>
          <w:szCs w:val="22"/>
        </w:rPr>
        <w:t>disruptions yet</w:t>
      </w:r>
      <w:r w:rsidRPr="0041688E">
        <w:rPr>
          <w:rFonts w:ascii="Arial" w:hAnsi="Arial" w:cs="Arial"/>
          <w:sz w:val="22"/>
          <w:szCs w:val="22"/>
        </w:rPr>
        <w:t xml:space="preserve"> cautioned that technology cannot prevent them. This distinction highlights that technology enhances situational awareness and responsiveness but does not eliminate exposure to external shocks such as extreme weather or geopolitical events.</w:t>
      </w:r>
    </w:p>
    <w:p w14:paraId="4E8B6EEC" w14:textId="045FF9DD" w:rsidR="00BB4BB4" w:rsidRPr="0041688E" w:rsidRDefault="00000000" w:rsidP="00585384">
      <w:pPr>
        <w:spacing w:after="200" w:line="360" w:lineRule="auto"/>
        <w:rPr>
          <w:rFonts w:ascii="Arial" w:hAnsi="Arial" w:cs="Arial"/>
          <w:sz w:val="22"/>
          <w:szCs w:val="22"/>
        </w:rPr>
      </w:pPr>
      <w:r w:rsidRPr="0041688E">
        <w:rPr>
          <w:rFonts w:ascii="Arial" w:hAnsi="Arial" w:cs="Arial"/>
          <w:sz w:val="22"/>
          <w:szCs w:val="22"/>
        </w:rPr>
        <w:t xml:space="preserve">The Grocer (2023) observed that small businesses lack the resources to implement advanced visibility platforms, creating a digital divide between large organisations and SMEs. Whilst corporations could integrate suppliers into proprietary systems, SMEs relied on collaborative platforms offered by industry associations or relationship-based risk mitigation. In relation to Christopher and Peck’s (2004) framework, technology adoption supports the visibility capability; however, documentary evidence suggests that visibility alone </w:t>
      </w:r>
      <w:r w:rsidR="00FF158F" w:rsidRPr="0041688E">
        <w:rPr>
          <w:rFonts w:ascii="Arial" w:hAnsi="Arial" w:cs="Arial"/>
          <w:sz w:val="22"/>
          <w:szCs w:val="22"/>
        </w:rPr>
        <w:t>is insufficient, must be complemented by flexibility,</w:t>
      </w:r>
      <w:r w:rsidRPr="0041688E">
        <w:rPr>
          <w:rFonts w:ascii="Arial" w:hAnsi="Arial" w:cs="Arial"/>
          <w:sz w:val="22"/>
          <w:szCs w:val="22"/>
        </w:rPr>
        <w:t xml:space="preserve"> and relational strategies to ensure genuine supply chain resilience in the fresh produce sector.</w:t>
      </w:r>
    </w:p>
    <w:p w14:paraId="562B3D02" w14:textId="77777777" w:rsidR="00BB4BB4" w:rsidRPr="00FF2E55" w:rsidRDefault="00000000" w:rsidP="00585384">
      <w:pPr>
        <w:pStyle w:val="Heading3"/>
        <w:rPr>
          <w:rFonts w:ascii="Arial" w:hAnsi="Arial" w:cs="Arial"/>
          <w:i w:val="0"/>
          <w:iCs w:val="0"/>
          <w:sz w:val="28"/>
          <w:szCs w:val="28"/>
        </w:rPr>
      </w:pPr>
      <w:r w:rsidRPr="00FF2E55">
        <w:rPr>
          <w:rFonts w:ascii="Arial" w:hAnsi="Arial" w:cs="Arial"/>
          <w:i w:val="0"/>
          <w:iCs w:val="0"/>
          <w:sz w:val="28"/>
          <w:szCs w:val="28"/>
        </w:rPr>
        <w:t>4.3.4 Organisational Size Differences in Strategy Selection</w:t>
      </w:r>
    </w:p>
    <w:p w14:paraId="53D0576F" w14:textId="77777777" w:rsidR="00BB4BB4" w:rsidRPr="0041688E" w:rsidRDefault="00000000" w:rsidP="00585384">
      <w:pPr>
        <w:spacing w:after="200" w:line="360" w:lineRule="auto"/>
        <w:rPr>
          <w:rFonts w:ascii="Arial" w:hAnsi="Arial" w:cs="Arial"/>
          <w:sz w:val="22"/>
          <w:szCs w:val="22"/>
        </w:rPr>
      </w:pPr>
      <w:r w:rsidRPr="0041688E">
        <w:rPr>
          <w:rFonts w:ascii="Arial" w:hAnsi="Arial" w:cs="Arial"/>
          <w:sz w:val="22"/>
          <w:szCs w:val="22"/>
        </w:rPr>
        <w:t>Documentary analysis revealed systematic differences in supply chain resilience strategies by organisation size. Large corporations’ annual reports documented substantial investments in supply chain technology, multi-country supplier portfolios, and formal risk management functions. In contrast, SMEs adopted pragmatic approaches such as joining collaborative buying groups, leveraging long-standing supplier relationships, and implementing incremental adaptations rather than transformational changes (The Grocer, 2023).</w:t>
      </w:r>
    </w:p>
    <w:p w14:paraId="7AB711C4" w14:textId="584D71F8" w:rsidR="00BB4BB4" w:rsidRPr="00585384" w:rsidRDefault="00000000" w:rsidP="00585384">
      <w:pPr>
        <w:spacing w:after="200" w:line="360" w:lineRule="auto"/>
        <w:rPr>
          <w:rFonts w:ascii="Arial" w:hAnsi="Arial" w:cs="Arial"/>
        </w:rPr>
      </w:pPr>
      <w:r w:rsidRPr="0041688E">
        <w:rPr>
          <w:rFonts w:ascii="Arial" w:hAnsi="Arial" w:cs="Arial"/>
          <w:sz w:val="22"/>
          <w:szCs w:val="22"/>
        </w:rPr>
        <w:t>This stratification pattern matters because it suggests supply chain resilience-building may systematically advantage larger organisations whilst disadvantaging smaller operators. Supply chain disruptions thus act as a competitive selection mechanism, favouring scale and resource-rich firms over SMEs. Industry associations have argued for policy support to</w:t>
      </w:r>
      <w:r w:rsidRPr="00585384">
        <w:rPr>
          <w:rFonts w:ascii="Arial" w:hAnsi="Arial" w:cs="Arial"/>
        </w:rPr>
        <w:t xml:space="preserve"> </w:t>
      </w:r>
      <w:r w:rsidRPr="0041688E">
        <w:rPr>
          <w:rFonts w:ascii="Arial" w:hAnsi="Arial" w:cs="Arial"/>
          <w:sz w:val="22"/>
          <w:szCs w:val="22"/>
        </w:rPr>
        <w:lastRenderedPageBreak/>
        <w:t>ensure SME participation in supply chain resilience-building, as documented in Food Foundation (2023): collaborative buying groups enabled SMEs to access diversification benefits otherwise limited to larger organisations. This makes the collaborative buying group model particularly illustrative it demonstrates that structural resilience gaps between large and small operators can be partially bridged through collective action, providing a practical model for sector-level intervention.</w:t>
      </w:r>
    </w:p>
    <w:p w14:paraId="5C31813D" w14:textId="77777777" w:rsidR="00BB4BB4" w:rsidRPr="00FF2E55" w:rsidRDefault="00000000" w:rsidP="00585384">
      <w:pPr>
        <w:pStyle w:val="Heading3"/>
        <w:rPr>
          <w:rFonts w:ascii="Arial" w:hAnsi="Arial" w:cs="Arial"/>
          <w:i w:val="0"/>
          <w:iCs w:val="0"/>
          <w:sz w:val="28"/>
          <w:szCs w:val="28"/>
        </w:rPr>
      </w:pPr>
      <w:r w:rsidRPr="00FF2E55">
        <w:rPr>
          <w:rFonts w:ascii="Arial" w:hAnsi="Arial" w:cs="Arial"/>
          <w:i w:val="0"/>
          <w:iCs w:val="0"/>
          <w:sz w:val="28"/>
          <w:szCs w:val="28"/>
        </w:rPr>
        <w:t>4.3.5 Critical Synthesis and Theoretical Integration</w:t>
      </w:r>
    </w:p>
    <w:p w14:paraId="7237F6DF" w14:textId="72E87B83" w:rsidR="00BB4BB4" w:rsidRPr="0041688E" w:rsidRDefault="00000000" w:rsidP="00585384">
      <w:pPr>
        <w:spacing w:after="200" w:line="360" w:lineRule="auto"/>
        <w:rPr>
          <w:rFonts w:ascii="Arial" w:hAnsi="Arial" w:cs="Arial"/>
          <w:sz w:val="22"/>
          <w:szCs w:val="22"/>
        </w:rPr>
      </w:pPr>
      <w:r w:rsidRPr="0041688E">
        <w:rPr>
          <w:rFonts w:ascii="Arial" w:hAnsi="Arial" w:cs="Arial"/>
          <w:sz w:val="22"/>
          <w:szCs w:val="22"/>
        </w:rPr>
        <w:t>In synthesis, supplier diversification, nearshoring, and technology adoption represent the dominant supply chain resilience strategies documented across the UK fresh produce sector. Each aligns with core theoretical capabilities flexibility, process redundancy, and visibility yet documentary evidence highlights the implementation challenges and contextual constraints that limit their effectiveness. The complexity of supplier management, economic viability of domestic production, and resource requirements for technology adoption all suggest that a one-size-fits-all approach is inadequate.</w:t>
      </w:r>
    </w:p>
    <w:p w14:paraId="6806B08F" w14:textId="6BF04830" w:rsidR="00BB4BB4" w:rsidRPr="0041688E" w:rsidRDefault="00000000" w:rsidP="00585384">
      <w:pPr>
        <w:spacing w:after="200" w:line="360" w:lineRule="auto"/>
        <w:rPr>
          <w:rFonts w:ascii="Arial" w:hAnsi="Arial" w:cs="Arial"/>
          <w:sz w:val="22"/>
          <w:szCs w:val="22"/>
        </w:rPr>
      </w:pPr>
      <w:r w:rsidRPr="0041688E">
        <w:rPr>
          <w:rFonts w:ascii="Arial" w:hAnsi="Arial" w:cs="Arial"/>
          <w:sz w:val="22"/>
          <w:szCs w:val="22"/>
        </w:rPr>
        <w:t>Documentary evidence indicates that successful supply chain resilience strategies are those adapted to the specific characteristics of the fresh produce sector, particularly perishability and variable input costs. Organisational size and resource availability further shape which strategies are feasible, reinforcing the need for sector-specific frameworks and policy interventions to support SMEs. Ultimately, the evidence supports the argument that supply chain resilience in the UK fresh produce sector requires context-specific approaches, continuous investment, and organisational commitment not simply the adaptation of manufacturing-derived models (Christopher and Peck, 2004).</w:t>
      </w:r>
    </w:p>
    <w:p w14:paraId="63B05F59" w14:textId="03F5E197" w:rsidR="00BB4BB4" w:rsidRPr="00FF2E55" w:rsidRDefault="00000000" w:rsidP="00585384">
      <w:pPr>
        <w:pStyle w:val="Heading2"/>
        <w:rPr>
          <w:rFonts w:ascii="Arial" w:hAnsi="Arial" w:cs="Arial"/>
          <w:sz w:val="28"/>
          <w:szCs w:val="28"/>
        </w:rPr>
      </w:pPr>
      <w:r w:rsidRPr="00FF2E55">
        <w:rPr>
          <w:rFonts w:ascii="Arial" w:hAnsi="Arial" w:cs="Arial"/>
          <w:sz w:val="28"/>
          <w:szCs w:val="28"/>
        </w:rPr>
        <w:t>4.4 Resilience</w:t>
      </w:r>
      <w:r w:rsidR="0030490C" w:rsidRPr="00FF2E55">
        <w:rPr>
          <w:rFonts w:ascii="Arial" w:hAnsi="Arial" w:cs="Arial"/>
          <w:sz w:val="28"/>
          <w:szCs w:val="28"/>
        </w:rPr>
        <w:t xml:space="preserve"> </w:t>
      </w:r>
      <w:r w:rsidRPr="00FF2E55">
        <w:rPr>
          <w:rFonts w:ascii="Arial" w:hAnsi="Arial" w:cs="Arial"/>
          <w:sz w:val="28"/>
          <w:szCs w:val="28"/>
        </w:rPr>
        <w:t>Efficiency Tensions and Implementation Challenges (RQ2)</w:t>
      </w:r>
    </w:p>
    <w:p w14:paraId="0046CDC6" w14:textId="77777777" w:rsidR="00BB4BB4" w:rsidRPr="0041688E" w:rsidRDefault="00000000" w:rsidP="00585384">
      <w:pPr>
        <w:spacing w:after="200" w:line="360" w:lineRule="auto"/>
        <w:rPr>
          <w:rFonts w:ascii="Arial" w:hAnsi="Arial" w:cs="Arial"/>
          <w:sz w:val="22"/>
          <w:szCs w:val="22"/>
        </w:rPr>
      </w:pPr>
      <w:r w:rsidRPr="0041688E">
        <w:rPr>
          <w:rFonts w:ascii="Arial" w:hAnsi="Arial" w:cs="Arial"/>
          <w:sz w:val="22"/>
          <w:szCs w:val="22"/>
        </w:rPr>
        <w:t>This section addresses Research Question 2 by examining how companies navigate the documented tension between supply chain resilience commitments and efficiency priorities, alongside the implementation challenges encountered when executing resilience strategies. The analysis reveals persistent paradoxes between strategic intent and operational reality.</w:t>
      </w:r>
    </w:p>
    <w:p w14:paraId="3750E2BF" w14:textId="77777777" w:rsidR="00BB4BB4" w:rsidRPr="00FF2E55" w:rsidRDefault="00000000" w:rsidP="00585384">
      <w:pPr>
        <w:pStyle w:val="Heading3"/>
        <w:rPr>
          <w:rFonts w:ascii="Arial" w:hAnsi="Arial" w:cs="Arial"/>
          <w:i w:val="0"/>
          <w:iCs w:val="0"/>
          <w:sz w:val="28"/>
          <w:szCs w:val="28"/>
        </w:rPr>
      </w:pPr>
      <w:r w:rsidRPr="00FF2E55">
        <w:rPr>
          <w:rFonts w:ascii="Arial" w:hAnsi="Arial" w:cs="Arial"/>
          <w:i w:val="0"/>
          <w:iCs w:val="0"/>
          <w:sz w:val="28"/>
          <w:szCs w:val="28"/>
        </w:rPr>
        <w:t>4.4.1 Pattern Identification Across Source Types</w:t>
      </w:r>
    </w:p>
    <w:p w14:paraId="35178D9C" w14:textId="603BE3F9" w:rsidR="00BB4BB4" w:rsidRPr="0030490C" w:rsidRDefault="00000000" w:rsidP="00585384">
      <w:pPr>
        <w:spacing w:after="200" w:line="360" w:lineRule="auto"/>
        <w:rPr>
          <w:rFonts w:ascii="Arial" w:hAnsi="Arial" w:cs="Arial"/>
          <w:sz w:val="22"/>
          <w:szCs w:val="22"/>
        </w:rPr>
      </w:pPr>
      <w:r w:rsidRPr="0030490C">
        <w:rPr>
          <w:rFonts w:ascii="Arial" w:hAnsi="Arial" w:cs="Arial"/>
          <w:sz w:val="22"/>
          <w:szCs w:val="22"/>
        </w:rPr>
        <w:t xml:space="preserve">A central theme emerging from the documentary analysis is the persistent tension between the pursuit of supply chain resilience and the operational prioritisation of efficiency. Company sustainability reports and annual disclosures repeatedly highlight supply chain resilience as a strategic priority the term resilience appeared 147 times across twelve company reports, averaging 12.25 mentions per document (Fresh Produce Consortium, 2023). The frequency </w:t>
      </w:r>
      <w:r w:rsidRPr="0030490C">
        <w:rPr>
          <w:rFonts w:ascii="Arial" w:hAnsi="Arial" w:cs="Arial"/>
          <w:sz w:val="22"/>
          <w:szCs w:val="22"/>
        </w:rPr>
        <w:lastRenderedPageBreak/>
        <w:t>of this terminology is itself analytically significant: it suggests resilience has become a reputationally necessary concept for large organisations to invoke, whether or not operational decisions consistently reflect it. Yet critical review of trade press and procurement records reveals a significant gap between rhetoric and practice. Food Foundation (2023) noted that despite public commitments to supply chain resilience, price remains the dominant factor in procurement decisions. The Grocer (2023) corroborated this: retailers implementing supply chain resilience measures risk competitive disadvantage against efficiency-focused rivals.</w:t>
      </w:r>
    </w:p>
    <w:p w14:paraId="63A061D3" w14:textId="77777777" w:rsidR="00BB4BB4" w:rsidRPr="0030490C" w:rsidRDefault="00000000" w:rsidP="00585384">
      <w:pPr>
        <w:spacing w:after="200" w:line="360" w:lineRule="auto"/>
        <w:rPr>
          <w:rFonts w:ascii="Arial" w:hAnsi="Arial" w:cs="Arial"/>
          <w:sz w:val="22"/>
          <w:szCs w:val="22"/>
        </w:rPr>
      </w:pPr>
      <w:r w:rsidRPr="0030490C">
        <w:rPr>
          <w:rFonts w:ascii="Arial" w:hAnsi="Arial" w:cs="Arial"/>
          <w:sz w:val="22"/>
          <w:szCs w:val="22"/>
        </w:rPr>
        <w:t>Companies face continued pressure to prioritise cost efficiency, particularly as profit margins remain under strain and consumer price sensitivity increases. Annual reports from major retailers admit to this tension, with statements acknowledging that whilst supply chain resilience remains a commitment, margin pressures require continued focus on cost efficiency across procurement operations (Company Annual Report, 2023). This contradiction illustrates the resilience–efficiency paradox: supply chain resilience is espoused as an organisational imperative, but day-to-day decisions are often governed by efficiency imperatives, especially in price-sensitive retail environments.</w:t>
      </w:r>
    </w:p>
    <w:p w14:paraId="1AD5D8C9" w14:textId="77777777" w:rsidR="00BB4BB4" w:rsidRPr="00FF2E55" w:rsidRDefault="00000000" w:rsidP="00585384">
      <w:pPr>
        <w:pStyle w:val="Heading3"/>
        <w:rPr>
          <w:rFonts w:ascii="Arial" w:hAnsi="Arial" w:cs="Arial"/>
          <w:i w:val="0"/>
          <w:iCs w:val="0"/>
          <w:sz w:val="28"/>
          <w:szCs w:val="28"/>
        </w:rPr>
      </w:pPr>
      <w:r w:rsidRPr="00FF2E55">
        <w:rPr>
          <w:rFonts w:ascii="Arial" w:hAnsi="Arial" w:cs="Arial"/>
          <w:i w:val="0"/>
          <w:iCs w:val="0"/>
          <w:sz w:val="28"/>
          <w:szCs w:val="28"/>
        </w:rPr>
        <w:t>4.4.2 Explanatory Mechanisms and Competitive Dynamics</w:t>
      </w:r>
    </w:p>
    <w:p w14:paraId="18EA5789" w14:textId="77777777" w:rsidR="00BB4BB4" w:rsidRPr="0030490C" w:rsidRDefault="00000000" w:rsidP="00585384">
      <w:pPr>
        <w:spacing w:after="200" w:line="360" w:lineRule="auto"/>
        <w:rPr>
          <w:rFonts w:ascii="Arial" w:hAnsi="Arial" w:cs="Arial"/>
          <w:sz w:val="22"/>
          <w:szCs w:val="22"/>
        </w:rPr>
      </w:pPr>
      <w:r w:rsidRPr="0030490C">
        <w:rPr>
          <w:rFonts w:ascii="Arial" w:hAnsi="Arial" w:cs="Arial"/>
          <w:sz w:val="22"/>
          <w:szCs w:val="22"/>
        </w:rPr>
        <w:t>Several mechanisms underpin this paradox. First, supply chain resilience investments are recorded as immediate costs whilst their benefits typically materialise only during future supply chain disruptions, creating a temporal mismatch. This challenge is particularly acute for publicly traded companies facing quarterly earnings pressures and investor expectations for margin maintenance. Second, competitive dynamics in UK grocery retail amplify the paradox: retailers investing in supply chain resilience incur higher costs but risk losing customers to competitors who maintain lower prices through continued efficiency prioritisation (The Grocer, 2023).</w:t>
      </w:r>
    </w:p>
    <w:p w14:paraId="712CE54E" w14:textId="77777777" w:rsidR="00BB4BB4" w:rsidRPr="0030490C" w:rsidRDefault="00000000" w:rsidP="00585384">
      <w:pPr>
        <w:spacing w:after="200" w:line="360" w:lineRule="auto"/>
        <w:rPr>
          <w:rFonts w:ascii="Arial" w:hAnsi="Arial" w:cs="Arial"/>
          <w:sz w:val="22"/>
          <w:szCs w:val="22"/>
        </w:rPr>
      </w:pPr>
      <w:r w:rsidRPr="0030490C">
        <w:rPr>
          <w:rFonts w:ascii="Arial" w:hAnsi="Arial" w:cs="Arial"/>
          <w:sz w:val="22"/>
          <w:szCs w:val="22"/>
        </w:rPr>
        <w:t>Consumer research cited in industry sources indicates limited willingness to pay price premiums for enhanced supply reliability during normal periods, creating a prisoner’s dilemma where individual retailers investing in supply chain resilience may be penalised in the market, yet all benefit if the industry collectively invests. Food Foundation (2023) summarised this as retailers facing competitive disadvantage if they pass supply chain resilience costs onto consumers, discouraging investment except during periods of acute disruption and reinforcing cyclical vulnerability.</w:t>
      </w:r>
    </w:p>
    <w:p w14:paraId="6265C690" w14:textId="77777777" w:rsidR="00BB4BB4" w:rsidRPr="00FF2E55" w:rsidRDefault="00000000" w:rsidP="00585384">
      <w:pPr>
        <w:pStyle w:val="Heading3"/>
        <w:rPr>
          <w:rFonts w:ascii="Arial" w:hAnsi="Arial" w:cs="Arial"/>
          <w:i w:val="0"/>
          <w:iCs w:val="0"/>
          <w:sz w:val="28"/>
          <w:szCs w:val="28"/>
        </w:rPr>
      </w:pPr>
      <w:r w:rsidRPr="00FF2E55">
        <w:rPr>
          <w:rFonts w:ascii="Arial" w:hAnsi="Arial" w:cs="Arial"/>
          <w:i w:val="0"/>
          <w:iCs w:val="0"/>
          <w:sz w:val="28"/>
          <w:szCs w:val="28"/>
        </w:rPr>
        <w:t>4.4.3 Theoretical Implications and Practical Significance</w:t>
      </w:r>
    </w:p>
    <w:p w14:paraId="757F6B6F" w14:textId="77777777" w:rsidR="00BB4BB4" w:rsidRPr="0030490C" w:rsidRDefault="00000000" w:rsidP="00585384">
      <w:pPr>
        <w:spacing w:after="200" w:line="360" w:lineRule="auto"/>
        <w:rPr>
          <w:rFonts w:ascii="Arial" w:hAnsi="Arial" w:cs="Arial"/>
          <w:sz w:val="22"/>
          <w:szCs w:val="22"/>
        </w:rPr>
      </w:pPr>
      <w:r w:rsidRPr="0030490C">
        <w:rPr>
          <w:rFonts w:ascii="Arial" w:hAnsi="Arial" w:cs="Arial"/>
          <w:sz w:val="22"/>
          <w:szCs w:val="22"/>
        </w:rPr>
        <w:lastRenderedPageBreak/>
        <w:t>The resilience–efficiency paradox resonates with Ivanov and Dolgui’s (2020) argument that supply chain resilience investments are justified during disruptions whilst costs are continuous. Documentary evidence from the competitive UK retail environment demonstrates how market dynamics further amplify these challenges. The practical implication is that supply chain resilience-building may require industry-wide coordination or policy intervention rather than reliance on individual company initiatives, as collective approaches are needed to enable sector-wide supply chain resilience improvement without creating competitive disadvantage for early adopters (Fresh Produce Consortium, 2023).</w:t>
      </w:r>
    </w:p>
    <w:p w14:paraId="34497B75" w14:textId="77777777" w:rsidR="00BB4BB4" w:rsidRPr="0030490C" w:rsidRDefault="00000000" w:rsidP="00585384">
      <w:pPr>
        <w:spacing w:after="200" w:line="360" w:lineRule="auto"/>
        <w:rPr>
          <w:rFonts w:ascii="Arial" w:hAnsi="Arial" w:cs="Arial"/>
          <w:sz w:val="22"/>
          <w:szCs w:val="22"/>
        </w:rPr>
      </w:pPr>
      <w:r w:rsidRPr="0030490C">
        <w:rPr>
          <w:rFonts w:ascii="Arial" w:hAnsi="Arial" w:cs="Arial"/>
          <w:sz w:val="22"/>
          <w:szCs w:val="22"/>
        </w:rPr>
        <w:t>This paradox also challenges the applicability of manufacturing-derived supply chain resilience frameworks. Christopher and Peck’s (2004) model assumes that process redundancy and flexibility can be achieved without substantial efficiency trade-offs. Documentary evidence suggests that for fresh produce such trade-offs are non-negotiable, and efficiency pressures routinely override supply chain resilience investments unless supported by policy or collective action.</w:t>
      </w:r>
    </w:p>
    <w:p w14:paraId="02121458" w14:textId="77777777" w:rsidR="00BB4BB4" w:rsidRPr="00FF2E55" w:rsidRDefault="00000000" w:rsidP="00585384">
      <w:pPr>
        <w:pStyle w:val="Heading3"/>
        <w:rPr>
          <w:rFonts w:ascii="Arial" w:hAnsi="Arial" w:cs="Arial"/>
          <w:i w:val="0"/>
          <w:iCs w:val="0"/>
          <w:sz w:val="28"/>
          <w:szCs w:val="28"/>
        </w:rPr>
      </w:pPr>
      <w:r w:rsidRPr="00FF2E55">
        <w:rPr>
          <w:rFonts w:ascii="Arial" w:hAnsi="Arial" w:cs="Arial"/>
          <w:i w:val="0"/>
          <w:iCs w:val="0"/>
          <w:sz w:val="28"/>
          <w:szCs w:val="28"/>
        </w:rPr>
        <w:t>4.4.4 Implementation Challenges and Enablers</w:t>
      </w:r>
    </w:p>
    <w:p w14:paraId="757594EA" w14:textId="77777777" w:rsidR="0030490C" w:rsidRDefault="00000000" w:rsidP="00585384">
      <w:pPr>
        <w:spacing w:after="200" w:line="360" w:lineRule="auto"/>
        <w:rPr>
          <w:rFonts w:ascii="Arial" w:hAnsi="Arial" w:cs="Arial"/>
        </w:rPr>
      </w:pPr>
      <w:r w:rsidRPr="00585384">
        <w:rPr>
          <w:rFonts w:ascii="Arial" w:hAnsi="Arial" w:cs="Arial"/>
        </w:rPr>
        <w:t xml:space="preserve">Documentary analysis identified four primary barriers and three key enablers to supply chain resilience strategy implementation. </w:t>
      </w:r>
    </w:p>
    <w:p w14:paraId="0AA32979" w14:textId="5FFB248D" w:rsidR="00BB4BB4" w:rsidRPr="0030490C" w:rsidRDefault="00000000" w:rsidP="00585384">
      <w:pPr>
        <w:spacing w:after="200" w:line="360" w:lineRule="auto"/>
        <w:rPr>
          <w:rFonts w:ascii="Arial" w:hAnsi="Arial" w:cs="Arial"/>
          <w:sz w:val="16"/>
          <w:szCs w:val="16"/>
        </w:rPr>
      </w:pPr>
      <w:r w:rsidRPr="0030490C">
        <w:rPr>
          <w:rFonts w:ascii="Arial" w:hAnsi="Arial" w:cs="Arial"/>
          <w:b/>
          <w:bCs/>
          <w:sz w:val="16"/>
          <w:szCs w:val="16"/>
        </w:rPr>
        <w:t>Table 3</w:t>
      </w:r>
      <w:r w:rsidR="0030490C" w:rsidRPr="0030490C">
        <w:rPr>
          <w:rFonts w:ascii="Arial" w:hAnsi="Arial" w:cs="Arial"/>
          <w:b/>
          <w:bCs/>
          <w:sz w:val="16"/>
          <w:szCs w:val="16"/>
        </w:rPr>
        <w:t>:</w:t>
      </w:r>
      <w:r w:rsidRPr="0030490C">
        <w:rPr>
          <w:rFonts w:ascii="Arial" w:hAnsi="Arial" w:cs="Arial"/>
          <w:sz w:val="16"/>
          <w:szCs w:val="16"/>
        </w:rPr>
        <w:t xml:space="preserve"> </w:t>
      </w:r>
      <w:r w:rsidR="0030490C">
        <w:rPr>
          <w:rFonts w:ascii="Arial" w:hAnsi="Arial" w:cs="Arial"/>
          <w:sz w:val="16"/>
          <w:szCs w:val="16"/>
        </w:rPr>
        <w:t>S</w:t>
      </w:r>
      <w:r w:rsidRPr="0030490C">
        <w:rPr>
          <w:rFonts w:ascii="Arial" w:hAnsi="Arial" w:cs="Arial"/>
          <w:sz w:val="16"/>
          <w:szCs w:val="16"/>
        </w:rPr>
        <w:t>ummarises these, followed by discussion of their practical significance.</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200"/>
        <w:gridCol w:w="2400"/>
        <w:gridCol w:w="5426"/>
      </w:tblGrid>
      <w:tr w:rsidR="00BB4BB4" w:rsidRPr="00585384" w14:paraId="2F45A307" w14:textId="77777777" w:rsidTr="00AC23DC">
        <w:trPr>
          <w:tblHeader/>
        </w:trPr>
        <w:tc>
          <w:tcPr>
            <w:tcW w:w="0" w:type="auto"/>
            <w:tcBorders>
              <w:top w:val="single" w:sz="1" w:space="0" w:color="AAAAAA"/>
              <w:left w:val="single" w:sz="1" w:space="0" w:color="AAAAAA"/>
              <w:bottom w:val="single" w:sz="1" w:space="0" w:color="AAAAAA"/>
              <w:right w:val="single" w:sz="1" w:space="0" w:color="AAAAAA"/>
            </w:tcBorders>
            <w:shd w:val="clear" w:color="auto" w:fill="124F1A" w:themeFill="accent3" w:themeFillShade="BF"/>
            <w:tcMar>
              <w:top w:w="80" w:type="dxa"/>
              <w:left w:w="120" w:type="dxa"/>
              <w:bottom w:w="80" w:type="dxa"/>
              <w:right w:w="120" w:type="dxa"/>
            </w:tcMar>
          </w:tcPr>
          <w:p w14:paraId="307AAE99" w14:textId="77777777" w:rsidR="00BB4BB4" w:rsidRPr="00585384" w:rsidRDefault="00000000" w:rsidP="00585384">
            <w:pPr>
              <w:spacing w:after="40"/>
              <w:rPr>
                <w:rFonts w:ascii="Arial" w:hAnsi="Arial" w:cs="Arial"/>
              </w:rPr>
            </w:pPr>
            <w:r w:rsidRPr="00585384">
              <w:rPr>
                <w:rFonts w:ascii="Arial" w:hAnsi="Arial" w:cs="Arial"/>
                <w:b/>
                <w:bCs/>
                <w:sz w:val="19"/>
                <w:szCs w:val="19"/>
              </w:rPr>
              <w:t>Type</w:t>
            </w:r>
          </w:p>
        </w:tc>
        <w:tc>
          <w:tcPr>
            <w:tcW w:w="0" w:type="auto"/>
            <w:tcBorders>
              <w:top w:val="single" w:sz="1" w:space="0" w:color="AAAAAA"/>
              <w:left w:val="single" w:sz="1" w:space="0" w:color="AAAAAA"/>
              <w:bottom w:val="single" w:sz="1" w:space="0" w:color="AAAAAA"/>
              <w:right w:val="single" w:sz="1" w:space="0" w:color="AAAAAA"/>
            </w:tcBorders>
            <w:shd w:val="clear" w:color="auto" w:fill="124F1A" w:themeFill="accent3" w:themeFillShade="BF"/>
            <w:tcMar>
              <w:top w:w="80" w:type="dxa"/>
              <w:left w:w="120" w:type="dxa"/>
              <w:bottom w:w="80" w:type="dxa"/>
              <w:right w:w="120" w:type="dxa"/>
            </w:tcMar>
          </w:tcPr>
          <w:p w14:paraId="6D88F16C" w14:textId="77777777" w:rsidR="00BB4BB4" w:rsidRPr="00585384" w:rsidRDefault="00000000" w:rsidP="00585384">
            <w:pPr>
              <w:spacing w:after="40"/>
              <w:rPr>
                <w:rFonts w:ascii="Arial" w:hAnsi="Arial" w:cs="Arial"/>
              </w:rPr>
            </w:pPr>
            <w:r w:rsidRPr="00585384">
              <w:rPr>
                <w:rFonts w:ascii="Arial" w:hAnsi="Arial" w:cs="Arial"/>
                <w:b/>
                <w:bCs/>
                <w:sz w:val="19"/>
                <w:szCs w:val="19"/>
              </w:rPr>
              <w:t>Factor</w:t>
            </w:r>
          </w:p>
        </w:tc>
        <w:tc>
          <w:tcPr>
            <w:tcW w:w="0" w:type="auto"/>
            <w:tcBorders>
              <w:top w:val="single" w:sz="1" w:space="0" w:color="AAAAAA"/>
              <w:left w:val="single" w:sz="1" w:space="0" w:color="AAAAAA"/>
              <w:bottom w:val="single" w:sz="1" w:space="0" w:color="AAAAAA"/>
              <w:right w:val="single" w:sz="1" w:space="0" w:color="AAAAAA"/>
            </w:tcBorders>
            <w:shd w:val="clear" w:color="auto" w:fill="124F1A" w:themeFill="accent3" w:themeFillShade="BF"/>
            <w:tcMar>
              <w:top w:w="80" w:type="dxa"/>
              <w:left w:w="120" w:type="dxa"/>
              <w:bottom w:w="80" w:type="dxa"/>
              <w:right w:w="120" w:type="dxa"/>
            </w:tcMar>
          </w:tcPr>
          <w:p w14:paraId="39A2A2A0" w14:textId="77777777" w:rsidR="00BB4BB4" w:rsidRPr="00585384" w:rsidRDefault="00000000" w:rsidP="00585384">
            <w:pPr>
              <w:spacing w:after="40"/>
              <w:rPr>
                <w:rFonts w:ascii="Arial" w:hAnsi="Arial" w:cs="Arial"/>
              </w:rPr>
            </w:pPr>
            <w:r w:rsidRPr="00585384">
              <w:rPr>
                <w:rFonts w:ascii="Arial" w:hAnsi="Arial" w:cs="Arial"/>
                <w:b/>
                <w:bCs/>
                <w:sz w:val="19"/>
                <w:szCs w:val="19"/>
              </w:rPr>
              <w:t>Evidence and Significance</w:t>
            </w:r>
          </w:p>
        </w:tc>
      </w:tr>
      <w:tr w:rsidR="00BB4BB4" w:rsidRPr="00585384" w14:paraId="5BDAE27A" w14:textId="77777777">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D8C0149" w14:textId="77777777" w:rsidR="00BB4BB4" w:rsidRPr="0030490C" w:rsidRDefault="00000000" w:rsidP="00585384">
            <w:pPr>
              <w:spacing w:after="40"/>
              <w:rPr>
                <w:rFonts w:ascii="Arial" w:hAnsi="Arial" w:cs="Arial"/>
                <w:sz w:val="16"/>
                <w:szCs w:val="16"/>
              </w:rPr>
            </w:pPr>
            <w:r w:rsidRPr="0030490C">
              <w:rPr>
                <w:rFonts w:ascii="Arial" w:hAnsi="Arial" w:cs="Arial"/>
                <w:sz w:val="16"/>
                <w:szCs w:val="16"/>
              </w:rPr>
              <w:t>Barrier</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F1A1AC6" w14:textId="77777777" w:rsidR="00BB4BB4" w:rsidRPr="0030490C" w:rsidRDefault="00000000" w:rsidP="00585384">
            <w:pPr>
              <w:spacing w:after="40"/>
              <w:rPr>
                <w:rFonts w:ascii="Arial" w:hAnsi="Arial" w:cs="Arial"/>
                <w:sz w:val="16"/>
                <w:szCs w:val="16"/>
              </w:rPr>
            </w:pPr>
            <w:r w:rsidRPr="0030490C">
              <w:rPr>
                <w:rFonts w:ascii="Arial" w:hAnsi="Arial" w:cs="Arial"/>
                <w:sz w:val="16"/>
                <w:szCs w:val="16"/>
              </w:rPr>
              <w:t>Capital Requirements</w:t>
            </w:r>
          </w:p>
        </w:tc>
        <w:tc>
          <w:tcPr>
            <w:tcW w:w="54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781DBD2" w14:textId="77777777" w:rsidR="00BB4BB4" w:rsidRPr="0030490C" w:rsidRDefault="00000000" w:rsidP="00585384">
            <w:pPr>
              <w:spacing w:after="40"/>
              <w:rPr>
                <w:rFonts w:ascii="Arial" w:hAnsi="Arial" w:cs="Arial"/>
                <w:sz w:val="16"/>
                <w:szCs w:val="16"/>
              </w:rPr>
            </w:pPr>
            <w:r w:rsidRPr="0030490C">
              <w:rPr>
                <w:rFonts w:ascii="Arial" w:hAnsi="Arial" w:cs="Arial"/>
                <w:sz w:val="16"/>
                <w:szCs w:val="16"/>
              </w:rPr>
              <w:t>28 sources: upfront investment for diversification, technology, and infrastructure; multi-year programmes requiring board approval</w:t>
            </w:r>
          </w:p>
        </w:tc>
      </w:tr>
      <w:tr w:rsidR="00BB4BB4" w:rsidRPr="00585384" w14:paraId="728C6626" w14:textId="77777777" w:rsidTr="00AC23DC">
        <w:tc>
          <w:tcPr>
            <w:tcW w:w="1200"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20" w:type="dxa"/>
              <w:bottom w:w="80" w:type="dxa"/>
              <w:right w:w="120" w:type="dxa"/>
            </w:tcMar>
          </w:tcPr>
          <w:p w14:paraId="772F3E54" w14:textId="77777777" w:rsidR="00BB4BB4" w:rsidRPr="0030490C" w:rsidRDefault="00000000" w:rsidP="00585384">
            <w:pPr>
              <w:spacing w:after="40"/>
              <w:rPr>
                <w:rFonts w:ascii="Arial" w:hAnsi="Arial" w:cs="Arial"/>
                <w:sz w:val="16"/>
                <w:szCs w:val="16"/>
              </w:rPr>
            </w:pPr>
            <w:r w:rsidRPr="0030490C">
              <w:rPr>
                <w:rFonts w:ascii="Arial" w:hAnsi="Arial" w:cs="Arial"/>
                <w:sz w:val="16"/>
                <w:szCs w:val="16"/>
              </w:rPr>
              <w:t>Barrier</w:t>
            </w:r>
          </w:p>
        </w:tc>
        <w:tc>
          <w:tcPr>
            <w:tcW w:w="2400"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20" w:type="dxa"/>
              <w:bottom w:w="80" w:type="dxa"/>
              <w:right w:w="120" w:type="dxa"/>
            </w:tcMar>
          </w:tcPr>
          <w:p w14:paraId="6A771ED0" w14:textId="77777777" w:rsidR="00BB4BB4" w:rsidRPr="0030490C" w:rsidRDefault="00000000" w:rsidP="00585384">
            <w:pPr>
              <w:spacing w:after="40"/>
              <w:rPr>
                <w:rFonts w:ascii="Arial" w:hAnsi="Arial" w:cs="Arial"/>
                <w:sz w:val="16"/>
                <w:szCs w:val="16"/>
              </w:rPr>
            </w:pPr>
            <w:r w:rsidRPr="0030490C">
              <w:rPr>
                <w:rFonts w:ascii="Arial" w:hAnsi="Arial" w:cs="Arial"/>
                <w:sz w:val="16"/>
                <w:szCs w:val="16"/>
              </w:rPr>
              <w:t>Supplier Relationship Complexity</w:t>
            </w:r>
          </w:p>
        </w:tc>
        <w:tc>
          <w:tcPr>
            <w:tcW w:w="5426"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20" w:type="dxa"/>
              <w:bottom w:w="80" w:type="dxa"/>
              <w:right w:w="120" w:type="dxa"/>
            </w:tcMar>
          </w:tcPr>
          <w:p w14:paraId="76E60CF7" w14:textId="77777777" w:rsidR="00BB4BB4" w:rsidRPr="0030490C" w:rsidRDefault="00000000" w:rsidP="00585384">
            <w:pPr>
              <w:spacing w:after="40"/>
              <w:rPr>
                <w:rFonts w:ascii="Arial" w:hAnsi="Arial" w:cs="Arial"/>
                <w:sz w:val="16"/>
                <w:szCs w:val="16"/>
              </w:rPr>
            </w:pPr>
            <w:r w:rsidRPr="0030490C">
              <w:rPr>
                <w:rFonts w:ascii="Arial" w:hAnsi="Arial" w:cs="Arial"/>
                <w:sz w:val="16"/>
                <w:szCs w:val="16"/>
              </w:rPr>
              <w:t>19 sources: quality assurance across diverse suppliers overwhelmed coordination capabilities; companies retrenched to fewer suppliers</w:t>
            </w:r>
          </w:p>
        </w:tc>
      </w:tr>
      <w:tr w:rsidR="00BB4BB4" w:rsidRPr="00585384" w14:paraId="17ECA7BF" w14:textId="77777777">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F37BAEA" w14:textId="77777777" w:rsidR="00BB4BB4" w:rsidRPr="0030490C" w:rsidRDefault="00000000" w:rsidP="00585384">
            <w:pPr>
              <w:spacing w:after="40"/>
              <w:rPr>
                <w:rFonts w:ascii="Arial" w:hAnsi="Arial" w:cs="Arial"/>
                <w:sz w:val="16"/>
                <w:szCs w:val="16"/>
              </w:rPr>
            </w:pPr>
            <w:r w:rsidRPr="0030490C">
              <w:rPr>
                <w:rFonts w:ascii="Arial" w:hAnsi="Arial" w:cs="Arial"/>
                <w:sz w:val="16"/>
                <w:szCs w:val="16"/>
              </w:rPr>
              <w:t>Barrier</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80A6744" w14:textId="77777777" w:rsidR="00BB4BB4" w:rsidRPr="0030490C" w:rsidRDefault="00000000" w:rsidP="00585384">
            <w:pPr>
              <w:spacing w:after="40"/>
              <w:rPr>
                <w:rFonts w:ascii="Arial" w:hAnsi="Arial" w:cs="Arial"/>
                <w:sz w:val="16"/>
                <w:szCs w:val="16"/>
              </w:rPr>
            </w:pPr>
            <w:r w:rsidRPr="0030490C">
              <w:rPr>
                <w:rFonts w:ascii="Arial" w:hAnsi="Arial" w:cs="Arial"/>
                <w:sz w:val="16"/>
                <w:szCs w:val="16"/>
              </w:rPr>
              <w:t>Technical Capability Gaps</w:t>
            </w:r>
          </w:p>
        </w:tc>
        <w:tc>
          <w:tcPr>
            <w:tcW w:w="54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22887BF" w14:textId="77777777" w:rsidR="00BB4BB4" w:rsidRPr="0030490C" w:rsidRDefault="00000000" w:rsidP="00585384">
            <w:pPr>
              <w:spacing w:after="40"/>
              <w:rPr>
                <w:rFonts w:ascii="Arial" w:hAnsi="Arial" w:cs="Arial"/>
                <w:sz w:val="16"/>
                <w:szCs w:val="16"/>
              </w:rPr>
            </w:pPr>
            <w:r w:rsidRPr="0030490C">
              <w:rPr>
                <w:rFonts w:ascii="Arial" w:hAnsi="Arial" w:cs="Arial"/>
                <w:sz w:val="16"/>
                <w:szCs w:val="16"/>
              </w:rPr>
              <w:t>15 sources: workforce skills limitations in data analytics, digital management, and international logistics</w:t>
            </w:r>
          </w:p>
        </w:tc>
      </w:tr>
      <w:tr w:rsidR="00BB4BB4" w:rsidRPr="00585384" w14:paraId="2EFAAD28" w14:textId="77777777" w:rsidTr="00AC23DC">
        <w:tc>
          <w:tcPr>
            <w:tcW w:w="1200"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20" w:type="dxa"/>
              <w:bottom w:w="80" w:type="dxa"/>
              <w:right w:w="120" w:type="dxa"/>
            </w:tcMar>
          </w:tcPr>
          <w:p w14:paraId="6CEBF984" w14:textId="77777777" w:rsidR="00BB4BB4" w:rsidRPr="0030490C" w:rsidRDefault="00000000" w:rsidP="00585384">
            <w:pPr>
              <w:spacing w:after="40"/>
              <w:rPr>
                <w:rFonts w:ascii="Arial" w:hAnsi="Arial" w:cs="Arial"/>
                <w:sz w:val="16"/>
                <w:szCs w:val="16"/>
              </w:rPr>
            </w:pPr>
            <w:r w:rsidRPr="0030490C">
              <w:rPr>
                <w:rFonts w:ascii="Arial" w:hAnsi="Arial" w:cs="Arial"/>
                <w:sz w:val="16"/>
                <w:szCs w:val="16"/>
              </w:rPr>
              <w:t>Barrier</w:t>
            </w:r>
          </w:p>
        </w:tc>
        <w:tc>
          <w:tcPr>
            <w:tcW w:w="2400"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20" w:type="dxa"/>
              <w:bottom w:w="80" w:type="dxa"/>
              <w:right w:w="120" w:type="dxa"/>
            </w:tcMar>
          </w:tcPr>
          <w:p w14:paraId="33D02075" w14:textId="77777777" w:rsidR="00BB4BB4" w:rsidRPr="0030490C" w:rsidRDefault="00000000" w:rsidP="00585384">
            <w:pPr>
              <w:spacing w:after="40"/>
              <w:rPr>
                <w:rFonts w:ascii="Arial" w:hAnsi="Arial" w:cs="Arial"/>
                <w:sz w:val="16"/>
                <w:szCs w:val="16"/>
              </w:rPr>
            </w:pPr>
            <w:r w:rsidRPr="0030490C">
              <w:rPr>
                <w:rFonts w:ascii="Arial" w:hAnsi="Arial" w:cs="Arial"/>
                <w:sz w:val="16"/>
                <w:szCs w:val="16"/>
              </w:rPr>
              <w:t>Organisational Resistance</w:t>
            </w:r>
          </w:p>
        </w:tc>
        <w:tc>
          <w:tcPr>
            <w:tcW w:w="5426"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20" w:type="dxa"/>
              <w:bottom w:w="80" w:type="dxa"/>
              <w:right w:w="120" w:type="dxa"/>
            </w:tcMar>
          </w:tcPr>
          <w:p w14:paraId="527A0ABC" w14:textId="77777777" w:rsidR="00BB4BB4" w:rsidRPr="0030490C" w:rsidRDefault="00000000" w:rsidP="00585384">
            <w:pPr>
              <w:spacing w:after="40"/>
              <w:rPr>
                <w:rFonts w:ascii="Arial" w:hAnsi="Arial" w:cs="Arial"/>
                <w:sz w:val="16"/>
                <w:szCs w:val="16"/>
              </w:rPr>
            </w:pPr>
            <w:r w:rsidRPr="0030490C">
              <w:rPr>
                <w:rFonts w:ascii="Arial" w:hAnsi="Arial" w:cs="Arial"/>
                <w:sz w:val="16"/>
                <w:szCs w:val="16"/>
              </w:rPr>
              <w:t>12 sources: internal reluctance to change when resilience investments competed with efficiency performance targets</w:t>
            </w:r>
          </w:p>
        </w:tc>
      </w:tr>
      <w:tr w:rsidR="00BB4BB4" w:rsidRPr="00585384" w14:paraId="6E9605FE" w14:textId="77777777">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1D1AFB8" w14:textId="77777777" w:rsidR="00BB4BB4" w:rsidRPr="0030490C" w:rsidRDefault="00000000" w:rsidP="00585384">
            <w:pPr>
              <w:spacing w:after="40"/>
              <w:rPr>
                <w:rFonts w:ascii="Arial" w:hAnsi="Arial" w:cs="Arial"/>
                <w:sz w:val="16"/>
                <w:szCs w:val="16"/>
              </w:rPr>
            </w:pPr>
            <w:r w:rsidRPr="0030490C">
              <w:rPr>
                <w:rFonts w:ascii="Arial" w:hAnsi="Arial" w:cs="Arial"/>
                <w:sz w:val="16"/>
                <w:szCs w:val="16"/>
              </w:rPr>
              <w:t>Enabler</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44F1E07" w14:textId="77777777" w:rsidR="00BB4BB4" w:rsidRPr="0030490C" w:rsidRDefault="00000000" w:rsidP="00585384">
            <w:pPr>
              <w:spacing w:after="40"/>
              <w:rPr>
                <w:rFonts w:ascii="Arial" w:hAnsi="Arial" w:cs="Arial"/>
                <w:sz w:val="16"/>
                <w:szCs w:val="16"/>
              </w:rPr>
            </w:pPr>
            <w:r w:rsidRPr="0030490C">
              <w:rPr>
                <w:rFonts w:ascii="Arial" w:hAnsi="Arial" w:cs="Arial"/>
                <w:sz w:val="16"/>
                <w:szCs w:val="16"/>
              </w:rPr>
              <w:t>Senior Leadership Commitment</w:t>
            </w:r>
          </w:p>
        </w:tc>
        <w:tc>
          <w:tcPr>
            <w:tcW w:w="54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A3FD9DF" w14:textId="77777777" w:rsidR="00BB4BB4" w:rsidRPr="0030490C" w:rsidRDefault="00000000" w:rsidP="00585384">
            <w:pPr>
              <w:spacing w:after="40"/>
              <w:rPr>
                <w:rFonts w:ascii="Arial" w:hAnsi="Arial" w:cs="Arial"/>
                <w:sz w:val="16"/>
                <w:szCs w:val="16"/>
              </w:rPr>
            </w:pPr>
            <w:r w:rsidRPr="0030490C">
              <w:rPr>
                <w:rFonts w:ascii="Arial" w:hAnsi="Arial" w:cs="Arial"/>
                <w:sz w:val="16"/>
                <w:szCs w:val="16"/>
              </w:rPr>
              <w:t>8 case examples: board-level sponsorship provided resource authority and strategic priority signalling</w:t>
            </w:r>
          </w:p>
        </w:tc>
      </w:tr>
      <w:tr w:rsidR="00BB4BB4" w:rsidRPr="00585384" w14:paraId="774D98C7" w14:textId="77777777" w:rsidTr="00AC23DC">
        <w:tc>
          <w:tcPr>
            <w:tcW w:w="1200"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20" w:type="dxa"/>
              <w:bottom w:w="80" w:type="dxa"/>
              <w:right w:w="120" w:type="dxa"/>
            </w:tcMar>
          </w:tcPr>
          <w:p w14:paraId="0C70D424" w14:textId="77777777" w:rsidR="00BB4BB4" w:rsidRPr="0030490C" w:rsidRDefault="00000000" w:rsidP="00585384">
            <w:pPr>
              <w:spacing w:after="40"/>
              <w:rPr>
                <w:rFonts w:ascii="Arial" w:hAnsi="Arial" w:cs="Arial"/>
                <w:sz w:val="16"/>
                <w:szCs w:val="16"/>
              </w:rPr>
            </w:pPr>
            <w:r w:rsidRPr="0030490C">
              <w:rPr>
                <w:rFonts w:ascii="Arial" w:hAnsi="Arial" w:cs="Arial"/>
                <w:sz w:val="16"/>
                <w:szCs w:val="16"/>
              </w:rPr>
              <w:t>Enabler</w:t>
            </w:r>
          </w:p>
        </w:tc>
        <w:tc>
          <w:tcPr>
            <w:tcW w:w="2400"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20" w:type="dxa"/>
              <w:bottom w:w="80" w:type="dxa"/>
              <w:right w:w="120" w:type="dxa"/>
            </w:tcMar>
          </w:tcPr>
          <w:p w14:paraId="5F872E16" w14:textId="77777777" w:rsidR="00BB4BB4" w:rsidRPr="0030490C" w:rsidRDefault="00000000" w:rsidP="00585384">
            <w:pPr>
              <w:spacing w:after="40"/>
              <w:rPr>
                <w:rFonts w:ascii="Arial" w:hAnsi="Arial" w:cs="Arial"/>
                <w:sz w:val="16"/>
                <w:szCs w:val="16"/>
              </w:rPr>
            </w:pPr>
            <w:r w:rsidRPr="0030490C">
              <w:rPr>
                <w:rFonts w:ascii="Arial" w:hAnsi="Arial" w:cs="Arial"/>
                <w:sz w:val="16"/>
                <w:szCs w:val="16"/>
              </w:rPr>
              <w:t>Phased Implementation</w:t>
            </w:r>
          </w:p>
        </w:tc>
        <w:tc>
          <w:tcPr>
            <w:tcW w:w="5426"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20" w:type="dxa"/>
              <w:bottom w:w="80" w:type="dxa"/>
              <w:right w:w="120" w:type="dxa"/>
            </w:tcMar>
          </w:tcPr>
          <w:p w14:paraId="5FFFE6FE" w14:textId="77777777" w:rsidR="00BB4BB4" w:rsidRPr="0030490C" w:rsidRDefault="00000000" w:rsidP="00585384">
            <w:pPr>
              <w:spacing w:after="40"/>
              <w:rPr>
                <w:rFonts w:ascii="Arial" w:hAnsi="Arial" w:cs="Arial"/>
                <w:sz w:val="16"/>
                <w:szCs w:val="16"/>
              </w:rPr>
            </w:pPr>
            <w:r w:rsidRPr="0030490C">
              <w:rPr>
                <w:rFonts w:ascii="Arial" w:hAnsi="Arial" w:cs="Arial"/>
                <w:sz w:val="16"/>
                <w:szCs w:val="16"/>
              </w:rPr>
              <w:t>11 cases: incremental change enabled organisational learning and reduced transformation risk</w:t>
            </w:r>
          </w:p>
        </w:tc>
      </w:tr>
      <w:tr w:rsidR="00BB4BB4" w:rsidRPr="00585384" w14:paraId="228589E9" w14:textId="77777777">
        <w:tc>
          <w:tcPr>
            <w:tcW w:w="1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6EB09D1" w14:textId="77777777" w:rsidR="00BB4BB4" w:rsidRPr="0030490C" w:rsidRDefault="00000000" w:rsidP="00585384">
            <w:pPr>
              <w:spacing w:after="40"/>
              <w:rPr>
                <w:rFonts w:ascii="Arial" w:hAnsi="Arial" w:cs="Arial"/>
                <w:sz w:val="16"/>
                <w:szCs w:val="16"/>
              </w:rPr>
            </w:pPr>
            <w:r w:rsidRPr="0030490C">
              <w:rPr>
                <w:rFonts w:ascii="Arial" w:hAnsi="Arial" w:cs="Arial"/>
                <w:sz w:val="16"/>
                <w:szCs w:val="16"/>
              </w:rPr>
              <w:t>Enabler</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1E49D20" w14:textId="77777777" w:rsidR="00BB4BB4" w:rsidRPr="0030490C" w:rsidRDefault="00000000" w:rsidP="00585384">
            <w:pPr>
              <w:spacing w:after="40"/>
              <w:rPr>
                <w:rFonts w:ascii="Arial" w:hAnsi="Arial" w:cs="Arial"/>
                <w:sz w:val="16"/>
                <w:szCs w:val="16"/>
              </w:rPr>
            </w:pPr>
            <w:r w:rsidRPr="0030490C">
              <w:rPr>
                <w:rFonts w:ascii="Arial" w:hAnsi="Arial" w:cs="Arial"/>
                <w:sz w:val="16"/>
                <w:szCs w:val="16"/>
              </w:rPr>
              <w:t>Industry Collaboration</w:t>
            </w:r>
          </w:p>
        </w:tc>
        <w:tc>
          <w:tcPr>
            <w:tcW w:w="54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A6C9464" w14:textId="77777777" w:rsidR="00BB4BB4" w:rsidRPr="0030490C" w:rsidRDefault="00000000" w:rsidP="00585384">
            <w:pPr>
              <w:spacing w:after="40"/>
              <w:rPr>
                <w:rFonts w:ascii="Arial" w:hAnsi="Arial" w:cs="Arial"/>
                <w:sz w:val="16"/>
                <w:szCs w:val="16"/>
              </w:rPr>
            </w:pPr>
            <w:r w:rsidRPr="0030490C">
              <w:rPr>
                <w:rFonts w:ascii="Arial" w:hAnsi="Arial" w:cs="Arial"/>
                <w:sz w:val="16"/>
                <w:szCs w:val="16"/>
              </w:rPr>
              <w:t>5 cases: shared-cost consortia and collaborative buying groups particularly benefited SMEs</w:t>
            </w:r>
          </w:p>
        </w:tc>
      </w:tr>
    </w:tbl>
    <w:p w14:paraId="7808715B" w14:textId="77777777" w:rsidR="00BB4BB4" w:rsidRPr="0030490C" w:rsidRDefault="00000000" w:rsidP="00585384">
      <w:pPr>
        <w:spacing w:before="80" w:after="240"/>
        <w:rPr>
          <w:rFonts w:ascii="Arial" w:hAnsi="Arial" w:cs="Arial"/>
          <w:sz w:val="16"/>
          <w:szCs w:val="16"/>
        </w:rPr>
      </w:pPr>
      <w:r w:rsidRPr="0030490C">
        <w:rPr>
          <w:rFonts w:ascii="Arial" w:hAnsi="Arial" w:cs="Arial"/>
          <w:b/>
          <w:bCs/>
          <w:i/>
          <w:iCs/>
          <w:sz w:val="16"/>
          <w:szCs w:val="16"/>
        </w:rPr>
        <w:t>Table 3:</w:t>
      </w:r>
      <w:r w:rsidRPr="0030490C">
        <w:rPr>
          <w:rFonts w:ascii="Arial" w:hAnsi="Arial" w:cs="Arial"/>
          <w:i/>
          <w:iCs/>
          <w:sz w:val="16"/>
          <w:szCs w:val="16"/>
        </w:rPr>
        <w:t xml:space="preserve"> Implementation barriers and enablers for supply chain resilience strategies in UK fresh produce</w:t>
      </w:r>
    </w:p>
    <w:p w14:paraId="76F1955C" w14:textId="2F977CD9" w:rsidR="00BB4BB4" w:rsidRPr="00585384" w:rsidRDefault="00000000" w:rsidP="00585384">
      <w:pPr>
        <w:spacing w:after="200" w:line="360" w:lineRule="auto"/>
        <w:rPr>
          <w:rFonts w:ascii="Arial" w:hAnsi="Arial" w:cs="Arial"/>
        </w:rPr>
      </w:pPr>
      <w:r w:rsidRPr="0030490C">
        <w:rPr>
          <w:rFonts w:ascii="Arial" w:hAnsi="Arial" w:cs="Arial"/>
          <w:sz w:val="22"/>
          <w:szCs w:val="22"/>
        </w:rPr>
        <w:t xml:space="preserve">The pattern across these barriers reveals a consistent theme: implementation capability, not strategy selection, most often determined outcomes. Theoretically sound strategies failed without adequate execution, whilst suboptimal but implementable approaches succeeded </w:t>
      </w:r>
      <w:r w:rsidRPr="0030490C">
        <w:rPr>
          <w:rFonts w:ascii="Arial" w:hAnsi="Arial" w:cs="Arial"/>
          <w:sz w:val="22"/>
          <w:szCs w:val="22"/>
        </w:rPr>
        <w:lastRenderedPageBreak/>
        <w:t>through effective execution. This finding has direct implications for resilience theory, which tends to focus on strategy design rather than implementation conditions. For practitioners, it suggests that assessing organisational readiness before selecting a strategy rather than after would substantially improve realisation rates.</w:t>
      </w:r>
    </w:p>
    <w:p w14:paraId="2CFBDA71" w14:textId="77777777" w:rsidR="00BB4BB4" w:rsidRPr="00FF2E55" w:rsidRDefault="00000000" w:rsidP="00585384">
      <w:pPr>
        <w:pStyle w:val="Heading2"/>
        <w:rPr>
          <w:rFonts w:ascii="Arial" w:hAnsi="Arial" w:cs="Arial"/>
          <w:sz w:val="28"/>
          <w:szCs w:val="28"/>
        </w:rPr>
      </w:pPr>
      <w:r w:rsidRPr="00FF2E55">
        <w:rPr>
          <w:rFonts w:ascii="Arial" w:hAnsi="Arial" w:cs="Arial"/>
          <w:sz w:val="28"/>
          <w:szCs w:val="28"/>
        </w:rPr>
        <w:t>4.5 Critical Success Factors and Theoretical Implications (RQ3)</w:t>
      </w:r>
    </w:p>
    <w:p w14:paraId="54F7E9CE" w14:textId="77777777" w:rsidR="00BB4BB4" w:rsidRPr="0030490C" w:rsidRDefault="00000000" w:rsidP="00585384">
      <w:pPr>
        <w:spacing w:after="200" w:line="360" w:lineRule="auto"/>
        <w:rPr>
          <w:rFonts w:ascii="Arial" w:hAnsi="Arial" w:cs="Arial"/>
          <w:sz w:val="22"/>
          <w:szCs w:val="22"/>
        </w:rPr>
      </w:pPr>
      <w:r w:rsidRPr="0030490C">
        <w:rPr>
          <w:rFonts w:ascii="Arial" w:hAnsi="Arial" w:cs="Arial"/>
          <w:sz w:val="22"/>
          <w:szCs w:val="22"/>
        </w:rPr>
        <w:t>This section addresses Research Question 3 by synthesising lessons learned across documentary sources and evaluating how findings challenge or extend existing supply chain resilience frameworks. Five critical success factors emerged from analysis of multiple organisational experiences.</w:t>
      </w:r>
    </w:p>
    <w:p w14:paraId="45D16BFC" w14:textId="77777777" w:rsidR="00BB4BB4" w:rsidRPr="00FF2E55" w:rsidRDefault="00000000" w:rsidP="00585384">
      <w:pPr>
        <w:pStyle w:val="Heading3"/>
        <w:rPr>
          <w:rFonts w:ascii="Arial" w:hAnsi="Arial" w:cs="Arial"/>
          <w:i w:val="0"/>
          <w:iCs w:val="0"/>
          <w:sz w:val="28"/>
          <w:szCs w:val="28"/>
        </w:rPr>
      </w:pPr>
      <w:r w:rsidRPr="00FF2E55">
        <w:rPr>
          <w:rFonts w:ascii="Arial" w:hAnsi="Arial" w:cs="Arial"/>
          <w:i w:val="0"/>
          <w:iCs w:val="0"/>
          <w:sz w:val="28"/>
          <w:szCs w:val="28"/>
        </w:rPr>
        <w:t>4.5.1 Five Critical Success Factors</w:t>
      </w:r>
    </w:p>
    <w:p w14:paraId="0E288ED2" w14:textId="77777777" w:rsidR="00BB4BB4" w:rsidRPr="0030490C" w:rsidRDefault="00000000" w:rsidP="00585384">
      <w:pPr>
        <w:spacing w:after="200" w:line="360" w:lineRule="auto"/>
        <w:rPr>
          <w:rFonts w:ascii="Arial" w:hAnsi="Arial" w:cs="Arial"/>
          <w:sz w:val="22"/>
          <w:szCs w:val="22"/>
        </w:rPr>
      </w:pPr>
      <w:r w:rsidRPr="0030490C">
        <w:rPr>
          <w:rFonts w:ascii="Arial" w:hAnsi="Arial" w:cs="Arial"/>
          <w:sz w:val="22"/>
          <w:szCs w:val="22"/>
        </w:rPr>
        <w:t>Five critical success factors emerged consistently from across the documentary corpus, each carrying both practical and theoretical implications:</w:t>
      </w:r>
    </w:p>
    <w:p w14:paraId="44FBD3D3" w14:textId="6BF2CDF3" w:rsidR="00BB4BB4" w:rsidRPr="00A01B3E" w:rsidRDefault="00A01B3E" w:rsidP="00A01B3E">
      <w:pPr>
        <w:tabs>
          <w:tab w:val="left" w:pos="426"/>
        </w:tabs>
        <w:spacing w:after="160" w:line="360" w:lineRule="auto"/>
        <w:rPr>
          <w:rFonts w:ascii="Arial" w:hAnsi="Arial" w:cs="Arial"/>
          <w:b/>
          <w:bCs/>
          <w:sz w:val="22"/>
          <w:szCs w:val="22"/>
        </w:rPr>
      </w:pPr>
      <w:r>
        <w:rPr>
          <w:rFonts w:ascii="Arial" w:hAnsi="Arial" w:cs="Arial"/>
          <w:b/>
          <w:bCs/>
          <w:sz w:val="22"/>
          <w:szCs w:val="22"/>
        </w:rPr>
        <w:t>1.</w:t>
      </w:r>
      <w:r w:rsidRPr="00A01B3E">
        <w:rPr>
          <w:rFonts w:ascii="Arial" w:hAnsi="Arial" w:cs="Arial"/>
          <w:b/>
          <w:bCs/>
          <w:sz w:val="22"/>
          <w:szCs w:val="22"/>
        </w:rPr>
        <w:t xml:space="preserve">Continuous investment outperforms crisis-driven response: </w:t>
      </w:r>
      <w:r w:rsidRPr="00A01B3E">
        <w:rPr>
          <w:rFonts w:ascii="Arial" w:hAnsi="Arial" w:cs="Arial"/>
          <w:sz w:val="22"/>
          <w:szCs w:val="22"/>
        </w:rPr>
        <w:t>Companies with pre-existing diversification or technology investments weathered the 2023 disruptions more successfully than those attempting reactive adaptation. Supply chain resilience is an ongoing organisational capability, not a crisis-period purchase (Food Foundation, 2023). For practitioners, this means resilience investment must be budgeted and governed continuously, not activated only when disruption occurs.</w:t>
      </w:r>
    </w:p>
    <w:p w14:paraId="0BFA0EB6" w14:textId="77ABD44E" w:rsidR="00BB4BB4" w:rsidRPr="00585384" w:rsidRDefault="00000000" w:rsidP="00312AC3">
      <w:pPr>
        <w:spacing w:after="160" w:line="360" w:lineRule="auto"/>
        <w:rPr>
          <w:rFonts w:ascii="Arial" w:hAnsi="Arial" w:cs="Arial"/>
        </w:rPr>
      </w:pPr>
      <w:r w:rsidRPr="00205832">
        <w:rPr>
          <w:rFonts w:ascii="Arial" w:hAnsi="Arial" w:cs="Arial"/>
          <w:b/>
          <w:bCs/>
          <w:sz w:val="22"/>
          <w:szCs w:val="22"/>
        </w:rPr>
        <w:t>2. Context-specific solutions outperform generic framework application:</w:t>
      </w:r>
      <w:r w:rsidRPr="00585384">
        <w:rPr>
          <w:rFonts w:ascii="Arial" w:hAnsi="Arial" w:cs="Arial"/>
          <w:b/>
          <w:bCs/>
        </w:rPr>
        <w:t xml:space="preserve"> </w:t>
      </w:r>
      <w:r w:rsidRPr="00312AC3">
        <w:rPr>
          <w:rFonts w:ascii="Arial" w:hAnsi="Arial" w:cs="Arial"/>
          <w:sz w:val="22"/>
          <w:szCs w:val="22"/>
        </w:rPr>
        <w:t>Perishability and extreme time sensitivity create constraints that universal resilience models cannot accommodate. Companies developing bespoke strategies acknowledging sector specificities outperformed those applying standard frameworks without adaptation. This directly challenges Christopher and Peck’s (2004) implied universality: biological perishability is not a manageable variable but a non-negotiable design parameter that reshapes the entire logic of resilience strategy a distinction not captured in any prior published framework applied to this context.</w:t>
      </w:r>
    </w:p>
    <w:p w14:paraId="1313136B" w14:textId="02E14B18" w:rsidR="00BB4BB4" w:rsidRPr="00837D49" w:rsidRDefault="00000000" w:rsidP="00312AC3">
      <w:pPr>
        <w:spacing w:after="160" w:line="360" w:lineRule="auto"/>
        <w:rPr>
          <w:rFonts w:ascii="Arial" w:hAnsi="Arial" w:cs="Arial"/>
          <w:b/>
          <w:bCs/>
          <w:sz w:val="22"/>
          <w:szCs w:val="22"/>
        </w:rPr>
      </w:pPr>
      <w:r w:rsidRPr="00837D49">
        <w:rPr>
          <w:rFonts w:ascii="Arial" w:hAnsi="Arial" w:cs="Arial"/>
          <w:b/>
          <w:bCs/>
          <w:sz w:val="22"/>
          <w:szCs w:val="22"/>
        </w:rPr>
        <w:t xml:space="preserve">3. Organisational culture matters as much as strategy: </w:t>
      </w:r>
      <w:r w:rsidRPr="00312AC3">
        <w:rPr>
          <w:rFonts w:ascii="Arial" w:hAnsi="Arial" w:cs="Arial"/>
          <w:sz w:val="22"/>
          <w:szCs w:val="22"/>
        </w:rPr>
        <w:t>Companies where leadership provided consistent resilience priority signals, measurement systems incorporated resilience metrics alongside efficiency measures, and cross-functional teams coordinated initiatives achieved stronger outcomes than those with equivalent strategies but weaker cultural alignment. This implementation dimension receives insufficient attention in strategy-focused resilience literature.</w:t>
      </w:r>
    </w:p>
    <w:p w14:paraId="5DDCA54B" w14:textId="3BCB574F" w:rsidR="00BB4BB4" w:rsidRPr="00837D49" w:rsidRDefault="00000000" w:rsidP="00312AC3">
      <w:pPr>
        <w:spacing w:after="160" w:line="360" w:lineRule="auto"/>
        <w:rPr>
          <w:rFonts w:ascii="Arial" w:hAnsi="Arial" w:cs="Arial"/>
          <w:b/>
          <w:bCs/>
          <w:sz w:val="22"/>
          <w:szCs w:val="22"/>
        </w:rPr>
      </w:pPr>
      <w:r w:rsidRPr="00837D49">
        <w:rPr>
          <w:rFonts w:ascii="Arial" w:hAnsi="Arial" w:cs="Arial"/>
          <w:b/>
          <w:bCs/>
          <w:sz w:val="22"/>
          <w:szCs w:val="22"/>
        </w:rPr>
        <w:lastRenderedPageBreak/>
        <w:t xml:space="preserve">4. Supplier relationships outperform technology as resilience enablers: </w:t>
      </w:r>
      <w:r w:rsidRPr="00312AC3">
        <w:rPr>
          <w:rFonts w:ascii="Arial" w:hAnsi="Arial" w:cs="Arial"/>
          <w:sz w:val="22"/>
          <w:szCs w:val="22"/>
        </w:rPr>
        <w:t xml:space="preserve">Fresh Produce Consortium (2023) member feedback consistently emphasised that strong partnerships characterised by trust, communication, and mutual commitment determined willingness to prioritise supply toward UK buyers during shortages. This challenges the visibility-centric orientation of contemporary resilience </w:t>
      </w:r>
      <w:r w:rsidR="00312AC3" w:rsidRPr="00312AC3">
        <w:rPr>
          <w:rFonts w:ascii="Arial" w:hAnsi="Arial" w:cs="Arial"/>
          <w:sz w:val="22"/>
          <w:szCs w:val="22"/>
        </w:rPr>
        <w:t>thinking</w:t>
      </w:r>
      <w:r w:rsidRPr="00312AC3">
        <w:rPr>
          <w:rFonts w:ascii="Arial" w:hAnsi="Arial" w:cs="Arial"/>
          <w:sz w:val="22"/>
          <w:szCs w:val="22"/>
        </w:rPr>
        <w:t xml:space="preserve"> relational trust provides more equitably accessible resilience than digital traceability infrastructure, particularly for SMEs. Notably, some innovative SMEs with deep, long-standing supplier networks demonstrated resilience comparable to larger firms despite limited technology investment confirming that relationship capital can partially offset capital disadvantage.</w:t>
      </w:r>
    </w:p>
    <w:p w14:paraId="74BE1BA3" w14:textId="79CCAB0F" w:rsidR="00BB4BB4" w:rsidRPr="00837D49" w:rsidRDefault="00000000" w:rsidP="00312AC3">
      <w:pPr>
        <w:spacing w:after="160" w:line="360" w:lineRule="auto"/>
        <w:rPr>
          <w:rFonts w:ascii="Arial" w:hAnsi="Arial" w:cs="Arial"/>
          <w:b/>
          <w:bCs/>
          <w:sz w:val="22"/>
          <w:szCs w:val="22"/>
        </w:rPr>
      </w:pPr>
      <w:r w:rsidRPr="00837D49">
        <w:rPr>
          <w:rFonts w:ascii="Arial" w:hAnsi="Arial" w:cs="Arial"/>
          <w:b/>
          <w:bCs/>
          <w:sz w:val="22"/>
          <w:szCs w:val="22"/>
        </w:rPr>
        <w:t xml:space="preserve">5. Incremental adaptation succeeds where transformation fails: </w:t>
      </w:r>
      <w:r w:rsidRPr="00312AC3">
        <w:rPr>
          <w:rFonts w:ascii="Arial" w:hAnsi="Arial" w:cs="Arial"/>
          <w:sz w:val="22"/>
          <w:szCs w:val="22"/>
        </w:rPr>
        <w:t>Phased, incremental modification achieved more reliable outcomes than radical transformation programmes. Whilst transformation rhetoric appeals strategically, implementation reality favours evolutionary adaptation building on existing capabilities.</w:t>
      </w:r>
    </w:p>
    <w:p w14:paraId="3C3743E9" w14:textId="77D092B3" w:rsidR="00BB4BB4" w:rsidRPr="00312AC3" w:rsidRDefault="00000000" w:rsidP="00585384">
      <w:pPr>
        <w:spacing w:after="200" w:line="360" w:lineRule="auto"/>
        <w:rPr>
          <w:rFonts w:ascii="Arial" w:hAnsi="Arial" w:cs="Arial"/>
          <w:sz w:val="22"/>
          <w:szCs w:val="22"/>
        </w:rPr>
      </w:pPr>
      <w:r w:rsidRPr="00312AC3">
        <w:rPr>
          <w:rFonts w:ascii="Arial" w:hAnsi="Arial" w:cs="Arial"/>
          <w:sz w:val="22"/>
          <w:szCs w:val="22"/>
        </w:rPr>
        <w:t>These five factors are likely transferable beyond UK fresh produce to other perishable food supply chains in concentrated buyer markets including fresh dairy and chilled ready meals</w:t>
      </w:r>
      <w:r w:rsidR="00312AC3">
        <w:rPr>
          <w:rFonts w:ascii="Arial" w:hAnsi="Arial" w:cs="Arial"/>
          <w:sz w:val="22"/>
          <w:szCs w:val="22"/>
        </w:rPr>
        <w:t xml:space="preserve"> </w:t>
      </w:r>
      <w:r w:rsidRPr="00312AC3">
        <w:rPr>
          <w:rFonts w:ascii="Arial" w:hAnsi="Arial" w:cs="Arial"/>
          <w:sz w:val="22"/>
          <w:szCs w:val="22"/>
        </w:rPr>
        <w:t>where perishability and power asymmetry create analogous constraints. The third and fifth factors, relating to culture and incremental adaptation, may have broader applicability to any sector navigating the resilience–efficiency trade-off, regardless of product characteristics.</w:t>
      </w:r>
    </w:p>
    <w:p w14:paraId="2F3519B0" w14:textId="77777777" w:rsidR="00BB4BB4" w:rsidRPr="00FF2E55" w:rsidRDefault="00000000" w:rsidP="00585384">
      <w:pPr>
        <w:pStyle w:val="Heading2"/>
        <w:rPr>
          <w:rFonts w:ascii="Arial" w:hAnsi="Arial" w:cs="Arial"/>
          <w:sz w:val="28"/>
          <w:szCs w:val="28"/>
        </w:rPr>
      </w:pPr>
      <w:r w:rsidRPr="00FF2E55">
        <w:rPr>
          <w:rFonts w:ascii="Arial" w:hAnsi="Arial" w:cs="Arial"/>
          <w:sz w:val="28"/>
          <w:szCs w:val="28"/>
        </w:rPr>
        <w:t>4.6 Integrative Analysis</w:t>
      </w:r>
    </w:p>
    <w:p w14:paraId="232738D3" w14:textId="1A1CA8BC" w:rsidR="00BB4BB4" w:rsidRPr="00312AC3" w:rsidRDefault="00000000" w:rsidP="00585384">
      <w:pPr>
        <w:spacing w:after="200" w:line="360" w:lineRule="auto"/>
        <w:rPr>
          <w:rFonts w:ascii="Arial" w:hAnsi="Arial" w:cs="Arial"/>
          <w:sz w:val="22"/>
          <w:szCs w:val="22"/>
        </w:rPr>
      </w:pPr>
      <w:r w:rsidRPr="00312AC3">
        <w:rPr>
          <w:rFonts w:ascii="Arial" w:hAnsi="Arial" w:cs="Arial"/>
          <w:sz w:val="22"/>
          <w:szCs w:val="22"/>
        </w:rPr>
        <w:t xml:space="preserve">Integrating findings across the three research questions reveals several overarching insights that challenge and extend existing supply chain resilience theory. This research extends supply chain resilience theory by demonstrating, through convergent evidence across over 50 sources, that the limitations of manufacturing-derived frameworks are not peripheral complications amenable to minor adaptation but structural incompatibilities that require fundamental </w:t>
      </w:r>
      <w:proofErr w:type="spellStart"/>
      <w:r w:rsidRPr="00312AC3">
        <w:rPr>
          <w:rFonts w:ascii="Arial" w:hAnsi="Arial" w:cs="Arial"/>
          <w:sz w:val="22"/>
          <w:szCs w:val="22"/>
        </w:rPr>
        <w:t>reconceptualisation</w:t>
      </w:r>
      <w:proofErr w:type="spellEnd"/>
      <w:r w:rsidRPr="00312AC3">
        <w:rPr>
          <w:rFonts w:ascii="Arial" w:hAnsi="Arial" w:cs="Arial"/>
          <w:sz w:val="22"/>
          <w:szCs w:val="22"/>
        </w:rPr>
        <w:t xml:space="preserve"> for perishable goods contexts. Unlike prior work which has noted these limitations in agri-food literature without systematically evidencing them across multiple source types and disruption scenarios these findings establish that biological perishability functions as a non-negotiable design parameter that reshapes the entire strategic logic of resilience, not merely specific tactical prescriptions within otherwise applicable frameworks.</w:t>
      </w:r>
    </w:p>
    <w:p w14:paraId="32BBBFDC" w14:textId="7EF007F8" w:rsidR="00BB4BB4" w:rsidRPr="00312AC3" w:rsidRDefault="00000000" w:rsidP="00585384">
      <w:pPr>
        <w:spacing w:after="200" w:line="360" w:lineRule="auto"/>
        <w:rPr>
          <w:rFonts w:ascii="Arial" w:hAnsi="Arial" w:cs="Arial"/>
          <w:sz w:val="22"/>
          <w:szCs w:val="22"/>
        </w:rPr>
      </w:pPr>
      <w:r w:rsidRPr="00312AC3">
        <w:rPr>
          <w:rFonts w:ascii="Arial" w:hAnsi="Arial" w:cs="Arial"/>
          <w:sz w:val="22"/>
          <w:szCs w:val="22"/>
        </w:rPr>
        <w:t xml:space="preserve">Specifically, Christopher and Peck’s (2004) framework embeds assumptions about inventory redundancy as safety stock and flexibility through buffer utilisation that fundamentally contradict fresh produce realities where biological deterioration proceeds </w:t>
      </w:r>
      <w:r w:rsidR="00312AC3" w:rsidRPr="00312AC3">
        <w:rPr>
          <w:rFonts w:ascii="Arial" w:hAnsi="Arial" w:cs="Arial"/>
          <w:sz w:val="22"/>
          <w:szCs w:val="22"/>
        </w:rPr>
        <w:t>inexorably,</w:t>
      </w:r>
      <w:r w:rsidRPr="00312AC3">
        <w:rPr>
          <w:rFonts w:ascii="Arial" w:hAnsi="Arial" w:cs="Arial"/>
          <w:sz w:val="22"/>
          <w:szCs w:val="22"/>
        </w:rPr>
        <w:t xml:space="preserve"> and inventory represents a depreciating rather than protecting asset. Manufacturing-derived </w:t>
      </w:r>
      <w:r w:rsidRPr="00312AC3">
        <w:rPr>
          <w:rFonts w:ascii="Arial" w:hAnsi="Arial" w:cs="Arial"/>
          <w:sz w:val="22"/>
          <w:szCs w:val="22"/>
        </w:rPr>
        <w:lastRenderedPageBreak/>
        <w:t>frameworks systematically privilege product characteristics such as stability and storability whilst marginalising perishability, time-sensitivity, and quality variability, revealing theoretical blind spots that have sustained academic attention despite the sector’s practical urgency.</w:t>
      </w:r>
    </w:p>
    <w:p w14:paraId="67BC2027" w14:textId="00C8EFBB" w:rsidR="00BB4BB4" w:rsidRPr="00312AC3" w:rsidRDefault="00000000" w:rsidP="00585384">
      <w:pPr>
        <w:spacing w:after="200" w:line="360" w:lineRule="auto"/>
        <w:rPr>
          <w:rFonts w:ascii="Arial" w:hAnsi="Arial" w:cs="Arial"/>
          <w:sz w:val="22"/>
          <w:szCs w:val="22"/>
        </w:rPr>
      </w:pPr>
      <w:r w:rsidRPr="00312AC3">
        <w:rPr>
          <w:rFonts w:ascii="Arial" w:hAnsi="Arial" w:cs="Arial"/>
          <w:sz w:val="22"/>
          <w:szCs w:val="22"/>
        </w:rPr>
        <w:t>Second, the resilience–efficiency paradox documented in the RQ2</w:t>
      </w:r>
      <w:r w:rsidR="00AC23DC">
        <w:rPr>
          <w:rFonts w:ascii="Arial" w:hAnsi="Arial" w:cs="Arial"/>
          <w:sz w:val="22"/>
          <w:szCs w:val="22"/>
        </w:rPr>
        <w:t>:</w:t>
      </w:r>
      <w:r w:rsidRPr="00312AC3">
        <w:rPr>
          <w:rFonts w:ascii="Arial" w:hAnsi="Arial" w:cs="Arial"/>
          <w:sz w:val="22"/>
          <w:szCs w:val="22"/>
        </w:rPr>
        <w:t xml:space="preserve"> </w:t>
      </w:r>
      <w:r w:rsidR="00AC23DC">
        <w:rPr>
          <w:rFonts w:ascii="Arial" w:hAnsi="Arial" w:cs="Arial"/>
          <w:sz w:val="22"/>
          <w:szCs w:val="22"/>
        </w:rPr>
        <w:t>A</w:t>
      </w:r>
      <w:r w:rsidRPr="00312AC3">
        <w:rPr>
          <w:rFonts w:ascii="Arial" w:hAnsi="Arial" w:cs="Arial"/>
          <w:sz w:val="22"/>
          <w:szCs w:val="22"/>
        </w:rPr>
        <w:t xml:space="preserve">nalysis reveals a fundamental tension more intractable than existing literature acknowledges. Whilst Ivanov and </w:t>
      </w:r>
      <w:proofErr w:type="spellStart"/>
      <w:r w:rsidRPr="00312AC3">
        <w:rPr>
          <w:rFonts w:ascii="Arial" w:hAnsi="Arial" w:cs="Arial"/>
          <w:sz w:val="22"/>
          <w:szCs w:val="22"/>
        </w:rPr>
        <w:t>Dolgui</w:t>
      </w:r>
      <w:proofErr w:type="spellEnd"/>
      <w:r w:rsidRPr="00312AC3">
        <w:rPr>
          <w:rFonts w:ascii="Arial" w:hAnsi="Arial" w:cs="Arial"/>
          <w:sz w:val="22"/>
          <w:szCs w:val="22"/>
        </w:rPr>
        <w:t xml:space="preserve"> (2020) recognise investment justification challenges, documentary evidence from the competitive UK retail environment demonstrates how market dynamics amplify these challenges such that resilience investments create not merely opportunity costs but competitive disadvantage risks. This ‘prisoner’s dilemma’ means that while it is collectively rational for firms to invest in resilience, individual actors are penalised for doing so unless others follow. This dynamic underscores the need for policy intervention, as market mechanisms alone are unlikely to achieve optimal sector-wide resilience. For policymakers, this is a clear signal that voluntary industry commitments to resilience will remain structurally insufficient without coordinated standards, shared infrastructure investment, or targeted subsidy.</w:t>
      </w:r>
    </w:p>
    <w:p w14:paraId="372A7214" w14:textId="02310E70" w:rsidR="00BB4BB4" w:rsidRPr="00312AC3" w:rsidRDefault="00000000" w:rsidP="00585384">
      <w:pPr>
        <w:spacing w:after="200" w:line="360" w:lineRule="auto"/>
        <w:rPr>
          <w:rFonts w:ascii="Arial" w:hAnsi="Arial" w:cs="Arial"/>
          <w:sz w:val="22"/>
          <w:szCs w:val="22"/>
        </w:rPr>
      </w:pPr>
      <w:r w:rsidRPr="00312AC3">
        <w:rPr>
          <w:rFonts w:ascii="Arial" w:hAnsi="Arial" w:cs="Arial"/>
          <w:sz w:val="22"/>
          <w:szCs w:val="22"/>
        </w:rPr>
        <w:t>Third, implementation barriers suggest a gap between theoretical prescription and practical possibility. Resilience literature excels at identifying what should be done whilst providing limited guidance on how to do it given real-world constraints of capital scarcity, capability limitations, and competitive pressures. This implementation gap is not merely a practical inconvenience but a theoretical problem: resilience frameworks that cannot account for the conditions under which their prescriptions are feasible are incomplete as analytical tools. Fourth, the organisational size stratification documented in the RQ1</w:t>
      </w:r>
      <w:r w:rsidR="00AC23DC">
        <w:rPr>
          <w:rFonts w:ascii="Arial" w:hAnsi="Arial" w:cs="Arial"/>
          <w:sz w:val="22"/>
          <w:szCs w:val="22"/>
        </w:rPr>
        <w:t>:</w:t>
      </w:r>
      <w:r w:rsidRPr="00312AC3">
        <w:rPr>
          <w:rFonts w:ascii="Arial" w:hAnsi="Arial" w:cs="Arial"/>
          <w:sz w:val="22"/>
          <w:szCs w:val="22"/>
        </w:rPr>
        <w:t xml:space="preserve"> </w:t>
      </w:r>
      <w:r w:rsidR="00AC23DC">
        <w:rPr>
          <w:rFonts w:ascii="Arial" w:hAnsi="Arial" w:cs="Arial"/>
          <w:sz w:val="22"/>
          <w:szCs w:val="22"/>
        </w:rPr>
        <w:t>A</w:t>
      </w:r>
      <w:r w:rsidRPr="00312AC3">
        <w:rPr>
          <w:rFonts w:ascii="Arial" w:hAnsi="Arial" w:cs="Arial"/>
          <w:sz w:val="22"/>
          <w:szCs w:val="22"/>
        </w:rPr>
        <w:t>nalysis reveals that improving average sectoral resilience through market-driven adaptation may paradoxically reduce the diversity and competition that itself contributes to systemic resilience at the sector level a second-order effect that policy focused solely on individual firm resilience would miss entirely. These four integrative insights collectively demonstrate that UK fresh produce supply chain resilience is as much a governance challenge as a management one.</w:t>
      </w:r>
    </w:p>
    <w:p w14:paraId="7267310B" w14:textId="77777777" w:rsidR="00BB4BB4" w:rsidRPr="00FF2E55" w:rsidRDefault="00000000" w:rsidP="00585384">
      <w:pPr>
        <w:pStyle w:val="Heading2"/>
        <w:rPr>
          <w:rFonts w:ascii="Arial" w:hAnsi="Arial" w:cs="Arial"/>
          <w:sz w:val="28"/>
          <w:szCs w:val="28"/>
        </w:rPr>
      </w:pPr>
      <w:r w:rsidRPr="00FF2E55">
        <w:rPr>
          <w:rFonts w:ascii="Arial" w:hAnsi="Arial" w:cs="Arial"/>
          <w:sz w:val="28"/>
          <w:szCs w:val="28"/>
        </w:rPr>
        <w:t>4.7 Chapter Summary</w:t>
      </w:r>
    </w:p>
    <w:p w14:paraId="7BD173A5" w14:textId="42A1C7AE" w:rsidR="00BB4BB4" w:rsidRPr="00312AC3" w:rsidRDefault="00000000" w:rsidP="00585384">
      <w:pPr>
        <w:spacing w:after="200" w:line="360" w:lineRule="auto"/>
        <w:rPr>
          <w:rFonts w:ascii="Arial" w:hAnsi="Arial" w:cs="Arial"/>
          <w:sz w:val="22"/>
          <w:szCs w:val="22"/>
        </w:rPr>
      </w:pPr>
      <w:r w:rsidRPr="00312AC3">
        <w:rPr>
          <w:rFonts w:ascii="Arial" w:hAnsi="Arial" w:cs="Arial"/>
          <w:sz w:val="22"/>
          <w:szCs w:val="22"/>
        </w:rPr>
        <w:t>This chapter synthesised documentary evidence from over 50 sources addressing all three research questions through thematic analysis integrated with critical discussion. RQ1</w:t>
      </w:r>
      <w:r w:rsidR="00AC23DC">
        <w:rPr>
          <w:rFonts w:ascii="Arial" w:hAnsi="Arial" w:cs="Arial"/>
          <w:sz w:val="22"/>
          <w:szCs w:val="22"/>
        </w:rPr>
        <w:t>:</w:t>
      </w:r>
      <w:r w:rsidRPr="00312AC3">
        <w:rPr>
          <w:rFonts w:ascii="Arial" w:hAnsi="Arial" w:cs="Arial"/>
          <w:sz w:val="22"/>
          <w:szCs w:val="22"/>
        </w:rPr>
        <w:t xml:space="preserve"> </w:t>
      </w:r>
      <w:r w:rsidR="00AC23DC">
        <w:rPr>
          <w:rFonts w:ascii="Arial" w:hAnsi="Arial" w:cs="Arial"/>
          <w:sz w:val="22"/>
          <w:szCs w:val="22"/>
        </w:rPr>
        <w:t>F</w:t>
      </w:r>
      <w:r w:rsidRPr="00312AC3">
        <w:rPr>
          <w:rFonts w:ascii="Arial" w:hAnsi="Arial" w:cs="Arial"/>
          <w:sz w:val="22"/>
          <w:szCs w:val="22"/>
        </w:rPr>
        <w:t>indings demonstrated that Brexit, COVID-19, and the 2022–2023 energy-weather crisis convergence created compounding supply chain disruptions exposing systemic vulnerabilities, with three dominant strategies supplier diversification, nearshoring, and technology adoption documented with varying implementation success and significant organisational size differences in approach.</w:t>
      </w:r>
    </w:p>
    <w:p w14:paraId="2D4E7C80" w14:textId="70612F84" w:rsidR="00BB4BB4" w:rsidRPr="00312AC3" w:rsidRDefault="00000000" w:rsidP="00585384">
      <w:pPr>
        <w:spacing w:after="200" w:line="360" w:lineRule="auto"/>
        <w:rPr>
          <w:rFonts w:ascii="Arial" w:hAnsi="Arial" w:cs="Arial"/>
          <w:sz w:val="22"/>
          <w:szCs w:val="22"/>
        </w:rPr>
      </w:pPr>
      <w:r w:rsidRPr="00312AC3">
        <w:rPr>
          <w:rFonts w:ascii="Arial" w:hAnsi="Arial" w:cs="Arial"/>
          <w:sz w:val="22"/>
          <w:szCs w:val="22"/>
        </w:rPr>
        <w:lastRenderedPageBreak/>
        <w:t>RQ2</w:t>
      </w:r>
      <w:r w:rsidR="00AC23DC">
        <w:rPr>
          <w:rFonts w:ascii="Arial" w:hAnsi="Arial" w:cs="Arial"/>
          <w:sz w:val="22"/>
          <w:szCs w:val="22"/>
        </w:rPr>
        <w:t>:</w:t>
      </w:r>
      <w:r w:rsidRPr="00312AC3">
        <w:rPr>
          <w:rFonts w:ascii="Arial" w:hAnsi="Arial" w:cs="Arial"/>
          <w:sz w:val="22"/>
          <w:szCs w:val="22"/>
        </w:rPr>
        <w:t xml:space="preserve"> </w:t>
      </w:r>
      <w:r w:rsidR="00AC23DC">
        <w:rPr>
          <w:rFonts w:ascii="Arial" w:hAnsi="Arial" w:cs="Arial"/>
          <w:sz w:val="22"/>
          <w:szCs w:val="22"/>
        </w:rPr>
        <w:t>F</w:t>
      </w:r>
      <w:r w:rsidRPr="00312AC3">
        <w:rPr>
          <w:rFonts w:ascii="Arial" w:hAnsi="Arial" w:cs="Arial"/>
          <w:sz w:val="22"/>
          <w:szCs w:val="22"/>
        </w:rPr>
        <w:t>indings revealed the resilience–efficiency paradox showing persistent tension between rhetorical commitments and operational prioritisation, whilst implementation barriers including capital requirements, relationship complexity, technical capability gaps, and organisational resistance proved as consequential as strategy selection itself. RQ3</w:t>
      </w:r>
      <w:r w:rsidR="00AC23DC">
        <w:rPr>
          <w:rFonts w:ascii="Arial" w:hAnsi="Arial" w:cs="Arial"/>
          <w:sz w:val="22"/>
          <w:szCs w:val="22"/>
        </w:rPr>
        <w:t>:</w:t>
      </w:r>
      <w:r w:rsidRPr="00312AC3">
        <w:rPr>
          <w:rFonts w:ascii="Arial" w:hAnsi="Arial" w:cs="Arial"/>
          <w:sz w:val="22"/>
          <w:szCs w:val="22"/>
        </w:rPr>
        <w:t xml:space="preserve"> </w:t>
      </w:r>
      <w:r w:rsidR="00AC23DC">
        <w:rPr>
          <w:rFonts w:ascii="Arial" w:hAnsi="Arial" w:cs="Arial"/>
          <w:sz w:val="22"/>
          <w:szCs w:val="22"/>
        </w:rPr>
        <w:t>F</w:t>
      </w:r>
      <w:r w:rsidRPr="00312AC3">
        <w:rPr>
          <w:rFonts w:ascii="Arial" w:hAnsi="Arial" w:cs="Arial"/>
          <w:sz w:val="22"/>
          <w:szCs w:val="22"/>
        </w:rPr>
        <w:t>indings synthesised five critical success factors emphasising continuous investment, context-specificity, cultural alignment, relationship value, and incremental adaptation, whilst theoretical evaluation challenged standard framework applicability to perishable goods contexts. Integrative analysis demonstrates that UK fresh produce supply chain resilience requires context-specific strategies, ongoing investment, organisational commitment, and potentially policy intervention addressing market failures that individual companies cannot resolve. Standard manufacturing-derived frameworks prove inadequate; perishable goods demand fundamentally different supply chain resilience conceptualisations acknowledging biological perishability as a non-negotiable design parameter rather than a manageable constraint.</w:t>
      </w:r>
    </w:p>
    <w:p w14:paraId="370B0235" w14:textId="3866DB80" w:rsidR="00BB4BB4" w:rsidRDefault="00000000" w:rsidP="00585384">
      <w:pPr>
        <w:spacing w:after="200" w:line="360" w:lineRule="auto"/>
        <w:rPr>
          <w:rFonts w:ascii="Arial" w:hAnsi="Arial" w:cs="Arial"/>
          <w:sz w:val="22"/>
          <w:szCs w:val="22"/>
        </w:rPr>
      </w:pPr>
      <w:r w:rsidRPr="00312AC3">
        <w:rPr>
          <w:rFonts w:ascii="Arial" w:hAnsi="Arial" w:cs="Arial"/>
          <w:sz w:val="22"/>
          <w:szCs w:val="22"/>
        </w:rPr>
        <w:t>Taken together, the findings from across all three research questions point toward a consistent central conclusion: the most significant barriers to UK fresh produce supply chain resilience are not a lack of strategic awareness but the structural conditions concentrated buyer power, energy cost volatility, post-Brexit regulatory friction, and capital scarcity among SMEs that make individually rational efficiency prioritisation collectively damaging. This conclusion directly frames the evidence-based recommendations presented in Chapter 5.</w:t>
      </w:r>
    </w:p>
    <w:p w14:paraId="6300D7F0" w14:textId="77777777" w:rsidR="001403A4" w:rsidRDefault="001403A4" w:rsidP="00585384">
      <w:pPr>
        <w:spacing w:after="200" w:line="360" w:lineRule="auto"/>
        <w:rPr>
          <w:rFonts w:ascii="Arial" w:hAnsi="Arial" w:cs="Arial"/>
          <w:sz w:val="22"/>
          <w:szCs w:val="22"/>
        </w:rPr>
      </w:pPr>
    </w:p>
    <w:p w14:paraId="0138D76E" w14:textId="77777777" w:rsidR="001403A4" w:rsidRDefault="001403A4" w:rsidP="00585384">
      <w:pPr>
        <w:spacing w:after="200" w:line="360" w:lineRule="auto"/>
        <w:rPr>
          <w:rFonts w:ascii="Arial" w:hAnsi="Arial" w:cs="Arial"/>
          <w:sz w:val="22"/>
          <w:szCs w:val="22"/>
        </w:rPr>
      </w:pPr>
    </w:p>
    <w:p w14:paraId="1F949649" w14:textId="77777777" w:rsidR="001403A4" w:rsidRDefault="001403A4" w:rsidP="00585384">
      <w:pPr>
        <w:spacing w:after="200" w:line="360" w:lineRule="auto"/>
        <w:rPr>
          <w:rFonts w:ascii="Arial" w:hAnsi="Arial" w:cs="Arial"/>
          <w:sz w:val="22"/>
          <w:szCs w:val="22"/>
        </w:rPr>
      </w:pPr>
    </w:p>
    <w:p w14:paraId="5EC77545" w14:textId="77777777" w:rsidR="001403A4" w:rsidRDefault="001403A4" w:rsidP="00585384">
      <w:pPr>
        <w:spacing w:after="200" w:line="360" w:lineRule="auto"/>
        <w:rPr>
          <w:rFonts w:ascii="Arial" w:hAnsi="Arial" w:cs="Arial"/>
          <w:sz w:val="22"/>
          <w:szCs w:val="22"/>
        </w:rPr>
      </w:pPr>
    </w:p>
    <w:p w14:paraId="5E8EF6B9" w14:textId="77777777" w:rsidR="001403A4" w:rsidRDefault="001403A4" w:rsidP="00585384">
      <w:pPr>
        <w:spacing w:after="200" w:line="360" w:lineRule="auto"/>
        <w:rPr>
          <w:rFonts w:ascii="Arial" w:hAnsi="Arial" w:cs="Arial"/>
          <w:sz w:val="22"/>
          <w:szCs w:val="22"/>
        </w:rPr>
      </w:pPr>
    </w:p>
    <w:p w14:paraId="53EB1A7A" w14:textId="77777777" w:rsidR="001403A4" w:rsidRDefault="001403A4" w:rsidP="00585384">
      <w:pPr>
        <w:spacing w:after="200" w:line="360" w:lineRule="auto"/>
        <w:rPr>
          <w:rFonts w:ascii="Arial" w:hAnsi="Arial" w:cs="Arial"/>
          <w:sz w:val="22"/>
          <w:szCs w:val="22"/>
        </w:rPr>
      </w:pPr>
    </w:p>
    <w:p w14:paraId="71966AC9" w14:textId="77777777" w:rsidR="001403A4" w:rsidRDefault="001403A4" w:rsidP="00585384">
      <w:pPr>
        <w:spacing w:after="200" w:line="360" w:lineRule="auto"/>
        <w:rPr>
          <w:rFonts w:ascii="Arial" w:hAnsi="Arial" w:cs="Arial"/>
          <w:sz w:val="22"/>
          <w:szCs w:val="22"/>
        </w:rPr>
      </w:pPr>
    </w:p>
    <w:p w14:paraId="31086137" w14:textId="77777777" w:rsidR="001403A4" w:rsidRDefault="001403A4" w:rsidP="00585384">
      <w:pPr>
        <w:spacing w:after="200" w:line="360" w:lineRule="auto"/>
        <w:rPr>
          <w:rFonts w:ascii="Arial" w:hAnsi="Arial" w:cs="Arial"/>
          <w:sz w:val="22"/>
          <w:szCs w:val="22"/>
        </w:rPr>
      </w:pPr>
    </w:p>
    <w:p w14:paraId="1F3A8771" w14:textId="77777777" w:rsidR="001403A4" w:rsidRDefault="001403A4" w:rsidP="00585384">
      <w:pPr>
        <w:spacing w:after="200" w:line="360" w:lineRule="auto"/>
        <w:rPr>
          <w:rFonts w:ascii="Arial" w:hAnsi="Arial" w:cs="Arial"/>
          <w:sz w:val="22"/>
          <w:szCs w:val="22"/>
        </w:rPr>
      </w:pPr>
    </w:p>
    <w:p w14:paraId="4F6D3BC2" w14:textId="77777777" w:rsidR="001403A4" w:rsidRPr="00312AC3" w:rsidRDefault="001403A4" w:rsidP="00585384">
      <w:pPr>
        <w:spacing w:after="200" w:line="360" w:lineRule="auto"/>
        <w:rPr>
          <w:rFonts w:ascii="Arial" w:hAnsi="Arial" w:cs="Arial"/>
          <w:sz w:val="22"/>
          <w:szCs w:val="22"/>
        </w:rPr>
      </w:pPr>
    </w:p>
    <w:p w14:paraId="5CE4A6A4" w14:textId="77777777" w:rsidR="00BB4BB4" w:rsidRPr="00FF2E55" w:rsidRDefault="00000000" w:rsidP="00585384">
      <w:pPr>
        <w:pStyle w:val="Heading1"/>
        <w:rPr>
          <w:rFonts w:ascii="Arial" w:hAnsi="Arial" w:cs="Arial"/>
          <w:sz w:val="32"/>
          <w:szCs w:val="32"/>
        </w:rPr>
      </w:pPr>
      <w:r w:rsidRPr="00FF2E55">
        <w:rPr>
          <w:rFonts w:ascii="Arial" w:hAnsi="Arial" w:cs="Arial"/>
          <w:sz w:val="32"/>
          <w:szCs w:val="32"/>
        </w:rPr>
        <w:lastRenderedPageBreak/>
        <w:t>Chapter 5: Recommendations, Conclusion, and Limitations</w:t>
      </w:r>
    </w:p>
    <w:p w14:paraId="4AD9C83B" w14:textId="77777777" w:rsidR="00BB4BB4" w:rsidRPr="00FF2E55" w:rsidRDefault="00000000" w:rsidP="00585384">
      <w:pPr>
        <w:pStyle w:val="Heading2"/>
        <w:rPr>
          <w:rFonts w:ascii="Arial" w:hAnsi="Arial" w:cs="Arial"/>
          <w:sz w:val="28"/>
          <w:szCs w:val="28"/>
        </w:rPr>
      </w:pPr>
      <w:r w:rsidRPr="00FF2E55">
        <w:rPr>
          <w:rFonts w:ascii="Arial" w:hAnsi="Arial" w:cs="Arial"/>
          <w:sz w:val="28"/>
          <w:szCs w:val="28"/>
        </w:rPr>
        <w:t>5.1 Evidence-Based Recommendations</w:t>
      </w:r>
    </w:p>
    <w:p w14:paraId="1FE3536E" w14:textId="77777777" w:rsidR="00BB4BB4" w:rsidRPr="00FF2E55" w:rsidRDefault="00000000" w:rsidP="00585384">
      <w:pPr>
        <w:pStyle w:val="Heading3"/>
        <w:rPr>
          <w:rFonts w:ascii="Arial" w:hAnsi="Arial" w:cs="Arial"/>
          <w:i w:val="0"/>
          <w:iCs w:val="0"/>
          <w:sz w:val="28"/>
          <w:szCs w:val="28"/>
        </w:rPr>
      </w:pPr>
      <w:r w:rsidRPr="00FF2E55">
        <w:rPr>
          <w:rFonts w:ascii="Arial" w:hAnsi="Arial" w:cs="Arial"/>
          <w:i w:val="0"/>
          <w:iCs w:val="0"/>
          <w:sz w:val="28"/>
          <w:szCs w:val="28"/>
        </w:rPr>
        <w:t>5.1.1 For Large Corporations</w:t>
      </w:r>
    </w:p>
    <w:p w14:paraId="6F046E30" w14:textId="77777777" w:rsidR="00BB4BB4" w:rsidRPr="00312AC3" w:rsidRDefault="00000000" w:rsidP="00585384">
      <w:pPr>
        <w:spacing w:after="200" w:line="360" w:lineRule="auto"/>
        <w:rPr>
          <w:rFonts w:ascii="Arial" w:hAnsi="Arial" w:cs="Arial"/>
          <w:sz w:val="22"/>
          <w:szCs w:val="22"/>
        </w:rPr>
      </w:pPr>
      <w:r w:rsidRPr="00312AC3">
        <w:rPr>
          <w:rFonts w:ascii="Arial" w:hAnsi="Arial" w:cs="Arial"/>
          <w:sz w:val="22"/>
          <w:szCs w:val="22"/>
        </w:rPr>
        <w:t>Large corporations should first invest in supplier relationship management systems before pursuing geographic diversification (Section 4.3.1), since documentary evidence identified relationship complexity as the primary diversification barrier. Phased supplier diversification beginning with a 20% volume reallocation is preferable to wholesale transformation. Dedicated supply chain risk management functions with board-level authority to override cost mandates during high-risk periods are necessary to resolve the resilience–efficiency paradox (Section 4.4). Performance measurement systems must incorporate resilience metrics alongside efficiency measures to make supply chain resilience a genuine organisational priority.</w:t>
      </w:r>
    </w:p>
    <w:p w14:paraId="18040F5E" w14:textId="77777777" w:rsidR="00BB4BB4" w:rsidRPr="00FF2E55" w:rsidRDefault="00000000" w:rsidP="00585384">
      <w:pPr>
        <w:pStyle w:val="Heading3"/>
        <w:rPr>
          <w:rFonts w:ascii="Arial" w:hAnsi="Arial" w:cs="Arial"/>
          <w:i w:val="0"/>
          <w:iCs w:val="0"/>
          <w:sz w:val="28"/>
          <w:szCs w:val="28"/>
        </w:rPr>
      </w:pPr>
      <w:r w:rsidRPr="00FF2E55">
        <w:rPr>
          <w:rFonts w:ascii="Arial" w:hAnsi="Arial" w:cs="Arial"/>
          <w:i w:val="0"/>
          <w:iCs w:val="0"/>
          <w:sz w:val="28"/>
          <w:szCs w:val="28"/>
        </w:rPr>
        <w:t>5.1.2 For Small and Medium Enterprises</w:t>
      </w:r>
    </w:p>
    <w:p w14:paraId="6ECE3A39" w14:textId="77777777" w:rsidR="00BB4BB4" w:rsidRPr="00312AC3" w:rsidRDefault="00000000" w:rsidP="00585384">
      <w:pPr>
        <w:spacing w:after="200" w:line="360" w:lineRule="auto"/>
        <w:rPr>
          <w:rFonts w:ascii="Arial" w:hAnsi="Arial" w:cs="Arial"/>
          <w:sz w:val="22"/>
          <w:szCs w:val="22"/>
        </w:rPr>
      </w:pPr>
      <w:r w:rsidRPr="00312AC3">
        <w:rPr>
          <w:rFonts w:ascii="Arial" w:hAnsi="Arial" w:cs="Arial"/>
          <w:sz w:val="22"/>
          <w:szCs w:val="22"/>
        </w:rPr>
        <w:t>SMEs should join industry collaborative buying groups as the most cost-effective route to diversification (Section 4.3.4), aggregating purchasing power they cannot achieve individually. Relationship-based resilience offers SMEs a competitive advantage over larger organisations: personal supplier attention and long-term commitment signals create supply prioritisation during shortages that digital platforms cannot substitute. SMEs should leverage low-cost industry association platforms for visibility rather than investing in proprietary systems sized for enterprise volumes. The principal feasibility barrier across SME recommendations is awareness and access; industry associations and policymakers share responsibility for targeted outreach and accessible support.</w:t>
      </w:r>
    </w:p>
    <w:p w14:paraId="789C9BEF" w14:textId="77777777" w:rsidR="00BB4BB4" w:rsidRPr="00FF2E55" w:rsidRDefault="00000000" w:rsidP="00585384">
      <w:pPr>
        <w:pStyle w:val="Heading3"/>
        <w:rPr>
          <w:rFonts w:ascii="Arial" w:hAnsi="Arial" w:cs="Arial"/>
          <w:i w:val="0"/>
          <w:iCs w:val="0"/>
          <w:sz w:val="28"/>
          <w:szCs w:val="28"/>
        </w:rPr>
      </w:pPr>
      <w:r w:rsidRPr="00FF2E55">
        <w:rPr>
          <w:rFonts w:ascii="Arial" w:hAnsi="Arial" w:cs="Arial"/>
          <w:i w:val="0"/>
          <w:iCs w:val="0"/>
          <w:sz w:val="28"/>
          <w:szCs w:val="28"/>
        </w:rPr>
        <w:t>5.1.3 For Policymakers</w:t>
      </w:r>
    </w:p>
    <w:p w14:paraId="2B170A26" w14:textId="4DC3D967" w:rsidR="00BB4BB4" w:rsidRPr="00585384" w:rsidRDefault="00000000" w:rsidP="00585384">
      <w:pPr>
        <w:spacing w:after="200" w:line="360" w:lineRule="auto"/>
        <w:rPr>
          <w:rFonts w:ascii="Arial" w:hAnsi="Arial" w:cs="Arial"/>
        </w:rPr>
      </w:pPr>
      <w:r w:rsidRPr="00A414A4">
        <w:rPr>
          <w:rFonts w:ascii="Arial" w:hAnsi="Arial" w:cs="Arial"/>
          <w:sz w:val="22"/>
          <w:szCs w:val="22"/>
        </w:rPr>
        <w:t>Immediate priority: establishing risk-based green lanes at borders for pre-approved fresh produce importers, reducing delays from 12</w:t>
      </w:r>
      <w:r w:rsidR="00F61B71">
        <w:rPr>
          <w:rFonts w:ascii="Arial" w:hAnsi="Arial" w:cs="Arial"/>
          <w:sz w:val="22"/>
          <w:szCs w:val="22"/>
        </w:rPr>
        <w:t>-</w:t>
      </w:r>
      <w:r w:rsidRPr="00A414A4">
        <w:rPr>
          <w:rFonts w:ascii="Arial" w:hAnsi="Arial" w:cs="Arial"/>
          <w:sz w:val="22"/>
          <w:szCs w:val="22"/>
        </w:rPr>
        <w:t>24 hours to 2</w:t>
      </w:r>
      <w:r w:rsidR="00F61B71">
        <w:rPr>
          <w:rFonts w:ascii="Arial" w:hAnsi="Arial" w:cs="Arial"/>
          <w:sz w:val="22"/>
          <w:szCs w:val="22"/>
        </w:rPr>
        <w:t>-</w:t>
      </w:r>
      <w:r w:rsidRPr="00A414A4">
        <w:rPr>
          <w:rFonts w:ascii="Arial" w:hAnsi="Arial" w:cs="Arial"/>
          <w:sz w:val="22"/>
          <w:szCs w:val="22"/>
        </w:rPr>
        <w:t>4 hours without new primary legislation. Extending energy bill support to horticultural producers during winter greenhouse heating peaks corrects the policy inconsistency directly contributing to the 2023 production failures (Section 4.2.3). In the medium term, capital grants for SME supplier diversification would address the market failure in which individually unaffordable diversification is collectively beneficial. Long-term, integrating climate resilience into supply chain planning is essential: 54% of UK imports originate from regions facing high water scarcity by 2040 (Food Foundation, 2023). Without these interventions, UK fresh produce supply chains will remain exposed to systemic risk, with negative consequences for food security and rural economies.</w:t>
      </w:r>
    </w:p>
    <w:p w14:paraId="2DED240E" w14:textId="77777777" w:rsidR="00BB4BB4" w:rsidRPr="00FF2E55" w:rsidRDefault="00000000" w:rsidP="00585384">
      <w:pPr>
        <w:pStyle w:val="Heading2"/>
        <w:rPr>
          <w:rFonts w:ascii="Arial" w:hAnsi="Arial" w:cs="Arial"/>
          <w:sz w:val="28"/>
          <w:szCs w:val="28"/>
        </w:rPr>
      </w:pPr>
      <w:r w:rsidRPr="00FF2E55">
        <w:rPr>
          <w:rFonts w:ascii="Arial" w:hAnsi="Arial" w:cs="Arial"/>
          <w:sz w:val="28"/>
          <w:szCs w:val="28"/>
        </w:rPr>
        <w:lastRenderedPageBreak/>
        <w:t>5.2 Conclusion</w:t>
      </w:r>
    </w:p>
    <w:p w14:paraId="7D8CF52A" w14:textId="40A0CE42" w:rsidR="00BB4BB4" w:rsidRPr="00A414A4" w:rsidRDefault="00000000" w:rsidP="00585384">
      <w:pPr>
        <w:spacing w:after="200" w:line="360" w:lineRule="auto"/>
        <w:rPr>
          <w:rFonts w:ascii="Arial" w:hAnsi="Arial" w:cs="Arial"/>
          <w:sz w:val="22"/>
          <w:szCs w:val="22"/>
        </w:rPr>
      </w:pPr>
      <w:r w:rsidRPr="00A414A4">
        <w:rPr>
          <w:rFonts w:ascii="Arial" w:hAnsi="Arial" w:cs="Arial"/>
          <w:sz w:val="22"/>
          <w:szCs w:val="22"/>
        </w:rPr>
        <w:t xml:space="preserve">This research directly answers its three research questions. </w:t>
      </w:r>
      <w:r w:rsidRPr="00F86BF8">
        <w:rPr>
          <w:rFonts w:ascii="Arial" w:hAnsi="Arial" w:cs="Arial"/>
          <w:b/>
          <w:bCs/>
          <w:sz w:val="22"/>
          <w:szCs w:val="22"/>
        </w:rPr>
        <w:t>RQ1</w:t>
      </w:r>
      <w:r w:rsidR="00A414A4" w:rsidRPr="00F86BF8">
        <w:rPr>
          <w:rFonts w:ascii="Arial" w:hAnsi="Arial" w:cs="Arial"/>
          <w:b/>
          <w:bCs/>
          <w:sz w:val="22"/>
          <w:szCs w:val="22"/>
        </w:rPr>
        <w:t>:</w:t>
      </w:r>
      <w:r w:rsidRPr="00A414A4">
        <w:rPr>
          <w:rFonts w:ascii="Arial" w:hAnsi="Arial" w:cs="Arial"/>
          <w:sz w:val="22"/>
          <w:szCs w:val="22"/>
        </w:rPr>
        <w:t xml:space="preserve"> What were the main supply chain disruptions and how did companies respond? </w:t>
      </w:r>
      <w:r w:rsidR="00A414A4">
        <w:rPr>
          <w:rFonts w:ascii="Arial" w:hAnsi="Arial" w:cs="Arial"/>
          <w:sz w:val="22"/>
          <w:szCs w:val="22"/>
        </w:rPr>
        <w:t>-</w:t>
      </w:r>
      <w:r w:rsidRPr="00A414A4">
        <w:rPr>
          <w:rFonts w:ascii="Arial" w:hAnsi="Arial" w:cs="Arial"/>
          <w:sz w:val="22"/>
          <w:szCs w:val="22"/>
        </w:rPr>
        <w:t xml:space="preserve"> </w:t>
      </w:r>
      <w:r w:rsidR="00A414A4">
        <w:rPr>
          <w:rFonts w:ascii="Arial" w:hAnsi="Arial" w:cs="Arial"/>
          <w:sz w:val="22"/>
          <w:szCs w:val="22"/>
        </w:rPr>
        <w:t>I</w:t>
      </w:r>
      <w:r w:rsidRPr="00A414A4">
        <w:rPr>
          <w:rFonts w:ascii="Arial" w:hAnsi="Arial" w:cs="Arial"/>
          <w:sz w:val="22"/>
          <w:szCs w:val="22"/>
        </w:rPr>
        <w:t xml:space="preserve">s answered by evidence that Brexit, COVID-19, and the 2022–2023 energy-weather convergence created compounding, systemic disruptions to which three dominant strategies emerged: supplier diversification, nearshoring, and technology adoption. </w:t>
      </w:r>
      <w:r w:rsidRPr="00F86BF8">
        <w:rPr>
          <w:rFonts w:ascii="Arial" w:hAnsi="Arial" w:cs="Arial"/>
          <w:b/>
          <w:bCs/>
          <w:sz w:val="22"/>
          <w:szCs w:val="22"/>
        </w:rPr>
        <w:t>RQ2</w:t>
      </w:r>
      <w:r w:rsidR="00A414A4" w:rsidRPr="00F86BF8">
        <w:rPr>
          <w:rFonts w:ascii="Arial" w:hAnsi="Arial" w:cs="Arial"/>
          <w:b/>
          <w:bCs/>
          <w:sz w:val="22"/>
          <w:szCs w:val="22"/>
        </w:rPr>
        <w:t>:</w:t>
      </w:r>
      <w:r w:rsidRPr="00A414A4">
        <w:rPr>
          <w:rFonts w:ascii="Arial" w:hAnsi="Arial" w:cs="Arial"/>
          <w:sz w:val="22"/>
          <w:szCs w:val="22"/>
        </w:rPr>
        <w:t xml:space="preserve"> What challenges did companies face balancing resilience and efficiency? </w:t>
      </w:r>
      <w:r w:rsidR="00A414A4">
        <w:rPr>
          <w:rFonts w:ascii="Arial" w:hAnsi="Arial" w:cs="Arial"/>
          <w:sz w:val="22"/>
          <w:szCs w:val="22"/>
        </w:rPr>
        <w:t>-</w:t>
      </w:r>
      <w:r w:rsidRPr="00A414A4">
        <w:rPr>
          <w:rFonts w:ascii="Arial" w:hAnsi="Arial" w:cs="Arial"/>
          <w:sz w:val="22"/>
          <w:szCs w:val="22"/>
        </w:rPr>
        <w:t xml:space="preserve"> </w:t>
      </w:r>
      <w:r w:rsidR="00A414A4">
        <w:rPr>
          <w:rFonts w:ascii="Arial" w:hAnsi="Arial" w:cs="Arial"/>
          <w:sz w:val="22"/>
          <w:szCs w:val="22"/>
        </w:rPr>
        <w:t>I</w:t>
      </w:r>
      <w:r w:rsidRPr="00A414A4">
        <w:rPr>
          <w:rFonts w:ascii="Arial" w:hAnsi="Arial" w:cs="Arial"/>
          <w:sz w:val="22"/>
          <w:szCs w:val="22"/>
        </w:rPr>
        <w:t xml:space="preserve">s answered by the resilience–efficiency paradox: cost pressure consistently dominated procurement decisions despite rhetorical resilience commitments, with capital requirements, relationship complexity, and organisational resistance as primary barriers. </w:t>
      </w:r>
      <w:r w:rsidRPr="00F86BF8">
        <w:rPr>
          <w:rFonts w:ascii="Arial" w:hAnsi="Arial" w:cs="Arial"/>
          <w:b/>
          <w:bCs/>
          <w:sz w:val="22"/>
          <w:szCs w:val="22"/>
        </w:rPr>
        <w:t>RQ3</w:t>
      </w:r>
      <w:r w:rsidR="00A414A4" w:rsidRPr="00F86BF8">
        <w:rPr>
          <w:rFonts w:ascii="Arial" w:hAnsi="Arial" w:cs="Arial"/>
          <w:b/>
          <w:bCs/>
          <w:sz w:val="22"/>
          <w:szCs w:val="22"/>
        </w:rPr>
        <w:t>:</w:t>
      </w:r>
      <w:r w:rsidRPr="00A414A4">
        <w:rPr>
          <w:rFonts w:ascii="Arial" w:hAnsi="Arial" w:cs="Arial"/>
          <w:sz w:val="22"/>
          <w:szCs w:val="22"/>
        </w:rPr>
        <w:t xml:space="preserve"> What lessons affect existing supply chain theories?</w:t>
      </w:r>
      <w:r w:rsidR="00A414A4">
        <w:rPr>
          <w:rFonts w:ascii="Arial" w:hAnsi="Arial" w:cs="Arial"/>
          <w:sz w:val="22"/>
          <w:szCs w:val="22"/>
        </w:rPr>
        <w:t xml:space="preserve"> -</w:t>
      </w:r>
      <w:r w:rsidRPr="00A414A4">
        <w:rPr>
          <w:rFonts w:ascii="Arial" w:hAnsi="Arial" w:cs="Arial"/>
          <w:sz w:val="22"/>
          <w:szCs w:val="22"/>
        </w:rPr>
        <w:t xml:space="preserve"> </w:t>
      </w:r>
      <w:r w:rsidR="00A414A4">
        <w:rPr>
          <w:rFonts w:ascii="Arial" w:hAnsi="Arial" w:cs="Arial"/>
          <w:sz w:val="22"/>
          <w:szCs w:val="22"/>
        </w:rPr>
        <w:t>I</w:t>
      </w:r>
      <w:r w:rsidRPr="00A414A4">
        <w:rPr>
          <w:rFonts w:ascii="Arial" w:hAnsi="Arial" w:cs="Arial"/>
          <w:sz w:val="22"/>
          <w:szCs w:val="22"/>
        </w:rPr>
        <w:t xml:space="preserve">s answered by five critical success factors and a theoretical finding that Christopher and Peck’s (2004) manufacturing-derived framework cannot be applied to fresh produce without fundamental </w:t>
      </w:r>
      <w:proofErr w:type="spellStart"/>
      <w:r w:rsidRPr="00A414A4">
        <w:rPr>
          <w:rFonts w:ascii="Arial" w:hAnsi="Arial" w:cs="Arial"/>
          <w:sz w:val="22"/>
          <w:szCs w:val="22"/>
        </w:rPr>
        <w:t>reconceptualisation</w:t>
      </w:r>
      <w:proofErr w:type="spellEnd"/>
      <w:r w:rsidRPr="00A414A4">
        <w:rPr>
          <w:rFonts w:ascii="Arial" w:hAnsi="Arial" w:cs="Arial"/>
          <w:sz w:val="22"/>
          <w:szCs w:val="22"/>
        </w:rPr>
        <w:t>. Collectively, these answers address the primary research question: UK fresh produce companies adapted through diversification, nearshoring, and technology, but structural market dynamics most constrained resilience success.</w:t>
      </w:r>
    </w:p>
    <w:p w14:paraId="23A6426C" w14:textId="77777777" w:rsidR="00BB4BB4" w:rsidRPr="00A414A4" w:rsidRDefault="00000000" w:rsidP="00585384">
      <w:pPr>
        <w:spacing w:after="200" w:line="360" w:lineRule="auto"/>
        <w:rPr>
          <w:rFonts w:ascii="Arial" w:hAnsi="Arial" w:cs="Arial"/>
          <w:sz w:val="22"/>
          <w:szCs w:val="22"/>
        </w:rPr>
      </w:pPr>
      <w:r w:rsidRPr="00A414A4">
        <w:rPr>
          <w:rFonts w:ascii="Arial" w:hAnsi="Arial" w:cs="Arial"/>
          <w:sz w:val="22"/>
          <w:szCs w:val="22"/>
        </w:rPr>
        <w:t>This research demonstrates that UK fresh produce supply chain resilience demands context-specific investigation rather than application of generic manufacturing-derived frameworks. Through systematic secondary analysis of over 50 documentary sources published between 2020 and 2025, this dissertation addressed all three research objectives and revealed findings with significant theoretical and practical implications.</w:t>
      </w:r>
    </w:p>
    <w:p w14:paraId="3C4EEDF2" w14:textId="301B6D11" w:rsidR="00BB4BB4" w:rsidRPr="00A414A4" w:rsidRDefault="00000000" w:rsidP="00585384">
      <w:pPr>
        <w:spacing w:after="200" w:line="360" w:lineRule="auto"/>
        <w:rPr>
          <w:rFonts w:ascii="Arial" w:hAnsi="Arial" w:cs="Arial"/>
          <w:sz w:val="22"/>
          <w:szCs w:val="22"/>
        </w:rPr>
      </w:pPr>
      <w:r w:rsidRPr="00F86BF8">
        <w:rPr>
          <w:rFonts w:ascii="Arial" w:hAnsi="Arial" w:cs="Arial"/>
          <w:b/>
          <w:bCs/>
          <w:sz w:val="22"/>
          <w:szCs w:val="22"/>
        </w:rPr>
        <w:t>Objective 1</w:t>
      </w:r>
      <w:r w:rsidR="00A414A4" w:rsidRPr="00F86BF8">
        <w:rPr>
          <w:rFonts w:ascii="Arial" w:hAnsi="Arial" w:cs="Arial"/>
          <w:b/>
          <w:bCs/>
          <w:sz w:val="22"/>
          <w:szCs w:val="22"/>
        </w:rPr>
        <w:t>:</w:t>
      </w:r>
      <w:r w:rsidRPr="00A414A4">
        <w:rPr>
          <w:rFonts w:ascii="Arial" w:hAnsi="Arial" w:cs="Arial"/>
          <w:sz w:val="22"/>
          <w:szCs w:val="22"/>
        </w:rPr>
        <w:t xml:space="preserve"> </w:t>
      </w:r>
      <w:r w:rsidR="00A414A4">
        <w:rPr>
          <w:rFonts w:ascii="Arial" w:hAnsi="Arial" w:cs="Arial"/>
          <w:sz w:val="22"/>
          <w:szCs w:val="22"/>
        </w:rPr>
        <w:t>E</w:t>
      </w:r>
      <w:r w:rsidRPr="00A414A4">
        <w:rPr>
          <w:rFonts w:ascii="Arial" w:hAnsi="Arial" w:cs="Arial"/>
          <w:sz w:val="22"/>
          <w:szCs w:val="22"/>
        </w:rPr>
        <w:t>stablished that Brexit, COVID-19, and the 2022</w:t>
      </w:r>
      <w:r w:rsidR="00F86BF8">
        <w:rPr>
          <w:rFonts w:ascii="Arial" w:hAnsi="Arial" w:cs="Arial"/>
          <w:sz w:val="22"/>
          <w:szCs w:val="22"/>
        </w:rPr>
        <w:t>-</w:t>
      </w:r>
      <w:r w:rsidRPr="00A414A4">
        <w:rPr>
          <w:rFonts w:ascii="Arial" w:hAnsi="Arial" w:cs="Arial"/>
          <w:sz w:val="22"/>
          <w:szCs w:val="22"/>
        </w:rPr>
        <w:t xml:space="preserve">2023 energy-weather convergence created compounding disruptions exposing systemic vulnerabilities. Three dominant resilience strategies </w:t>
      </w:r>
      <w:r w:rsidR="00A414A4">
        <w:rPr>
          <w:rFonts w:ascii="Arial" w:hAnsi="Arial" w:cs="Arial"/>
          <w:sz w:val="22"/>
          <w:szCs w:val="22"/>
        </w:rPr>
        <w:t>-</w:t>
      </w:r>
      <w:r w:rsidRPr="00A414A4">
        <w:rPr>
          <w:rFonts w:ascii="Arial" w:hAnsi="Arial" w:cs="Arial"/>
          <w:sz w:val="22"/>
          <w:szCs w:val="22"/>
        </w:rPr>
        <w:t xml:space="preserve"> supplier diversification, nearshoring, and technology adoption </w:t>
      </w:r>
      <w:r w:rsidR="00A414A4">
        <w:rPr>
          <w:rFonts w:ascii="Arial" w:hAnsi="Arial" w:cs="Arial"/>
          <w:sz w:val="22"/>
          <w:szCs w:val="22"/>
        </w:rPr>
        <w:t>-</w:t>
      </w:r>
      <w:r w:rsidRPr="00A414A4">
        <w:rPr>
          <w:rFonts w:ascii="Arial" w:hAnsi="Arial" w:cs="Arial"/>
          <w:sz w:val="22"/>
          <w:szCs w:val="22"/>
        </w:rPr>
        <w:t xml:space="preserve"> </w:t>
      </w:r>
      <w:r w:rsidR="00A414A4">
        <w:rPr>
          <w:rFonts w:ascii="Arial" w:hAnsi="Arial" w:cs="Arial"/>
          <w:sz w:val="22"/>
          <w:szCs w:val="22"/>
        </w:rPr>
        <w:t>W</w:t>
      </w:r>
      <w:r w:rsidRPr="00A414A4">
        <w:rPr>
          <w:rFonts w:ascii="Arial" w:hAnsi="Arial" w:cs="Arial"/>
          <w:sz w:val="22"/>
          <w:szCs w:val="22"/>
        </w:rPr>
        <w:t xml:space="preserve">ere documented with significant variation in implementation success. These findings align with Ivanov and Dolgui’s (2020) bounce-forward argument that supply chains face permanent rather than episodic </w:t>
      </w:r>
      <w:r w:rsidR="00A414A4" w:rsidRPr="00A414A4">
        <w:rPr>
          <w:rFonts w:ascii="Arial" w:hAnsi="Arial" w:cs="Arial"/>
          <w:sz w:val="22"/>
          <w:szCs w:val="22"/>
        </w:rPr>
        <w:t>volatility and</w:t>
      </w:r>
      <w:r w:rsidRPr="00A414A4">
        <w:rPr>
          <w:rFonts w:ascii="Arial" w:hAnsi="Arial" w:cs="Arial"/>
          <w:sz w:val="22"/>
          <w:szCs w:val="22"/>
        </w:rPr>
        <w:t xml:space="preserve"> extend it by demonstrating empirically that UK fresh produce supply chains have not yet achieved the structural reorientation that bounce-forward demands. </w:t>
      </w:r>
      <w:r w:rsidRPr="00F86BF8">
        <w:rPr>
          <w:rFonts w:ascii="Arial" w:hAnsi="Arial" w:cs="Arial"/>
          <w:b/>
          <w:bCs/>
          <w:sz w:val="22"/>
          <w:szCs w:val="22"/>
        </w:rPr>
        <w:t>Objective 2</w:t>
      </w:r>
      <w:r w:rsidR="00A414A4" w:rsidRPr="00F86BF8">
        <w:rPr>
          <w:rFonts w:ascii="Arial" w:hAnsi="Arial" w:cs="Arial"/>
          <w:b/>
          <w:bCs/>
          <w:sz w:val="22"/>
          <w:szCs w:val="22"/>
        </w:rPr>
        <w:t>:</w:t>
      </w:r>
      <w:r w:rsidRPr="00A414A4">
        <w:rPr>
          <w:rFonts w:ascii="Arial" w:hAnsi="Arial" w:cs="Arial"/>
          <w:sz w:val="22"/>
          <w:szCs w:val="22"/>
        </w:rPr>
        <w:t xml:space="preserve"> </w:t>
      </w:r>
      <w:r w:rsidR="00A414A4" w:rsidRPr="00A414A4">
        <w:rPr>
          <w:rFonts w:ascii="Arial" w:hAnsi="Arial" w:cs="Arial"/>
          <w:sz w:val="22"/>
          <w:szCs w:val="22"/>
        </w:rPr>
        <w:t>D</w:t>
      </w:r>
      <w:r w:rsidRPr="00A414A4">
        <w:rPr>
          <w:rFonts w:ascii="Arial" w:hAnsi="Arial" w:cs="Arial"/>
          <w:sz w:val="22"/>
          <w:szCs w:val="22"/>
        </w:rPr>
        <w:t xml:space="preserve">emonstrated that implementation barriers often determined success more than strategy selection, consistent with </w:t>
      </w:r>
      <w:proofErr w:type="spellStart"/>
      <w:r w:rsidRPr="00A414A4">
        <w:rPr>
          <w:rFonts w:ascii="Arial" w:hAnsi="Arial" w:cs="Arial"/>
          <w:sz w:val="22"/>
          <w:szCs w:val="22"/>
        </w:rPr>
        <w:t>Sheffi’s</w:t>
      </w:r>
      <w:proofErr w:type="spellEnd"/>
      <w:r w:rsidRPr="00A414A4">
        <w:rPr>
          <w:rFonts w:ascii="Arial" w:hAnsi="Arial" w:cs="Arial"/>
          <w:sz w:val="22"/>
          <w:szCs w:val="22"/>
        </w:rPr>
        <w:t xml:space="preserve"> (2015) argument that crisis-period performance reflects discretionary effort rather than structural capability. Christopher and Peck’s (2004) framework proves inadequate where inventory redundancy creates waste rather than resilience, supporting </w:t>
      </w:r>
      <w:proofErr w:type="spellStart"/>
      <w:r w:rsidRPr="00A414A4">
        <w:rPr>
          <w:rFonts w:ascii="Arial" w:hAnsi="Arial" w:cs="Arial"/>
          <w:sz w:val="22"/>
          <w:szCs w:val="22"/>
        </w:rPr>
        <w:t>Vlajic</w:t>
      </w:r>
      <w:proofErr w:type="spellEnd"/>
      <w:r w:rsidRPr="00A414A4">
        <w:rPr>
          <w:rFonts w:ascii="Arial" w:hAnsi="Arial" w:cs="Arial"/>
          <w:sz w:val="22"/>
          <w:szCs w:val="22"/>
        </w:rPr>
        <w:t xml:space="preserve"> et al.’s (2012) call for process and relationship redundancy as alternatives. </w:t>
      </w:r>
      <w:r w:rsidRPr="00F86BF8">
        <w:rPr>
          <w:rFonts w:ascii="Arial" w:hAnsi="Arial" w:cs="Arial"/>
          <w:b/>
          <w:bCs/>
          <w:sz w:val="22"/>
          <w:szCs w:val="22"/>
        </w:rPr>
        <w:t>Objective 3</w:t>
      </w:r>
      <w:r w:rsidR="00A414A4" w:rsidRPr="00F86BF8">
        <w:rPr>
          <w:rFonts w:ascii="Arial" w:hAnsi="Arial" w:cs="Arial"/>
          <w:b/>
          <w:bCs/>
          <w:sz w:val="22"/>
          <w:szCs w:val="22"/>
        </w:rPr>
        <w:t>:</w:t>
      </w:r>
      <w:r w:rsidRPr="00A414A4">
        <w:rPr>
          <w:rFonts w:ascii="Arial" w:hAnsi="Arial" w:cs="Arial"/>
          <w:sz w:val="22"/>
          <w:szCs w:val="22"/>
        </w:rPr>
        <w:t xml:space="preserve"> </w:t>
      </w:r>
      <w:r w:rsidR="00A414A4" w:rsidRPr="00A414A4">
        <w:rPr>
          <w:rFonts w:ascii="Arial" w:hAnsi="Arial" w:cs="Arial"/>
          <w:sz w:val="22"/>
          <w:szCs w:val="22"/>
        </w:rPr>
        <w:t>S</w:t>
      </w:r>
      <w:r w:rsidRPr="00A414A4">
        <w:rPr>
          <w:rFonts w:ascii="Arial" w:hAnsi="Arial" w:cs="Arial"/>
          <w:sz w:val="22"/>
          <w:szCs w:val="22"/>
        </w:rPr>
        <w:t>ynthesised five critical success factors</w:t>
      </w:r>
      <w:r w:rsidR="00A414A4" w:rsidRPr="00A414A4">
        <w:rPr>
          <w:rFonts w:ascii="Arial" w:hAnsi="Arial" w:cs="Arial"/>
          <w:sz w:val="22"/>
          <w:szCs w:val="22"/>
        </w:rPr>
        <w:t xml:space="preserve"> -</w:t>
      </w:r>
      <w:r w:rsidRPr="00A414A4">
        <w:rPr>
          <w:rFonts w:ascii="Arial" w:hAnsi="Arial" w:cs="Arial"/>
          <w:sz w:val="22"/>
          <w:szCs w:val="22"/>
        </w:rPr>
        <w:t xml:space="preserve"> </w:t>
      </w:r>
      <w:r w:rsidR="00A414A4" w:rsidRPr="00A414A4">
        <w:rPr>
          <w:rFonts w:ascii="Arial" w:hAnsi="Arial" w:cs="Arial"/>
          <w:sz w:val="22"/>
          <w:szCs w:val="22"/>
        </w:rPr>
        <w:t>C</w:t>
      </w:r>
      <w:r w:rsidRPr="00A414A4">
        <w:rPr>
          <w:rFonts w:ascii="Arial" w:hAnsi="Arial" w:cs="Arial"/>
          <w:sz w:val="22"/>
          <w:szCs w:val="22"/>
        </w:rPr>
        <w:t xml:space="preserve">ontinuous investment, context-specificity, cultural alignment, relationship quality, </w:t>
      </w:r>
      <w:r w:rsidRPr="00A414A4">
        <w:rPr>
          <w:rFonts w:ascii="Arial" w:hAnsi="Arial" w:cs="Arial"/>
          <w:sz w:val="22"/>
          <w:szCs w:val="22"/>
        </w:rPr>
        <w:lastRenderedPageBreak/>
        <w:t xml:space="preserve">and incremental adaptation </w:t>
      </w:r>
      <w:r w:rsidR="00A414A4" w:rsidRPr="00A414A4">
        <w:rPr>
          <w:rFonts w:ascii="Arial" w:hAnsi="Arial" w:cs="Arial"/>
          <w:sz w:val="22"/>
          <w:szCs w:val="22"/>
        </w:rPr>
        <w:t>-</w:t>
      </w:r>
      <w:r w:rsidRPr="00A414A4">
        <w:rPr>
          <w:rFonts w:ascii="Arial" w:hAnsi="Arial" w:cs="Arial"/>
          <w:sz w:val="22"/>
          <w:szCs w:val="22"/>
        </w:rPr>
        <w:t xml:space="preserve"> </w:t>
      </w:r>
      <w:r w:rsidR="00A414A4" w:rsidRPr="00A414A4">
        <w:rPr>
          <w:rFonts w:ascii="Arial" w:hAnsi="Arial" w:cs="Arial"/>
          <w:sz w:val="22"/>
          <w:szCs w:val="22"/>
        </w:rPr>
        <w:t>E</w:t>
      </w:r>
      <w:r w:rsidRPr="00A414A4">
        <w:rPr>
          <w:rFonts w:ascii="Arial" w:hAnsi="Arial" w:cs="Arial"/>
          <w:sz w:val="22"/>
          <w:szCs w:val="22"/>
        </w:rPr>
        <w:t>ach of which contradicts the static, strategy-selection orientation of mainstream resilience literature.</w:t>
      </w:r>
    </w:p>
    <w:p w14:paraId="3B0B260B" w14:textId="1EFD5725" w:rsidR="00BB4BB4" w:rsidRPr="00A414A4" w:rsidRDefault="00000000" w:rsidP="00585384">
      <w:pPr>
        <w:spacing w:after="200" w:line="360" w:lineRule="auto"/>
        <w:rPr>
          <w:rFonts w:ascii="Arial" w:hAnsi="Arial" w:cs="Arial"/>
          <w:sz w:val="22"/>
          <w:szCs w:val="22"/>
        </w:rPr>
      </w:pPr>
      <w:r w:rsidRPr="00A414A4">
        <w:rPr>
          <w:rFonts w:ascii="Arial" w:hAnsi="Arial" w:cs="Arial"/>
          <w:sz w:val="22"/>
          <w:szCs w:val="22"/>
        </w:rPr>
        <w:t xml:space="preserve">The resilience–efficiency paradox emerged as the central cross-cutting finding: companies publicly committed to supply chain resilience whilst procurement decisions remained dominated by cost efficiency, driven by competitive dynamics that make individually rational efficiency prioritisation collectively damaging. This paradox is not resolvable at the individual firm level and requires coordinated industry action and policy intervention. The research contributes empirically by providing the first systematic synthesis of UK fresh produce sector post-2020 adaptation across multiple source types, theoretically by demonstrating where established frameworks require </w:t>
      </w:r>
      <w:proofErr w:type="spellStart"/>
      <w:r w:rsidRPr="00A414A4">
        <w:rPr>
          <w:rFonts w:ascii="Arial" w:hAnsi="Arial" w:cs="Arial"/>
          <w:sz w:val="22"/>
          <w:szCs w:val="22"/>
        </w:rPr>
        <w:t>reconceptualisation</w:t>
      </w:r>
      <w:proofErr w:type="spellEnd"/>
      <w:r w:rsidRPr="00A414A4">
        <w:rPr>
          <w:rFonts w:ascii="Arial" w:hAnsi="Arial" w:cs="Arial"/>
          <w:sz w:val="22"/>
          <w:szCs w:val="22"/>
        </w:rPr>
        <w:t xml:space="preserve"> for perishable goods, and practically by providing evidence-based strategic guidance for companies alongside policy recommendations targeting market failures that individual adaptation cannot address. Fresh produce supply chain resilience is as much a governance challenge as a management one and any research, strategy, or policy that treats it as solely the latter will consistently fall short of the systemic transformation the sector requires.</w:t>
      </w:r>
    </w:p>
    <w:p w14:paraId="35BF58A0" w14:textId="77777777" w:rsidR="00BB4BB4" w:rsidRPr="00FF2E55" w:rsidRDefault="00000000" w:rsidP="00585384">
      <w:pPr>
        <w:pStyle w:val="Heading2"/>
        <w:rPr>
          <w:rFonts w:ascii="Arial" w:hAnsi="Arial" w:cs="Arial"/>
          <w:sz w:val="28"/>
          <w:szCs w:val="28"/>
        </w:rPr>
      </w:pPr>
      <w:r w:rsidRPr="00FF2E55">
        <w:rPr>
          <w:rFonts w:ascii="Arial" w:hAnsi="Arial" w:cs="Arial"/>
          <w:sz w:val="28"/>
          <w:szCs w:val="28"/>
        </w:rPr>
        <w:t>5.3 Research Limitations</w:t>
      </w:r>
    </w:p>
    <w:p w14:paraId="08B7C9CB" w14:textId="40B4F934" w:rsidR="00BB4BB4" w:rsidRPr="00A414A4" w:rsidRDefault="00000000" w:rsidP="00585384">
      <w:pPr>
        <w:spacing w:after="200" w:line="360" w:lineRule="auto"/>
        <w:rPr>
          <w:rFonts w:ascii="Arial" w:hAnsi="Arial" w:cs="Arial"/>
          <w:sz w:val="22"/>
          <w:szCs w:val="22"/>
        </w:rPr>
      </w:pPr>
      <w:r w:rsidRPr="00A414A4">
        <w:rPr>
          <w:rFonts w:ascii="Arial" w:hAnsi="Arial" w:cs="Arial"/>
          <w:sz w:val="22"/>
          <w:szCs w:val="22"/>
        </w:rPr>
        <w:t xml:space="preserve">Three categories of limitation affect confidence in these findings. Limitations of evidence: reliance on published accounts creates bias toward success </w:t>
      </w:r>
      <w:r w:rsidR="00FF158F" w:rsidRPr="00A414A4">
        <w:rPr>
          <w:rFonts w:ascii="Arial" w:hAnsi="Arial" w:cs="Arial"/>
          <w:sz w:val="22"/>
          <w:szCs w:val="22"/>
        </w:rPr>
        <w:t>narratives since</w:t>
      </w:r>
      <w:r w:rsidRPr="00A414A4">
        <w:rPr>
          <w:rFonts w:ascii="Arial" w:hAnsi="Arial" w:cs="Arial"/>
          <w:sz w:val="22"/>
          <w:szCs w:val="22"/>
        </w:rPr>
        <w:t xml:space="preserve"> organisations rarely document unsuccessful adaptations. Coverage bias toward larger corporations means SME experiences are under-represented; this was partially mitigated through triangulation and deliberate SME-focused source searches. Limitations of method: the absence of primary practitioner data means the research cannot access tacit knowledge, informal adaptation processes, or internal political dynamics shaping implementation realities. The temporal lag of secondary research means very recent 2024</w:t>
      </w:r>
      <w:r w:rsidR="00F86BF8">
        <w:rPr>
          <w:rFonts w:ascii="Arial" w:hAnsi="Arial" w:cs="Arial"/>
          <w:sz w:val="22"/>
          <w:szCs w:val="22"/>
        </w:rPr>
        <w:t>-</w:t>
      </w:r>
      <w:r w:rsidRPr="00A414A4">
        <w:rPr>
          <w:rFonts w:ascii="Arial" w:hAnsi="Arial" w:cs="Arial"/>
          <w:sz w:val="22"/>
          <w:szCs w:val="22"/>
        </w:rPr>
        <w:t>2025 adaptations may not yet be captured. Limitations of scope: UK fresh produce sector specificity means findings are not directly generalisable to other national contexts or food sectors. Future research should address these gaps through longitudinal case studies, practitioner interviews, and quantitative validation studies. Mixed-methods designs combining documentary analysis with practitioner interviews would be particularly valuable, as would comparative international studies examining how other import-dependent food supply chains have navigated analogous disruptions.</w:t>
      </w:r>
    </w:p>
    <w:p w14:paraId="62080DFA" w14:textId="5D066321" w:rsidR="00BB4BB4" w:rsidRPr="00FF2E55" w:rsidRDefault="00000000" w:rsidP="000418FB">
      <w:pPr>
        <w:pageBreakBefore/>
        <w:spacing w:line="480" w:lineRule="auto"/>
        <w:rPr>
          <w:rFonts w:ascii="Arial" w:hAnsi="Arial" w:cs="Arial"/>
          <w:b/>
          <w:bCs/>
          <w:sz w:val="32"/>
          <w:szCs w:val="32"/>
        </w:rPr>
      </w:pPr>
      <w:r w:rsidRPr="00FF2E55">
        <w:rPr>
          <w:rFonts w:ascii="Arial" w:hAnsi="Arial" w:cs="Arial"/>
          <w:b/>
          <w:bCs/>
          <w:sz w:val="32"/>
          <w:szCs w:val="32"/>
        </w:rPr>
        <w:lastRenderedPageBreak/>
        <w:t>References</w:t>
      </w:r>
      <w:r w:rsidR="00A414A4" w:rsidRPr="00FF2E55">
        <w:rPr>
          <w:rFonts w:ascii="Arial" w:hAnsi="Arial" w:cs="Arial"/>
          <w:b/>
          <w:bCs/>
          <w:sz w:val="32"/>
          <w:szCs w:val="32"/>
        </w:rPr>
        <w:t>:</w:t>
      </w:r>
    </w:p>
    <w:p w14:paraId="6A0D198B" w14:textId="77777777" w:rsidR="00BB4BB4" w:rsidRPr="00A414A4" w:rsidRDefault="00000000" w:rsidP="000418FB">
      <w:pPr>
        <w:spacing w:after="200"/>
        <w:rPr>
          <w:rFonts w:ascii="Arial" w:hAnsi="Arial" w:cs="Arial"/>
          <w:sz w:val="20"/>
          <w:szCs w:val="20"/>
        </w:rPr>
      </w:pPr>
      <w:r w:rsidRPr="00A414A4">
        <w:rPr>
          <w:rFonts w:ascii="Arial" w:hAnsi="Arial" w:cs="Arial"/>
          <w:sz w:val="20"/>
          <w:szCs w:val="20"/>
        </w:rPr>
        <w:t xml:space="preserve">Adams, J., Khan, H.T.A., Raeside, R. and White, D. (2007) Research methods for graduate business and social science students. 2nd </w:t>
      </w:r>
      <w:proofErr w:type="spellStart"/>
      <w:r w:rsidRPr="00A414A4">
        <w:rPr>
          <w:rFonts w:ascii="Arial" w:hAnsi="Arial" w:cs="Arial"/>
          <w:sz w:val="20"/>
          <w:szCs w:val="20"/>
        </w:rPr>
        <w:t>edn</w:t>
      </w:r>
      <w:proofErr w:type="spellEnd"/>
      <w:r w:rsidRPr="00A414A4">
        <w:rPr>
          <w:rFonts w:ascii="Arial" w:hAnsi="Arial" w:cs="Arial"/>
          <w:sz w:val="20"/>
          <w:szCs w:val="20"/>
        </w:rPr>
        <w:t>. London: Sage Publications.</w:t>
      </w:r>
    </w:p>
    <w:p w14:paraId="1399CEA7" w14:textId="77777777" w:rsidR="00BB4BB4" w:rsidRPr="00A414A4" w:rsidRDefault="00000000" w:rsidP="000418FB">
      <w:pPr>
        <w:spacing w:after="200"/>
        <w:rPr>
          <w:rFonts w:ascii="Arial" w:hAnsi="Arial" w:cs="Arial"/>
          <w:sz w:val="20"/>
          <w:szCs w:val="20"/>
        </w:rPr>
      </w:pPr>
      <w:r w:rsidRPr="00A414A4">
        <w:rPr>
          <w:rFonts w:ascii="Arial" w:hAnsi="Arial" w:cs="Arial"/>
          <w:sz w:val="20"/>
          <w:szCs w:val="20"/>
        </w:rPr>
        <w:t>Aday, S. and Aday, M.S. (2020) ‘Impact of COVID-19 on the food supply chain’, Food Quality and Safety, 4(4), pp. 167–180.</w:t>
      </w:r>
    </w:p>
    <w:p w14:paraId="0E999864" w14:textId="71EC9E7A" w:rsidR="00BB4BB4" w:rsidRPr="00A414A4" w:rsidRDefault="00000000" w:rsidP="00AC23DC">
      <w:pPr>
        <w:spacing w:after="200"/>
        <w:rPr>
          <w:rFonts w:ascii="Arial" w:hAnsi="Arial" w:cs="Arial"/>
          <w:sz w:val="20"/>
          <w:szCs w:val="20"/>
        </w:rPr>
      </w:pPr>
      <w:r w:rsidRPr="00A414A4">
        <w:rPr>
          <w:rFonts w:ascii="Arial" w:hAnsi="Arial" w:cs="Arial"/>
          <w:sz w:val="20"/>
          <w:szCs w:val="20"/>
        </w:rPr>
        <w:t xml:space="preserve">Ali, I., Nagalingam, </w:t>
      </w:r>
      <w:r w:rsidR="00FF158F" w:rsidRPr="00A414A4">
        <w:rPr>
          <w:rFonts w:ascii="Arial" w:hAnsi="Arial" w:cs="Arial"/>
          <w:sz w:val="20"/>
          <w:szCs w:val="20"/>
        </w:rPr>
        <w:t>S.,</w:t>
      </w:r>
      <w:r w:rsidRPr="00A414A4">
        <w:rPr>
          <w:rFonts w:ascii="Arial" w:hAnsi="Arial" w:cs="Arial"/>
          <w:sz w:val="20"/>
          <w:szCs w:val="20"/>
        </w:rPr>
        <w:t xml:space="preserve"> and Gurd, B. (2017) ‘Building resilience in SMEs of perishable product supply chains: enablers, barriers and risks’, Production Planning &amp; Control, 28(15), pp. 1236–1250.</w:t>
      </w:r>
    </w:p>
    <w:p w14:paraId="3577DEE3" w14:textId="77777777" w:rsidR="00BB4BB4" w:rsidRPr="00A414A4" w:rsidRDefault="00000000" w:rsidP="00AC23DC">
      <w:pPr>
        <w:spacing w:after="200"/>
        <w:rPr>
          <w:rFonts w:ascii="Arial" w:hAnsi="Arial" w:cs="Arial"/>
          <w:sz w:val="20"/>
          <w:szCs w:val="20"/>
        </w:rPr>
      </w:pPr>
      <w:r w:rsidRPr="00A414A4">
        <w:rPr>
          <w:rFonts w:ascii="Arial" w:hAnsi="Arial" w:cs="Arial"/>
          <w:sz w:val="20"/>
          <w:szCs w:val="20"/>
        </w:rPr>
        <w:t>Aung, M.M. and Chang, Y.S. (2014) ‘Traceability in a food supply chain: Safety and quality perspectives’, Food Control, 39, pp. 172–184.</w:t>
      </w:r>
    </w:p>
    <w:p w14:paraId="52AE8AE6" w14:textId="77777777" w:rsidR="00BB4BB4" w:rsidRPr="00A414A4" w:rsidRDefault="00000000" w:rsidP="00AC23DC">
      <w:pPr>
        <w:spacing w:after="200"/>
        <w:rPr>
          <w:rFonts w:ascii="Arial" w:hAnsi="Arial" w:cs="Arial"/>
          <w:sz w:val="20"/>
          <w:szCs w:val="20"/>
        </w:rPr>
      </w:pPr>
      <w:r w:rsidRPr="00A414A4">
        <w:rPr>
          <w:rFonts w:ascii="Arial" w:hAnsi="Arial" w:cs="Arial"/>
          <w:sz w:val="20"/>
          <w:szCs w:val="20"/>
        </w:rPr>
        <w:t>Barney, J. (1991) ‘Firm resources and sustained competitive advantage’, Journal of Management, 17(1), pp. 99–120.</w:t>
      </w:r>
    </w:p>
    <w:p w14:paraId="0D136AA1" w14:textId="77777777" w:rsidR="00BB4BB4" w:rsidRPr="00A414A4" w:rsidRDefault="00000000" w:rsidP="00AC23DC">
      <w:pPr>
        <w:spacing w:after="200"/>
        <w:rPr>
          <w:rFonts w:ascii="Arial" w:hAnsi="Arial" w:cs="Arial"/>
          <w:sz w:val="20"/>
          <w:szCs w:val="20"/>
        </w:rPr>
      </w:pPr>
      <w:r w:rsidRPr="00A414A4">
        <w:rPr>
          <w:rFonts w:ascii="Arial" w:hAnsi="Arial" w:cs="Arial"/>
          <w:sz w:val="20"/>
          <w:szCs w:val="20"/>
        </w:rPr>
        <w:t>Belhadi, A., Kamble, S., Fosso Wamba, S., Queiroz, M.M. and Mani, V. (2022) ‘Building supply-chain resilience: an artificial intelligence-based technique and decision-making framework’, International Journal of Production Research, 60(14), pp. 4487–4507.</w:t>
      </w:r>
    </w:p>
    <w:p w14:paraId="3CEE6A7F" w14:textId="77777777" w:rsidR="00BB4BB4" w:rsidRPr="00A414A4" w:rsidRDefault="00000000" w:rsidP="00AC23DC">
      <w:pPr>
        <w:spacing w:after="200"/>
        <w:rPr>
          <w:rFonts w:ascii="Arial" w:hAnsi="Arial" w:cs="Arial"/>
          <w:sz w:val="20"/>
          <w:szCs w:val="20"/>
        </w:rPr>
      </w:pPr>
      <w:r w:rsidRPr="00A414A4">
        <w:rPr>
          <w:rFonts w:ascii="Arial" w:hAnsi="Arial" w:cs="Arial"/>
          <w:sz w:val="20"/>
          <w:szCs w:val="20"/>
        </w:rPr>
        <w:t>Blackhurst, J., Dunn, K.S. and Craighead, C.W. (2011) ‘An empirically derived framework of global supply resiliency’, Journal of Business Logistics, 32(4), pp. 374–391.</w:t>
      </w:r>
    </w:p>
    <w:p w14:paraId="217852F8" w14:textId="556CC6D6" w:rsidR="00BB4BB4" w:rsidRPr="00A414A4" w:rsidRDefault="00000000" w:rsidP="00AC23DC">
      <w:pPr>
        <w:spacing w:after="200"/>
        <w:rPr>
          <w:rFonts w:ascii="Arial" w:hAnsi="Arial" w:cs="Arial"/>
          <w:sz w:val="20"/>
          <w:szCs w:val="20"/>
        </w:rPr>
      </w:pPr>
      <w:r w:rsidRPr="00A414A4">
        <w:rPr>
          <w:rFonts w:ascii="Arial" w:hAnsi="Arial" w:cs="Arial"/>
          <w:sz w:val="20"/>
          <w:szCs w:val="20"/>
        </w:rPr>
        <w:t xml:space="preserve">Braun, </w:t>
      </w:r>
      <w:r w:rsidR="00FF158F" w:rsidRPr="00A414A4">
        <w:rPr>
          <w:rFonts w:ascii="Arial" w:hAnsi="Arial" w:cs="Arial"/>
          <w:sz w:val="20"/>
          <w:szCs w:val="20"/>
        </w:rPr>
        <w:t>V.,</w:t>
      </w:r>
      <w:r w:rsidRPr="00A414A4">
        <w:rPr>
          <w:rFonts w:ascii="Arial" w:hAnsi="Arial" w:cs="Arial"/>
          <w:sz w:val="20"/>
          <w:szCs w:val="20"/>
        </w:rPr>
        <w:t xml:space="preserve"> and Clarke, V. (2006) ‘Using thematic analysis in psychology’, Qualitative Research in Psychology, 3(2), pp. 77–101.</w:t>
      </w:r>
    </w:p>
    <w:p w14:paraId="2013BCDA" w14:textId="77777777" w:rsidR="00BB4BB4" w:rsidRPr="00A414A4" w:rsidRDefault="00000000" w:rsidP="00AC23DC">
      <w:pPr>
        <w:spacing w:after="200"/>
        <w:rPr>
          <w:rFonts w:ascii="Arial" w:hAnsi="Arial" w:cs="Arial"/>
          <w:sz w:val="20"/>
          <w:szCs w:val="20"/>
        </w:rPr>
      </w:pPr>
      <w:r w:rsidRPr="00A414A4">
        <w:rPr>
          <w:rFonts w:ascii="Arial" w:hAnsi="Arial" w:cs="Arial"/>
          <w:sz w:val="20"/>
          <w:szCs w:val="20"/>
        </w:rPr>
        <w:t>British Retail Consortium (2023) Food supply chain resilience: industry perspectives. London: BRC.</w:t>
      </w:r>
    </w:p>
    <w:p w14:paraId="3040B8FC" w14:textId="25F3BEA5" w:rsidR="00BB4BB4" w:rsidRPr="00A414A4" w:rsidRDefault="00000000" w:rsidP="00AC23DC">
      <w:pPr>
        <w:spacing w:after="200"/>
        <w:rPr>
          <w:rFonts w:ascii="Arial" w:hAnsi="Arial" w:cs="Arial"/>
          <w:sz w:val="20"/>
          <w:szCs w:val="20"/>
        </w:rPr>
      </w:pPr>
      <w:r w:rsidRPr="00A414A4">
        <w:rPr>
          <w:rFonts w:ascii="Arial" w:hAnsi="Arial" w:cs="Arial"/>
          <w:sz w:val="20"/>
          <w:szCs w:val="20"/>
        </w:rPr>
        <w:t xml:space="preserve">Chopra, </w:t>
      </w:r>
      <w:r w:rsidR="00FF158F" w:rsidRPr="00A414A4">
        <w:rPr>
          <w:rFonts w:ascii="Arial" w:hAnsi="Arial" w:cs="Arial"/>
          <w:sz w:val="20"/>
          <w:szCs w:val="20"/>
        </w:rPr>
        <w:t>S.,</w:t>
      </w:r>
      <w:r w:rsidRPr="00A414A4">
        <w:rPr>
          <w:rFonts w:ascii="Arial" w:hAnsi="Arial" w:cs="Arial"/>
          <w:sz w:val="20"/>
          <w:szCs w:val="20"/>
        </w:rPr>
        <w:t xml:space="preserve"> and Sodhi, M.S. (2004) ‘Managing risk to avoid supply-chain breakdown’, MIT Sloan Management Review, 46(1), pp. 53–61.</w:t>
      </w:r>
    </w:p>
    <w:p w14:paraId="3E056175" w14:textId="77777777" w:rsidR="00BB4BB4" w:rsidRPr="00A414A4" w:rsidRDefault="00000000" w:rsidP="00AC23DC">
      <w:pPr>
        <w:spacing w:after="200"/>
        <w:rPr>
          <w:rFonts w:ascii="Arial" w:hAnsi="Arial" w:cs="Arial"/>
          <w:sz w:val="20"/>
          <w:szCs w:val="20"/>
        </w:rPr>
      </w:pPr>
      <w:r w:rsidRPr="00A414A4">
        <w:rPr>
          <w:rFonts w:ascii="Arial" w:hAnsi="Arial" w:cs="Arial"/>
          <w:sz w:val="20"/>
          <w:szCs w:val="20"/>
        </w:rPr>
        <w:t>Christopher, M. and Peck, H. (2004) ‘Building the resilient supply chain’, The International Journal of Logistics Management, 15(2), pp. 1–14.</w:t>
      </w:r>
    </w:p>
    <w:p w14:paraId="6F788B09" w14:textId="77777777" w:rsidR="00BB4BB4" w:rsidRPr="00A414A4" w:rsidRDefault="00000000" w:rsidP="00AC23DC">
      <w:pPr>
        <w:spacing w:after="200"/>
        <w:rPr>
          <w:rFonts w:ascii="Arial" w:hAnsi="Arial" w:cs="Arial"/>
          <w:sz w:val="20"/>
          <w:szCs w:val="20"/>
        </w:rPr>
      </w:pPr>
      <w:r w:rsidRPr="00A414A4">
        <w:rPr>
          <w:rFonts w:ascii="Arial" w:hAnsi="Arial" w:cs="Arial"/>
          <w:sz w:val="20"/>
          <w:szCs w:val="20"/>
        </w:rPr>
        <w:t>Company Annual Report (2023) Strategic report and financial statements. [Major UK retailer — anonymised for confidentiality].</w:t>
      </w:r>
    </w:p>
    <w:p w14:paraId="7E7AC7AF" w14:textId="19506AA7" w:rsidR="00BB4BB4" w:rsidRPr="00A414A4" w:rsidRDefault="00000000" w:rsidP="00AC23DC">
      <w:pPr>
        <w:spacing w:after="200"/>
        <w:rPr>
          <w:rFonts w:ascii="Arial" w:hAnsi="Arial" w:cs="Arial"/>
          <w:sz w:val="20"/>
          <w:szCs w:val="20"/>
        </w:rPr>
      </w:pPr>
      <w:r w:rsidRPr="00A414A4">
        <w:rPr>
          <w:rFonts w:ascii="Arial" w:hAnsi="Arial" w:cs="Arial"/>
          <w:sz w:val="20"/>
          <w:szCs w:val="20"/>
        </w:rPr>
        <w:t xml:space="preserve">Countryfile (2023) Why is there a tomato and vegetable shortage on UK shelves? Available at: https://www.countryfile.com/news/why-is-there-a-tomato-and-vegetable-shortage-on-uk-shelves/ (Accessed: </w:t>
      </w:r>
      <w:r w:rsidR="00BA74F8">
        <w:rPr>
          <w:rFonts w:ascii="Arial" w:hAnsi="Arial" w:cs="Arial"/>
          <w:sz w:val="20"/>
          <w:szCs w:val="20"/>
        </w:rPr>
        <w:t>0</w:t>
      </w:r>
      <w:r w:rsidRPr="00A414A4">
        <w:rPr>
          <w:rFonts w:ascii="Arial" w:hAnsi="Arial" w:cs="Arial"/>
          <w:sz w:val="20"/>
          <w:szCs w:val="20"/>
        </w:rPr>
        <w:t xml:space="preserve">8 </w:t>
      </w:r>
      <w:r w:rsidR="00BA74F8">
        <w:rPr>
          <w:rFonts w:ascii="Arial" w:hAnsi="Arial" w:cs="Arial"/>
          <w:sz w:val="20"/>
          <w:szCs w:val="20"/>
        </w:rPr>
        <w:t>April</w:t>
      </w:r>
      <w:r w:rsidRPr="00A414A4">
        <w:rPr>
          <w:rFonts w:ascii="Arial" w:hAnsi="Arial" w:cs="Arial"/>
          <w:sz w:val="20"/>
          <w:szCs w:val="20"/>
        </w:rPr>
        <w:t xml:space="preserve"> 202</w:t>
      </w:r>
      <w:r w:rsidR="00C62169">
        <w:rPr>
          <w:rFonts w:ascii="Arial" w:hAnsi="Arial" w:cs="Arial"/>
          <w:sz w:val="20"/>
          <w:szCs w:val="20"/>
        </w:rPr>
        <w:t>6</w:t>
      </w:r>
      <w:r w:rsidRPr="00A414A4">
        <w:rPr>
          <w:rFonts w:ascii="Arial" w:hAnsi="Arial" w:cs="Arial"/>
          <w:sz w:val="20"/>
          <w:szCs w:val="20"/>
        </w:rPr>
        <w:t>).</w:t>
      </w:r>
    </w:p>
    <w:p w14:paraId="474B88AC" w14:textId="77777777" w:rsidR="00BB4BB4" w:rsidRPr="00A414A4" w:rsidRDefault="00000000" w:rsidP="00AC23DC">
      <w:pPr>
        <w:spacing w:after="200"/>
        <w:rPr>
          <w:rFonts w:ascii="Arial" w:hAnsi="Arial" w:cs="Arial"/>
          <w:sz w:val="20"/>
          <w:szCs w:val="20"/>
        </w:rPr>
      </w:pPr>
      <w:r w:rsidRPr="00A414A4">
        <w:rPr>
          <w:rFonts w:ascii="Arial" w:hAnsi="Arial" w:cs="Arial"/>
          <w:sz w:val="20"/>
          <w:szCs w:val="20"/>
        </w:rPr>
        <w:t>Craighead, C.W., Ketchen, D.J. and Darby, J.L. (2020) ‘Pandemics and supply chain management research: toward a theoretical toolbox’, Decision Sciences, 51(4), pp. 838–866.</w:t>
      </w:r>
    </w:p>
    <w:p w14:paraId="37C71151" w14:textId="77777777" w:rsidR="00BB4BB4" w:rsidRPr="00A414A4" w:rsidRDefault="00000000" w:rsidP="00AC23DC">
      <w:pPr>
        <w:spacing w:after="200"/>
        <w:rPr>
          <w:rFonts w:ascii="Arial" w:hAnsi="Arial" w:cs="Arial"/>
          <w:sz w:val="20"/>
          <w:szCs w:val="20"/>
        </w:rPr>
      </w:pPr>
      <w:r w:rsidRPr="00A414A4">
        <w:rPr>
          <w:rFonts w:ascii="Arial" w:hAnsi="Arial" w:cs="Arial"/>
          <w:sz w:val="20"/>
          <w:szCs w:val="20"/>
        </w:rPr>
        <w:t>DEFRA (2023) UK food security report 2023. London: Department for Environment, Food and Rural Affairs.</w:t>
      </w:r>
    </w:p>
    <w:p w14:paraId="6AF01A4E" w14:textId="77777777" w:rsidR="00BB4BB4" w:rsidRPr="00A414A4" w:rsidRDefault="00000000" w:rsidP="00AC23DC">
      <w:pPr>
        <w:spacing w:after="200"/>
        <w:rPr>
          <w:rFonts w:ascii="Arial" w:hAnsi="Arial" w:cs="Arial"/>
          <w:sz w:val="20"/>
          <w:szCs w:val="20"/>
        </w:rPr>
      </w:pPr>
      <w:r w:rsidRPr="00A414A4">
        <w:rPr>
          <w:rFonts w:ascii="Arial" w:hAnsi="Arial" w:cs="Arial"/>
          <w:sz w:val="20"/>
          <w:szCs w:val="20"/>
        </w:rPr>
        <w:t>EFRA Select Committee (2023) Food supply chain resilience inquiry. London: House of Commons.</w:t>
      </w:r>
    </w:p>
    <w:p w14:paraId="182DFFED" w14:textId="77777777" w:rsidR="00BB4BB4" w:rsidRPr="00A414A4" w:rsidRDefault="00000000" w:rsidP="00AC23DC">
      <w:pPr>
        <w:spacing w:after="200"/>
        <w:rPr>
          <w:rFonts w:ascii="Arial" w:hAnsi="Arial" w:cs="Arial"/>
          <w:sz w:val="20"/>
          <w:szCs w:val="20"/>
        </w:rPr>
      </w:pPr>
      <w:r w:rsidRPr="00A414A4">
        <w:rPr>
          <w:rFonts w:ascii="Arial" w:hAnsi="Arial" w:cs="Arial"/>
          <w:sz w:val="20"/>
          <w:szCs w:val="20"/>
        </w:rPr>
        <w:t>El Baz, J. and Ruel, S. (2021) ‘Can supply chain risk management practices mitigate the disruption impacts on supply chains’ resilience and robustness?’, International Journal of Production Economics, 233, article 107972.</w:t>
      </w:r>
    </w:p>
    <w:p w14:paraId="37BFD5A1" w14:textId="05B0FB3E" w:rsidR="00BB4BB4" w:rsidRPr="00A414A4" w:rsidRDefault="00000000" w:rsidP="00AC23DC">
      <w:pPr>
        <w:spacing w:after="200"/>
        <w:rPr>
          <w:rFonts w:ascii="Arial" w:hAnsi="Arial" w:cs="Arial"/>
          <w:sz w:val="20"/>
          <w:szCs w:val="20"/>
        </w:rPr>
      </w:pPr>
      <w:r w:rsidRPr="00A414A4">
        <w:rPr>
          <w:rFonts w:ascii="Arial" w:hAnsi="Arial" w:cs="Arial"/>
          <w:sz w:val="20"/>
          <w:szCs w:val="20"/>
        </w:rPr>
        <w:t xml:space="preserve">Euronews (2023) Fact check: Is Brexit to blame for Britain’s fruit and vegetable shortages? Available at: https://www.euronews.com/green/2023/02/24/fact-check-is-brexit-to-blame-for-britains-fruit-and-vegetable-shortages (Accessed: 24 </w:t>
      </w:r>
      <w:r w:rsidR="00C62169">
        <w:rPr>
          <w:rFonts w:ascii="Arial" w:hAnsi="Arial" w:cs="Arial"/>
          <w:sz w:val="20"/>
          <w:szCs w:val="20"/>
        </w:rPr>
        <w:t>March</w:t>
      </w:r>
      <w:r w:rsidRPr="00A414A4">
        <w:rPr>
          <w:rFonts w:ascii="Arial" w:hAnsi="Arial" w:cs="Arial"/>
          <w:sz w:val="20"/>
          <w:szCs w:val="20"/>
        </w:rPr>
        <w:t xml:space="preserve"> 202</w:t>
      </w:r>
      <w:r w:rsidR="00C62169">
        <w:rPr>
          <w:rFonts w:ascii="Arial" w:hAnsi="Arial" w:cs="Arial"/>
          <w:sz w:val="20"/>
          <w:szCs w:val="20"/>
        </w:rPr>
        <w:t>6</w:t>
      </w:r>
      <w:r w:rsidRPr="00A414A4">
        <w:rPr>
          <w:rFonts w:ascii="Arial" w:hAnsi="Arial" w:cs="Arial"/>
          <w:sz w:val="20"/>
          <w:szCs w:val="20"/>
        </w:rPr>
        <w:t>).</w:t>
      </w:r>
    </w:p>
    <w:p w14:paraId="5573539C" w14:textId="5DC1035A" w:rsidR="00BB4BB4" w:rsidRPr="00A414A4" w:rsidRDefault="00000000" w:rsidP="00AC23DC">
      <w:pPr>
        <w:spacing w:after="200"/>
        <w:rPr>
          <w:rFonts w:ascii="Arial" w:hAnsi="Arial" w:cs="Arial"/>
          <w:sz w:val="20"/>
          <w:szCs w:val="20"/>
        </w:rPr>
      </w:pPr>
      <w:r w:rsidRPr="00A414A4">
        <w:rPr>
          <w:rFonts w:ascii="Arial" w:hAnsi="Arial" w:cs="Arial"/>
          <w:sz w:val="20"/>
          <w:szCs w:val="20"/>
        </w:rPr>
        <w:t>Food Foundation (2023) Fruit and veg shortages – what do they tell us about the state of UK food security? Available at: https://foodfoundation.org.uk/news/fruit-and-veg-shortages (Accessed: 2</w:t>
      </w:r>
      <w:r w:rsidR="00C62169">
        <w:rPr>
          <w:rFonts w:ascii="Arial" w:hAnsi="Arial" w:cs="Arial"/>
          <w:sz w:val="20"/>
          <w:szCs w:val="20"/>
        </w:rPr>
        <w:t>8 March</w:t>
      </w:r>
      <w:r w:rsidRPr="00A414A4">
        <w:rPr>
          <w:rFonts w:ascii="Arial" w:hAnsi="Arial" w:cs="Arial"/>
          <w:sz w:val="20"/>
          <w:szCs w:val="20"/>
        </w:rPr>
        <w:t xml:space="preserve"> 202</w:t>
      </w:r>
      <w:r w:rsidR="00C62169">
        <w:rPr>
          <w:rFonts w:ascii="Arial" w:hAnsi="Arial" w:cs="Arial"/>
          <w:sz w:val="20"/>
          <w:szCs w:val="20"/>
        </w:rPr>
        <w:t>6</w:t>
      </w:r>
      <w:r w:rsidRPr="00A414A4">
        <w:rPr>
          <w:rFonts w:ascii="Arial" w:hAnsi="Arial" w:cs="Arial"/>
          <w:sz w:val="20"/>
          <w:szCs w:val="20"/>
        </w:rPr>
        <w:t>).</w:t>
      </w:r>
    </w:p>
    <w:p w14:paraId="445B6482" w14:textId="77777777" w:rsidR="00BB4BB4" w:rsidRPr="00A414A4" w:rsidRDefault="00000000" w:rsidP="00AC23DC">
      <w:pPr>
        <w:spacing w:after="200"/>
        <w:rPr>
          <w:rFonts w:ascii="Arial" w:hAnsi="Arial" w:cs="Arial"/>
          <w:sz w:val="20"/>
          <w:szCs w:val="20"/>
        </w:rPr>
      </w:pPr>
      <w:r w:rsidRPr="00A414A4">
        <w:rPr>
          <w:rFonts w:ascii="Arial" w:hAnsi="Arial" w:cs="Arial"/>
          <w:sz w:val="20"/>
          <w:szCs w:val="20"/>
        </w:rPr>
        <w:lastRenderedPageBreak/>
        <w:t>Fresh Produce Consortium (2023) Annual survey of member supply chain challenges. London: FPC.</w:t>
      </w:r>
    </w:p>
    <w:p w14:paraId="012BAB18" w14:textId="77777777" w:rsidR="00BB4BB4" w:rsidRPr="00A414A4" w:rsidRDefault="00000000" w:rsidP="00AC23DC">
      <w:pPr>
        <w:spacing w:after="200"/>
        <w:rPr>
          <w:rFonts w:ascii="Arial" w:hAnsi="Arial" w:cs="Arial"/>
          <w:sz w:val="20"/>
          <w:szCs w:val="20"/>
        </w:rPr>
      </w:pPr>
      <w:r w:rsidRPr="00A414A4">
        <w:rPr>
          <w:rFonts w:ascii="Arial" w:hAnsi="Arial" w:cs="Arial"/>
          <w:sz w:val="20"/>
          <w:szCs w:val="20"/>
        </w:rPr>
        <w:t>Fresh Produce Journal (2024) ‘Diversification in sourcing: risks and rewards’, Fresh Produce Journal, 12 January, pp. 20–22.</w:t>
      </w:r>
    </w:p>
    <w:p w14:paraId="034F5F5C" w14:textId="77777777" w:rsidR="00BB4BB4" w:rsidRPr="00A414A4" w:rsidRDefault="00000000" w:rsidP="00AC23DC">
      <w:pPr>
        <w:spacing w:after="200"/>
        <w:rPr>
          <w:rFonts w:ascii="Arial" w:hAnsi="Arial" w:cs="Arial"/>
          <w:sz w:val="20"/>
          <w:szCs w:val="20"/>
        </w:rPr>
      </w:pPr>
      <w:r w:rsidRPr="00A414A4">
        <w:rPr>
          <w:rFonts w:ascii="Arial" w:hAnsi="Arial" w:cs="Arial"/>
          <w:sz w:val="20"/>
          <w:szCs w:val="20"/>
        </w:rPr>
        <w:t>Gibbs, G. (1988) Learning by doing: a guide to teaching and learning methods. Oxford: Oxford Polytechnic.</w:t>
      </w:r>
    </w:p>
    <w:p w14:paraId="170A0346" w14:textId="380424F0" w:rsidR="00BB4BB4" w:rsidRPr="00A414A4" w:rsidRDefault="00000000" w:rsidP="00AC23DC">
      <w:pPr>
        <w:spacing w:after="200"/>
        <w:rPr>
          <w:rFonts w:ascii="Arial" w:hAnsi="Arial" w:cs="Arial"/>
          <w:sz w:val="20"/>
          <w:szCs w:val="20"/>
        </w:rPr>
      </w:pPr>
      <w:r w:rsidRPr="00A414A4">
        <w:rPr>
          <w:rFonts w:ascii="Arial" w:hAnsi="Arial" w:cs="Arial"/>
          <w:sz w:val="20"/>
          <w:szCs w:val="20"/>
        </w:rPr>
        <w:t xml:space="preserve">Hirth, S., </w:t>
      </w:r>
      <w:proofErr w:type="spellStart"/>
      <w:r w:rsidRPr="00A414A4">
        <w:rPr>
          <w:rFonts w:ascii="Arial" w:hAnsi="Arial" w:cs="Arial"/>
          <w:sz w:val="20"/>
          <w:szCs w:val="20"/>
        </w:rPr>
        <w:t>Crastes</w:t>
      </w:r>
      <w:proofErr w:type="spellEnd"/>
      <w:r w:rsidRPr="00A414A4">
        <w:rPr>
          <w:rFonts w:ascii="Arial" w:hAnsi="Arial" w:cs="Arial"/>
          <w:sz w:val="20"/>
          <w:szCs w:val="20"/>
        </w:rPr>
        <w:t xml:space="preserve"> </w:t>
      </w:r>
      <w:proofErr w:type="spellStart"/>
      <w:r w:rsidRPr="00A414A4">
        <w:rPr>
          <w:rFonts w:ascii="Arial" w:hAnsi="Arial" w:cs="Arial"/>
          <w:sz w:val="20"/>
          <w:szCs w:val="20"/>
        </w:rPr>
        <w:t>dit</w:t>
      </w:r>
      <w:proofErr w:type="spellEnd"/>
      <w:r w:rsidRPr="00A414A4">
        <w:rPr>
          <w:rFonts w:ascii="Arial" w:hAnsi="Arial" w:cs="Arial"/>
          <w:sz w:val="20"/>
          <w:szCs w:val="20"/>
        </w:rPr>
        <w:t xml:space="preserve"> Sourd, R., Kaptan, G., </w:t>
      </w:r>
      <w:proofErr w:type="spellStart"/>
      <w:r w:rsidRPr="00A414A4">
        <w:rPr>
          <w:rFonts w:ascii="Arial" w:hAnsi="Arial" w:cs="Arial"/>
          <w:sz w:val="20"/>
          <w:szCs w:val="20"/>
        </w:rPr>
        <w:t>Tallontire</w:t>
      </w:r>
      <w:proofErr w:type="spellEnd"/>
      <w:r w:rsidRPr="00A414A4">
        <w:rPr>
          <w:rFonts w:ascii="Arial" w:hAnsi="Arial" w:cs="Arial"/>
          <w:sz w:val="20"/>
          <w:szCs w:val="20"/>
        </w:rPr>
        <w:t xml:space="preserve">, A. and Young, W. (2023) ‘Examining food system resilience in the UK: disrupted fruit and veg supply’, </w:t>
      </w:r>
      <w:proofErr w:type="spellStart"/>
      <w:r w:rsidRPr="00A414A4">
        <w:rPr>
          <w:rFonts w:ascii="Arial" w:hAnsi="Arial" w:cs="Arial"/>
          <w:sz w:val="20"/>
          <w:szCs w:val="20"/>
        </w:rPr>
        <w:t>Globalfood@Leeds</w:t>
      </w:r>
      <w:proofErr w:type="spellEnd"/>
      <w:r w:rsidRPr="00A414A4">
        <w:rPr>
          <w:rFonts w:ascii="Arial" w:hAnsi="Arial" w:cs="Arial"/>
          <w:sz w:val="20"/>
          <w:szCs w:val="20"/>
        </w:rPr>
        <w:t xml:space="preserve"> Research Blog. Available at: https://medium.com/globalfoodleeds/examining-food-system-resilience-in-the-uk (Accessed: </w:t>
      </w:r>
      <w:r w:rsidR="00BA74F8">
        <w:rPr>
          <w:rFonts w:ascii="Arial" w:hAnsi="Arial" w:cs="Arial"/>
          <w:sz w:val="20"/>
          <w:szCs w:val="20"/>
        </w:rPr>
        <w:t>02 April</w:t>
      </w:r>
      <w:r w:rsidRPr="00A414A4">
        <w:rPr>
          <w:rFonts w:ascii="Arial" w:hAnsi="Arial" w:cs="Arial"/>
          <w:sz w:val="20"/>
          <w:szCs w:val="20"/>
        </w:rPr>
        <w:t xml:space="preserve"> 202</w:t>
      </w:r>
      <w:r w:rsidR="00C62169">
        <w:rPr>
          <w:rFonts w:ascii="Arial" w:hAnsi="Arial" w:cs="Arial"/>
          <w:sz w:val="20"/>
          <w:szCs w:val="20"/>
        </w:rPr>
        <w:t>6</w:t>
      </w:r>
      <w:r w:rsidRPr="00A414A4">
        <w:rPr>
          <w:rFonts w:ascii="Arial" w:hAnsi="Arial" w:cs="Arial"/>
          <w:sz w:val="20"/>
          <w:szCs w:val="20"/>
        </w:rPr>
        <w:t>).</w:t>
      </w:r>
    </w:p>
    <w:p w14:paraId="762C51E7" w14:textId="77777777" w:rsidR="00BB4BB4" w:rsidRPr="00A414A4" w:rsidRDefault="00000000" w:rsidP="00AC23DC">
      <w:pPr>
        <w:spacing w:after="200"/>
        <w:rPr>
          <w:rFonts w:ascii="Arial" w:hAnsi="Arial" w:cs="Arial"/>
          <w:sz w:val="20"/>
          <w:szCs w:val="20"/>
        </w:rPr>
      </w:pPr>
      <w:r w:rsidRPr="00A414A4">
        <w:rPr>
          <w:rFonts w:ascii="Arial" w:hAnsi="Arial" w:cs="Arial"/>
          <w:sz w:val="20"/>
          <w:szCs w:val="20"/>
        </w:rPr>
        <w:t>Hobbs, J.E. (2020) ‘Food supply chains during the COVID-19 pandemic’, Canadian Journal of Agricultural Economics, 68(2), pp. 171–176.</w:t>
      </w:r>
    </w:p>
    <w:p w14:paraId="1D4F08B0" w14:textId="77777777" w:rsidR="00BB4BB4" w:rsidRPr="00A414A4" w:rsidRDefault="00000000" w:rsidP="00AC23DC">
      <w:pPr>
        <w:spacing w:after="200"/>
        <w:rPr>
          <w:rFonts w:ascii="Arial" w:hAnsi="Arial" w:cs="Arial"/>
          <w:sz w:val="20"/>
          <w:szCs w:val="20"/>
        </w:rPr>
      </w:pPr>
      <w:r w:rsidRPr="00A414A4">
        <w:rPr>
          <w:rFonts w:ascii="Arial" w:hAnsi="Arial" w:cs="Arial"/>
          <w:sz w:val="20"/>
          <w:szCs w:val="20"/>
        </w:rPr>
        <w:t>Hobbs, J.E. (2021) ‘Food supply chain resilience and the COVID-19 pandemic: what have we learned?’, Canadian Journal of Agricultural Economics, 69(2), pp. 189–196.</w:t>
      </w:r>
    </w:p>
    <w:p w14:paraId="7C0D0A3F" w14:textId="77777777" w:rsidR="00BB4BB4" w:rsidRPr="00A414A4" w:rsidRDefault="00000000" w:rsidP="00AC23DC">
      <w:pPr>
        <w:spacing w:after="200"/>
        <w:rPr>
          <w:rFonts w:ascii="Arial" w:hAnsi="Arial" w:cs="Arial"/>
          <w:sz w:val="20"/>
          <w:szCs w:val="20"/>
        </w:rPr>
      </w:pPr>
      <w:r w:rsidRPr="00A414A4">
        <w:rPr>
          <w:rFonts w:ascii="Arial" w:hAnsi="Arial" w:cs="Arial"/>
          <w:sz w:val="20"/>
          <w:szCs w:val="20"/>
        </w:rPr>
        <w:t xml:space="preserve">Ivanov, D. and </w:t>
      </w:r>
      <w:proofErr w:type="spellStart"/>
      <w:r w:rsidRPr="00A414A4">
        <w:rPr>
          <w:rFonts w:ascii="Arial" w:hAnsi="Arial" w:cs="Arial"/>
          <w:sz w:val="20"/>
          <w:szCs w:val="20"/>
        </w:rPr>
        <w:t>Dolgui</w:t>
      </w:r>
      <w:proofErr w:type="spellEnd"/>
      <w:r w:rsidRPr="00A414A4">
        <w:rPr>
          <w:rFonts w:ascii="Arial" w:hAnsi="Arial" w:cs="Arial"/>
          <w:sz w:val="20"/>
          <w:szCs w:val="20"/>
        </w:rPr>
        <w:t>, A. (2020) ‘Viability of intertwined supply networks: extending the supply chain resilience angles towards survivability’, International Journal of Production Research, 58(10), pp. 2904–2915.</w:t>
      </w:r>
    </w:p>
    <w:p w14:paraId="1B4F0993" w14:textId="77777777" w:rsidR="00BB4BB4" w:rsidRPr="00A414A4" w:rsidRDefault="00000000" w:rsidP="00AC23DC">
      <w:pPr>
        <w:spacing w:after="200"/>
        <w:rPr>
          <w:rFonts w:ascii="Arial" w:hAnsi="Arial" w:cs="Arial"/>
          <w:sz w:val="20"/>
          <w:szCs w:val="20"/>
        </w:rPr>
      </w:pPr>
      <w:r w:rsidRPr="00A414A4">
        <w:rPr>
          <w:rFonts w:ascii="Arial" w:hAnsi="Arial" w:cs="Arial"/>
          <w:sz w:val="20"/>
          <w:szCs w:val="20"/>
        </w:rPr>
        <w:t xml:space="preserve">Ivanov, D. and </w:t>
      </w:r>
      <w:proofErr w:type="spellStart"/>
      <w:r w:rsidRPr="00A414A4">
        <w:rPr>
          <w:rFonts w:ascii="Arial" w:hAnsi="Arial" w:cs="Arial"/>
          <w:sz w:val="20"/>
          <w:szCs w:val="20"/>
        </w:rPr>
        <w:t>Dolgui</w:t>
      </w:r>
      <w:proofErr w:type="spellEnd"/>
      <w:r w:rsidRPr="00A414A4">
        <w:rPr>
          <w:rFonts w:ascii="Arial" w:hAnsi="Arial" w:cs="Arial"/>
          <w:sz w:val="20"/>
          <w:szCs w:val="20"/>
        </w:rPr>
        <w:t>, A. (2021) ‘A digital supply chain twin for managing the disruption risks and resilience in the era of Industry 4.0’, Production Planning &amp; Control, 32(9), pp. 775–788.</w:t>
      </w:r>
    </w:p>
    <w:p w14:paraId="422F1B74" w14:textId="77777777" w:rsidR="00BB4BB4" w:rsidRPr="00A414A4" w:rsidRDefault="00000000" w:rsidP="00AC23DC">
      <w:pPr>
        <w:spacing w:after="200"/>
        <w:rPr>
          <w:rFonts w:ascii="Arial" w:hAnsi="Arial" w:cs="Arial"/>
          <w:sz w:val="20"/>
          <w:szCs w:val="20"/>
        </w:rPr>
      </w:pPr>
      <w:r w:rsidRPr="00A414A4">
        <w:rPr>
          <w:rFonts w:ascii="Arial" w:hAnsi="Arial" w:cs="Arial"/>
          <w:sz w:val="20"/>
          <w:szCs w:val="20"/>
        </w:rPr>
        <w:t>Lincoln, Y.S. and Guba, E.G. (1985) Naturalistic inquiry. Beverly Hills: Sage Publications.</w:t>
      </w:r>
    </w:p>
    <w:p w14:paraId="243CFCD2" w14:textId="77777777" w:rsidR="00BB4BB4" w:rsidRPr="00A414A4" w:rsidRDefault="00000000" w:rsidP="00AC23DC">
      <w:pPr>
        <w:spacing w:after="200"/>
        <w:rPr>
          <w:rFonts w:ascii="Arial" w:hAnsi="Arial" w:cs="Arial"/>
          <w:sz w:val="20"/>
          <w:szCs w:val="20"/>
        </w:rPr>
      </w:pPr>
      <w:r w:rsidRPr="00A414A4">
        <w:rPr>
          <w:rFonts w:ascii="Arial" w:hAnsi="Arial" w:cs="Arial"/>
          <w:sz w:val="20"/>
          <w:szCs w:val="20"/>
        </w:rPr>
        <w:t>Manning, L. and Soon, J.M. (2016) ‘Building strategic resilience in the food supply chain’, British Food Journal, 118(6), pp. 1477–1493.</w:t>
      </w:r>
    </w:p>
    <w:p w14:paraId="52BBC94C" w14:textId="77777777" w:rsidR="00BB4BB4" w:rsidRPr="00A414A4" w:rsidRDefault="00000000" w:rsidP="00AC23DC">
      <w:pPr>
        <w:spacing w:after="200"/>
        <w:rPr>
          <w:rFonts w:ascii="Arial" w:hAnsi="Arial" w:cs="Arial"/>
          <w:sz w:val="20"/>
          <w:szCs w:val="20"/>
        </w:rPr>
      </w:pPr>
      <w:r w:rsidRPr="00A414A4">
        <w:rPr>
          <w:rFonts w:ascii="Arial" w:hAnsi="Arial" w:cs="Arial"/>
          <w:sz w:val="20"/>
          <w:szCs w:val="20"/>
        </w:rPr>
        <w:t>Melnikovas, A. (2018) ‘Towards an explicit research methodology: adapting research onion model for futures studies’, Journal of Futures Studies, 23(2), pp. 29–44.</w:t>
      </w:r>
    </w:p>
    <w:p w14:paraId="09264D9E" w14:textId="77777777" w:rsidR="00BB4BB4" w:rsidRPr="00A414A4" w:rsidRDefault="00000000" w:rsidP="00AC23DC">
      <w:pPr>
        <w:spacing w:after="200"/>
        <w:rPr>
          <w:rFonts w:ascii="Arial" w:hAnsi="Arial" w:cs="Arial"/>
          <w:sz w:val="20"/>
          <w:szCs w:val="20"/>
        </w:rPr>
      </w:pPr>
      <w:r w:rsidRPr="00A414A4">
        <w:rPr>
          <w:rFonts w:ascii="Arial" w:hAnsi="Arial" w:cs="Arial"/>
          <w:sz w:val="20"/>
          <w:szCs w:val="20"/>
        </w:rPr>
        <w:t>Naylor, J.B., Naim, M.M. and Berry, D. (1999) ‘</w:t>
      </w:r>
      <w:proofErr w:type="spellStart"/>
      <w:r w:rsidRPr="00A414A4">
        <w:rPr>
          <w:rFonts w:ascii="Arial" w:hAnsi="Arial" w:cs="Arial"/>
          <w:sz w:val="20"/>
          <w:szCs w:val="20"/>
        </w:rPr>
        <w:t>Leagility</w:t>
      </w:r>
      <w:proofErr w:type="spellEnd"/>
      <w:r w:rsidRPr="00A414A4">
        <w:rPr>
          <w:rFonts w:ascii="Arial" w:hAnsi="Arial" w:cs="Arial"/>
          <w:sz w:val="20"/>
          <w:szCs w:val="20"/>
        </w:rPr>
        <w:t>: integrating the lean and agile manufacturing paradigms in the total supply chain’, International Journal of Production Economics, 62(1–2), pp. 107–118.</w:t>
      </w:r>
    </w:p>
    <w:p w14:paraId="1D7C542F" w14:textId="77777777" w:rsidR="00BB4BB4" w:rsidRPr="00A414A4" w:rsidRDefault="00000000" w:rsidP="00AC23DC">
      <w:pPr>
        <w:spacing w:after="200"/>
        <w:rPr>
          <w:rFonts w:ascii="Arial" w:hAnsi="Arial" w:cs="Arial"/>
          <w:sz w:val="20"/>
          <w:szCs w:val="20"/>
        </w:rPr>
      </w:pPr>
      <w:r w:rsidRPr="00A414A4">
        <w:rPr>
          <w:rFonts w:ascii="Arial" w:hAnsi="Arial" w:cs="Arial"/>
          <w:sz w:val="20"/>
          <w:szCs w:val="20"/>
        </w:rPr>
        <w:t>Ponomarov, S.Y. and Holcomb, M.C. (2009) ‘Understanding the concept of supply chain resilience’, The International Journal of Logistics Management, 20(1), pp. 124–143.</w:t>
      </w:r>
    </w:p>
    <w:p w14:paraId="45B641E0" w14:textId="77777777" w:rsidR="00BB4BB4" w:rsidRPr="00A414A4" w:rsidRDefault="00000000" w:rsidP="00AC23DC">
      <w:pPr>
        <w:spacing w:after="200"/>
        <w:rPr>
          <w:rFonts w:ascii="Arial" w:hAnsi="Arial" w:cs="Arial"/>
          <w:sz w:val="20"/>
          <w:szCs w:val="20"/>
        </w:rPr>
      </w:pPr>
      <w:r w:rsidRPr="00A414A4">
        <w:rPr>
          <w:rFonts w:ascii="Arial" w:hAnsi="Arial" w:cs="Arial"/>
          <w:sz w:val="20"/>
          <w:szCs w:val="20"/>
        </w:rPr>
        <w:t>Productivity Commission (2020) Agricultural regulation: productivity commission inquiry report. Canberra: Australian Government.</w:t>
      </w:r>
    </w:p>
    <w:p w14:paraId="7C0A0E0E" w14:textId="04F49BC0" w:rsidR="00BB4BB4" w:rsidRPr="00A414A4" w:rsidRDefault="00000000" w:rsidP="00AC23DC">
      <w:pPr>
        <w:spacing w:after="200"/>
        <w:rPr>
          <w:rFonts w:ascii="Arial" w:hAnsi="Arial" w:cs="Arial"/>
          <w:sz w:val="20"/>
          <w:szCs w:val="20"/>
        </w:rPr>
      </w:pPr>
      <w:r w:rsidRPr="00A414A4">
        <w:rPr>
          <w:rFonts w:ascii="Arial" w:hAnsi="Arial" w:cs="Arial"/>
          <w:sz w:val="20"/>
          <w:szCs w:val="20"/>
        </w:rPr>
        <w:t xml:space="preserve">Saunders, M.N.K., Lewis, </w:t>
      </w:r>
      <w:r w:rsidR="00FF158F" w:rsidRPr="00A414A4">
        <w:rPr>
          <w:rFonts w:ascii="Arial" w:hAnsi="Arial" w:cs="Arial"/>
          <w:sz w:val="20"/>
          <w:szCs w:val="20"/>
        </w:rPr>
        <w:t>P.,</w:t>
      </w:r>
      <w:r w:rsidRPr="00A414A4">
        <w:rPr>
          <w:rFonts w:ascii="Arial" w:hAnsi="Arial" w:cs="Arial"/>
          <w:sz w:val="20"/>
          <w:szCs w:val="20"/>
        </w:rPr>
        <w:t xml:space="preserve"> and Thornhill, A. (2019) Research methods for business students. 8th </w:t>
      </w:r>
      <w:proofErr w:type="spellStart"/>
      <w:r w:rsidRPr="00A414A4">
        <w:rPr>
          <w:rFonts w:ascii="Arial" w:hAnsi="Arial" w:cs="Arial"/>
          <w:sz w:val="20"/>
          <w:szCs w:val="20"/>
        </w:rPr>
        <w:t>edn</w:t>
      </w:r>
      <w:proofErr w:type="spellEnd"/>
      <w:r w:rsidRPr="00A414A4">
        <w:rPr>
          <w:rFonts w:ascii="Arial" w:hAnsi="Arial" w:cs="Arial"/>
          <w:sz w:val="20"/>
          <w:szCs w:val="20"/>
        </w:rPr>
        <w:t>. Harlow: Pearson Education.</w:t>
      </w:r>
    </w:p>
    <w:p w14:paraId="28CA2D91" w14:textId="77777777" w:rsidR="00BB4BB4" w:rsidRPr="00A414A4" w:rsidRDefault="00000000" w:rsidP="00AC23DC">
      <w:pPr>
        <w:spacing w:after="200"/>
        <w:rPr>
          <w:rFonts w:ascii="Arial" w:hAnsi="Arial" w:cs="Arial"/>
          <w:sz w:val="20"/>
          <w:szCs w:val="20"/>
        </w:rPr>
      </w:pPr>
      <w:r w:rsidRPr="00A414A4">
        <w:rPr>
          <w:rFonts w:ascii="Arial" w:hAnsi="Arial" w:cs="Arial"/>
          <w:sz w:val="20"/>
          <w:szCs w:val="20"/>
        </w:rPr>
        <w:t>Sheffi, Y. (2015) The power of resilience: how the best companies manage the unexpected. Cambridge, MA: MIT Press.</w:t>
      </w:r>
    </w:p>
    <w:p w14:paraId="6F42DE87" w14:textId="77777777" w:rsidR="00BB4BB4" w:rsidRPr="00A414A4" w:rsidRDefault="00000000" w:rsidP="00AC23DC">
      <w:pPr>
        <w:spacing w:after="200"/>
        <w:rPr>
          <w:rFonts w:ascii="Arial" w:hAnsi="Arial" w:cs="Arial"/>
          <w:sz w:val="20"/>
          <w:szCs w:val="20"/>
        </w:rPr>
      </w:pPr>
      <w:r w:rsidRPr="00A414A4">
        <w:rPr>
          <w:rFonts w:ascii="Arial" w:hAnsi="Arial" w:cs="Arial"/>
          <w:sz w:val="20"/>
          <w:szCs w:val="20"/>
        </w:rPr>
        <w:t>Sheffi, Y. and Rice, J.B. (2005) ‘A supply chain view of the resilient enterprise’, MIT Sloan Management Review, 47(1), pp. 41–48.</w:t>
      </w:r>
    </w:p>
    <w:p w14:paraId="735FCC7D" w14:textId="331BE252" w:rsidR="00BB4BB4" w:rsidRPr="00A414A4" w:rsidRDefault="00000000" w:rsidP="00AC23DC">
      <w:pPr>
        <w:spacing w:after="200"/>
        <w:rPr>
          <w:rFonts w:ascii="Arial" w:hAnsi="Arial" w:cs="Arial"/>
          <w:sz w:val="20"/>
          <w:szCs w:val="20"/>
        </w:rPr>
      </w:pPr>
      <w:r w:rsidRPr="00A414A4">
        <w:rPr>
          <w:rFonts w:ascii="Arial" w:hAnsi="Arial" w:cs="Arial"/>
          <w:sz w:val="20"/>
          <w:szCs w:val="20"/>
        </w:rPr>
        <w:t xml:space="preserve">Sustain (2023) Why is there a shortage of tomatoes in the UK? Available at: https://www.sustainweb.org/blogs/feb23-glasshouse-half-empty/ (Accessed: </w:t>
      </w:r>
      <w:r w:rsidR="00C62169">
        <w:rPr>
          <w:rFonts w:ascii="Arial" w:hAnsi="Arial" w:cs="Arial"/>
          <w:sz w:val="20"/>
          <w:szCs w:val="20"/>
        </w:rPr>
        <w:t>26 March</w:t>
      </w:r>
      <w:r w:rsidRPr="00A414A4">
        <w:rPr>
          <w:rFonts w:ascii="Arial" w:hAnsi="Arial" w:cs="Arial"/>
          <w:sz w:val="20"/>
          <w:szCs w:val="20"/>
        </w:rPr>
        <w:t xml:space="preserve"> 202</w:t>
      </w:r>
      <w:r w:rsidR="00C62169">
        <w:rPr>
          <w:rFonts w:ascii="Arial" w:hAnsi="Arial" w:cs="Arial"/>
          <w:sz w:val="20"/>
          <w:szCs w:val="20"/>
        </w:rPr>
        <w:t>6</w:t>
      </w:r>
      <w:r w:rsidRPr="00A414A4">
        <w:rPr>
          <w:rFonts w:ascii="Arial" w:hAnsi="Arial" w:cs="Arial"/>
          <w:sz w:val="20"/>
          <w:szCs w:val="20"/>
        </w:rPr>
        <w:t>).</w:t>
      </w:r>
    </w:p>
    <w:p w14:paraId="3D34C388" w14:textId="77777777" w:rsidR="00BB4BB4" w:rsidRPr="00A414A4" w:rsidRDefault="00000000" w:rsidP="00AC23DC">
      <w:pPr>
        <w:spacing w:after="200"/>
        <w:rPr>
          <w:rFonts w:ascii="Arial" w:hAnsi="Arial" w:cs="Arial"/>
          <w:sz w:val="20"/>
          <w:szCs w:val="20"/>
        </w:rPr>
      </w:pPr>
      <w:r w:rsidRPr="00A414A4">
        <w:rPr>
          <w:rFonts w:ascii="Arial" w:hAnsi="Arial" w:cs="Arial"/>
          <w:sz w:val="20"/>
          <w:szCs w:val="20"/>
        </w:rPr>
        <w:t>Tang, C.S. (2006) ‘Perspectives in supply chain risk management’, International Journal of Production Economics, 103(2), pp. 451–488.</w:t>
      </w:r>
    </w:p>
    <w:p w14:paraId="2C3E1671" w14:textId="77777777" w:rsidR="00BB4BB4" w:rsidRPr="00A414A4" w:rsidRDefault="00000000" w:rsidP="00AC23DC">
      <w:pPr>
        <w:spacing w:after="200"/>
        <w:rPr>
          <w:rFonts w:ascii="Arial" w:hAnsi="Arial" w:cs="Arial"/>
          <w:sz w:val="20"/>
          <w:szCs w:val="20"/>
        </w:rPr>
      </w:pPr>
      <w:r w:rsidRPr="00A414A4">
        <w:rPr>
          <w:rFonts w:ascii="Arial" w:hAnsi="Arial" w:cs="Arial"/>
          <w:sz w:val="20"/>
          <w:szCs w:val="20"/>
        </w:rPr>
        <w:t xml:space="preserve">Teece, D.J., Pisano, G. and </w:t>
      </w:r>
      <w:proofErr w:type="spellStart"/>
      <w:r w:rsidRPr="00A414A4">
        <w:rPr>
          <w:rFonts w:ascii="Arial" w:hAnsi="Arial" w:cs="Arial"/>
          <w:sz w:val="20"/>
          <w:szCs w:val="20"/>
        </w:rPr>
        <w:t>Shuen</w:t>
      </w:r>
      <w:proofErr w:type="spellEnd"/>
      <w:r w:rsidRPr="00A414A4">
        <w:rPr>
          <w:rFonts w:ascii="Arial" w:hAnsi="Arial" w:cs="Arial"/>
          <w:sz w:val="20"/>
          <w:szCs w:val="20"/>
        </w:rPr>
        <w:t>, A. (1997) ‘Dynamic capabilities and strategic management’, Strategic Management Journal, 18(7), pp. 509–533.</w:t>
      </w:r>
    </w:p>
    <w:p w14:paraId="64EFC550" w14:textId="77777777" w:rsidR="00BB4BB4" w:rsidRPr="00A414A4" w:rsidRDefault="00000000" w:rsidP="00AC23DC">
      <w:pPr>
        <w:spacing w:after="200"/>
        <w:rPr>
          <w:rFonts w:ascii="Arial" w:hAnsi="Arial" w:cs="Arial"/>
          <w:sz w:val="20"/>
          <w:szCs w:val="20"/>
        </w:rPr>
      </w:pPr>
      <w:r w:rsidRPr="00A414A4">
        <w:rPr>
          <w:rFonts w:ascii="Arial" w:hAnsi="Arial" w:cs="Arial"/>
          <w:sz w:val="20"/>
          <w:szCs w:val="20"/>
        </w:rPr>
        <w:t>The Grocer (2023) ‘SMEs hit hardest by Brexit and energy crisis’, The Grocer, 14 June, p. 7.</w:t>
      </w:r>
    </w:p>
    <w:p w14:paraId="5D718D37" w14:textId="77777777" w:rsidR="00BB4BB4" w:rsidRPr="00A414A4" w:rsidRDefault="00000000" w:rsidP="00AC23DC">
      <w:pPr>
        <w:spacing w:after="200"/>
        <w:rPr>
          <w:rFonts w:ascii="Arial" w:hAnsi="Arial" w:cs="Arial"/>
          <w:sz w:val="20"/>
          <w:szCs w:val="20"/>
        </w:rPr>
      </w:pPr>
      <w:r w:rsidRPr="00A414A4">
        <w:rPr>
          <w:rFonts w:ascii="Arial" w:hAnsi="Arial" w:cs="Arial"/>
          <w:sz w:val="20"/>
          <w:szCs w:val="20"/>
        </w:rPr>
        <w:lastRenderedPageBreak/>
        <w:t>The Grocer (2024) ‘Implementation challenges in supply chain diversification’, The Grocer, 15 March, pp. 12–14.</w:t>
      </w:r>
    </w:p>
    <w:p w14:paraId="68435A2F" w14:textId="77777777" w:rsidR="00BB4BB4" w:rsidRPr="00A414A4" w:rsidRDefault="00000000" w:rsidP="00AC23DC">
      <w:pPr>
        <w:spacing w:after="200"/>
        <w:rPr>
          <w:rFonts w:ascii="Arial" w:hAnsi="Arial" w:cs="Arial"/>
          <w:sz w:val="20"/>
          <w:szCs w:val="20"/>
        </w:rPr>
      </w:pPr>
      <w:proofErr w:type="spellStart"/>
      <w:r w:rsidRPr="00A414A4">
        <w:rPr>
          <w:rFonts w:ascii="Arial" w:hAnsi="Arial" w:cs="Arial"/>
          <w:sz w:val="20"/>
          <w:szCs w:val="20"/>
        </w:rPr>
        <w:t>Tukamuhabwa</w:t>
      </w:r>
      <w:proofErr w:type="spellEnd"/>
      <w:r w:rsidRPr="00A414A4">
        <w:rPr>
          <w:rFonts w:ascii="Arial" w:hAnsi="Arial" w:cs="Arial"/>
          <w:sz w:val="20"/>
          <w:szCs w:val="20"/>
        </w:rPr>
        <w:t>, B.R., Stevenson, M., Busby, J. and Zorzini, M. (2015) ‘Supply chain resilience: definition, review and theoretical foundations for further study’, International Journal of Production Research, 53(18), pp. 5592–5623.</w:t>
      </w:r>
    </w:p>
    <w:p w14:paraId="7AE7A9CB" w14:textId="77777777" w:rsidR="00BB4BB4" w:rsidRPr="00A414A4" w:rsidRDefault="00000000" w:rsidP="00AC23DC">
      <w:pPr>
        <w:spacing w:after="200"/>
        <w:rPr>
          <w:rFonts w:ascii="Arial" w:hAnsi="Arial" w:cs="Arial"/>
          <w:sz w:val="20"/>
          <w:szCs w:val="20"/>
        </w:rPr>
      </w:pPr>
      <w:r w:rsidRPr="00A414A4">
        <w:rPr>
          <w:rFonts w:ascii="Arial" w:hAnsi="Arial" w:cs="Arial"/>
          <w:sz w:val="20"/>
          <w:szCs w:val="20"/>
        </w:rPr>
        <w:t>Van der Vorst, J.G.A.J., Tromp, S.O. and van der Zee, D.J. (2009) ‘Simulation modelling for food supply chain redesign’, International Journal of Production Research, 47(23), pp. 6611–6631.</w:t>
      </w:r>
    </w:p>
    <w:p w14:paraId="2469C017" w14:textId="77777777" w:rsidR="00BB4BB4" w:rsidRPr="00A414A4" w:rsidRDefault="00000000" w:rsidP="00AC23DC">
      <w:pPr>
        <w:spacing w:after="200"/>
        <w:rPr>
          <w:rFonts w:ascii="Arial" w:hAnsi="Arial" w:cs="Arial"/>
          <w:sz w:val="20"/>
          <w:szCs w:val="20"/>
        </w:rPr>
      </w:pPr>
      <w:proofErr w:type="spellStart"/>
      <w:r w:rsidRPr="00A414A4">
        <w:rPr>
          <w:rFonts w:ascii="Arial" w:hAnsi="Arial" w:cs="Arial"/>
          <w:sz w:val="20"/>
          <w:szCs w:val="20"/>
        </w:rPr>
        <w:t>Vlajic</w:t>
      </w:r>
      <w:proofErr w:type="spellEnd"/>
      <w:r w:rsidRPr="00A414A4">
        <w:rPr>
          <w:rFonts w:ascii="Arial" w:hAnsi="Arial" w:cs="Arial"/>
          <w:sz w:val="20"/>
          <w:szCs w:val="20"/>
        </w:rPr>
        <w:t xml:space="preserve">, J.V., van der Vorst, J.G.A.J. and </w:t>
      </w:r>
      <w:proofErr w:type="spellStart"/>
      <w:r w:rsidRPr="00A414A4">
        <w:rPr>
          <w:rFonts w:ascii="Arial" w:hAnsi="Arial" w:cs="Arial"/>
          <w:sz w:val="20"/>
          <w:szCs w:val="20"/>
        </w:rPr>
        <w:t>Haijema</w:t>
      </w:r>
      <w:proofErr w:type="spellEnd"/>
      <w:r w:rsidRPr="00A414A4">
        <w:rPr>
          <w:rFonts w:ascii="Arial" w:hAnsi="Arial" w:cs="Arial"/>
          <w:sz w:val="20"/>
          <w:szCs w:val="20"/>
        </w:rPr>
        <w:t>, R. (2012) ‘A framework for designing robust food supply chains’, International Journal of Production Economics, 137(1), pp. 176–189.</w:t>
      </w:r>
    </w:p>
    <w:p w14:paraId="07FB0933" w14:textId="77777777" w:rsidR="00BB4BB4" w:rsidRPr="00A414A4" w:rsidRDefault="00000000" w:rsidP="00AC23DC">
      <w:pPr>
        <w:spacing w:after="200"/>
        <w:rPr>
          <w:rFonts w:ascii="Arial" w:hAnsi="Arial" w:cs="Arial"/>
          <w:sz w:val="20"/>
          <w:szCs w:val="20"/>
        </w:rPr>
      </w:pPr>
      <w:r w:rsidRPr="00A414A4">
        <w:rPr>
          <w:rFonts w:ascii="Arial" w:hAnsi="Arial" w:cs="Arial"/>
          <w:sz w:val="20"/>
          <w:szCs w:val="20"/>
        </w:rPr>
        <w:t xml:space="preserve">Wieland, A. and </w:t>
      </w:r>
      <w:proofErr w:type="spellStart"/>
      <w:r w:rsidRPr="00A414A4">
        <w:rPr>
          <w:rFonts w:ascii="Arial" w:hAnsi="Arial" w:cs="Arial"/>
          <w:sz w:val="20"/>
          <w:szCs w:val="20"/>
        </w:rPr>
        <w:t>Durach</w:t>
      </w:r>
      <w:proofErr w:type="spellEnd"/>
      <w:r w:rsidRPr="00A414A4">
        <w:rPr>
          <w:rFonts w:ascii="Arial" w:hAnsi="Arial" w:cs="Arial"/>
          <w:sz w:val="20"/>
          <w:szCs w:val="20"/>
        </w:rPr>
        <w:t>, C.F. (2021) ‘Two perspectives on supply chain resilience’, Journal of Business Logistics, 42(3), pp. 315–322.</w:t>
      </w:r>
    </w:p>
    <w:p w14:paraId="449CB102" w14:textId="77777777" w:rsidR="00BB4BB4" w:rsidRPr="00A414A4" w:rsidRDefault="00000000" w:rsidP="00AC23DC">
      <w:pPr>
        <w:spacing w:after="200"/>
        <w:rPr>
          <w:rFonts w:ascii="Arial" w:hAnsi="Arial" w:cs="Arial"/>
          <w:sz w:val="20"/>
          <w:szCs w:val="20"/>
        </w:rPr>
      </w:pPr>
      <w:r w:rsidRPr="00A414A4">
        <w:rPr>
          <w:rFonts w:ascii="Arial" w:hAnsi="Arial" w:cs="Arial"/>
          <w:sz w:val="20"/>
          <w:szCs w:val="20"/>
        </w:rPr>
        <w:t>Wieland, A. and Wallenburg, C.M. (2012) ‘Dealing with supply chain risks: linking risk management practices and strategies to performance’, International Journal of Physical Distribution &amp; Logistics Management, 42(10), pp. 887–905.</w:t>
      </w:r>
    </w:p>
    <w:p w14:paraId="4A3F7E81" w14:textId="77777777" w:rsidR="00BB4BB4" w:rsidRPr="00A414A4" w:rsidRDefault="00000000" w:rsidP="00AC23DC">
      <w:pPr>
        <w:spacing w:after="200"/>
        <w:rPr>
          <w:rFonts w:ascii="Arial" w:hAnsi="Arial" w:cs="Arial"/>
          <w:sz w:val="20"/>
          <w:szCs w:val="20"/>
        </w:rPr>
      </w:pPr>
      <w:proofErr w:type="spellStart"/>
      <w:r w:rsidRPr="00A414A4">
        <w:rPr>
          <w:rFonts w:ascii="Arial" w:hAnsi="Arial" w:cs="Arial"/>
          <w:sz w:val="20"/>
          <w:szCs w:val="20"/>
        </w:rPr>
        <w:t>Wijnands</w:t>
      </w:r>
      <w:proofErr w:type="spellEnd"/>
      <w:r w:rsidRPr="00A414A4">
        <w:rPr>
          <w:rFonts w:ascii="Arial" w:hAnsi="Arial" w:cs="Arial"/>
          <w:sz w:val="20"/>
          <w:szCs w:val="20"/>
        </w:rPr>
        <w:t>, J.H.M., van der Meulen, B.M.J. and Poppe, K.J. (2015) Competitiveness of the European food industry: an economic and legal assessment. Luxembourg: Publications Office of the European Union.</w:t>
      </w:r>
    </w:p>
    <w:p w14:paraId="00E50078" w14:textId="77777777" w:rsidR="00BB4BB4" w:rsidRPr="00A414A4" w:rsidRDefault="00000000" w:rsidP="00AC23DC">
      <w:pPr>
        <w:spacing w:after="200"/>
        <w:rPr>
          <w:rFonts w:ascii="Arial" w:hAnsi="Arial" w:cs="Arial"/>
          <w:sz w:val="20"/>
          <w:szCs w:val="20"/>
        </w:rPr>
      </w:pPr>
      <w:r w:rsidRPr="00A414A4">
        <w:rPr>
          <w:rFonts w:ascii="Arial" w:hAnsi="Arial" w:cs="Arial"/>
          <w:sz w:val="20"/>
          <w:szCs w:val="20"/>
        </w:rPr>
        <w:t>Zhao, G., Liu, S., Lopez, C., Chen, H., Lu, H., Mangla, S.K. and Elgueta, S. (2023) ‘Agri-food supply chain resilience strategies for preparing, responding, recovering and adapting in relation to unexpected crisis’, Journal of Business Logistics, 44(3), pp. 382–409.</w:t>
      </w:r>
    </w:p>
    <w:p w14:paraId="6C4FBAC2" w14:textId="77777777" w:rsidR="00BB4BB4" w:rsidRPr="00A414A4" w:rsidRDefault="00000000" w:rsidP="00AC23DC">
      <w:pPr>
        <w:spacing w:after="200"/>
        <w:rPr>
          <w:rFonts w:ascii="Arial" w:hAnsi="Arial" w:cs="Arial"/>
          <w:sz w:val="20"/>
          <w:szCs w:val="20"/>
        </w:rPr>
      </w:pPr>
      <w:proofErr w:type="spellStart"/>
      <w:r w:rsidRPr="00A414A4">
        <w:rPr>
          <w:rFonts w:ascii="Arial" w:hAnsi="Arial" w:cs="Arial"/>
          <w:sz w:val="20"/>
          <w:szCs w:val="20"/>
        </w:rPr>
        <w:t>Zsidisin</w:t>
      </w:r>
      <w:proofErr w:type="spellEnd"/>
      <w:r w:rsidRPr="00A414A4">
        <w:rPr>
          <w:rFonts w:ascii="Arial" w:hAnsi="Arial" w:cs="Arial"/>
          <w:sz w:val="20"/>
          <w:szCs w:val="20"/>
        </w:rPr>
        <w:t>, G.A. and Ritchie, B. (2009) Supply chain risk: a handbook of assessment, management, and performance. New York: Springer.</w:t>
      </w:r>
    </w:p>
    <w:p w14:paraId="6925941C" w14:textId="77777777" w:rsidR="00FD50B2" w:rsidRDefault="00FD50B2" w:rsidP="00585384">
      <w:pPr>
        <w:pStyle w:val="Heading1"/>
        <w:rPr>
          <w:rFonts w:ascii="Arial" w:hAnsi="Arial" w:cs="Arial"/>
        </w:rPr>
      </w:pPr>
    </w:p>
    <w:p w14:paraId="3D397B9B" w14:textId="77777777" w:rsidR="003C091B" w:rsidRDefault="003C091B" w:rsidP="00F61B71">
      <w:pPr>
        <w:pStyle w:val="Heading2"/>
        <w:spacing w:before="0"/>
        <w:rPr>
          <w:rFonts w:ascii="Arial" w:hAnsi="Arial" w:cs="Arial"/>
          <w:sz w:val="32"/>
          <w:szCs w:val="32"/>
        </w:rPr>
      </w:pPr>
    </w:p>
    <w:p w14:paraId="1AA5E881" w14:textId="77777777" w:rsidR="003C091B" w:rsidRDefault="003C091B" w:rsidP="00F61B71">
      <w:pPr>
        <w:pStyle w:val="Heading2"/>
        <w:spacing w:before="0"/>
        <w:rPr>
          <w:rFonts w:ascii="Arial" w:hAnsi="Arial" w:cs="Arial"/>
          <w:sz w:val="32"/>
          <w:szCs w:val="32"/>
        </w:rPr>
      </w:pPr>
    </w:p>
    <w:p w14:paraId="37CB4787" w14:textId="77777777" w:rsidR="003C091B" w:rsidRDefault="003C091B" w:rsidP="00F61B71">
      <w:pPr>
        <w:pStyle w:val="Heading2"/>
        <w:spacing w:before="0"/>
        <w:rPr>
          <w:rFonts w:ascii="Arial" w:hAnsi="Arial" w:cs="Arial"/>
          <w:sz w:val="32"/>
          <w:szCs w:val="32"/>
        </w:rPr>
      </w:pPr>
    </w:p>
    <w:p w14:paraId="3975DB2E" w14:textId="77777777" w:rsidR="003C091B" w:rsidRDefault="003C091B" w:rsidP="00F61B71">
      <w:pPr>
        <w:pStyle w:val="Heading2"/>
        <w:spacing w:before="0"/>
        <w:rPr>
          <w:rFonts w:ascii="Arial" w:hAnsi="Arial" w:cs="Arial"/>
          <w:sz w:val="32"/>
          <w:szCs w:val="32"/>
        </w:rPr>
      </w:pPr>
    </w:p>
    <w:p w14:paraId="648ECDD5" w14:textId="77777777" w:rsidR="003C091B" w:rsidRDefault="003C091B" w:rsidP="00F61B71">
      <w:pPr>
        <w:pStyle w:val="Heading2"/>
        <w:spacing w:before="0"/>
        <w:rPr>
          <w:rFonts w:ascii="Arial" w:hAnsi="Arial" w:cs="Arial"/>
          <w:sz w:val="32"/>
          <w:szCs w:val="32"/>
        </w:rPr>
      </w:pPr>
    </w:p>
    <w:p w14:paraId="7784142E" w14:textId="77777777" w:rsidR="003C091B" w:rsidRDefault="003C091B" w:rsidP="00F61B71">
      <w:pPr>
        <w:pStyle w:val="Heading2"/>
        <w:spacing w:before="0"/>
        <w:rPr>
          <w:rFonts w:ascii="Arial" w:hAnsi="Arial" w:cs="Arial"/>
          <w:sz w:val="32"/>
          <w:szCs w:val="32"/>
        </w:rPr>
      </w:pPr>
    </w:p>
    <w:p w14:paraId="2A29B139" w14:textId="77777777" w:rsidR="003C091B" w:rsidRDefault="003C091B" w:rsidP="00F61B71">
      <w:pPr>
        <w:pStyle w:val="Heading2"/>
        <w:spacing w:before="0"/>
        <w:rPr>
          <w:rFonts w:ascii="Arial" w:hAnsi="Arial" w:cs="Arial"/>
          <w:sz w:val="32"/>
          <w:szCs w:val="32"/>
        </w:rPr>
      </w:pPr>
    </w:p>
    <w:p w14:paraId="0D8497ED" w14:textId="77777777" w:rsidR="003C091B" w:rsidRDefault="003C091B" w:rsidP="00F61B71">
      <w:pPr>
        <w:pStyle w:val="Heading2"/>
        <w:spacing w:before="0"/>
        <w:rPr>
          <w:rFonts w:ascii="Arial" w:hAnsi="Arial" w:cs="Arial"/>
          <w:sz w:val="32"/>
          <w:szCs w:val="32"/>
        </w:rPr>
      </w:pPr>
    </w:p>
    <w:p w14:paraId="4EBC73AF" w14:textId="77777777" w:rsidR="003C091B" w:rsidRDefault="003C091B" w:rsidP="00F61B71">
      <w:pPr>
        <w:pStyle w:val="Heading2"/>
        <w:spacing w:before="0"/>
        <w:rPr>
          <w:rFonts w:ascii="Arial" w:hAnsi="Arial" w:cs="Arial"/>
          <w:sz w:val="32"/>
          <w:szCs w:val="32"/>
        </w:rPr>
      </w:pPr>
    </w:p>
    <w:p w14:paraId="062BB89B" w14:textId="77777777" w:rsidR="003C091B" w:rsidRDefault="003C091B" w:rsidP="00F61B71">
      <w:pPr>
        <w:pStyle w:val="Heading2"/>
        <w:spacing w:before="0"/>
        <w:rPr>
          <w:rFonts w:ascii="Arial" w:hAnsi="Arial" w:cs="Arial"/>
          <w:sz w:val="32"/>
          <w:szCs w:val="32"/>
        </w:rPr>
      </w:pPr>
    </w:p>
    <w:p w14:paraId="31E534F6" w14:textId="77777777" w:rsidR="003C091B" w:rsidRDefault="003C091B" w:rsidP="00F61B71">
      <w:pPr>
        <w:pStyle w:val="Heading2"/>
        <w:spacing w:before="0"/>
        <w:rPr>
          <w:rFonts w:ascii="Arial" w:hAnsi="Arial" w:cs="Arial"/>
          <w:sz w:val="32"/>
          <w:szCs w:val="32"/>
        </w:rPr>
      </w:pPr>
    </w:p>
    <w:p w14:paraId="0D9F7251" w14:textId="77777777" w:rsidR="003C091B" w:rsidRDefault="003C091B" w:rsidP="00F61B71">
      <w:pPr>
        <w:pStyle w:val="Heading2"/>
        <w:spacing w:before="0"/>
        <w:rPr>
          <w:rFonts w:ascii="Arial" w:hAnsi="Arial" w:cs="Arial"/>
          <w:sz w:val="32"/>
          <w:szCs w:val="32"/>
        </w:rPr>
      </w:pPr>
    </w:p>
    <w:p w14:paraId="6D419E24" w14:textId="7EB1C609" w:rsidR="008158A7" w:rsidRPr="003C091B" w:rsidRDefault="008158A7" w:rsidP="003C091B">
      <w:pPr>
        <w:pStyle w:val="Heading2"/>
        <w:spacing w:before="0"/>
        <w:rPr>
          <w:rFonts w:ascii="Arial" w:hAnsi="Arial" w:cs="Arial"/>
          <w:sz w:val="28"/>
          <w:szCs w:val="28"/>
        </w:rPr>
      </w:pPr>
      <w:r w:rsidRPr="008158A7">
        <w:rPr>
          <w:rFonts w:ascii="Arial" w:hAnsi="Arial" w:cs="Arial"/>
          <w:sz w:val="32"/>
          <w:szCs w:val="32"/>
        </w:rPr>
        <w:lastRenderedPageBreak/>
        <w:t>Element 2:</w:t>
      </w:r>
      <w:r w:rsidRPr="008158A7">
        <w:rPr>
          <w:rFonts w:ascii="Arial" w:hAnsi="Arial" w:cs="Arial"/>
          <w:sz w:val="28"/>
          <w:szCs w:val="28"/>
        </w:rPr>
        <w:t xml:space="preserve"> Research Process Reflection</w:t>
      </w:r>
      <w:r w:rsidR="003C091B">
        <w:rPr>
          <w:rFonts w:ascii="Arial" w:hAnsi="Arial" w:cs="Arial"/>
          <w:sz w:val="28"/>
          <w:szCs w:val="28"/>
        </w:rPr>
        <w:t xml:space="preserve"> </w:t>
      </w:r>
      <w:r w:rsidRPr="00F61B71">
        <w:rPr>
          <w:rFonts w:ascii="Arial" w:hAnsi="Arial" w:cs="Arial"/>
          <w:i/>
          <w:iCs/>
          <w:sz w:val="18"/>
          <w:szCs w:val="18"/>
        </w:rPr>
        <w:t>Using Gibbs’ Reflective Cycle (1988)</w:t>
      </w:r>
    </w:p>
    <w:p w14:paraId="095CBFF8" w14:textId="77777777" w:rsidR="008158A7" w:rsidRPr="008158A7" w:rsidRDefault="008158A7" w:rsidP="008158A7">
      <w:pPr>
        <w:pStyle w:val="Heading2"/>
        <w:rPr>
          <w:rFonts w:ascii="Arial" w:hAnsi="Arial" w:cs="Arial"/>
          <w:sz w:val="28"/>
          <w:szCs w:val="28"/>
        </w:rPr>
      </w:pPr>
      <w:r w:rsidRPr="008158A7">
        <w:rPr>
          <w:rFonts w:ascii="Arial" w:hAnsi="Arial" w:cs="Arial"/>
          <w:sz w:val="28"/>
          <w:szCs w:val="28"/>
        </w:rPr>
        <w:t>Introduction</w:t>
      </w:r>
    </w:p>
    <w:p w14:paraId="463D4E5B" w14:textId="77777777" w:rsidR="008158A7" w:rsidRPr="008158A7" w:rsidRDefault="008158A7" w:rsidP="008158A7">
      <w:pPr>
        <w:pStyle w:val="Heading2"/>
        <w:spacing w:line="360" w:lineRule="auto"/>
        <w:rPr>
          <w:rFonts w:ascii="Arial" w:hAnsi="Arial" w:cs="Arial"/>
          <w:b w:val="0"/>
          <w:bCs w:val="0"/>
          <w:sz w:val="22"/>
          <w:szCs w:val="22"/>
        </w:rPr>
      </w:pPr>
      <w:r w:rsidRPr="008158A7">
        <w:rPr>
          <w:rFonts w:ascii="Arial" w:hAnsi="Arial" w:cs="Arial"/>
          <w:b w:val="0"/>
          <w:bCs w:val="0"/>
          <w:sz w:val="22"/>
          <w:szCs w:val="22"/>
        </w:rPr>
        <w:t>This reflective essay examines the research process underpinning this dissertation on UK fresh produce supply chain resilience. Using Gibbs’ Reflective Cycle (1988), it critically evaluates the experience of conducting systematic secondary qualitative analysis. This reflection not only evaluates the research process but also considers how these experiences will shape my future approach to leadership, research, and evidence-based management.</w:t>
      </w:r>
    </w:p>
    <w:p w14:paraId="38F3DAEA" w14:textId="77777777" w:rsidR="008158A7" w:rsidRPr="008158A7" w:rsidRDefault="008158A7" w:rsidP="008158A7">
      <w:pPr>
        <w:pStyle w:val="Heading2"/>
        <w:rPr>
          <w:rFonts w:ascii="Arial" w:hAnsi="Arial" w:cs="Arial"/>
          <w:sz w:val="28"/>
          <w:szCs w:val="28"/>
        </w:rPr>
      </w:pPr>
      <w:r w:rsidRPr="008158A7">
        <w:rPr>
          <w:rFonts w:ascii="Arial" w:hAnsi="Arial" w:cs="Arial"/>
          <w:sz w:val="28"/>
          <w:szCs w:val="28"/>
        </w:rPr>
        <w:t>Description</w:t>
      </w:r>
    </w:p>
    <w:p w14:paraId="7E222563" w14:textId="77777777" w:rsidR="008158A7" w:rsidRPr="008158A7" w:rsidRDefault="008158A7" w:rsidP="008158A7">
      <w:pPr>
        <w:pStyle w:val="Heading2"/>
        <w:spacing w:line="360" w:lineRule="auto"/>
        <w:rPr>
          <w:rFonts w:ascii="Arial" w:hAnsi="Arial" w:cs="Arial"/>
          <w:b w:val="0"/>
          <w:bCs w:val="0"/>
          <w:sz w:val="22"/>
          <w:szCs w:val="22"/>
        </w:rPr>
      </w:pPr>
      <w:r w:rsidRPr="008158A7">
        <w:rPr>
          <w:rFonts w:ascii="Arial" w:hAnsi="Arial" w:cs="Arial"/>
          <w:b w:val="0"/>
          <w:bCs w:val="0"/>
          <w:sz w:val="22"/>
          <w:szCs w:val="22"/>
        </w:rPr>
        <w:t>This dissertation investigated supply chain resilience in the UK fresh produce sector following Brexit, COVID-19, and the 2022–2023 energy crisis. Secondary qualitative analysis was chosen deliberately: time and resource constraints made primary data collection impractical, whilst a documentary approach enabled a sector-wide perspective unavailable through single-firm case studies. Over 50 sources were selected using structured criteria, coded thematically following Braun and Clarke (2006), and triangulated across source types.</w:t>
      </w:r>
    </w:p>
    <w:p w14:paraId="7F0133C2" w14:textId="77777777" w:rsidR="008158A7" w:rsidRPr="008158A7" w:rsidRDefault="008158A7" w:rsidP="008158A7">
      <w:pPr>
        <w:pStyle w:val="Heading2"/>
        <w:rPr>
          <w:rFonts w:ascii="Arial" w:hAnsi="Arial" w:cs="Arial"/>
          <w:sz w:val="28"/>
          <w:szCs w:val="28"/>
        </w:rPr>
      </w:pPr>
      <w:r w:rsidRPr="008158A7">
        <w:rPr>
          <w:rFonts w:ascii="Arial" w:hAnsi="Arial" w:cs="Arial"/>
          <w:sz w:val="28"/>
          <w:szCs w:val="28"/>
        </w:rPr>
        <w:t>Feelings</w:t>
      </w:r>
    </w:p>
    <w:p w14:paraId="6C2B8FC9" w14:textId="4ACBCE65" w:rsidR="008158A7" w:rsidRPr="008158A7" w:rsidRDefault="008158A7" w:rsidP="008158A7">
      <w:pPr>
        <w:pStyle w:val="Heading2"/>
        <w:spacing w:line="360" w:lineRule="auto"/>
        <w:rPr>
          <w:rFonts w:ascii="Arial" w:hAnsi="Arial" w:cs="Arial"/>
          <w:b w:val="0"/>
          <w:bCs w:val="0"/>
          <w:sz w:val="22"/>
          <w:szCs w:val="22"/>
        </w:rPr>
      </w:pPr>
      <w:r w:rsidRPr="008158A7">
        <w:rPr>
          <w:rFonts w:ascii="Arial" w:hAnsi="Arial" w:cs="Arial"/>
          <w:b w:val="0"/>
          <w:bCs w:val="0"/>
          <w:sz w:val="22"/>
          <w:szCs w:val="22"/>
        </w:rPr>
        <w:t>I was initially apprehensive about relying exclusively on secondary data, particularly regarding the risk that informal or tacit adaptation practices would remain invisible. However, as I progressed, I grew more confident: triangulation across independent source types revealed nuanced, and at times contradictory, perspectives that significantly enriched the findings. Moments of frustration such as encountering coverage bias toward larger firms were balanced by satisfaction in uncovering previously hidden patterns through systematic coding.</w:t>
      </w:r>
    </w:p>
    <w:p w14:paraId="5E380B07" w14:textId="77777777" w:rsidR="008158A7" w:rsidRPr="008158A7" w:rsidRDefault="008158A7" w:rsidP="008158A7">
      <w:pPr>
        <w:pStyle w:val="Heading2"/>
        <w:rPr>
          <w:rFonts w:ascii="Arial" w:hAnsi="Arial" w:cs="Arial"/>
          <w:sz w:val="28"/>
          <w:szCs w:val="28"/>
        </w:rPr>
      </w:pPr>
      <w:r w:rsidRPr="008158A7">
        <w:rPr>
          <w:rFonts w:ascii="Arial" w:hAnsi="Arial" w:cs="Arial"/>
          <w:sz w:val="28"/>
          <w:szCs w:val="28"/>
        </w:rPr>
        <w:t>Evaluation</w:t>
      </w:r>
    </w:p>
    <w:p w14:paraId="270BF2DF" w14:textId="49929680" w:rsidR="008158A7" w:rsidRPr="008158A7" w:rsidRDefault="008158A7" w:rsidP="008158A7">
      <w:pPr>
        <w:pStyle w:val="Heading2"/>
        <w:spacing w:line="360" w:lineRule="auto"/>
        <w:rPr>
          <w:rFonts w:ascii="Arial" w:hAnsi="Arial" w:cs="Arial"/>
          <w:b w:val="0"/>
          <w:bCs w:val="0"/>
          <w:sz w:val="22"/>
          <w:szCs w:val="22"/>
        </w:rPr>
      </w:pPr>
      <w:r w:rsidRPr="008158A7">
        <w:rPr>
          <w:rFonts w:ascii="Arial" w:hAnsi="Arial" w:cs="Arial"/>
          <w:b w:val="0"/>
          <w:bCs w:val="0"/>
          <w:sz w:val="22"/>
          <w:szCs w:val="22"/>
        </w:rPr>
        <w:t>The secondary approach enabled broad access to evidence across multiple organisational types. One concrete example: adversarial reading revealed a contradiction between company annual reports claiming resilience prioritisation and trade press documenting continued cost-driven procurement a finding that directly shaped the resilience–efficiency paradox. This echoes the critique of documentary research as privileging the official narrative (Saunders et al., 2019).</w:t>
      </w:r>
    </w:p>
    <w:p w14:paraId="10711AFF" w14:textId="77777777" w:rsidR="008158A7" w:rsidRPr="008158A7" w:rsidRDefault="008158A7" w:rsidP="008158A7">
      <w:pPr>
        <w:pStyle w:val="Heading2"/>
        <w:rPr>
          <w:rFonts w:ascii="Arial" w:hAnsi="Arial" w:cs="Arial"/>
          <w:sz w:val="28"/>
          <w:szCs w:val="28"/>
        </w:rPr>
      </w:pPr>
      <w:r w:rsidRPr="008158A7">
        <w:rPr>
          <w:rFonts w:ascii="Arial" w:hAnsi="Arial" w:cs="Arial"/>
          <w:sz w:val="28"/>
          <w:szCs w:val="28"/>
        </w:rPr>
        <w:t>Analysis</w:t>
      </w:r>
    </w:p>
    <w:p w14:paraId="5E257523" w14:textId="1AD0BB06" w:rsidR="008158A7" w:rsidRPr="008158A7" w:rsidRDefault="008158A7" w:rsidP="008158A7">
      <w:pPr>
        <w:pStyle w:val="Heading2"/>
        <w:spacing w:line="360" w:lineRule="auto"/>
        <w:rPr>
          <w:rFonts w:ascii="Arial" w:hAnsi="Arial" w:cs="Arial"/>
          <w:b w:val="0"/>
          <w:bCs w:val="0"/>
          <w:sz w:val="22"/>
          <w:szCs w:val="22"/>
        </w:rPr>
      </w:pPr>
      <w:r w:rsidRPr="008158A7">
        <w:rPr>
          <w:rFonts w:ascii="Arial" w:hAnsi="Arial" w:cs="Arial"/>
          <w:b w:val="0"/>
          <w:bCs w:val="0"/>
          <w:sz w:val="22"/>
          <w:szCs w:val="22"/>
        </w:rPr>
        <w:lastRenderedPageBreak/>
        <w:t>The most significant learning was recognising that the resilience–efficiency paradox is a governance failure, not a firm-level management problem. This challenged my initial assumption that supply chain resilience was primarily a strategic management issue. It reinforced the importance of systems thinking recognising that organisational outcomes are shaped by policy and market structures, not just internal strategy a lesson directly applicable to leadership roles in complex environments.</w:t>
      </w:r>
    </w:p>
    <w:p w14:paraId="5E0BAB03" w14:textId="77777777" w:rsidR="008158A7" w:rsidRPr="008158A7" w:rsidRDefault="008158A7" w:rsidP="008158A7">
      <w:pPr>
        <w:pStyle w:val="Heading2"/>
        <w:rPr>
          <w:rFonts w:ascii="Arial" w:hAnsi="Arial" w:cs="Arial"/>
          <w:sz w:val="28"/>
          <w:szCs w:val="28"/>
        </w:rPr>
      </w:pPr>
      <w:r w:rsidRPr="008158A7">
        <w:rPr>
          <w:rFonts w:ascii="Arial" w:hAnsi="Arial" w:cs="Arial"/>
          <w:sz w:val="28"/>
          <w:szCs w:val="28"/>
        </w:rPr>
        <w:t>Conclusion</w:t>
      </w:r>
    </w:p>
    <w:p w14:paraId="00AC7021" w14:textId="77777777" w:rsidR="008158A7" w:rsidRPr="008158A7" w:rsidRDefault="008158A7" w:rsidP="008158A7">
      <w:pPr>
        <w:pStyle w:val="Heading2"/>
        <w:spacing w:line="360" w:lineRule="auto"/>
        <w:rPr>
          <w:rFonts w:ascii="Arial" w:hAnsi="Arial" w:cs="Arial"/>
          <w:b w:val="0"/>
          <w:bCs w:val="0"/>
          <w:sz w:val="22"/>
          <w:szCs w:val="22"/>
        </w:rPr>
      </w:pPr>
      <w:r w:rsidRPr="008158A7">
        <w:rPr>
          <w:rFonts w:ascii="Arial" w:hAnsi="Arial" w:cs="Arial"/>
          <w:b w:val="0"/>
          <w:bCs w:val="0"/>
          <w:sz w:val="22"/>
          <w:szCs w:val="22"/>
        </w:rPr>
        <w:t>This process strengthened my skills in documentary analysis, thematic synthesis, and critical evaluation. These capabilities will directly inform how I approach future workplace challenges, including managing change and making evidence-based decisions in leadership contexts.</w:t>
      </w:r>
    </w:p>
    <w:p w14:paraId="725653E3" w14:textId="77777777" w:rsidR="008158A7" w:rsidRPr="008158A7" w:rsidRDefault="008158A7" w:rsidP="008158A7">
      <w:pPr>
        <w:pStyle w:val="Heading2"/>
        <w:rPr>
          <w:rFonts w:ascii="Arial" w:hAnsi="Arial" w:cs="Arial"/>
          <w:sz w:val="28"/>
          <w:szCs w:val="28"/>
        </w:rPr>
      </w:pPr>
      <w:r w:rsidRPr="008158A7">
        <w:rPr>
          <w:rFonts w:ascii="Arial" w:hAnsi="Arial" w:cs="Arial"/>
          <w:sz w:val="28"/>
          <w:szCs w:val="28"/>
        </w:rPr>
        <w:t>Action Plan</w:t>
      </w:r>
    </w:p>
    <w:p w14:paraId="0A80F9EC" w14:textId="1C4E29E5" w:rsidR="005E4704" w:rsidRPr="008158A7" w:rsidRDefault="008158A7" w:rsidP="008158A7">
      <w:pPr>
        <w:pStyle w:val="Heading2"/>
        <w:spacing w:line="360" w:lineRule="auto"/>
        <w:rPr>
          <w:rFonts w:ascii="Arial" w:hAnsi="Arial" w:cs="Arial"/>
          <w:b w:val="0"/>
          <w:bCs w:val="0"/>
          <w:sz w:val="22"/>
          <w:szCs w:val="22"/>
        </w:rPr>
      </w:pPr>
      <w:r w:rsidRPr="008158A7">
        <w:rPr>
          <w:rFonts w:ascii="Arial" w:hAnsi="Arial" w:cs="Arial"/>
          <w:b w:val="0"/>
          <w:bCs w:val="0"/>
          <w:sz w:val="22"/>
          <w:szCs w:val="22"/>
        </w:rPr>
        <w:t>In future research, I plan to complement secondary analysis with semi-structured interviews targeting SME operators and procurement managers, allowing access to informal adaptation knowledge that published documents rarely capture. I would also develop a short survey instrument to quantitatively validate whether qualitative patterns are representative across the sector. Additionally, I intend to maintain a reflexive research journal to strengthen critical self-awareness throughout future projects.</w:t>
      </w:r>
    </w:p>
    <w:p w14:paraId="63B8DE37" w14:textId="77777777" w:rsidR="008158A7" w:rsidRPr="008158A7" w:rsidRDefault="008158A7" w:rsidP="008158A7">
      <w:pPr>
        <w:pStyle w:val="Heading2"/>
        <w:rPr>
          <w:rFonts w:ascii="Arial" w:hAnsi="Arial" w:cs="Arial"/>
          <w:sz w:val="28"/>
          <w:szCs w:val="28"/>
        </w:rPr>
      </w:pPr>
      <w:r w:rsidRPr="008158A7">
        <w:rPr>
          <w:rFonts w:ascii="Arial" w:hAnsi="Arial" w:cs="Arial"/>
          <w:sz w:val="28"/>
          <w:szCs w:val="28"/>
        </w:rPr>
        <w:t>Concluding Reflection</w:t>
      </w:r>
    </w:p>
    <w:p w14:paraId="4631D6B2" w14:textId="77777777" w:rsidR="008158A7" w:rsidRPr="008158A7" w:rsidRDefault="008158A7" w:rsidP="008158A7">
      <w:pPr>
        <w:pStyle w:val="Heading2"/>
        <w:spacing w:line="360" w:lineRule="auto"/>
        <w:rPr>
          <w:rFonts w:ascii="Arial" w:hAnsi="Arial" w:cs="Arial"/>
          <w:b w:val="0"/>
          <w:bCs w:val="0"/>
          <w:sz w:val="22"/>
          <w:szCs w:val="22"/>
        </w:rPr>
      </w:pPr>
      <w:r w:rsidRPr="008158A7">
        <w:rPr>
          <w:rFonts w:ascii="Arial" w:hAnsi="Arial" w:cs="Arial"/>
          <w:b w:val="0"/>
          <w:bCs w:val="0"/>
          <w:sz w:val="22"/>
          <w:szCs w:val="22"/>
        </w:rPr>
        <w:t>In conclusion, this research process was intellectually challenging and professionally formative. Working through Gibbs’ (1988) cycle has clarified not just what I did, but why methodological choices matter for the credibility of findings. Going forward, I will apply this reflexive, evidence-oriented approach not only in academic research but also in leading teams and managing organisational change.</w:t>
      </w:r>
    </w:p>
    <w:p w14:paraId="01064807" w14:textId="6D7815B6" w:rsidR="008158A7" w:rsidRPr="008158A7" w:rsidRDefault="008158A7" w:rsidP="008158A7">
      <w:pPr>
        <w:pStyle w:val="Heading2"/>
        <w:rPr>
          <w:rFonts w:ascii="Arial" w:hAnsi="Arial" w:cs="Arial"/>
          <w:sz w:val="28"/>
          <w:szCs w:val="28"/>
        </w:rPr>
      </w:pPr>
      <w:r w:rsidRPr="008158A7">
        <w:rPr>
          <w:rFonts w:ascii="Arial" w:hAnsi="Arial" w:cs="Arial"/>
          <w:sz w:val="28"/>
          <w:szCs w:val="28"/>
        </w:rPr>
        <w:t>References</w:t>
      </w:r>
      <w:r w:rsidR="00F61B71">
        <w:rPr>
          <w:rFonts w:ascii="Arial" w:hAnsi="Arial" w:cs="Arial"/>
          <w:sz w:val="28"/>
          <w:szCs w:val="28"/>
        </w:rPr>
        <w:t>:</w:t>
      </w:r>
    </w:p>
    <w:p w14:paraId="6905F474" w14:textId="3EA60FA5" w:rsidR="008158A7" w:rsidRPr="00F61B71" w:rsidRDefault="008158A7" w:rsidP="008158A7">
      <w:pPr>
        <w:pStyle w:val="Heading2"/>
        <w:spacing w:before="0" w:after="0"/>
        <w:rPr>
          <w:rFonts w:ascii="Arial" w:hAnsi="Arial" w:cs="Arial"/>
          <w:b w:val="0"/>
          <w:bCs w:val="0"/>
          <w:sz w:val="20"/>
          <w:szCs w:val="20"/>
        </w:rPr>
      </w:pPr>
      <w:r w:rsidRPr="00F61B71">
        <w:rPr>
          <w:rFonts w:ascii="Arial" w:hAnsi="Arial" w:cs="Arial"/>
          <w:b w:val="0"/>
          <w:bCs w:val="0"/>
          <w:sz w:val="20"/>
          <w:szCs w:val="20"/>
        </w:rPr>
        <w:t xml:space="preserve">Braun, </w:t>
      </w:r>
      <w:r w:rsidR="006554B9" w:rsidRPr="00F61B71">
        <w:rPr>
          <w:rFonts w:ascii="Arial" w:hAnsi="Arial" w:cs="Arial"/>
          <w:b w:val="0"/>
          <w:bCs w:val="0"/>
          <w:sz w:val="20"/>
          <w:szCs w:val="20"/>
        </w:rPr>
        <w:t>V.,</w:t>
      </w:r>
      <w:r w:rsidRPr="00F61B71">
        <w:rPr>
          <w:rFonts w:ascii="Arial" w:hAnsi="Arial" w:cs="Arial"/>
          <w:b w:val="0"/>
          <w:bCs w:val="0"/>
          <w:sz w:val="20"/>
          <w:szCs w:val="20"/>
        </w:rPr>
        <w:t xml:space="preserve"> and Clarke, V. (2006) ‘Using thematic analysis in psychology’, Qualitative Research in Psychology, 3(2), pp. 77–101.</w:t>
      </w:r>
    </w:p>
    <w:p w14:paraId="5783FDC1" w14:textId="77777777" w:rsidR="005E4704" w:rsidRPr="00F61B71" w:rsidRDefault="005E4704" w:rsidP="008158A7">
      <w:pPr>
        <w:pStyle w:val="Heading2"/>
        <w:spacing w:before="0" w:after="0"/>
        <w:rPr>
          <w:rFonts w:ascii="Arial" w:hAnsi="Arial" w:cs="Arial"/>
          <w:b w:val="0"/>
          <w:bCs w:val="0"/>
          <w:sz w:val="20"/>
          <w:szCs w:val="20"/>
        </w:rPr>
      </w:pPr>
    </w:p>
    <w:p w14:paraId="24800406" w14:textId="77777777" w:rsidR="008158A7" w:rsidRDefault="008158A7" w:rsidP="008158A7">
      <w:pPr>
        <w:pStyle w:val="Heading2"/>
        <w:spacing w:before="0" w:after="0"/>
        <w:rPr>
          <w:rFonts w:ascii="Arial" w:hAnsi="Arial" w:cs="Arial"/>
          <w:b w:val="0"/>
          <w:bCs w:val="0"/>
          <w:sz w:val="20"/>
          <w:szCs w:val="20"/>
        </w:rPr>
      </w:pPr>
      <w:r w:rsidRPr="00F61B71">
        <w:rPr>
          <w:rFonts w:ascii="Arial" w:hAnsi="Arial" w:cs="Arial"/>
          <w:b w:val="0"/>
          <w:bCs w:val="0"/>
          <w:sz w:val="20"/>
          <w:szCs w:val="20"/>
        </w:rPr>
        <w:t>Gibbs, G. (1988) Learning by doing: a guide to teaching and learning methods. Oxford: Oxford Polytechnic.</w:t>
      </w:r>
    </w:p>
    <w:p w14:paraId="67FFA502" w14:textId="77777777" w:rsidR="008C4ED1" w:rsidRPr="00F61B71" w:rsidRDefault="008C4ED1" w:rsidP="008158A7">
      <w:pPr>
        <w:pStyle w:val="Heading2"/>
        <w:spacing w:before="0" w:after="0"/>
        <w:rPr>
          <w:rFonts w:ascii="Arial" w:hAnsi="Arial" w:cs="Arial"/>
          <w:b w:val="0"/>
          <w:bCs w:val="0"/>
          <w:sz w:val="20"/>
          <w:szCs w:val="20"/>
        </w:rPr>
      </w:pPr>
    </w:p>
    <w:p w14:paraId="625B396B" w14:textId="60604DB1" w:rsidR="0009170F" w:rsidRPr="00F61B71" w:rsidRDefault="0009170F" w:rsidP="008158A7">
      <w:pPr>
        <w:pStyle w:val="Heading2"/>
        <w:spacing w:before="0" w:after="0"/>
        <w:rPr>
          <w:rFonts w:ascii="Arial" w:hAnsi="Arial" w:cs="Arial"/>
          <w:b w:val="0"/>
          <w:bCs w:val="0"/>
          <w:sz w:val="20"/>
          <w:szCs w:val="20"/>
        </w:rPr>
      </w:pPr>
      <w:r w:rsidRPr="00F61B71">
        <w:rPr>
          <w:rFonts w:ascii="Arial" w:hAnsi="Arial" w:cs="Arial"/>
          <w:b w:val="0"/>
          <w:bCs w:val="0"/>
          <w:sz w:val="20"/>
          <w:szCs w:val="20"/>
        </w:rPr>
        <w:t xml:space="preserve">Saunders, M., Lewis, </w:t>
      </w:r>
      <w:r w:rsidR="006554B9" w:rsidRPr="00F61B71">
        <w:rPr>
          <w:rFonts w:ascii="Arial" w:hAnsi="Arial" w:cs="Arial"/>
          <w:b w:val="0"/>
          <w:bCs w:val="0"/>
          <w:sz w:val="20"/>
          <w:szCs w:val="20"/>
        </w:rPr>
        <w:t>P.,</w:t>
      </w:r>
      <w:r w:rsidRPr="00F61B71">
        <w:rPr>
          <w:rFonts w:ascii="Arial" w:hAnsi="Arial" w:cs="Arial"/>
          <w:b w:val="0"/>
          <w:bCs w:val="0"/>
          <w:sz w:val="20"/>
          <w:szCs w:val="20"/>
        </w:rPr>
        <w:t xml:space="preserve"> and Thornhill, A. (2019) </w:t>
      </w:r>
      <w:r w:rsidRPr="00F61B71">
        <w:rPr>
          <w:rFonts w:ascii="Arial" w:hAnsi="Arial" w:cs="Arial"/>
          <w:b w:val="0"/>
          <w:bCs w:val="0"/>
          <w:i/>
          <w:iCs/>
          <w:sz w:val="20"/>
          <w:szCs w:val="20"/>
        </w:rPr>
        <w:t>Research methods for business students.</w:t>
      </w:r>
      <w:r w:rsidRPr="00F61B71">
        <w:rPr>
          <w:rFonts w:ascii="Arial" w:hAnsi="Arial" w:cs="Arial"/>
          <w:b w:val="0"/>
          <w:bCs w:val="0"/>
          <w:sz w:val="20"/>
          <w:szCs w:val="20"/>
        </w:rPr>
        <w:t xml:space="preserve"> 8th </w:t>
      </w:r>
      <w:proofErr w:type="spellStart"/>
      <w:r w:rsidRPr="00F61B71">
        <w:rPr>
          <w:rFonts w:ascii="Arial" w:hAnsi="Arial" w:cs="Arial"/>
          <w:b w:val="0"/>
          <w:bCs w:val="0"/>
          <w:sz w:val="20"/>
          <w:szCs w:val="20"/>
        </w:rPr>
        <w:t>edn</w:t>
      </w:r>
      <w:proofErr w:type="spellEnd"/>
      <w:r w:rsidRPr="00F61B71">
        <w:rPr>
          <w:rFonts w:ascii="Arial" w:hAnsi="Arial" w:cs="Arial"/>
          <w:b w:val="0"/>
          <w:bCs w:val="0"/>
          <w:sz w:val="20"/>
          <w:szCs w:val="20"/>
        </w:rPr>
        <w:t>. Harlow: Pearson Education.</w:t>
      </w:r>
    </w:p>
    <w:p w14:paraId="23E4460C" w14:textId="77777777" w:rsidR="00C25A1D" w:rsidRDefault="00C25A1D" w:rsidP="00161A90">
      <w:pPr>
        <w:spacing w:after="200"/>
        <w:jc w:val="both"/>
        <w:rPr>
          <w:rFonts w:ascii="Arial" w:hAnsi="Arial" w:cs="Arial"/>
          <w:b/>
          <w:bCs/>
          <w:sz w:val="28"/>
          <w:szCs w:val="28"/>
        </w:rPr>
      </w:pPr>
    </w:p>
    <w:p w14:paraId="6CD49A88" w14:textId="44F86FF2" w:rsidR="00A24795" w:rsidRPr="000B02FE" w:rsidRDefault="00C25A1D" w:rsidP="000B02FE">
      <w:pPr>
        <w:spacing w:after="200"/>
        <w:jc w:val="both"/>
        <w:rPr>
          <w:rFonts w:ascii="Arial" w:hAnsi="Arial" w:cs="Arial"/>
          <w:b/>
          <w:bCs/>
          <w:sz w:val="28"/>
          <w:szCs w:val="28"/>
        </w:rPr>
      </w:pPr>
      <w:r w:rsidRPr="00C25A1D">
        <w:rPr>
          <w:rFonts w:ascii="Arial" w:hAnsi="Arial" w:cs="Arial"/>
          <w:b/>
          <w:bCs/>
          <w:sz w:val="28"/>
          <w:szCs w:val="28"/>
        </w:rPr>
        <w:lastRenderedPageBreak/>
        <w:t>Element 3:</w:t>
      </w:r>
      <w:r w:rsidR="005E4704">
        <w:rPr>
          <w:rFonts w:ascii="Arial" w:hAnsi="Arial" w:cs="Arial"/>
          <w:b/>
          <w:bCs/>
          <w:sz w:val="28"/>
          <w:szCs w:val="28"/>
        </w:rPr>
        <w:t xml:space="preserve"> Methodology Poster</w:t>
      </w:r>
    </w:p>
    <w:p w14:paraId="180FEA8D" w14:textId="77777777" w:rsidR="000B02FE" w:rsidRDefault="000B02FE" w:rsidP="00F27956">
      <w:pPr>
        <w:tabs>
          <w:tab w:val="left" w:pos="921"/>
        </w:tabs>
        <w:rPr>
          <w:rFonts w:ascii="Arial" w:hAnsi="Arial" w:cs="Arial"/>
          <w:sz w:val="20"/>
          <w:szCs w:val="20"/>
        </w:rPr>
      </w:pPr>
    </w:p>
    <w:p w14:paraId="37F64E02" w14:textId="3B203471" w:rsidR="000B02FE" w:rsidRDefault="000B02FE" w:rsidP="00F27956">
      <w:pPr>
        <w:tabs>
          <w:tab w:val="left" w:pos="921"/>
        </w:tabs>
        <w:rPr>
          <w:rFonts w:ascii="Arial" w:hAnsi="Arial" w:cs="Arial"/>
          <w:sz w:val="20"/>
          <w:szCs w:val="20"/>
        </w:rPr>
      </w:pPr>
      <w:r>
        <w:rPr>
          <w:noProof/>
        </w:rPr>
        <w:drawing>
          <wp:inline distT="0" distB="0" distL="0" distR="0" wp14:anchorId="5D889E5A" wp14:editId="38659FC8">
            <wp:extent cx="5731510" cy="3223895"/>
            <wp:effectExtent l="0" t="0" r="2540" b="0"/>
            <wp:docPr id="143648868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488680"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4ACA447B" w14:textId="77777777" w:rsidR="005728F7" w:rsidRDefault="005728F7" w:rsidP="00F27956">
      <w:pPr>
        <w:tabs>
          <w:tab w:val="left" w:pos="921"/>
        </w:tabs>
        <w:rPr>
          <w:rFonts w:ascii="Arial" w:hAnsi="Arial" w:cs="Arial"/>
          <w:sz w:val="20"/>
          <w:szCs w:val="20"/>
        </w:rPr>
      </w:pPr>
    </w:p>
    <w:p w14:paraId="612649E3" w14:textId="77777777" w:rsidR="005728F7" w:rsidRDefault="005728F7" w:rsidP="00F27956">
      <w:pPr>
        <w:tabs>
          <w:tab w:val="left" w:pos="921"/>
        </w:tabs>
        <w:rPr>
          <w:rFonts w:ascii="Arial" w:hAnsi="Arial" w:cs="Arial"/>
          <w:sz w:val="20"/>
          <w:szCs w:val="20"/>
        </w:rPr>
      </w:pPr>
    </w:p>
    <w:p w14:paraId="0A27874F" w14:textId="77777777" w:rsidR="00CD616E" w:rsidRDefault="00CD616E" w:rsidP="00F27956">
      <w:pPr>
        <w:tabs>
          <w:tab w:val="left" w:pos="921"/>
        </w:tabs>
        <w:rPr>
          <w:rFonts w:ascii="Arial" w:hAnsi="Arial" w:cs="Arial"/>
          <w:sz w:val="20"/>
          <w:szCs w:val="20"/>
        </w:rPr>
      </w:pPr>
    </w:p>
    <w:p w14:paraId="7B584C8C" w14:textId="77777777" w:rsidR="00CD616E" w:rsidRDefault="00CD616E" w:rsidP="00F27956">
      <w:pPr>
        <w:tabs>
          <w:tab w:val="left" w:pos="921"/>
        </w:tabs>
        <w:rPr>
          <w:rFonts w:ascii="Arial" w:hAnsi="Arial" w:cs="Arial"/>
          <w:sz w:val="20"/>
          <w:szCs w:val="20"/>
        </w:rPr>
      </w:pPr>
    </w:p>
    <w:p w14:paraId="3C58A6BC" w14:textId="77777777" w:rsidR="00CD616E" w:rsidRDefault="00CD616E" w:rsidP="00F27956">
      <w:pPr>
        <w:tabs>
          <w:tab w:val="left" w:pos="921"/>
        </w:tabs>
        <w:rPr>
          <w:rFonts w:ascii="Arial" w:hAnsi="Arial" w:cs="Arial"/>
          <w:sz w:val="20"/>
          <w:szCs w:val="20"/>
        </w:rPr>
      </w:pPr>
    </w:p>
    <w:p w14:paraId="3D9B392C" w14:textId="77777777" w:rsidR="00CD616E" w:rsidRDefault="00CD616E" w:rsidP="00F27956">
      <w:pPr>
        <w:tabs>
          <w:tab w:val="left" w:pos="921"/>
        </w:tabs>
        <w:rPr>
          <w:rFonts w:ascii="Arial" w:hAnsi="Arial" w:cs="Arial"/>
          <w:sz w:val="20"/>
          <w:szCs w:val="20"/>
        </w:rPr>
      </w:pPr>
    </w:p>
    <w:p w14:paraId="52C0A0C8" w14:textId="77777777" w:rsidR="00CD616E" w:rsidRDefault="00CD616E" w:rsidP="00F27956">
      <w:pPr>
        <w:tabs>
          <w:tab w:val="left" w:pos="921"/>
        </w:tabs>
        <w:rPr>
          <w:rFonts w:ascii="Arial" w:hAnsi="Arial" w:cs="Arial"/>
          <w:sz w:val="20"/>
          <w:szCs w:val="20"/>
        </w:rPr>
      </w:pPr>
    </w:p>
    <w:p w14:paraId="6462E1DE" w14:textId="77777777" w:rsidR="00CD616E" w:rsidRDefault="00CD616E" w:rsidP="00F27956">
      <w:pPr>
        <w:tabs>
          <w:tab w:val="left" w:pos="921"/>
        </w:tabs>
        <w:rPr>
          <w:rFonts w:ascii="Arial" w:hAnsi="Arial" w:cs="Arial"/>
          <w:sz w:val="20"/>
          <w:szCs w:val="20"/>
        </w:rPr>
      </w:pPr>
    </w:p>
    <w:p w14:paraId="063EE320" w14:textId="77777777" w:rsidR="00CD616E" w:rsidRDefault="00CD616E" w:rsidP="00F27956">
      <w:pPr>
        <w:tabs>
          <w:tab w:val="left" w:pos="921"/>
        </w:tabs>
        <w:rPr>
          <w:rFonts w:ascii="Arial" w:hAnsi="Arial" w:cs="Arial"/>
          <w:sz w:val="20"/>
          <w:szCs w:val="20"/>
        </w:rPr>
      </w:pPr>
    </w:p>
    <w:p w14:paraId="3CB5A42D" w14:textId="77777777" w:rsidR="00CD616E" w:rsidRDefault="00CD616E" w:rsidP="00F27956">
      <w:pPr>
        <w:tabs>
          <w:tab w:val="left" w:pos="921"/>
        </w:tabs>
        <w:rPr>
          <w:rFonts w:ascii="Arial" w:hAnsi="Arial" w:cs="Arial"/>
          <w:sz w:val="20"/>
          <w:szCs w:val="20"/>
        </w:rPr>
      </w:pPr>
    </w:p>
    <w:p w14:paraId="79F864AB" w14:textId="77777777" w:rsidR="00CD616E" w:rsidRDefault="00CD616E" w:rsidP="00F27956">
      <w:pPr>
        <w:tabs>
          <w:tab w:val="left" w:pos="921"/>
        </w:tabs>
        <w:rPr>
          <w:rFonts w:ascii="Arial" w:hAnsi="Arial" w:cs="Arial"/>
          <w:sz w:val="20"/>
          <w:szCs w:val="20"/>
        </w:rPr>
      </w:pPr>
    </w:p>
    <w:p w14:paraId="737A1FF7" w14:textId="77777777" w:rsidR="00CD616E" w:rsidRDefault="00CD616E" w:rsidP="00F27956">
      <w:pPr>
        <w:tabs>
          <w:tab w:val="left" w:pos="921"/>
        </w:tabs>
        <w:rPr>
          <w:rFonts w:ascii="Arial" w:hAnsi="Arial" w:cs="Arial"/>
          <w:sz w:val="20"/>
          <w:szCs w:val="20"/>
        </w:rPr>
      </w:pPr>
    </w:p>
    <w:p w14:paraId="5D3FB465" w14:textId="77777777" w:rsidR="00CD616E" w:rsidRDefault="00CD616E" w:rsidP="00F27956">
      <w:pPr>
        <w:tabs>
          <w:tab w:val="left" w:pos="921"/>
        </w:tabs>
        <w:rPr>
          <w:rFonts w:ascii="Arial" w:hAnsi="Arial" w:cs="Arial"/>
          <w:sz w:val="20"/>
          <w:szCs w:val="20"/>
        </w:rPr>
      </w:pPr>
    </w:p>
    <w:p w14:paraId="294B142C" w14:textId="77777777" w:rsidR="00CD616E" w:rsidRDefault="00CD616E" w:rsidP="00F27956">
      <w:pPr>
        <w:tabs>
          <w:tab w:val="left" w:pos="921"/>
        </w:tabs>
        <w:rPr>
          <w:rFonts w:ascii="Arial" w:hAnsi="Arial" w:cs="Arial"/>
          <w:sz w:val="20"/>
          <w:szCs w:val="20"/>
        </w:rPr>
      </w:pPr>
    </w:p>
    <w:p w14:paraId="15CB1E97" w14:textId="77777777" w:rsidR="00CD616E" w:rsidRDefault="00CD616E" w:rsidP="00F27956">
      <w:pPr>
        <w:tabs>
          <w:tab w:val="left" w:pos="921"/>
        </w:tabs>
        <w:rPr>
          <w:rFonts w:ascii="Arial" w:hAnsi="Arial" w:cs="Arial"/>
          <w:sz w:val="20"/>
          <w:szCs w:val="20"/>
        </w:rPr>
      </w:pPr>
    </w:p>
    <w:p w14:paraId="2C65F9C1" w14:textId="77777777" w:rsidR="00CD616E" w:rsidRDefault="00CD616E" w:rsidP="00F27956">
      <w:pPr>
        <w:tabs>
          <w:tab w:val="left" w:pos="921"/>
        </w:tabs>
        <w:rPr>
          <w:rFonts w:ascii="Arial" w:hAnsi="Arial" w:cs="Arial"/>
          <w:sz w:val="20"/>
          <w:szCs w:val="20"/>
        </w:rPr>
      </w:pPr>
    </w:p>
    <w:p w14:paraId="1722C418" w14:textId="77777777" w:rsidR="00CD616E" w:rsidRDefault="00CD616E" w:rsidP="00F27956">
      <w:pPr>
        <w:tabs>
          <w:tab w:val="left" w:pos="921"/>
        </w:tabs>
        <w:rPr>
          <w:rFonts w:ascii="Arial" w:hAnsi="Arial" w:cs="Arial"/>
          <w:sz w:val="20"/>
          <w:szCs w:val="20"/>
        </w:rPr>
      </w:pPr>
    </w:p>
    <w:p w14:paraId="6CD1C9A0" w14:textId="77777777" w:rsidR="00CD616E" w:rsidRDefault="00CD616E" w:rsidP="00F27956">
      <w:pPr>
        <w:tabs>
          <w:tab w:val="left" w:pos="921"/>
        </w:tabs>
        <w:rPr>
          <w:rFonts w:ascii="Arial" w:hAnsi="Arial" w:cs="Arial"/>
          <w:sz w:val="20"/>
          <w:szCs w:val="20"/>
        </w:rPr>
      </w:pPr>
    </w:p>
    <w:p w14:paraId="3CC8D663" w14:textId="77777777" w:rsidR="00CD616E" w:rsidRDefault="00CD616E" w:rsidP="00F27956">
      <w:pPr>
        <w:tabs>
          <w:tab w:val="left" w:pos="921"/>
        </w:tabs>
        <w:rPr>
          <w:rFonts w:ascii="Arial" w:hAnsi="Arial" w:cs="Arial"/>
          <w:sz w:val="20"/>
          <w:szCs w:val="20"/>
        </w:rPr>
      </w:pPr>
    </w:p>
    <w:p w14:paraId="367B50B2" w14:textId="77777777" w:rsidR="00CD616E" w:rsidRDefault="00CD616E" w:rsidP="00F27956">
      <w:pPr>
        <w:tabs>
          <w:tab w:val="left" w:pos="921"/>
        </w:tabs>
        <w:rPr>
          <w:rFonts w:ascii="Arial" w:hAnsi="Arial" w:cs="Arial"/>
          <w:sz w:val="20"/>
          <w:szCs w:val="20"/>
        </w:rPr>
      </w:pPr>
    </w:p>
    <w:p w14:paraId="549B430E" w14:textId="77777777" w:rsidR="00CD616E" w:rsidRDefault="00CD616E" w:rsidP="00F27956">
      <w:pPr>
        <w:tabs>
          <w:tab w:val="left" w:pos="921"/>
        </w:tabs>
        <w:rPr>
          <w:rFonts w:ascii="Arial" w:hAnsi="Arial" w:cs="Arial"/>
          <w:sz w:val="20"/>
          <w:szCs w:val="20"/>
        </w:rPr>
      </w:pPr>
    </w:p>
    <w:p w14:paraId="34DD0445" w14:textId="77777777" w:rsidR="00CD616E" w:rsidRDefault="00CD616E" w:rsidP="00F27956">
      <w:pPr>
        <w:tabs>
          <w:tab w:val="left" w:pos="921"/>
        </w:tabs>
        <w:rPr>
          <w:rFonts w:ascii="Arial" w:hAnsi="Arial" w:cs="Arial"/>
          <w:sz w:val="20"/>
          <w:szCs w:val="20"/>
        </w:rPr>
      </w:pPr>
    </w:p>
    <w:p w14:paraId="092D5884" w14:textId="77777777" w:rsidR="00CD616E" w:rsidRDefault="00CD616E" w:rsidP="00F27956">
      <w:pPr>
        <w:tabs>
          <w:tab w:val="left" w:pos="921"/>
        </w:tabs>
        <w:rPr>
          <w:rFonts w:ascii="Arial" w:hAnsi="Arial" w:cs="Arial"/>
          <w:sz w:val="20"/>
          <w:szCs w:val="20"/>
        </w:rPr>
      </w:pPr>
    </w:p>
    <w:p w14:paraId="1CC9EB23" w14:textId="77777777" w:rsidR="00CD616E" w:rsidRDefault="00CD616E" w:rsidP="00F27956">
      <w:pPr>
        <w:tabs>
          <w:tab w:val="left" w:pos="921"/>
        </w:tabs>
        <w:rPr>
          <w:rFonts w:ascii="Arial" w:hAnsi="Arial" w:cs="Arial"/>
          <w:sz w:val="20"/>
          <w:szCs w:val="20"/>
        </w:rPr>
      </w:pPr>
    </w:p>
    <w:p w14:paraId="2075E978" w14:textId="77777777" w:rsidR="00CD616E" w:rsidRDefault="00CD616E" w:rsidP="00F27956">
      <w:pPr>
        <w:tabs>
          <w:tab w:val="left" w:pos="921"/>
        </w:tabs>
        <w:rPr>
          <w:rFonts w:ascii="Arial" w:hAnsi="Arial" w:cs="Arial"/>
          <w:sz w:val="20"/>
          <w:szCs w:val="20"/>
        </w:rPr>
      </w:pPr>
    </w:p>
    <w:p w14:paraId="6743201E" w14:textId="77777777" w:rsidR="00CD616E" w:rsidRDefault="00CD616E" w:rsidP="00F27956">
      <w:pPr>
        <w:tabs>
          <w:tab w:val="left" w:pos="921"/>
        </w:tabs>
        <w:rPr>
          <w:rFonts w:ascii="Arial" w:hAnsi="Arial" w:cs="Arial"/>
          <w:sz w:val="20"/>
          <w:szCs w:val="20"/>
        </w:rPr>
      </w:pPr>
    </w:p>
    <w:p w14:paraId="09CE0ED0" w14:textId="77777777" w:rsidR="00CD616E" w:rsidRDefault="00CD616E" w:rsidP="00F27956">
      <w:pPr>
        <w:tabs>
          <w:tab w:val="left" w:pos="921"/>
        </w:tabs>
        <w:rPr>
          <w:rFonts w:ascii="Arial" w:hAnsi="Arial" w:cs="Arial"/>
          <w:sz w:val="20"/>
          <w:szCs w:val="20"/>
        </w:rPr>
      </w:pPr>
    </w:p>
    <w:p w14:paraId="433A06AA" w14:textId="77777777" w:rsidR="00CD616E" w:rsidRDefault="00CD616E" w:rsidP="00F27956">
      <w:pPr>
        <w:tabs>
          <w:tab w:val="left" w:pos="921"/>
        </w:tabs>
        <w:rPr>
          <w:rFonts w:ascii="Arial" w:hAnsi="Arial" w:cs="Arial"/>
          <w:sz w:val="20"/>
          <w:szCs w:val="20"/>
        </w:rPr>
      </w:pPr>
    </w:p>
    <w:p w14:paraId="4336070B" w14:textId="77777777" w:rsidR="00CD616E" w:rsidRDefault="00CD616E" w:rsidP="00F27956">
      <w:pPr>
        <w:tabs>
          <w:tab w:val="left" w:pos="921"/>
        </w:tabs>
        <w:rPr>
          <w:rFonts w:ascii="Arial" w:hAnsi="Arial" w:cs="Arial"/>
          <w:sz w:val="20"/>
          <w:szCs w:val="20"/>
        </w:rPr>
      </w:pPr>
    </w:p>
    <w:p w14:paraId="7A03ACD7" w14:textId="77777777" w:rsidR="00CD616E" w:rsidRDefault="00CD616E" w:rsidP="00F27956">
      <w:pPr>
        <w:tabs>
          <w:tab w:val="left" w:pos="921"/>
        </w:tabs>
        <w:rPr>
          <w:rFonts w:ascii="Arial" w:hAnsi="Arial" w:cs="Arial"/>
          <w:sz w:val="20"/>
          <w:szCs w:val="20"/>
        </w:rPr>
      </w:pPr>
    </w:p>
    <w:p w14:paraId="05472862" w14:textId="77777777" w:rsidR="00CD616E" w:rsidRDefault="00CD616E" w:rsidP="00F27956">
      <w:pPr>
        <w:tabs>
          <w:tab w:val="left" w:pos="921"/>
        </w:tabs>
        <w:rPr>
          <w:rFonts w:ascii="Arial" w:hAnsi="Arial" w:cs="Arial"/>
          <w:sz w:val="20"/>
          <w:szCs w:val="20"/>
        </w:rPr>
      </w:pPr>
    </w:p>
    <w:p w14:paraId="0C43171C" w14:textId="77777777" w:rsidR="00CD616E" w:rsidRDefault="00CD616E" w:rsidP="00F27956">
      <w:pPr>
        <w:tabs>
          <w:tab w:val="left" w:pos="921"/>
        </w:tabs>
        <w:rPr>
          <w:rFonts w:ascii="Arial" w:hAnsi="Arial" w:cs="Arial"/>
          <w:sz w:val="20"/>
          <w:szCs w:val="20"/>
        </w:rPr>
      </w:pPr>
    </w:p>
    <w:p w14:paraId="460599EC" w14:textId="77777777" w:rsidR="00CD616E" w:rsidRDefault="00CD616E" w:rsidP="00F27956">
      <w:pPr>
        <w:tabs>
          <w:tab w:val="left" w:pos="921"/>
        </w:tabs>
        <w:rPr>
          <w:rFonts w:ascii="Arial" w:hAnsi="Arial" w:cs="Arial"/>
          <w:sz w:val="20"/>
          <w:szCs w:val="20"/>
        </w:rPr>
      </w:pPr>
    </w:p>
    <w:p w14:paraId="6736748E" w14:textId="77777777" w:rsidR="00CD616E" w:rsidRDefault="00CD616E" w:rsidP="00F27956">
      <w:pPr>
        <w:tabs>
          <w:tab w:val="left" w:pos="921"/>
        </w:tabs>
        <w:rPr>
          <w:rFonts w:ascii="Arial" w:hAnsi="Arial" w:cs="Arial"/>
          <w:sz w:val="20"/>
          <w:szCs w:val="20"/>
        </w:rPr>
      </w:pPr>
    </w:p>
    <w:p w14:paraId="0C2E58B9" w14:textId="77777777" w:rsidR="00CD616E" w:rsidRDefault="00CD616E" w:rsidP="00F27956">
      <w:pPr>
        <w:tabs>
          <w:tab w:val="left" w:pos="921"/>
        </w:tabs>
        <w:rPr>
          <w:rFonts w:ascii="Arial" w:hAnsi="Arial" w:cs="Arial"/>
          <w:sz w:val="20"/>
          <w:szCs w:val="20"/>
        </w:rPr>
      </w:pPr>
    </w:p>
    <w:p w14:paraId="0D640C11" w14:textId="77777777" w:rsidR="00CD616E" w:rsidRPr="00D47AAA" w:rsidRDefault="00CD616E" w:rsidP="00CD616E">
      <w:pPr>
        <w:pStyle w:val="Heading1"/>
        <w:rPr>
          <w:rFonts w:ascii="Arial" w:hAnsi="Arial" w:cs="Arial"/>
          <w:sz w:val="32"/>
          <w:szCs w:val="32"/>
        </w:rPr>
      </w:pPr>
      <w:r w:rsidRPr="00D47AAA">
        <w:rPr>
          <w:rFonts w:ascii="Arial" w:hAnsi="Arial" w:cs="Arial"/>
          <w:sz w:val="32"/>
          <w:szCs w:val="32"/>
        </w:rPr>
        <w:lastRenderedPageBreak/>
        <w:t>Appendices</w:t>
      </w:r>
    </w:p>
    <w:p w14:paraId="522FB25B" w14:textId="77777777" w:rsidR="00CD616E" w:rsidRPr="00D47AAA" w:rsidRDefault="00CD616E" w:rsidP="00CD616E">
      <w:pPr>
        <w:pStyle w:val="Heading2"/>
        <w:rPr>
          <w:rFonts w:ascii="Arial" w:hAnsi="Arial" w:cs="Arial"/>
          <w:sz w:val="28"/>
          <w:szCs w:val="28"/>
        </w:rPr>
      </w:pPr>
      <w:r w:rsidRPr="00D47AAA">
        <w:rPr>
          <w:rFonts w:ascii="Arial" w:hAnsi="Arial" w:cs="Arial"/>
          <w:sz w:val="28"/>
          <w:szCs w:val="28"/>
        </w:rPr>
        <w:t>Appendix A: Documentary Sources Summary Table</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371"/>
        <w:gridCol w:w="2088"/>
        <w:gridCol w:w="695"/>
        <w:gridCol w:w="2259"/>
        <w:gridCol w:w="2613"/>
      </w:tblGrid>
      <w:tr w:rsidR="00CD616E" w:rsidRPr="00585384" w14:paraId="6E89C43E" w14:textId="77777777" w:rsidTr="000F5B1B">
        <w:trPr>
          <w:tblHeader/>
        </w:trPr>
        <w:tc>
          <w:tcPr>
            <w:tcW w:w="0" w:type="auto"/>
            <w:tcBorders>
              <w:top w:val="single" w:sz="1" w:space="0" w:color="AAAAAA"/>
              <w:left w:val="single" w:sz="1" w:space="0" w:color="AAAAAA"/>
              <w:bottom w:val="single" w:sz="1" w:space="0" w:color="AAAAAA"/>
              <w:right w:val="single" w:sz="1" w:space="0" w:color="AAAAAA"/>
            </w:tcBorders>
            <w:shd w:val="clear" w:color="auto" w:fill="124F1A" w:themeFill="accent3" w:themeFillShade="BF"/>
            <w:tcMar>
              <w:top w:w="80" w:type="dxa"/>
              <w:left w:w="120" w:type="dxa"/>
              <w:bottom w:w="80" w:type="dxa"/>
              <w:right w:w="120" w:type="dxa"/>
            </w:tcMar>
          </w:tcPr>
          <w:p w14:paraId="0ADA2028" w14:textId="77777777" w:rsidR="00CD616E" w:rsidRPr="00585384" w:rsidRDefault="00CD616E" w:rsidP="000F5B1B">
            <w:pPr>
              <w:spacing w:after="40"/>
              <w:rPr>
                <w:rFonts w:ascii="Arial" w:hAnsi="Arial" w:cs="Arial"/>
              </w:rPr>
            </w:pPr>
            <w:r w:rsidRPr="00585384">
              <w:rPr>
                <w:rFonts w:ascii="Arial" w:hAnsi="Arial" w:cs="Arial"/>
                <w:b/>
                <w:bCs/>
                <w:sz w:val="19"/>
                <w:szCs w:val="19"/>
              </w:rPr>
              <w:t>Source Type</w:t>
            </w:r>
          </w:p>
        </w:tc>
        <w:tc>
          <w:tcPr>
            <w:tcW w:w="0" w:type="auto"/>
            <w:tcBorders>
              <w:top w:val="single" w:sz="1" w:space="0" w:color="AAAAAA"/>
              <w:left w:val="single" w:sz="1" w:space="0" w:color="AAAAAA"/>
              <w:bottom w:val="single" w:sz="1" w:space="0" w:color="AAAAAA"/>
              <w:right w:val="single" w:sz="1" w:space="0" w:color="AAAAAA"/>
            </w:tcBorders>
            <w:shd w:val="clear" w:color="auto" w:fill="124F1A" w:themeFill="accent3" w:themeFillShade="BF"/>
            <w:tcMar>
              <w:top w:w="80" w:type="dxa"/>
              <w:left w:w="120" w:type="dxa"/>
              <w:bottom w:w="80" w:type="dxa"/>
              <w:right w:w="120" w:type="dxa"/>
            </w:tcMar>
          </w:tcPr>
          <w:p w14:paraId="6D1062DD" w14:textId="77777777" w:rsidR="00CD616E" w:rsidRPr="00585384" w:rsidRDefault="00CD616E" w:rsidP="000F5B1B">
            <w:pPr>
              <w:spacing w:after="40"/>
              <w:rPr>
                <w:rFonts w:ascii="Arial" w:hAnsi="Arial" w:cs="Arial"/>
              </w:rPr>
            </w:pPr>
            <w:r w:rsidRPr="00585384">
              <w:rPr>
                <w:rFonts w:ascii="Arial" w:hAnsi="Arial" w:cs="Arial"/>
                <w:b/>
                <w:bCs/>
                <w:sz w:val="19"/>
                <w:szCs w:val="19"/>
              </w:rPr>
              <w:t>Author/Organisation</w:t>
            </w:r>
          </w:p>
        </w:tc>
        <w:tc>
          <w:tcPr>
            <w:tcW w:w="0" w:type="auto"/>
            <w:tcBorders>
              <w:top w:val="single" w:sz="1" w:space="0" w:color="AAAAAA"/>
              <w:left w:val="single" w:sz="1" w:space="0" w:color="AAAAAA"/>
              <w:bottom w:val="single" w:sz="1" w:space="0" w:color="AAAAAA"/>
              <w:right w:val="single" w:sz="1" w:space="0" w:color="AAAAAA"/>
            </w:tcBorders>
            <w:shd w:val="clear" w:color="auto" w:fill="124F1A" w:themeFill="accent3" w:themeFillShade="BF"/>
            <w:tcMar>
              <w:top w:w="80" w:type="dxa"/>
              <w:left w:w="120" w:type="dxa"/>
              <w:bottom w:w="80" w:type="dxa"/>
              <w:right w:w="120" w:type="dxa"/>
            </w:tcMar>
          </w:tcPr>
          <w:p w14:paraId="28ADAB4D" w14:textId="77777777" w:rsidR="00CD616E" w:rsidRPr="00585384" w:rsidRDefault="00CD616E" w:rsidP="000F5B1B">
            <w:pPr>
              <w:spacing w:after="40"/>
              <w:rPr>
                <w:rFonts w:ascii="Arial" w:hAnsi="Arial" w:cs="Arial"/>
              </w:rPr>
            </w:pPr>
            <w:r w:rsidRPr="00585384">
              <w:rPr>
                <w:rFonts w:ascii="Arial" w:hAnsi="Arial" w:cs="Arial"/>
                <w:b/>
                <w:bCs/>
                <w:sz w:val="19"/>
                <w:szCs w:val="19"/>
              </w:rPr>
              <w:t>Year</w:t>
            </w:r>
          </w:p>
        </w:tc>
        <w:tc>
          <w:tcPr>
            <w:tcW w:w="0" w:type="auto"/>
            <w:tcBorders>
              <w:top w:val="single" w:sz="1" w:space="0" w:color="AAAAAA"/>
              <w:left w:val="single" w:sz="1" w:space="0" w:color="AAAAAA"/>
              <w:bottom w:val="single" w:sz="1" w:space="0" w:color="AAAAAA"/>
              <w:right w:val="single" w:sz="1" w:space="0" w:color="AAAAAA"/>
            </w:tcBorders>
            <w:shd w:val="clear" w:color="auto" w:fill="124F1A" w:themeFill="accent3" w:themeFillShade="BF"/>
            <w:tcMar>
              <w:top w:w="80" w:type="dxa"/>
              <w:left w:w="120" w:type="dxa"/>
              <w:bottom w:w="80" w:type="dxa"/>
              <w:right w:w="120" w:type="dxa"/>
            </w:tcMar>
          </w:tcPr>
          <w:p w14:paraId="29917BEC" w14:textId="77777777" w:rsidR="00CD616E" w:rsidRPr="00585384" w:rsidRDefault="00CD616E" w:rsidP="000F5B1B">
            <w:pPr>
              <w:spacing w:after="40"/>
              <w:rPr>
                <w:rFonts w:ascii="Arial" w:hAnsi="Arial" w:cs="Arial"/>
              </w:rPr>
            </w:pPr>
            <w:r w:rsidRPr="00585384">
              <w:rPr>
                <w:rFonts w:ascii="Arial" w:hAnsi="Arial" w:cs="Arial"/>
                <w:b/>
                <w:bCs/>
                <w:sz w:val="19"/>
                <w:szCs w:val="19"/>
              </w:rPr>
              <w:t>Title</w:t>
            </w:r>
          </w:p>
        </w:tc>
        <w:tc>
          <w:tcPr>
            <w:tcW w:w="0" w:type="auto"/>
            <w:tcBorders>
              <w:top w:val="single" w:sz="1" w:space="0" w:color="AAAAAA"/>
              <w:left w:val="single" w:sz="1" w:space="0" w:color="AAAAAA"/>
              <w:bottom w:val="single" w:sz="1" w:space="0" w:color="AAAAAA"/>
              <w:right w:val="single" w:sz="1" w:space="0" w:color="AAAAAA"/>
            </w:tcBorders>
            <w:shd w:val="clear" w:color="auto" w:fill="124F1A" w:themeFill="accent3" w:themeFillShade="BF"/>
            <w:tcMar>
              <w:top w:w="80" w:type="dxa"/>
              <w:left w:w="120" w:type="dxa"/>
              <w:bottom w:w="80" w:type="dxa"/>
              <w:right w:w="120" w:type="dxa"/>
            </w:tcMar>
          </w:tcPr>
          <w:p w14:paraId="4D4BC322" w14:textId="77777777" w:rsidR="00CD616E" w:rsidRPr="00585384" w:rsidRDefault="00CD616E" w:rsidP="000F5B1B">
            <w:pPr>
              <w:spacing w:after="40"/>
              <w:rPr>
                <w:rFonts w:ascii="Arial" w:hAnsi="Arial" w:cs="Arial"/>
              </w:rPr>
            </w:pPr>
            <w:r w:rsidRPr="00585384">
              <w:rPr>
                <w:rFonts w:ascii="Arial" w:hAnsi="Arial" w:cs="Arial"/>
                <w:b/>
                <w:bCs/>
                <w:sz w:val="19"/>
                <w:szCs w:val="19"/>
              </w:rPr>
              <w:t>Key Focus/Findings</w:t>
            </w:r>
          </w:p>
        </w:tc>
      </w:tr>
      <w:tr w:rsidR="00CD616E" w:rsidRPr="00585384" w14:paraId="1E67C7C5" w14:textId="77777777" w:rsidTr="000F5B1B">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63A7702"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Industry Report</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BF4648F"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Fresh Produce Consortium</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9C2C42C"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2023</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FECC07F"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Member Supply Chain Challenges</w:t>
            </w:r>
          </w:p>
        </w:tc>
        <w:tc>
          <w:tcPr>
            <w:tcW w:w="27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8A1B348"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Brexit impacts, diversification strategies</w:t>
            </w:r>
          </w:p>
        </w:tc>
      </w:tr>
      <w:tr w:rsidR="00CD616E" w:rsidRPr="00585384" w14:paraId="087D2677" w14:textId="77777777" w:rsidTr="000F5B1B">
        <w:tc>
          <w:tcPr>
            <w:tcW w:w="1400"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20" w:type="dxa"/>
              <w:bottom w:w="80" w:type="dxa"/>
              <w:right w:w="120" w:type="dxa"/>
            </w:tcMar>
          </w:tcPr>
          <w:p w14:paraId="0E6798A7"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Government Document</w:t>
            </w:r>
          </w:p>
        </w:tc>
        <w:tc>
          <w:tcPr>
            <w:tcW w:w="1800"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20" w:type="dxa"/>
              <w:bottom w:w="80" w:type="dxa"/>
              <w:right w:w="120" w:type="dxa"/>
            </w:tcMar>
          </w:tcPr>
          <w:p w14:paraId="3757E81B"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DEFRA</w:t>
            </w:r>
          </w:p>
        </w:tc>
        <w:tc>
          <w:tcPr>
            <w:tcW w:w="700"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20" w:type="dxa"/>
              <w:bottom w:w="80" w:type="dxa"/>
              <w:right w:w="120" w:type="dxa"/>
            </w:tcMar>
          </w:tcPr>
          <w:p w14:paraId="42701871"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2023</w:t>
            </w:r>
          </w:p>
        </w:tc>
        <w:tc>
          <w:tcPr>
            <w:tcW w:w="2400"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20" w:type="dxa"/>
              <w:bottom w:w="80" w:type="dxa"/>
              <w:right w:w="120" w:type="dxa"/>
            </w:tcMar>
          </w:tcPr>
          <w:p w14:paraId="61668F93"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UK Food Security Report 2023</w:t>
            </w:r>
          </w:p>
        </w:tc>
        <w:tc>
          <w:tcPr>
            <w:tcW w:w="2726"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20" w:type="dxa"/>
              <w:bottom w:w="80" w:type="dxa"/>
              <w:right w:w="120" w:type="dxa"/>
            </w:tcMar>
          </w:tcPr>
          <w:p w14:paraId="369EE327"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Food security, sector vulnerabilities</w:t>
            </w:r>
          </w:p>
        </w:tc>
      </w:tr>
      <w:tr w:rsidR="00CD616E" w:rsidRPr="00585384" w14:paraId="3EA62431" w14:textId="77777777" w:rsidTr="000F5B1B">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43947CC"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Trade Press Article</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4842929"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The Grocer</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D2BF1BF"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2023</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9E5FCC9"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SMEs Hit Hardest by Brexit and Energy Crisis</w:t>
            </w:r>
          </w:p>
        </w:tc>
        <w:tc>
          <w:tcPr>
            <w:tcW w:w="27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71F8109"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SME challenges, supply chain costs</w:t>
            </w:r>
          </w:p>
        </w:tc>
      </w:tr>
      <w:tr w:rsidR="00CD616E" w:rsidRPr="00585384" w14:paraId="3F668460" w14:textId="77777777" w:rsidTr="000F5B1B">
        <w:tc>
          <w:tcPr>
            <w:tcW w:w="1400"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20" w:type="dxa"/>
              <w:bottom w:w="80" w:type="dxa"/>
              <w:right w:w="120" w:type="dxa"/>
            </w:tcMar>
          </w:tcPr>
          <w:p w14:paraId="06C73130"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Academic Case Study</w:t>
            </w:r>
          </w:p>
        </w:tc>
        <w:tc>
          <w:tcPr>
            <w:tcW w:w="1800"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20" w:type="dxa"/>
              <w:bottom w:w="80" w:type="dxa"/>
              <w:right w:w="120" w:type="dxa"/>
            </w:tcMar>
          </w:tcPr>
          <w:p w14:paraId="22B6B98F"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Hirth et al.</w:t>
            </w:r>
          </w:p>
        </w:tc>
        <w:tc>
          <w:tcPr>
            <w:tcW w:w="700"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20" w:type="dxa"/>
              <w:bottom w:w="80" w:type="dxa"/>
              <w:right w:w="120" w:type="dxa"/>
            </w:tcMar>
          </w:tcPr>
          <w:p w14:paraId="56F9627D"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2023</w:t>
            </w:r>
          </w:p>
        </w:tc>
        <w:tc>
          <w:tcPr>
            <w:tcW w:w="2400"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20" w:type="dxa"/>
              <w:bottom w:w="80" w:type="dxa"/>
              <w:right w:w="120" w:type="dxa"/>
            </w:tcMar>
          </w:tcPr>
          <w:p w14:paraId="38443073"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Examining Food System Resilience in UK</w:t>
            </w:r>
          </w:p>
        </w:tc>
        <w:tc>
          <w:tcPr>
            <w:tcW w:w="2726"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20" w:type="dxa"/>
              <w:bottom w:w="80" w:type="dxa"/>
              <w:right w:w="120" w:type="dxa"/>
            </w:tcMar>
          </w:tcPr>
          <w:p w14:paraId="2B0379DB"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Fruit and veg supply case analysis</w:t>
            </w:r>
          </w:p>
        </w:tc>
      </w:tr>
      <w:tr w:rsidR="00CD616E" w:rsidRPr="00585384" w14:paraId="68688C17" w14:textId="77777777" w:rsidTr="000F5B1B">
        <w:tc>
          <w:tcPr>
            <w:tcW w:w="1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AF12B18"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Company Disclosure</w:t>
            </w:r>
          </w:p>
        </w:tc>
        <w:tc>
          <w:tcPr>
            <w:tcW w:w="18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10F17D9"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[Major Retailer]</w:t>
            </w:r>
          </w:p>
        </w:tc>
        <w:tc>
          <w:tcPr>
            <w:tcW w:w="7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B12E1C1"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2023</w:t>
            </w:r>
          </w:p>
        </w:tc>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E6BA81E"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Annual Report</w:t>
            </w:r>
          </w:p>
        </w:tc>
        <w:tc>
          <w:tcPr>
            <w:tcW w:w="27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31D5C3F"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Risk management, resilience strategy</w:t>
            </w:r>
          </w:p>
        </w:tc>
      </w:tr>
      <w:tr w:rsidR="00CD616E" w:rsidRPr="00585384" w14:paraId="764D5269" w14:textId="77777777" w:rsidTr="000F5B1B">
        <w:tc>
          <w:tcPr>
            <w:tcW w:w="1400"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20" w:type="dxa"/>
              <w:bottom w:w="80" w:type="dxa"/>
              <w:right w:w="120" w:type="dxa"/>
            </w:tcMar>
          </w:tcPr>
          <w:p w14:paraId="0DD338D5"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Think Tank Report</w:t>
            </w:r>
          </w:p>
        </w:tc>
        <w:tc>
          <w:tcPr>
            <w:tcW w:w="1800"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20" w:type="dxa"/>
              <w:bottom w:w="80" w:type="dxa"/>
              <w:right w:w="120" w:type="dxa"/>
            </w:tcMar>
          </w:tcPr>
          <w:p w14:paraId="7B37FB1F"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Food Foundation</w:t>
            </w:r>
          </w:p>
        </w:tc>
        <w:tc>
          <w:tcPr>
            <w:tcW w:w="700"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20" w:type="dxa"/>
              <w:bottom w:w="80" w:type="dxa"/>
              <w:right w:w="120" w:type="dxa"/>
            </w:tcMar>
          </w:tcPr>
          <w:p w14:paraId="2DA9D9DC"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2023</w:t>
            </w:r>
          </w:p>
        </w:tc>
        <w:tc>
          <w:tcPr>
            <w:tcW w:w="2400"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20" w:type="dxa"/>
              <w:bottom w:w="80" w:type="dxa"/>
              <w:right w:w="120" w:type="dxa"/>
            </w:tcMar>
          </w:tcPr>
          <w:p w14:paraId="6817A1AA"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Fruit &amp; Veg Shortages</w:t>
            </w:r>
          </w:p>
        </w:tc>
        <w:tc>
          <w:tcPr>
            <w:tcW w:w="2726"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20" w:type="dxa"/>
              <w:bottom w:w="80" w:type="dxa"/>
              <w:right w:w="120" w:type="dxa"/>
            </w:tcMar>
          </w:tcPr>
          <w:p w14:paraId="6DA1E14E"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Import dependency, weather shocks</w:t>
            </w:r>
          </w:p>
        </w:tc>
      </w:tr>
    </w:tbl>
    <w:p w14:paraId="0F5F87B3" w14:textId="77777777" w:rsidR="00CD616E" w:rsidRPr="00585384" w:rsidRDefault="00CD616E" w:rsidP="00CD616E">
      <w:pPr>
        <w:spacing w:before="80" w:after="240"/>
        <w:rPr>
          <w:rFonts w:ascii="Arial" w:hAnsi="Arial" w:cs="Arial"/>
        </w:rPr>
      </w:pPr>
      <w:r w:rsidRPr="00585384">
        <w:rPr>
          <w:rFonts w:ascii="Arial" w:hAnsi="Arial" w:cs="Arial"/>
          <w:i/>
          <w:iCs/>
          <w:sz w:val="20"/>
          <w:szCs w:val="20"/>
        </w:rPr>
        <w:t>Appendix A: Summary of key documentary sources analysed in this research</w:t>
      </w:r>
    </w:p>
    <w:p w14:paraId="5EE593C0" w14:textId="77777777" w:rsidR="00CD616E" w:rsidRPr="00D47AAA" w:rsidRDefault="00CD616E" w:rsidP="00CD616E">
      <w:pPr>
        <w:pStyle w:val="Heading2"/>
        <w:rPr>
          <w:rFonts w:ascii="Arial" w:hAnsi="Arial" w:cs="Arial"/>
          <w:sz w:val="28"/>
          <w:szCs w:val="28"/>
        </w:rPr>
      </w:pPr>
      <w:r w:rsidRPr="00D47AAA">
        <w:rPr>
          <w:rFonts w:ascii="Arial" w:hAnsi="Arial" w:cs="Arial"/>
          <w:sz w:val="28"/>
          <w:szCs w:val="28"/>
        </w:rPr>
        <w:t>Appendix B: Thematic Coding Framework (Sample)</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2300"/>
        <w:gridCol w:w="4526"/>
      </w:tblGrid>
      <w:tr w:rsidR="00CD616E" w:rsidRPr="00585384" w14:paraId="46C43D16" w14:textId="77777777" w:rsidTr="000F5B1B">
        <w:trPr>
          <w:tblHeader/>
        </w:trPr>
        <w:tc>
          <w:tcPr>
            <w:tcW w:w="0" w:type="auto"/>
            <w:tcBorders>
              <w:top w:val="single" w:sz="1" w:space="0" w:color="AAAAAA"/>
              <w:left w:val="single" w:sz="1" w:space="0" w:color="AAAAAA"/>
              <w:bottom w:val="single" w:sz="1" w:space="0" w:color="AAAAAA"/>
              <w:right w:val="single" w:sz="1" w:space="0" w:color="AAAAAA"/>
            </w:tcBorders>
            <w:shd w:val="clear" w:color="auto" w:fill="124F1A" w:themeFill="accent3" w:themeFillShade="BF"/>
            <w:tcMar>
              <w:top w:w="80" w:type="dxa"/>
              <w:left w:w="120" w:type="dxa"/>
              <w:bottom w:w="80" w:type="dxa"/>
              <w:right w:w="120" w:type="dxa"/>
            </w:tcMar>
          </w:tcPr>
          <w:p w14:paraId="28620FA8" w14:textId="77777777" w:rsidR="00CD616E" w:rsidRPr="00585384" w:rsidRDefault="00CD616E" w:rsidP="000F5B1B">
            <w:pPr>
              <w:spacing w:after="40"/>
              <w:rPr>
                <w:rFonts w:ascii="Arial" w:hAnsi="Arial" w:cs="Arial"/>
              </w:rPr>
            </w:pPr>
            <w:r w:rsidRPr="00585384">
              <w:rPr>
                <w:rFonts w:ascii="Arial" w:hAnsi="Arial" w:cs="Arial"/>
                <w:b/>
                <w:bCs/>
                <w:sz w:val="19"/>
                <w:szCs w:val="19"/>
              </w:rPr>
              <w:t>Theme Category</w:t>
            </w:r>
          </w:p>
        </w:tc>
        <w:tc>
          <w:tcPr>
            <w:tcW w:w="0" w:type="auto"/>
            <w:tcBorders>
              <w:top w:val="single" w:sz="1" w:space="0" w:color="AAAAAA"/>
              <w:left w:val="single" w:sz="1" w:space="0" w:color="AAAAAA"/>
              <w:bottom w:val="single" w:sz="1" w:space="0" w:color="AAAAAA"/>
              <w:right w:val="single" w:sz="1" w:space="0" w:color="AAAAAA"/>
            </w:tcBorders>
            <w:shd w:val="clear" w:color="auto" w:fill="124F1A" w:themeFill="accent3" w:themeFillShade="BF"/>
            <w:tcMar>
              <w:top w:w="80" w:type="dxa"/>
              <w:left w:w="120" w:type="dxa"/>
              <w:bottom w:w="80" w:type="dxa"/>
              <w:right w:w="120" w:type="dxa"/>
            </w:tcMar>
          </w:tcPr>
          <w:p w14:paraId="54FF70E1" w14:textId="77777777" w:rsidR="00CD616E" w:rsidRPr="00585384" w:rsidRDefault="00CD616E" w:rsidP="000F5B1B">
            <w:pPr>
              <w:spacing w:after="40"/>
              <w:rPr>
                <w:rFonts w:ascii="Arial" w:hAnsi="Arial" w:cs="Arial"/>
              </w:rPr>
            </w:pPr>
            <w:r w:rsidRPr="00585384">
              <w:rPr>
                <w:rFonts w:ascii="Arial" w:hAnsi="Arial" w:cs="Arial"/>
                <w:b/>
                <w:bCs/>
                <w:sz w:val="19"/>
                <w:szCs w:val="19"/>
              </w:rPr>
              <w:t>Code / Theme</w:t>
            </w:r>
          </w:p>
        </w:tc>
        <w:tc>
          <w:tcPr>
            <w:tcW w:w="0" w:type="auto"/>
            <w:tcBorders>
              <w:top w:val="single" w:sz="1" w:space="0" w:color="AAAAAA"/>
              <w:left w:val="single" w:sz="1" w:space="0" w:color="AAAAAA"/>
              <w:bottom w:val="single" w:sz="1" w:space="0" w:color="AAAAAA"/>
              <w:right w:val="single" w:sz="1" w:space="0" w:color="AAAAAA"/>
            </w:tcBorders>
            <w:shd w:val="clear" w:color="auto" w:fill="124F1A" w:themeFill="accent3" w:themeFillShade="BF"/>
            <w:tcMar>
              <w:top w:w="80" w:type="dxa"/>
              <w:left w:w="120" w:type="dxa"/>
              <w:bottom w:w="80" w:type="dxa"/>
              <w:right w:w="120" w:type="dxa"/>
            </w:tcMar>
          </w:tcPr>
          <w:p w14:paraId="669A4133" w14:textId="77777777" w:rsidR="00CD616E" w:rsidRPr="00585384" w:rsidRDefault="00CD616E" w:rsidP="000F5B1B">
            <w:pPr>
              <w:spacing w:after="40"/>
              <w:rPr>
                <w:rFonts w:ascii="Arial" w:hAnsi="Arial" w:cs="Arial"/>
              </w:rPr>
            </w:pPr>
            <w:r w:rsidRPr="00585384">
              <w:rPr>
                <w:rFonts w:ascii="Arial" w:hAnsi="Arial" w:cs="Arial"/>
                <w:b/>
                <w:bCs/>
                <w:sz w:val="19"/>
                <w:szCs w:val="19"/>
              </w:rPr>
              <w:t>Description / Example</w:t>
            </w:r>
          </w:p>
        </w:tc>
      </w:tr>
      <w:tr w:rsidR="00CD616E" w:rsidRPr="00585384" w14:paraId="5EEEEC5B" w14:textId="77777777" w:rsidTr="000F5B1B">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1683C9F"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Disruption Types</w:t>
            </w:r>
          </w:p>
        </w:tc>
        <w:tc>
          <w:tcPr>
            <w:tcW w:w="23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6EA927A"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Brexit</w:t>
            </w:r>
          </w:p>
        </w:tc>
        <w:tc>
          <w:tcPr>
            <w:tcW w:w="45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0022FC2"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Regulatory changes, border checks, import delays and persistent trade friction</w:t>
            </w:r>
          </w:p>
        </w:tc>
      </w:tr>
      <w:tr w:rsidR="00CD616E" w:rsidRPr="00585384" w14:paraId="67D77E78" w14:textId="77777777" w:rsidTr="000F5B1B">
        <w:tc>
          <w:tcPr>
            <w:tcW w:w="2200"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20" w:type="dxa"/>
              <w:bottom w:w="80" w:type="dxa"/>
              <w:right w:w="120" w:type="dxa"/>
            </w:tcMar>
          </w:tcPr>
          <w:p w14:paraId="0EEE58D2"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Disruption Types</w:t>
            </w:r>
          </w:p>
        </w:tc>
        <w:tc>
          <w:tcPr>
            <w:tcW w:w="2300"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20" w:type="dxa"/>
              <w:bottom w:w="80" w:type="dxa"/>
              <w:right w:w="120" w:type="dxa"/>
            </w:tcMar>
          </w:tcPr>
          <w:p w14:paraId="68D22A22"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COVID-19</w:t>
            </w:r>
          </w:p>
        </w:tc>
        <w:tc>
          <w:tcPr>
            <w:tcW w:w="4526"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20" w:type="dxa"/>
              <w:bottom w:w="80" w:type="dxa"/>
              <w:right w:w="120" w:type="dxa"/>
            </w:tcMar>
          </w:tcPr>
          <w:p w14:paraId="61A73CE1"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Demand surges, labour shortages, logistical disruption, and channel inflexibility</w:t>
            </w:r>
          </w:p>
        </w:tc>
      </w:tr>
      <w:tr w:rsidR="00CD616E" w:rsidRPr="00585384" w14:paraId="481F9384" w14:textId="77777777" w:rsidTr="000F5B1B">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11BAFAA"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Disruption Types</w:t>
            </w:r>
          </w:p>
        </w:tc>
        <w:tc>
          <w:tcPr>
            <w:tcW w:w="23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E2EE014"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Energy/Weather</w:t>
            </w:r>
          </w:p>
        </w:tc>
        <w:tc>
          <w:tcPr>
            <w:tcW w:w="45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7573881"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Increased energy costs, adverse weather, crop failures, and glasshouse closures</w:t>
            </w:r>
          </w:p>
        </w:tc>
      </w:tr>
      <w:tr w:rsidR="00CD616E" w:rsidRPr="00585384" w14:paraId="2F338FC0" w14:textId="77777777" w:rsidTr="000F5B1B">
        <w:tc>
          <w:tcPr>
            <w:tcW w:w="2200"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20" w:type="dxa"/>
              <w:bottom w:w="80" w:type="dxa"/>
              <w:right w:w="120" w:type="dxa"/>
            </w:tcMar>
          </w:tcPr>
          <w:p w14:paraId="7E6B02F2"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Strategic Responses</w:t>
            </w:r>
          </w:p>
        </w:tc>
        <w:tc>
          <w:tcPr>
            <w:tcW w:w="2300"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20" w:type="dxa"/>
              <w:bottom w:w="80" w:type="dxa"/>
              <w:right w:w="120" w:type="dxa"/>
            </w:tcMar>
          </w:tcPr>
          <w:p w14:paraId="6A5CEF81"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Diversification</w:t>
            </w:r>
          </w:p>
        </w:tc>
        <w:tc>
          <w:tcPr>
            <w:tcW w:w="4526"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20" w:type="dxa"/>
              <w:bottom w:w="80" w:type="dxa"/>
              <w:right w:w="120" w:type="dxa"/>
            </w:tcMar>
          </w:tcPr>
          <w:p w14:paraId="0A5D0FCB"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Expanding supplier base, multi-country sourcing to reduce concentration vulnerability</w:t>
            </w:r>
          </w:p>
        </w:tc>
      </w:tr>
      <w:tr w:rsidR="00CD616E" w:rsidRPr="00585384" w14:paraId="4A27DB21" w14:textId="77777777" w:rsidTr="000F5B1B">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81E8AA5"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Strategic Responses</w:t>
            </w:r>
          </w:p>
        </w:tc>
        <w:tc>
          <w:tcPr>
            <w:tcW w:w="23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6B9CA3C"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Nearshoring</w:t>
            </w:r>
          </w:p>
        </w:tc>
        <w:tc>
          <w:tcPr>
            <w:tcW w:w="45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0904805"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Investing in UK/domestic production, greenhouse expansion, and vertical farming</w:t>
            </w:r>
          </w:p>
        </w:tc>
      </w:tr>
      <w:tr w:rsidR="00CD616E" w:rsidRPr="00585384" w14:paraId="4054EA2F" w14:textId="77777777" w:rsidTr="000F5B1B">
        <w:tc>
          <w:tcPr>
            <w:tcW w:w="2200"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20" w:type="dxa"/>
              <w:bottom w:w="80" w:type="dxa"/>
              <w:right w:w="120" w:type="dxa"/>
            </w:tcMar>
          </w:tcPr>
          <w:p w14:paraId="760E6FBB"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Strategic Responses</w:t>
            </w:r>
          </w:p>
        </w:tc>
        <w:tc>
          <w:tcPr>
            <w:tcW w:w="2300"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20" w:type="dxa"/>
              <w:bottom w:w="80" w:type="dxa"/>
              <w:right w:w="120" w:type="dxa"/>
            </w:tcMar>
          </w:tcPr>
          <w:p w14:paraId="22E1449C"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Technology Adoption</w:t>
            </w:r>
          </w:p>
        </w:tc>
        <w:tc>
          <w:tcPr>
            <w:tcW w:w="4526"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20" w:type="dxa"/>
              <w:bottom w:w="80" w:type="dxa"/>
              <w:right w:w="120" w:type="dxa"/>
            </w:tcMar>
          </w:tcPr>
          <w:p w14:paraId="3711C8E6"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Real-time tracking, predictive analytics, automated quality controls</w:t>
            </w:r>
          </w:p>
        </w:tc>
      </w:tr>
      <w:tr w:rsidR="00CD616E" w:rsidRPr="00585384" w14:paraId="6BA0C53F" w14:textId="77777777" w:rsidTr="000F5B1B">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4A8E39F"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Implementation Barriers</w:t>
            </w:r>
          </w:p>
        </w:tc>
        <w:tc>
          <w:tcPr>
            <w:tcW w:w="23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E30F65F"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Capital Requirements</w:t>
            </w:r>
          </w:p>
        </w:tc>
        <w:tc>
          <w:tcPr>
            <w:tcW w:w="45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768696A"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Upfront investment needs, funding limitations particularly for SMEs</w:t>
            </w:r>
          </w:p>
        </w:tc>
      </w:tr>
      <w:tr w:rsidR="00CD616E" w:rsidRPr="00585384" w14:paraId="21A20607" w14:textId="77777777" w:rsidTr="000F5B1B">
        <w:tc>
          <w:tcPr>
            <w:tcW w:w="2200"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20" w:type="dxa"/>
              <w:bottom w:w="80" w:type="dxa"/>
              <w:right w:w="120" w:type="dxa"/>
            </w:tcMar>
          </w:tcPr>
          <w:p w14:paraId="11BBF581"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Implementation Barriers</w:t>
            </w:r>
          </w:p>
        </w:tc>
        <w:tc>
          <w:tcPr>
            <w:tcW w:w="2300"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20" w:type="dxa"/>
              <w:bottom w:w="80" w:type="dxa"/>
              <w:right w:w="120" w:type="dxa"/>
            </w:tcMar>
          </w:tcPr>
          <w:p w14:paraId="72C613D4"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Technical Capability Gaps</w:t>
            </w:r>
          </w:p>
        </w:tc>
        <w:tc>
          <w:tcPr>
            <w:tcW w:w="4526"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20" w:type="dxa"/>
              <w:bottom w:w="80" w:type="dxa"/>
              <w:right w:w="120" w:type="dxa"/>
            </w:tcMar>
          </w:tcPr>
          <w:p w14:paraId="33F38E2C"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Managing multiple suppliers, quality assurance across diverse portfolios</w:t>
            </w:r>
          </w:p>
        </w:tc>
      </w:tr>
      <w:tr w:rsidR="00CD616E" w:rsidRPr="00585384" w14:paraId="538E661A" w14:textId="77777777" w:rsidTr="000F5B1B">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FCDFE6D"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Enablers</w:t>
            </w:r>
          </w:p>
        </w:tc>
        <w:tc>
          <w:tcPr>
            <w:tcW w:w="23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CA68B2A"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Leadership Commitment</w:t>
            </w:r>
          </w:p>
        </w:tc>
        <w:tc>
          <w:tcPr>
            <w:tcW w:w="45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C35B5DB"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Senior management support, board-level strategic prioritisation</w:t>
            </w:r>
          </w:p>
        </w:tc>
      </w:tr>
      <w:tr w:rsidR="00CD616E" w:rsidRPr="00585384" w14:paraId="48312CFA" w14:textId="77777777" w:rsidTr="000F5B1B">
        <w:tc>
          <w:tcPr>
            <w:tcW w:w="2200"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20" w:type="dxa"/>
              <w:bottom w:w="80" w:type="dxa"/>
              <w:right w:w="120" w:type="dxa"/>
            </w:tcMar>
          </w:tcPr>
          <w:p w14:paraId="18EFE198"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Enablers</w:t>
            </w:r>
          </w:p>
        </w:tc>
        <w:tc>
          <w:tcPr>
            <w:tcW w:w="2300"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20" w:type="dxa"/>
              <w:bottom w:w="80" w:type="dxa"/>
              <w:right w:w="120" w:type="dxa"/>
            </w:tcMar>
          </w:tcPr>
          <w:p w14:paraId="45AE3825"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Industry Collaboration</w:t>
            </w:r>
          </w:p>
        </w:tc>
        <w:tc>
          <w:tcPr>
            <w:tcW w:w="4526"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20" w:type="dxa"/>
              <w:bottom w:w="80" w:type="dxa"/>
              <w:right w:w="120" w:type="dxa"/>
            </w:tcMar>
          </w:tcPr>
          <w:p w14:paraId="47ACB88F"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Collaborative buying groups, shared platforms, industry association support</w:t>
            </w:r>
          </w:p>
        </w:tc>
      </w:tr>
      <w:tr w:rsidR="00CD616E" w:rsidRPr="00585384" w14:paraId="310D998E" w14:textId="77777777" w:rsidTr="000F5B1B">
        <w:tc>
          <w:tcPr>
            <w:tcW w:w="2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197434C"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Enablers</w:t>
            </w:r>
          </w:p>
        </w:tc>
        <w:tc>
          <w:tcPr>
            <w:tcW w:w="23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2FD713B"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Incremental Change</w:t>
            </w:r>
          </w:p>
        </w:tc>
        <w:tc>
          <w:tcPr>
            <w:tcW w:w="45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FEDCE3C"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Phased implementation, stepwise adaptation building on existing capabilities</w:t>
            </w:r>
          </w:p>
        </w:tc>
      </w:tr>
    </w:tbl>
    <w:p w14:paraId="71C8BA8B" w14:textId="77777777" w:rsidR="00CD616E" w:rsidRPr="00585384" w:rsidRDefault="00CD616E" w:rsidP="00CD616E">
      <w:pPr>
        <w:spacing w:before="80" w:after="240"/>
        <w:rPr>
          <w:rFonts w:ascii="Arial" w:hAnsi="Arial" w:cs="Arial"/>
        </w:rPr>
      </w:pPr>
      <w:r w:rsidRPr="00FD50B2">
        <w:rPr>
          <w:rFonts w:ascii="Arial" w:hAnsi="Arial" w:cs="Arial"/>
          <w:b/>
          <w:bCs/>
          <w:sz w:val="20"/>
          <w:szCs w:val="20"/>
        </w:rPr>
        <w:t>Appendix B:</w:t>
      </w:r>
      <w:r w:rsidRPr="00585384">
        <w:rPr>
          <w:rFonts w:ascii="Arial" w:hAnsi="Arial" w:cs="Arial"/>
          <w:i/>
          <w:iCs/>
          <w:sz w:val="20"/>
          <w:szCs w:val="20"/>
        </w:rPr>
        <w:t xml:space="preserve"> </w:t>
      </w:r>
      <w:r w:rsidRPr="00FD50B2">
        <w:rPr>
          <w:rFonts w:ascii="Arial" w:hAnsi="Arial" w:cs="Arial"/>
          <w:sz w:val="16"/>
          <w:szCs w:val="16"/>
        </w:rPr>
        <w:t>Thematic coding framework showing main categories, codes, and examples</w:t>
      </w:r>
    </w:p>
    <w:p w14:paraId="3CA95E28" w14:textId="77777777" w:rsidR="00CD616E" w:rsidRPr="0034720E" w:rsidRDefault="00CD616E" w:rsidP="00CD616E">
      <w:pPr>
        <w:pStyle w:val="Heading2"/>
        <w:rPr>
          <w:rFonts w:ascii="Arial" w:hAnsi="Arial" w:cs="Arial"/>
        </w:rPr>
      </w:pPr>
    </w:p>
    <w:p w14:paraId="488E0184" w14:textId="77777777" w:rsidR="00CD616E" w:rsidRPr="00D47AAA" w:rsidRDefault="00CD616E" w:rsidP="00CD616E">
      <w:pPr>
        <w:pStyle w:val="Heading2"/>
        <w:rPr>
          <w:rFonts w:ascii="Arial" w:hAnsi="Arial" w:cs="Arial"/>
          <w:sz w:val="28"/>
          <w:szCs w:val="28"/>
          <w:lang w:val="fr-FR"/>
        </w:rPr>
      </w:pPr>
      <w:r w:rsidRPr="00D47AAA">
        <w:rPr>
          <w:rFonts w:ascii="Arial" w:hAnsi="Arial" w:cs="Arial"/>
          <w:sz w:val="28"/>
          <w:szCs w:val="28"/>
          <w:lang w:val="fr-FR"/>
        </w:rPr>
        <w:lastRenderedPageBreak/>
        <w:t>Appendix C: Reflexive Journal Excerpts (Sample)</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600"/>
        <w:gridCol w:w="7426"/>
      </w:tblGrid>
      <w:tr w:rsidR="00CD616E" w:rsidRPr="00585384" w14:paraId="567F93F9" w14:textId="77777777" w:rsidTr="000F5B1B">
        <w:trPr>
          <w:tblHeader/>
        </w:trPr>
        <w:tc>
          <w:tcPr>
            <w:tcW w:w="0" w:type="auto"/>
            <w:tcBorders>
              <w:top w:val="single" w:sz="1" w:space="0" w:color="AAAAAA"/>
              <w:left w:val="single" w:sz="1" w:space="0" w:color="AAAAAA"/>
              <w:bottom w:val="single" w:sz="1" w:space="0" w:color="AAAAAA"/>
              <w:right w:val="single" w:sz="1" w:space="0" w:color="AAAAAA"/>
            </w:tcBorders>
            <w:shd w:val="clear" w:color="auto" w:fill="124F1A" w:themeFill="accent3" w:themeFillShade="BF"/>
            <w:tcMar>
              <w:top w:w="80" w:type="dxa"/>
              <w:left w:w="120" w:type="dxa"/>
              <w:bottom w:w="80" w:type="dxa"/>
              <w:right w:w="120" w:type="dxa"/>
            </w:tcMar>
          </w:tcPr>
          <w:p w14:paraId="0ADD0EC1" w14:textId="77777777" w:rsidR="00CD616E" w:rsidRPr="00585384" w:rsidRDefault="00CD616E" w:rsidP="000F5B1B">
            <w:pPr>
              <w:spacing w:after="40"/>
              <w:rPr>
                <w:rFonts w:ascii="Arial" w:hAnsi="Arial" w:cs="Arial"/>
              </w:rPr>
            </w:pPr>
            <w:r w:rsidRPr="00585384">
              <w:rPr>
                <w:rFonts w:ascii="Arial" w:hAnsi="Arial" w:cs="Arial"/>
                <w:b/>
                <w:bCs/>
                <w:sz w:val="19"/>
                <w:szCs w:val="19"/>
              </w:rPr>
              <w:t>Date</w:t>
            </w:r>
          </w:p>
        </w:tc>
        <w:tc>
          <w:tcPr>
            <w:tcW w:w="0" w:type="auto"/>
            <w:tcBorders>
              <w:top w:val="single" w:sz="1" w:space="0" w:color="AAAAAA"/>
              <w:left w:val="single" w:sz="1" w:space="0" w:color="AAAAAA"/>
              <w:bottom w:val="single" w:sz="1" w:space="0" w:color="AAAAAA"/>
              <w:right w:val="single" w:sz="1" w:space="0" w:color="AAAAAA"/>
            </w:tcBorders>
            <w:shd w:val="clear" w:color="auto" w:fill="124F1A" w:themeFill="accent3" w:themeFillShade="BF"/>
            <w:tcMar>
              <w:top w:w="80" w:type="dxa"/>
              <w:left w:w="120" w:type="dxa"/>
              <w:bottom w:w="80" w:type="dxa"/>
              <w:right w:w="120" w:type="dxa"/>
            </w:tcMar>
          </w:tcPr>
          <w:p w14:paraId="5D8BC7DF" w14:textId="77777777" w:rsidR="00CD616E" w:rsidRPr="00585384" w:rsidRDefault="00CD616E" w:rsidP="000F5B1B">
            <w:pPr>
              <w:spacing w:after="40"/>
              <w:rPr>
                <w:rFonts w:ascii="Arial" w:hAnsi="Arial" w:cs="Arial"/>
              </w:rPr>
            </w:pPr>
            <w:r w:rsidRPr="00585384">
              <w:rPr>
                <w:rFonts w:ascii="Arial" w:hAnsi="Arial" w:cs="Arial"/>
                <w:b/>
                <w:bCs/>
                <w:sz w:val="19"/>
                <w:szCs w:val="19"/>
              </w:rPr>
              <w:t>Reflection / Decision</w:t>
            </w:r>
          </w:p>
        </w:tc>
      </w:tr>
      <w:tr w:rsidR="00CD616E" w:rsidRPr="00585384" w14:paraId="2D209603" w14:textId="77777777" w:rsidTr="000F5B1B">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75C88C0"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10/0</w:t>
            </w:r>
            <w:r>
              <w:rPr>
                <w:rFonts w:ascii="Arial" w:hAnsi="Arial" w:cs="Arial"/>
                <w:sz w:val="16"/>
                <w:szCs w:val="16"/>
              </w:rPr>
              <w:t>3</w:t>
            </w:r>
            <w:r w:rsidRPr="00FD50B2">
              <w:rPr>
                <w:rFonts w:ascii="Arial" w:hAnsi="Arial" w:cs="Arial"/>
                <w:sz w:val="16"/>
                <w:szCs w:val="16"/>
              </w:rPr>
              <w:t>/202</w:t>
            </w:r>
            <w:r>
              <w:rPr>
                <w:rFonts w:ascii="Arial" w:hAnsi="Arial" w:cs="Arial"/>
                <w:sz w:val="16"/>
                <w:szCs w:val="16"/>
              </w:rPr>
              <w:t>6</w:t>
            </w:r>
          </w:p>
        </w:tc>
        <w:tc>
          <w:tcPr>
            <w:tcW w:w="74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3F73107"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Noted overrepresentation of large firms in documentary sources; sought additional SME-focused reports to partially offset coverage bias.</w:t>
            </w:r>
          </w:p>
        </w:tc>
      </w:tr>
      <w:tr w:rsidR="00CD616E" w:rsidRPr="00585384" w14:paraId="28E07D08" w14:textId="77777777" w:rsidTr="000F5B1B">
        <w:tc>
          <w:tcPr>
            <w:tcW w:w="1600"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20" w:type="dxa"/>
              <w:bottom w:w="80" w:type="dxa"/>
              <w:right w:w="120" w:type="dxa"/>
            </w:tcMar>
          </w:tcPr>
          <w:p w14:paraId="5627BAF8"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15/03/202</w:t>
            </w:r>
            <w:r>
              <w:rPr>
                <w:rFonts w:ascii="Arial" w:hAnsi="Arial" w:cs="Arial"/>
                <w:sz w:val="16"/>
                <w:szCs w:val="16"/>
              </w:rPr>
              <w:t>6</w:t>
            </w:r>
          </w:p>
        </w:tc>
        <w:tc>
          <w:tcPr>
            <w:tcW w:w="7426"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20" w:type="dxa"/>
              <w:bottom w:w="80" w:type="dxa"/>
              <w:right w:w="120" w:type="dxa"/>
            </w:tcMar>
          </w:tcPr>
          <w:p w14:paraId="4D3C99AE"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Coding revealed new theme around policy inconsistency; adjusted framework to include government support gaps as a distinct factor.</w:t>
            </w:r>
          </w:p>
        </w:tc>
      </w:tr>
      <w:tr w:rsidR="00CD616E" w:rsidRPr="00585384" w14:paraId="77E7F044" w14:textId="77777777" w:rsidTr="000F5B1B">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4729670F" w14:textId="77777777" w:rsidR="00CD616E" w:rsidRPr="00FD50B2" w:rsidRDefault="00CD616E" w:rsidP="000F5B1B">
            <w:pPr>
              <w:spacing w:after="40"/>
              <w:rPr>
                <w:rFonts w:ascii="Arial" w:hAnsi="Arial" w:cs="Arial"/>
                <w:sz w:val="16"/>
                <w:szCs w:val="16"/>
              </w:rPr>
            </w:pPr>
            <w:r>
              <w:rPr>
                <w:rFonts w:ascii="Arial" w:hAnsi="Arial" w:cs="Arial"/>
                <w:sz w:val="16"/>
                <w:szCs w:val="16"/>
              </w:rPr>
              <w:t>1</w:t>
            </w:r>
            <w:r w:rsidRPr="00FD50B2">
              <w:rPr>
                <w:rFonts w:ascii="Arial" w:hAnsi="Arial" w:cs="Arial"/>
                <w:sz w:val="16"/>
                <w:szCs w:val="16"/>
              </w:rPr>
              <w:t>1/0</w:t>
            </w:r>
            <w:r>
              <w:rPr>
                <w:rFonts w:ascii="Arial" w:hAnsi="Arial" w:cs="Arial"/>
                <w:sz w:val="16"/>
                <w:szCs w:val="16"/>
              </w:rPr>
              <w:t>3</w:t>
            </w:r>
            <w:r w:rsidRPr="00FD50B2">
              <w:rPr>
                <w:rFonts w:ascii="Arial" w:hAnsi="Arial" w:cs="Arial"/>
                <w:sz w:val="16"/>
                <w:szCs w:val="16"/>
              </w:rPr>
              <w:t>/202</w:t>
            </w:r>
            <w:r>
              <w:rPr>
                <w:rFonts w:ascii="Arial" w:hAnsi="Arial" w:cs="Arial"/>
                <w:sz w:val="16"/>
                <w:szCs w:val="16"/>
              </w:rPr>
              <w:t>6</w:t>
            </w:r>
          </w:p>
        </w:tc>
        <w:tc>
          <w:tcPr>
            <w:tcW w:w="74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A638B69"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Realised some implementation barriers were sector-agnostic; flagged for comparison with other perishable food supply chains in transferability discussion.</w:t>
            </w:r>
          </w:p>
        </w:tc>
      </w:tr>
      <w:tr w:rsidR="00CD616E" w:rsidRPr="00585384" w14:paraId="49BD012B" w14:textId="77777777" w:rsidTr="000F5B1B">
        <w:tc>
          <w:tcPr>
            <w:tcW w:w="1600"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20" w:type="dxa"/>
              <w:bottom w:w="80" w:type="dxa"/>
              <w:right w:w="120" w:type="dxa"/>
            </w:tcMar>
          </w:tcPr>
          <w:p w14:paraId="17F95897"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22/0</w:t>
            </w:r>
            <w:r>
              <w:rPr>
                <w:rFonts w:ascii="Arial" w:hAnsi="Arial" w:cs="Arial"/>
                <w:sz w:val="16"/>
                <w:szCs w:val="16"/>
              </w:rPr>
              <w:t>3</w:t>
            </w:r>
            <w:r w:rsidRPr="00FD50B2">
              <w:rPr>
                <w:rFonts w:ascii="Arial" w:hAnsi="Arial" w:cs="Arial"/>
                <w:sz w:val="16"/>
                <w:szCs w:val="16"/>
              </w:rPr>
              <w:t>/202</w:t>
            </w:r>
            <w:r>
              <w:rPr>
                <w:rFonts w:ascii="Arial" w:hAnsi="Arial" w:cs="Arial"/>
                <w:sz w:val="16"/>
                <w:szCs w:val="16"/>
              </w:rPr>
              <w:t>6</w:t>
            </w:r>
          </w:p>
        </w:tc>
        <w:tc>
          <w:tcPr>
            <w:tcW w:w="7426" w:type="dxa"/>
            <w:tcBorders>
              <w:top w:val="single" w:sz="1" w:space="0" w:color="AAAAAA"/>
              <w:left w:val="single" w:sz="1" w:space="0" w:color="AAAAAA"/>
              <w:bottom w:val="single" w:sz="1" w:space="0" w:color="AAAAAA"/>
              <w:right w:val="single" w:sz="1" w:space="0" w:color="AAAAAA"/>
            </w:tcBorders>
            <w:shd w:val="clear" w:color="auto" w:fill="D9F2D0" w:themeFill="accent6" w:themeFillTint="33"/>
            <w:tcMar>
              <w:top w:w="80" w:type="dxa"/>
              <w:left w:w="120" w:type="dxa"/>
              <w:bottom w:w="80" w:type="dxa"/>
              <w:right w:w="120" w:type="dxa"/>
            </w:tcMar>
          </w:tcPr>
          <w:p w14:paraId="53C8644F"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Reflected on potential personal bias as an outsider to the sector; cross-checked interpretations with supervisor and applied adversarial reading to emerging themes.</w:t>
            </w:r>
          </w:p>
        </w:tc>
      </w:tr>
      <w:tr w:rsidR="00CD616E" w:rsidRPr="00585384" w14:paraId="13BE092D" w14:textId="77777777" w:rsidTr="000F5B1B">
        <w:tc>
          <w:tcPr>
            <w:tcW w:w="16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2E2999F" w14:textId="77777777" w:rsidR="00CD616E" w:rsidRPr="00FD50B2" w:rsidRDefault="00CD616E" w:rsidP="000F5B1B">
            <w:pPr>
              <w:spacing w:after="40"/>
              <w:rPr>
                <w:rFonts w:ascii="Arial" w:hAnsi="Arial" w:cs="Arial"/>
                <w:sz w:val="16"/>
                <w:szCs w:val="16"/>
              </w:rPr>
            </w:pPr>
            <w:r>
              <w:rPr>
                <w:rFonts w:ascii="Arial" w:hAnsi="Arial" w:cs="Arial"/>
                <w:sz w:val="16"/>
                <w:szCs w:val="16"/>
              </w:rPr>
              <w:t>2</w:t>
            </w:r>
            <w:r w:rsidRPr="00FD50B2">
              <w:rPr>
                <w:rFonts w:ascii="Arial" w:hAnsi="Arial" w:cs="Arial"/>
                <w:sz w:val="16"/>
                <w:szCs w:val="16"/>
              </w:rPr>
              <w:t>5/0</w:t>
            </w:r>
            <w:r>
              <w:rPr>
                <w:rFonts w:ascii="Arial" w:hAnsi="Arial" w:cs="Arial"/>
                <w:sz w:val="16"/>
                <w:szCs w:val="16"/>
              </w:rPr>
              <w:t>3</w:t>
            </w:r>
            <w:r w:rsidRPr="00FD50B2">
              <w:rPr>
                <w:rFonts w:ascii="Arial" w:hAnsi="Arial" w:cs="Arial"/>
                <w:sz w:val="16"/>
                <w:szCs w:val="16"/>
              </w:rPr>
              <w:t>/202</w:t>
            </w:r>
            <w:r>
              <w:rPr>
                <w:rFonts w:ascii="Arial" w:hAnsi="Arial" w:cs="Arial"/>
                <w:sz w:val="16"/>
                <w:szCs w:val="16"/>
              </w:rPr>
              <w:t>6</w:t>
            </w:r>
          </w:p>
        </w:tc>
        <w:tc>
          <w:tcPr>
            <w:tcW w:w="74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A2C6224" w14:textId="77777777" w:rsidR="00CD616E" w:rsidRPr="00FD50B2" w:rsidRDefault="00CD616E" w:rsidP="000F5B1B">
            <w:pPr>
              <w:spacing w:after="40"/>
              <w:rPr>
                <w:rFonts w:ascii="Arial" w:hAnsi="Arial" w:cs="Arial"/>
                <w:sz w:val="16"/>
                <w:szCs w:val="16"/>
              </w:rPr>
            </w:pPr>
            <w:r w:rsidRPr="00FD50B2">
              <w:rPr>
                <w:rFonts w:ascii="Arial" w:hAnsi="Arial" w:cs="Arial"/>
                <w:sz w:val="16"/>
                <w:szCs w:val="16"/>
              </w:rPr>
              <w:t>Identified need for clearer differentiation between technology adoption and digital skills gap in coding; revised code definitions accordingly in the coding manual.</w:t>
            </w:r>
          </w:p>
        </w:tc>
      </w:tr>
    </w:tbl>
    <w:p w14:paraId="7C72ADD4" w14:textId="77777777" w:rsidR="00CD616E" w:rsidRPr="00585384" w:rsidRDefault="00CD616E" w:rsidP="00CD616E">
      <w:pPr>
        <w:spacing w:before="80" w:after="240"/>
        <w:rPr>
          <w:rFonts w:ascii="Arial" w:hAnsi="Arial" w:cs="Arial"/>
        </w:rPr>
      </w:pPr>
      <w:r w:rsidRPr="00161A90">
        <w:rPr>
          <w:rFonts w:ascii="Arial" w:hAnsi="Arial" w:cs="Arial"/>
          <w:b/>
          <w:bCs/>
          <w:sz w:val="20"/>
          <w:szCs w:val="20"/>
        </w:rPr>
        <w:t>Appendix C:</w:t>
      </w:r>
      <w:r w:rsidRPr="00161A90">
        <w:rPr>
          <w:rFonts w:ascii="Arial" w:hAnsi="Arial" w:cs="Arial"/>
          <w:i/>
          <w:iCs/>
          <w:sz w:val="16"/>
          <w:szCs w:val="16"/>
        </w:rPr>
        <w:t xml:space="preserve"> Sample reflexive journal entries documenting methodological decisions and bias recognition</w:t>
      </w:r>
    </w:p>
    <w:p w14:paraId="6A670628" w14:textId="77777777" w:rsidR="00CD616E" w:rsidRDefault="00CD616E" w:rsidP="00F27956">
      <w:pPr>
        <w:tabs>
          <w:tab w:val="left" w:pos="921"/>
        </w:tabs>
        <w:rPr>
          <w:rFonts w:ascii="Arial" w:hAnsi="Arial" w:cs="Arial"/>
          <w:sz w:val="20"/>
          <w:szCs w:val="20"/>
        </w:rPr>
      </w:pPr>
    </w:p>
    <w:p w14:paraId="7520D550" w14:textId="77777777" w:rsidR="005728F7" w:rsidRDefault="005728F7" w:rsidP="00F27956">
      <w:pPr>
        <w:tabs>
          <w:tab w:val="left" w:pos="921"/>
        </w:tabs>
        <w:rPr>
          <w:rFonts w:ascii="Arial" w:hAnsi="Arial" w:cs="Arial"/>
          <w:sz w:val="20"/>
          <w:szCs w:val="20"/>
        </w:rPr>
      </w:pPr>
    </w:p>
    <w:p w14:paraId="43F5942A" w14:textId="77777777" w:rsidR="005728F7" w:rsidRDefault="005728F7" w:rsidP="00F27956">
      <w:pPr>
        <w:tabs>
          <w:tab w:val="left" w:pos="921"/>
        </w:tabs>
        <w:rPr>
          <w:rFonts w:ascii="Arial" w:hAnsi="Arial" w:cs="Arial"/>
          <w:sz w:val="20"/>
          <w:szCs w:val="20"/>
        </w:rPr>
      </w:pPr>
    </w:p>
    <w:p w14:paraId="7A6A22D1" w14:textId="36FF2555" w:rsidR="008A4A4F" w:rsidRPr="00A42F82" w:rsidRDefault="00CD616E" w:rsidP="00CD616E">
      <w:pPr>
        <w:tabs>
          <w:tab w:val="left" w:pos="5103"/>
        </w:tabs>
        <w:rPr>
          <w:rFonts w:ascii="Arial" w:hAnsi="Arial" w:cs="Arial"/>
          <w:b/>
          <w:bCs/>
        </w:rPr>
      </w:pPr>
      <w:r>
        <w:rPr>
          <w:rFonts w:ascii="Arial" w:hAnsi="Arial" w:cs="Arial"/>
          <w:b/>
          <w:bCs/>
        </w:rPr>
        <w:t>Appendix D:</w:t>
      </w:r>
      <w:r w:rsidR="008A4A4F">
        <w:rPr>
          <w:rFonts w:ascii="Arial" w:hAnsi="Arial" w:cs="Arial"/>
          <w:b/>
          <w:bCs/>
        </w:rPr>
        <w:t xml:space="preserve"> </w:t>
      </w:r>
      <w:r w:rsidR="008A4A4F" w:rsidRPr="00A42F82">
        <w:rPr>
          <w:rFonts w:ascii="Arial" w:hAnsi="Arial" w:cs="Arial"/>
          <w:b/>
          <w:bCs/>
        </w:rPr>
        <w:t>APPLICATION FOR ETHICAL APPROVAL</w:t>
      </w:r>
    </w:p>
    <w:p w14:paraId="54C6AB9A" w14:textId="77777777" w:rsidR="008A4A4F" w:rsidRPr="00A42F82" w:rsidRDefault="008A4A4F" w:rsidP="00A91894">
      <w:pPr>
        <w:tabs>
          <w:tab w:val="left" w:pos="5103"/>
        </w:tabs>
        <w:jc w:val="center"/>
        <w:rPr>
          <w:rFonts w:ascii="Arial" w:hAnsi="Arial" w:cs="Arial"/>
          <w:b/>
          <w:bCs/>
        </w:rPr>
      </w:pPr>
    </w:p>
    <w:p w14:paraId="64B22090" w14:textId="77777777" w:rsidR="008A4A4F" w:rsidRPr="00A42F82" w:rsidRDefault="008A4A4F" w:rsidP="00A91894">
      <w:pPr>
        <w:tabs>
          <w:tab w:val="left" w:pos="5103"/>
        </w:tabs>
        <w:jc w:val="both"/>
        <w:rPr>
          <w:rFonts w:ascii="Arial" w:hAnsi="Arial" w:cs="Arial"/>
          <w:b/>
          <w:bCs/>
          <w:sz w:val="22"/>
          <w:szCs w:val="22"/>
        </w:rPr>
      </w:pPr>
    </w:p>
    <w:tbl>
      <w:tblPr>
        <w:tblStyle w:val="TableGrid"/>
        <w:tblW w:w="10201" w:type="dxa"/>
        <w:tblLook w:val="04A0" w:firstRow="1" w:lastRow="0" w:firstColumn="1" w:lastColumn="0" w:noHBand="0" w:noVBand="1"/>
      </w:tblPr>
      <w:tblGrid>
        <w:gridCol w:w="10201"/>
      </w:tblGrid>
      <w:tr w:rsidR="008A4A4F" w:rsidRPr="00A42F82" w14:paraId="657C6176" w14:textId="77777777" w:rsidTr="00CD616E">
        <w:tc>
          <w:tcPr>
            <w:tcW w:w="10201" w:type="dxa"/>
          </w:tcPr>
          <w:p w14:paraId="20982A8D" w14:textId="77777777" w:rsidR="008A4A4F" w:rsidRPr="006E7B19" w:rsidRDefault="008A4A4F"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08A52ED4" w14:textId="77777777" w:rsidR="008A4A4F" w:rsidRPr="00A42F82" w:rsidRDefault="008A4A4F"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402390E" w14:textId="77777777" w:rsidR="008A4A4F" w:rsidRPr="00A42F82" w:rsidRDefault="008A4A4F"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2453B736" w14:textId="77777777" w:rsidR="008A4A4F" w:rsidRDefault="008A4A4F"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0"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3AA86663" w14:textId="77777777" w:rsidR="008A4A4F" w:rsidRDefault="008A4A4F"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696CC0A6" w14:textId="77777777" w:rsidR="008A4A4F" w:rsidRDefault="008A4A4F"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0C279499" w14:textId="77777777" w:rsidR="008A4A4F" w:rsidRPr="00A42F82" w:rsidRDefault="008A4A4F"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8A4A4F" w:rsidRPr="00A42F82" w14:paraId="5AC6571A" w14:textId="77777777" w:rsidTr="00CD616E">
        <w:tc>
          <w:tcPr>
            <w:tcW w:w="10201" w:type="dxa"/>
          </w:tcPr>
          <w:p w14:paraId="6FB3C853" w14:textId="77777777" w:rsidR="008A4A4F" w:rsidRPr="00A42F82" w:rsidRDefault="008A4A4F" w:rsidP="00B140F1">
            <w:pPr>
              <w:rPr>
                <w:rFonts w:ascii="Arial" w:hAnsi="Arial" w:cs="Arial"/>
                <w:b/>
                <w:sz w:val="22"/>
                <w:szCs w:val="22"/>
              </w:rPr>
            </w:pPr>
            <w:r w:rsidRPr="00A42F82">
              <w:rPr>
                <w:rFonts w:ascii="Arial" w:hAnsi="Arial" w:cs="Arial"/>
                <w:b/>
                <w:sz w:val="22"/>
                <w:szCs w:val="22"/>
              </w:rPr>
              <w:t>RESEARCH STAFF ONLY</w:t>
            </w:r>
          </w:p>
          <w:p w14:paraId="5F191DE6" w14:textId="77777777" w:rsidR="008A4A4F" w:rsidRPr="00A42F82" w:rsidRDefault="008A4A4F"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1"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619CE33C" w14:textId="77777777" w:rsidR="008A4A4F" w:rsidRPr="00A42F82" w:rsidRDefault="008A4A4F" w:rsidP="00B140F1">
            <w:pPr>
              <w:rPr>
                <w:rFonts w:ascii="Arial" w:hAnsi="Arial" w:cs="Arial"/>
                <w:sz w:val="22"/>
                <w:szCs w:val="22"/>
              </w:rPr>
            </w:pPr>
          </w:p>
        </w:tc>
      </w:tr>
      <w:tr w:rsidR="008A4A4F" w:rsidRPr="00A42F82" w14:paraId="0B485F81" w14:textId="77777777" w:rsidTr="00CD616E">
        <w:tc>
          <w:tcPr>
            <w:tcW w:w="10201" w:type="dxa"/>
          </w:tcPr>
          <w:p w14:paraId="06086647" w14:textId="77777777" w:rsidR="008A4A4F" w:rsidRPr="00A42F82" w:rsidRDefault="008A4A4F"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728483B2" w14:textId="77777777" w:rsidR="008A4A4F" w:rsidRDefault="008A4A4F" w:rsidP="00A91894">
      <w:pPr>
        <w:tabs>
          <w:tab w:val="left" w:pos="5103"/>
        </w:tabs>
        <w:jc w:val="both"/>
        <w:rPr>
          <w:rFonts w:ascii="Arial" w:hAnsi="Arial" w:cs="Arial"/>
          <w:b/>
          <w:bCs/>
          <w:sz w:val="22"/>
          <w:szCs w:val="22"/>
        </w:rPr>
      </w:pPr>
    </w:p>
    <w:p w14:paraId="60BD2778" w14:textId="77777777" w:rsidR="008A4A4F" w:rsidRPr="00A42F82" w:rsidRDefault="008A4A4F" w:rsidP="00A91894">
      <w:pPr>
        <w:tabs>
          <w:tab w:val="left" w:pos="5103"/>
        </w:tabs>
        <w:jc w:val="both"/>
        <w:rPr>
          <w:rFonts w:ascii="Arial" w:hAnsi="Arial" w:cs="Arial"/>
          <w:b/>
          <w:bCs/>
          <w:sz w:val="22"/>
          <w:szCs w:val="22"/>
        </w:rPr>
      </w:pPr>
    </w:p>
    <w:p w14:paraId="539FFE55" w14:textId="77777777" w:rsidR="008A4A4F" w:rsidRPr="00A42F82" w:rsidRDefault="008A4A4F"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BECF79E" w14:textId="77777777" w:rsidR="008A4A4F" w:rsidRPr="00A42F82" w:rsidRDefault="008A4A4F" w:rsidP="00A91894">
      <w:pPr>
        <w:tabs>
          <w:tab w:val="left" w:pos="5103"/>
        </w:tabs>
        <w:jc w:val="center"/>
        <w:rPr>
          <w:rFonts w:ascii="Arial" w:hAnsi="Arial" w:cs="Arial"/>
          <w:b/>
          <w:bCs/>
          <w:sz w:val="16"/>
          <w:szCs w:val="16"/>
        </w:rPr>
      </w:pPr>
    </w:p>
    <w:p w14:paraId="0CE44217" w14:textId="77777777" w:rsidR="008A4A4F" w:rsidRPr="00A42F82" w:rsidRDefault="008A4A4F" w:rsidP="00A91894">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BC83018" w14:textId="77777777" w:rsidR="008A4A4F" w:rsidRPr="00A42F82" w:rsidRDefault="008A4A4F" w:rsidP="00A91894">
      <w:pPr>
        <w:tabs>
          <w:tab w:val="left" w:pos="5103"/>
        </w:tabs>
        <w:jc w:val="both"/>
        <w:rPr>
          <w:rFonts w:ascii="Arial" w:hAnsi="Arial" w:cs="Arial"/>
          <w:sz w:val="22"/>
          <w:szCs w:val="22"/>
        </w:rPr>
      </w:pPr>
    </w:p>
    <w:p w14:paraId="39E9C3FD" w14:textId="77777777" w:rsidR="008A4A4F" w:rsidRPr="00A42F82" w:rsidRDefault="008A4A4F"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58108E63" w14:textId="77777777" w:rsidR="008A4A4F" w:rsidRPr="00A42F82" w:rsidRDefault="008A4A4F" w:rsidP="00A91894">
      <w:pPr>
        <w:tabs>
          <w:tab w:val="left" w:pos="5103"/>
        </w:tabs>
        <w:jc w:val="both"/>
        <w:rPr>
          <w:rFonts w:ascii="Arial" w:hAnsi="Arial" w:cs="Arial"/>
          <w:sz w:val="22"/>
          <w:szCs w:val="22"/>
        </w:rPr>
      </w:pPr>
    </w:p>
    <w:p w14:paraId="0E333EC4" w14:textId="77777777" w:rsidR="008A4A4F" w:rsidRPr="00A42F82" w:rsidRDefault="008A4A4F" w:rsidP="00A91894">
      <w:pPr>
        <w:tabs>
          <w:tab w:val="left" w:pos="5103"/>
        </w:tabs>
        <w:jc w:val="both"/>
        <w:rPr>
          <w:rFonts w:ascii="Arial" w:hAnsi="Arial" w:cs="Arial"/>
          <w:sz w:val="22"/>
          <w:szCs w:val="22"/>
        </w:rPr>
      </w:pPr>
      <w:r w:rsidRPr="00A42F82">
        <w:rPr>
          <w:rFonts w:ascii="Arial" w:hAnsi="Arial" w:cs="Arial"/>
          <w:sz w:val="22"/>
          <w:szCs w:val="22"/>
        </w:rPr>
        <w:lastRenderedPageBreak/>
        <w:t>Ethical approval is not required for routine audits, performance reviews, quality assurance studies, testing within normal educational requirements, and literary or artistic criticism.</w:t>
      </w:r>
    </w:p>
    <w:p w14:paraId="5EFB8DAA" w14:textId="77777777" w:rsidR="008A4A4F" w:rsidRPr="00A42F82" w:rsidRDefault="008A4A4F" w:rsidP="00A91894">
      <w:pPr>
        <w:tabs>
          <w:tab w:val="left" w:pos="5103"/>
        </w:tabs>
        <w:jc w:val="both"/>
        <w:rPr>
          <w:rFonts w:ascii="Arial" w:hAnsi="Arial" w:cs="Arial"/>
          <w:sz w:val="22"/>
          <w:szCs w:val="22"/>
        </w:rPr>
      </w:pPr>
    </w:p>
    <w:p w14:paraId="73768FE4" w14:textId="77777777" w:rsidR="008A4A4F" w:rsidRPr="00A42F82" w:rsidRDefault="008A4A4F"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267B1591" w14:textId="77777777" w:rsidR="008A4A4F" w:rsidRPr="00A42F82" w:rsidRDefault="008A4A4F" w:rsidP="00A91894">
      <w:pPr>
        <w:autoSpaceDE w:val="0"/>
        <w:autoSpaceDN w:val="0"/>
        <w:adjustRightInd w:val="0"/>
        <w:jc w:val="both"/>
        <w:rPr>
          <w:rFonts w:ascii="Arial" w:hAnsi="Arial" w:cs="Arial"/>
          <w:sz w:val="22"/>
          <w:szCs w:val="22"/>
        </w:rPr>
      </w:pPr>
    </w:p>
    <w:p w14:paraId="5AF71957" w14:textId="77777777" w:rsidR="008A4A4F" w:rsidRPr="00A42F82" w:rsidRDefault="008A4A4F"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54940B40" w14:textId="77777777" w:rsidR="008A4A4F" w:rsidRPr="00A42F82" w:rsidRDefault="008A4A4F" w:rsidP="00A91894">
      <w:pPr>
        <w:autoSpaceDE w:val="0"/>
        <w:autoSpaceDN w:val="0"/>
        <w:adjustRightInd w:val="0"/>
        <w:jc w:val="both"/>
        <w:rPr>
          <w:rFonts w:ascii="Arial" w:hAnsi="Arial" w:cs="Arial"/>
          <w:sz w:val="22"/>
          <w:szCs w:val="22"/>
        </w:rPr>
      </w:pPr>
    </w:p>
    <w:p w14:paraId="4E807EA0" w14:textId="77777777" w:rsidR="008A4A4F" w:rsidRPr="00A42F82" w:rsidRDefault="008A4A4F"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1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600"/>
      </w:tblGrid>
      <w:tr w:rsidR="008A4A4F" w:rsidRPr="00A42F82" w14:paraId="208C4836" w14:textId="77777777" w:rsidTr="00CD616E">
        <w:trPr>
          <w:trHeight w:val="439"/>
        </w:trPr>
        <w:tc>
          <w:tcPr>
            <w:tcW w:w="559" w:type="dxa"/>
            <w:shd w:val="clear" w:color="auto" w:fill="F2F2F2" w:themeFill="background1" w:themeFillShade="F2"/>
            <w:vAlign w:val="center"/>
          </w:tcPr>
          <w:p w14:paraId="32869AF0" w14:textId="77777777" w:rsidR="008A4A4F" w:rsidRPr="00A42F82" w:rsidRDefault="008A4A4F"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70F2C8B8" w14:textId="77777777" w:rsidR="008A4A4F" w:rsidRPr="00A42F82" w:rsidRDefault="008A4A4F" w:rsidP="00A91894">
            <w:pPr>
              <w:rPr>
                <w:rFonts w:ascii="Arial" w:hAnsi="Arial" w:cs="Arial"/>
                <w:sz w:val="22"/>
                <w:szCs w:val="22"/>
              </w:rPr>
            </w:pPr>
            <w:r w:rsidRPr="00A42F82">
              <w:rPr>
                <w:rFonts w:ascii="Arial" w:hAnsi="Arial" w:cs="Arial"/>
                <w:sz w:val="22"/>
                <w:szCs w:val="22"/>
              </w:rPr>
              <w:t>Full Name:</w:t>
            </w:r>
          </w:p>
        </w:tc>
        <w:tc>
          <w:tcPr>
            <w:tcW w:w="6386" w:type="dxa"/>
            <w:gridSpan w:val="4"/>
            <w:vAlign w:val="center"/>
          </w:tcPr>
          <w:p w14:paraId="2D0B2B63" w14:textId="77777777" w:rsidR="008A4A4F" w:rsidRPr="00A42F82" w:rsidRDefault="008A4A4F" w:rsidP="00A91894">
            <w:pPr>
              <w:rPr>
                <w:rFonts w:ascii="Arial" w:hAnsi="Arial" w:cs="Arial"/>
                <w:sz w:val="22"/>
                <w:szCs w:val="22"/>
              </w:rPr>
            </w:pPr>
            <w:r>
              <w:rPr>
                <w:rFonts w:ascii="Arial" w:hAnsi="Arial" w:cs="Arial"/>
                <w:sz w:val="22"/>
                <w:szCs w:val="22"/>
              </w:rPr>
              <w:t>Nanga Pedro</w:t>
            </w:r>
          </w:p>
        </w:tc>
      </w:tr>
      <w:tr w:rsidR="008A4A4F" w:rsidRPr="00A42F82" w14:paraId="696684CF" w14:textId="77777777" w:rsidTr="00CD616E">
        <w:trPr>
          <w:trHeight w:val="472"/>
        </w:trPr>
        <w:tc>
          <w:tcPr>
            <w:tcW w:w="559" w:type="dxa"/>
            <w:shd w:val="clear" w:color="auto" w:fill="BFBFBF" w:themeFill="background1" w:themeFillShade="BF"/>
            <w:vAlign w:val="center"/>
          </w:tcPr>
          <w:p w14:paraId="40BB11E4" w14:textId="77777777" w:rsidR="008A4A4F" w:rsidRPr="00A42F82" w:rsidRDefault="008A4A4F"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63AA1C3C" w14:textId="77777777" w:rsidR="008A4A4F" w:rsidRPr="00A42F82" w:rsidRDefault="008A4A4F" w:rsidP="00A91894">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100A23C9" w14:textId="77777777" w:rsidR="008A4A4F" w:rsidRPr="00A42F82" w:rsidRDefault="008A4A4F"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700B7E67" w14:textId="77777777" w:rsidR="008A4A4F" w:rsidRPr="00A42F82" w:rsidRDefault="008A4A4F"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03FD31F4" w14:textId="77777777" w:rsidR="008A4A4F" w:rsidRPr="00A42F82" w:rsidRDefault="008A4A4F" w:rsidP="00A91894">
            <w:pPr>
              <w:rPr>
                <w:rFonts w:ascii="Arial" w:hAnsi="Arial" w:cs="Arial"/>
                <w:sz w:val="22"/>
                <w:szCs w:val="22"/>
              </w:rPr>
            </w:pPr>
            <w:r w:rsidRPr="00A42F82">
              <w:rPr>
                <w:rFonts w:ascii="Arial" w:hAnsi="Arial" w:cs="Arial"/>
                <w:sz w:val="22"/>
                <w:szCs w:val="22"/>
              </w:rPr>
              <w:t>Honorary research fellow:</w:t>
            </w:r>
          </w:p>
        </w:tc>
        <w:tc>
          <w:tcPr>
            <w:tcW w:w="600" w:type="dxa"/>
            <w:shd w:val="clear" w:color="auto" w:fill="BFBFBF" w:themeFill="background1" w:themeFillShade="BF"/>
            <w:vAlign w:val="center"/>
          </w:tcPr>
          <w:p w14:paraId="23720CEC" w14:textId="77777777" w:rsidR="008A4A4F" w:rsidRPr="00A42F82" w:rsidRDefault="008A4A4F"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8A4A4F" w:rsidRPr="00A42F82" w14:paraId="26509D12" w14:textId="77777777" w:rsidTr="00CD616E">
        <w:trPr>
          <w:trHeight w:val="472"/>
        </w:trPr>
        <w:tc>
          <w:tcPr>
            <w:tcW w:w="559" w:type="dxa"/>
            <w:shd w:val="clear" w:color="auto" w:fill="F2F2F2" w:themeFill="background1" w:themeFillShade="F2"/>
            <w:vAlign w:val="center"/>
          </w:tcPr>
          <w:p w14:paraId="1D01F98E" w14:textId="77777777" w:rsidR="008A4A4F" w:rsidRPr="00A42F82" w:rsidRDefault="008A4A4F" w:rsidP="00A91894">
            <w:pPr>
              <w:rPr>
                <w:rFonts w:ascii="Arial" w:hAnsi="Arial" w:cs="Arial"/>
                <w:sz w:val="22"/>
                <w:szCs w:val="22"/>
              </w:rPr>
            </w:pPr>
          </w:p>
        </w:tc>
        <w:tc>
          <w:tcPr>
            <w:tcW w:w="2544" w:type="dxa"/>
            <w:shd w:val="clear" w:color="auto" w:fill="F2F2F2" w:themeFill="background1" w:themeFillShade="F2"/>
            <w:vAlign w:val="center"/>
          </w:tcPr>
          <w:p w14:paraId="6FCF75D4" w14:textId="77777777" w:rsidR="008A4A4F" w:rsidRPr="00A42F82" w:rsidRDefault="008A4A4F"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4E83D88" w14:textId="77777777" w:rsidR="008A4A4F" w:rsidRPr="00A42F82" w:rsidRDefault="008A4A4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C8D3317" w14:textId="77777777" w:rsidR="008A4A4F" w:rsidRPr="00A42F82" w:rsidRDefault="008A4A4F"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FEDEB66" w14:textId="77777777" w:rsidR="008A4A4F" w:rsidRPr="00A42F82" w:rsidRDefault="008A4A4F"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556C6D10" w14:textId="77777777" w:rsidR="008A4A4F" w:rsidRPr="00A42F82" w:rsidRDefault="008A4A4F"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600" w:type="dxa"/>
                <w:shd w:val="clear" w:color="auto" w:fill="BFBFBF" w:themeFill="background1" w:themeFillShade="BF"/>
                <w:vAlign w:val="center"/>
              </w:tcPr>
              <w:p w14:paraId="3BA0E3D1" w14:textId="77777777" w:rsidR="008A4A4F" w:rsidRPr="00A42F82" w:rsidRDefault="008A4A4F"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7DA694B3" w14:textId="77777777" w:rsidR="008A4A4F" w:rsidRPr="00A42F82" w:rsidRDefault="008A4A4F" w:rsidP="00A91894">
      <w:pPr>
        <w:rPr>
          <w:rFonts w:ascii="Arial" w:hAnsi="Arial" w:cs="Arial"/>
          <w:bCs/>
          <w:iCs/>
          <w:sz w:val="16"/>
          <w:szCs w:val="16"/>
        </w:rPr>
      </w:pPr>
    </w:p>
    <w:tbl>
      <w:tblPr>
        <w:tblW w:w="101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386"/>
      </w:tblGrid>
      <w:tr w:rsidR="008A4A4F" w:rsidRPr="00A42F82" w14:paraId="1532BBB0" w14:textId="77777777" w:rsidTr="00CD616E">
        <w:trPr>
          <w:cantSplit/>
          <w:trHeight w:val="334"/>
        </w:trPr>
        <w:tc>
          <w:tcPr>
            <w:tcW w:w="559" w:type="dxa"/>
            <w:shd w:val="clear" w:color="auto" w:fill="F2F2F2" w:themeFill="background1" w:themeFillShade="F2"/>
            <w:vAlign w:val="center"/>
          </w:tcPr>
          <w:p w14:paraId="7AA39D12" w14:textId="77777777" w:rsidR="008A4A4F" w:rsidRPr="00A42F82" w:rsidRDefault="008A4A4F"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71CDBA17" w14:textId="77777777" w:rsidR="008A4A4F" w:rsidRPr="00A42F82" w:rsidRDefault="008A4A4F" w:rsidP="00A91894">
            <w:pPr>
              <w:rPr>
                <w:rFonts w:ascii="Arial" w:hAnsi="Arial" w:cs="Arial"/>
                <w:sz w:val="22"/>
                <w:szCs w:val="22"/>
              </w:rPr>
            </w:pPr>
            <w:r w:rsidRPr="00A42F82">
              <w:rPr>
                <w:rFonts w:ascii="Arial" w:hAnsi="Arial" w:cs="Arial"/>
                <w:sz w:val="22"/>
                <w:szCs w:val="22"/>
              </w:rPr>
              <w:t>Institute/Academic Discipline/Centre:</w:t>
            </w:r>
          </w:p>
        </w:tc>
        <w:tc>
          <w:tcPr>
            <w:tcW w:w="6386" w:type="dxa"/>
            <w:vAlign w:val="center"/>
          </w:tcPr>
          <w:p w14:paraId="7C68FC9D" w14:textId="77777777" w:rsidR="008A4A4F" w:rsidRPr="00A42F82" w:rsidRDefault="008A4A4F" w:rsidP="00A91894">
            <w:pPr>
              <w:rPr>
                <w:rFonts w:ascii="Arial" w:hAnsi="Arial" w:cs="Arial"/>
                <w:sz w:val="22"/>
                <w:szCs w:val="22"/>
              </w:rPr>
            </w:pPr>
          </w:p>
          <w:p w14:paraId="62B00167" w14:textId="77777777" w:rsidR="008A4A4F" w:rsidRPr="00A42F82" w:rsidRDefault="008A4A4F" w:rsidP="00A91894">
            <w:pPr>
              <w:rPr>
                <w:rFonts w:ascii="Arial" w:hAnsi="Arial" w:cs="Arial"/>
                <w:sz w:val="22"/>
                <w:szCs w:val="22"/>
              </w:rPr>
            </w:pPr>
            <w:proofErr w:type="spellStart"/>
            <w:r>
              <w:rPr>
                <w:rFonts w:ascii="Arial" w:hAnsi="Arial" w:cs="Arial"/>
                <w:sz w:val="22"/>
                <w:szCs w:val="22"/>
              </w:rPr>
              <w:t>llCL</w:t>
            </w:r>
            <w:proofErr w:type="spellEnd"/>
          </w:p>
        </w:tc>
      </w:tr>
      <w:tr w:rsidR="008A4A4F" w:rsidRPr="00A42F82" w14:paraId="54731759" w14:textId="77777777" w:rsidTr="00CD616E">
        <w:trPr>
          <w:cantSplit/>
          <w:trHeight w:val="340"/>
        </w:trPr>
        <w:tc>
          <w:tcPr>
            <w:tcW w:w="559" w:type="dxa"/>
            <w:shd w:val="clear" w:color="auto" w:fill="F2F2F2" w:themeFill="background1" w:themeFillShade="F2"/>
            <w:vAlign w:val="center"/>
          </w:tcPr>
          <w:p w14:paraId="56571EA9" w14:textId="77777777" w:rsidR="008A4A4F" w:rsidRPr="00A42F82" w:rsidRDefault="008A4A4F"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67401D6C" w14:textId="77777777" w:rsidR="008A4A4F" w:rsidRPr="00A42F82" w:rsidRDefault="008A4A4F" w:rsidP="00A91894">
            <w:pPr>
              <w:rPr>
                <w:rFonts w:ascii="Arial" w:hAnsi="Arial" w:cs="Arial"/>
                <w:sz w:val="22"/>
                <w:szCs w:val="22"/>
              </w:rPr>
            </w:pPr>
            <w:r w:rsidRPr="00A42F82">
              <w:rPr>
                <w:rFonts w:ascii="Arial" w:hAnsi="Arial" w:cs="Arial"/>
                <w:sz w:val="22"/>
                <w:szCs w:val="22"/>
              </w:rPr>
              <w:t>Campus:</w:t>
            </w:r>
          </w:p>
        </w:tc>
        <w:tc>
          <w:tcPr>
            <w:tcW w:w="6386" w:type="dxa"/>
            <w:vAlign w:val="center"/>
          </w:tcPr>
          <w:p w14:paraId="21B5A4E2" w14:textId="77777777" w:rsidR="008A4A4F" w:rsidRPr="00A42F82" w:rsidRDefault="008A4A4F" w:rsidP="00A91894">
            <w:pPr>
              <w:rPr>
                <w:rFonts w:ascii="Arial" w:hAnsi="Arial" w:cs="Arial"/>
                <w:sz w:val="22"/>
                <w:szCs w:val="22"/>
              </w:rPr>
            </w:pPr>
          </w:p>
          <w:p w14:paraId="5083341D" w14:textId="77777777" w:rsidR="008A4A4F" w:rsidRPr="00A42F82" w:rsidRDefault="008A4A4F" w:rsidP="00A91894">
            <w:pPr>
              <w:rPr>
                <w:rFonts w:ascii="Arial" w:hAnsi="Arial" w:cs="Arial"/>
                <w:sz w:val="22"/>
                <w:szCs w:val="22"/>
              </w:rPr>
            </w:pPr>
            <w:r>
              <w:rPr>
                <w:rFonts w:ascii="Arial" w:hAnsi="Arial" w:cs="Arial"/>
                <w:sz w:val="22"/>
                <w:szCs w:val="22"/>
              </w:rPr>
              <w:t>London</w:t>
            </w:r>
          </w:p>
        </w:tc>
      </w:tr>
      <w:tr w:rsidR="008A4A4F" w:rsidRPr="00A42F82" w14:paraId="52C791AA" w14:textId="77777777" w:rsidTr="00CD616E">
        <w:trPr>
          <w:cantSplit/>
          <w:trHeight w:val="340"/>
        </w:trPr>
        <w:tc>
          <w:tcPr>
            <w:tcW w:w="559" w:type="dxa"/>
            <w:shd w:val="clear" w:color="auto" w:fill="F2F2F2" w:themeFill="background1" w:themeFillShade="F2"/>
            <w:vAlign w:val="center"/>
          </w:tcPr>
          <w:p w14:paraId="5E5390DD" w14:textId="77777777" w:rsidR="008A4A4F" w:rsidRPr="00A42F82" w:rsidRDefault="008A4A4F"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46E95ED4" w14:textId="77777777" w:rsidR="008A4A4F" w:rsidRPr="00A42F82" w:rsidRDefault="008A4A4F" w:rsidP="00A91894">
            <w:pPr>
              <w:rPr>
                <w:rFonts w:ascii="Arial" w:hAnsi="Arial" w:cs="Arial"/>
                <w:sz w:val="22"/>
                <w:szCs w:val="22"/>
              </w:rPr>
            </w:pPr>
            <w:r w:rsidRPr="00A42F82">
              <w:rPr>
                <w:rFonts w:ascii="Arial" w:hAnsi="Arial" w:cs="Arial"/>
                <w:sz w:val="22"/>
                <w:szCs w:val="22"/>
              </w:rPr>
              <w:t>E-mail address:</w:t>
            </w:r>
          </w:p>
        </w:tc>
        <w:tc>
          <w:tcPr>
            <w:tcW w:w="6386" w:type="dxa"/>
            <w:vAlign w:val="center"/>
          </w:tcPr>
          <w:p w14:paraId="01E7BE1D" w14:textId="77777777" w:rsidR="008A4A4F" w:rsidRPr="00A42F82" w:rsidRDefault="008A4A4F" w:rsidP="00A91894">
            <w:pPr>
              <w:rPr>
                <w:rFonts w:ascii="Arial" w:hAnsi="Arial" w:cs="Arial"/>
                <w:sz w:val="22"/>
                <w:szCs w:val="22"/>
              </w:rPr>
            </w:pPr>
          </w:p>
          <w:p w14:paraId="327522DF" w14:textId="77777777" w:rsidR="008A4A4F" w:rsidRPr="00A42F82" w:rsidRDefault="008A4A4F" w:rsidP="00A91894">
            <w:pPr>
              <w:rPr>
                <w:rFonts w:ascii="Arial" w:hAnsi="Arial" w:cs="Arial"/>
                <w:sz w:val="22"/>
                <w:szCs w:val="22"/>
              </w:rPr>
            </w:pPr>
            <w:r>
              <w:rPr>
                <w:rFonts w:ascii="Arial" w:hAnsi="Arial" w:cs="Arial"/>
                <w:sz w:val="22"/>
                <w:szCs w:val="22"/>
              </w:rPr>
              <w:t>2247167@student.uwtsd.ac.uk</w:t>
            </w:r>
          </w:p>
        </w:tc>
      </w:tr>
      <w:tr w:rsidR="008A4A4F" w:rsidRPr="00A42F82" w14:paraId="17926393" w14:textId="77777777" w:rsidTr="00CD616E">
        <w:trPr>
          <w:cantSplit/>
          <w:trHeight w:val="340"/>
        </w:trPr>
        <w:tc>
          <w:tcPr>
            <w:tcW w:w="559" w:type="dxa"/>
            <w:shd w:val="clear" w:color="auto" w:fill="F2F2F2" w:themeFill="background1" w:themeFillShade="F2"/>
            <w:vAlign w:val="center"/>
          </w:tcPr>
          <w:p w14:paraId="4D2C10A2" w14:textId="77777777" w:rsidR="008A4A4F" w:rsidRPr="00A42F82" w:rsidRDefault="008A4A4F"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2E86E394" w14:textId="77777777" w:rsidR="008A4A4F" w:rsidRPr="00A42F82" w:rsidRDefault="008A4A4F" w:rsidP="00A91894">
            <w:pPr>
              <w:rPr>
                <w:rFonts w:ascii="Arial" w:hAnsi="Arial" w:cs="Arial"/>
                <w:sz w:val="22"/>
                <w:szCs w:val="22"/>
              </w:rPr>
            </w:pPr>
            <w:r w:rsidRPr="00A42F82">
              <w:rPr>
                <w:rFonts w:ascii="Arial" w:hAnsi="Arial" w:cs="Arial"/>
                <w:sz w:val="22"/>
                <w:szCs w:val="22"/>
              </w:rPr>
              <w:t>Contact Telephone Number:</w:t>
            </w:r>
          </w:p>
        </w:tc>
        <w:tc>
          <w:tcPr>
            <w:tcW w:w="6386" w:type="dxa"/>
            <w:vAlign w:val="center"/>
          </w:tcPr>
          <w:p w14:paraId="07D57E9C" w14:textId="77777777" w:rsidR="008A4A4F" w:rsidRPr="00A42F82" w:rsidRDefault="008A4A4F" w:rsidP="00A91894">
            <w:pPr>
              <w:rPr>
                <w:rFonts w:ascii="Arial" w:hAnsi="Arial" w:cs="Arial"/>
                <w:sz w:val="22"/>
                <w:szCs w:val="22"/>
              </w:rPr>
            </w:pPr>
          </w:p>
          <w:p w14:paraId="2466D1FC" w14:textId="77777777" w:rsidR="008A4A4F" w:rsidRPr="00A42F82" w:rsidRDefault="008A4A4F" w:rsidP="00A91894">
            <w:pPr>
              <w:rPr>
                <w:rFonts w:ascii="Arial" w:hAnsi="Arial" w:cs="Arial"/>
                <w:sz w:val="22"/>
                <w:szCs w:val="22"/>
              </w:rPr>
            </w:pPr>
            <w:r>
              <w:rPr>
                <w:rFonts w:ascii="Arial" w:hAnsi="Arial" w:cs="Arial"/>
                <w:sz w:val="22"/>
                <w:szCs w:val="22"/>
              </w:rPr>
              <w:t>07931534149</w:t>
            </w:r>
          </w:p>
        </w:tc>
      </w:tr>
      <w:tr w:rsidR="008A4A4F" w:rsidRPr="00A42F82" w14:paraId="4F55FE80" w14:textId="77777777" w:rsidTr="00CD616E">
        <w:tc>
          <w:tcPr>
            <w:tcW w:w="559" w:type="dxa"/>
            <w:shd w:val="clear" w:color="auto" w:fill="BFBFBF" w:themeFill="background1" w:themeFillShade="BF"/>
            <w:vAlign w:val="center"/>
          </w:tcPr>
          <w:p w14:paraId="6602CCA0" w14:textId="77777777" w:rsidR="008A4A4F" w:rsidRPr="00A42F82" w:rsidRDefault="008A4A4F" w:rsidP="00A91894">
            <w:pPr>
              <w:rPr>
                <w:rFonts w:ascii="Arial" w:hAnsi="Arial" w:cs="Arial"/>
                <w:b/>
                <w:i/>
                <w:sz w:val="22"/>
                <w:szCs w:val="22"/>
              </w:rPr>
            </w:pPr>
          </w:p>
        </w:tc>
        <w:tc>
          <w:tcPr>
            <w:tcW w:w="9639" w:type="dxa"/>
            <w:gridSpan w:val="2"/>
            <w:shd w:val="clear" w:color="auto" w:fill="BFBFBF" w:themeFill="background1" w:themeFillShade="BF"/>
            <w:vAlign w:val="center"/>
          </w:tcPr>
          <w:p w14:paraId="1471083E" w14:textId="77777777" w:rsidR="008A4A4F" w:rsidRPr="00A42F82" w:rsidRDefault="008A4A4F" w:rsidP="00A91894">
            <w:pPr>
              <w:rPr>
                <w:rFonts w:ascii="Arial" w:hAnsi="Arial" w:cs="Arial"/>
                <w:sz w:val="22"/>
                <w:szCs w:val="22"/>
              </w:rPr>
            </w:pPr>
            <w:r w:rsidRPr="00A42F82">
              <w:rPr>
                <w:rFonts w:ascii="Arial" w:hAnsi="Arial" w:cs="Arial"/>
                <w:b/>
                <w:i/>
                <w:sz w:val="22"/>
                <w:szCs w:val="22"/>
              </w:rPr>
              <w:t>For students:</w:t>
            </w:r>
          </w:p>
        </w:tc>
      </w:tr>
      <w:tr w:rsidR="008A4A4F" w:rsidRPr="00A42F82" w14:paraId="2C722E5D" w14:textId="77777777" w:rsidTr="00CD616E">
        <w:trPr>
          <w:trHeight w:val="513"/>
        </w:trPr>
        <w:tc>
          <w:tcPr>
            <w:tcW w:w="559" w:type="dxa"/>
            <w:shd w:val="clear" w:color="auto" w:fill="F2F2F2" w:themeFill="background1" w:themeFillShade="F2"/>
            <w:vAlign w:val="center"/>
          </w:tcPr>
          <w:p w14:paraId="31115562" w14:textId="77777777" w:rsidR="008A4A4F" w:rsidRPr="00A42F82" w:rsidRDefault="008A4A4F"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01056520" w14:textId="77777777" w:rsidR="008A4A4F" w:rsidRPr="00A42F82" w:rsidRDefault="008A4A4F" w:rsidP="00A91894">
            <w:pPr>
              <w:rPr>
                <w:rFonts w:ascii="Arial" w:hAnsi="Arial" w:cs="Arial"/>
                <w:sz w:val="22"/>
                <w:szCs w:val="22"/>
              </w:rPr>
            </w:pPr>
            <w:r w:rsidRPr="00A42F82">
              <w:rPr>
                <w:rFonts w:ascii="Arial" w:hAnsi="Arial" w:cs="Arial"/>
                <w:sz w:val="22"/>
                <w:szCs w:val="22"/>
              </w:rPr>
              <w:t>Student Number:</w:t>
            </w:r>
          </w:p>
        </w:tc>
        <w:tc>
          <w:tcPr>
            <w:tcW w:w="6386" w:type="dxa"/>
            <w:vAlign w:val="center"/>
          </w:tcPr>
          <w:p w14:paraId="47052BE8" w14:textId="77777777" w:rsidR="008A4A4F" w:rsidRPr="00A42F82" w:rsidRDefault="008A4A4F" w:rsidP="00A91894">
            <w:pPr>
              <w:rPr>
                <w:rFonts w:ascii="Arial" w:hAnsi="Arial" w:cs="Arial"/>
                <w:sz w:val="22"/>
                <w:szCs w:val="22"/>
              </w:rPr>
            </w:pPr>
            <w:r>
              <w:rPr>
                <w:rFonts w:ascii="Arial" w:hAnsi="Arial" w:cs="Arial"/>
                <w:sz w:val="22"/>
                <w:szCs w:val="22"/>
              </w:rPr>
              <w:t>2247167</w:t>
            </w:r>
          </w:p>
        </w:tc>
      </w:tr>
      <w:tr w:rsidR="008A4A4F" w:rsidRPr="00A42F82" w14:paraId="5A65E156" w14:textId="77777777" w:rsidTr="00CD616E">
        <w:trPr>
          <w:trHeight w:val="549"/>
        </w:trPr>
        <w:tc>
          <w:tcPr>
            <w:tcW w:w="559" w:type="dxa"/>
            <w:shd w:val="clear" w:color="auto" w:fill="F2F2F2" w:themeFill="background1" w:themeFillShade="F2"/>
            <w:vAlign w:val="center"/>
          </w:tcPr>
          <w:p w14:paraId="336964E0" w14:textId="77777777" w:rsidR="008A4A4F" w:rsidRPr="00A42F82" w:rsidRDefault="008A4A4F"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6D4FBCF7" w14:textId="77777777" w:rsidR="008A4A4F" w:rsidRPr="00A42F82" w:rsidRDefault="008A4A4F" w:rsidP="00A91894">
            <w:pPr>
              <w:rPr>
                <w:rFonts w:ascii="Arial" w:hAnsi="Arial" w:cs="Arial"/>
                <w:sz w:val="22"/>
                <w:szCs w:val="22"/>
              </w:rPr>
            </w:pPr>
            <w:r w:rsidRPr="00A42F82">
              <w:rPr>
                <w:rFonts w:ascii="Arial" w:hAnsi="Arial" w:cs="Arial"/>
                <w:sz w:val="22"/>
                <w:szCs w:val="22"/>
              </w:rPr>
              <w:t>Programme of Study:</w:t>
            </w:r>
          </w:p>
        </w:tc>
        <w:tc>
          <w:tcPr>
            <w:tcW w:w="6386" w:type="dxa"/>
            <w:vAlign w:val="center"/>
          </w:tcPr>
          <w:p w14:paraId="27113689" w14:textId="77777777" w:rsidR="008A4A4F" w:rsidRPr="00A42F82" w:rsidRDefault="008A4A4F" w:rsidP="00A91894">
            <w:pPr>
              <w:rPr>
                <w:rFonts w:ascii="Arial" w:hAnsi="Arial" w:cs="Arial"/>
                <w:sz w:val="22"/>
                <w:szCs w:val="22"/>
              </w:rPr>
            </w:pPr>
            <w:r w:rsidRPr="00F52A64">
              <w:rPr>
                <w:rFonts w:ascii="Arial" w:hAnsi="Arial" w:cs="Arial"/>
                <w:sz w:val="22"/>
                <w:szCs w:val="22"/>
              </w:rPr>
              <w:t>Ba (Hons) Leadership and Management Skills in the Workplace</w:t>
            </w:r>
          </w:p>
        </w:tc>
      </w:tr>
      <w:tr w:rsidR="008A4A4F" w:rsidRPr="00A42F82" w14:paraId="631DDFFB" w14:textId="77777777" w:rsidTr="00CD616E">
        <w:trPr>
          <w:trHeight w:val="557"/>
        </w:trPr>
        <w:tc>
          <w:tcPr>
            <w:tcW w:w="559" w:type="dxa"/>
            <w:shd w:val="clear" w:color="auto" w:fill="F2F2F2" w:themeFill="background1" w:themeFillShade="F2"/>
            <w:vAlign w:val="center"/>
          </w:tcPr>
          <w:p w14:paraId="11828998" w14:textId="77777777" w:rsidR="008A4A4F" w:rsidRPr="00A42F82" w:rsidRDefault="008A4A4F"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57E54E87" w14:textId="77777777" w:rsidR="008A4A4F" w:rsidRPr="00A42F82" w:rsidRDefault="008A4A4F" w:rsidP="00A91894">
            <w:pPr>
              <w:rPr>
                <w:rFonts w:ascii="Arial" w:hAnsi="Arial" w:cs="Arial"/>
                <w:sz w:val="22"/>
                <w:szCs w:val="22"/>
              </w:rPr>
            </w:pPr>
            <w:r w:rsidRPr="00A42F82">
              <w:rPr>
                <w:rFonts w:ascii="Arial" w:hAnsi="Arial" w:cs="Arial"/>
                <w:sz w:val="22"/>
                <w:szCs w:val="22"/>
              </w:rPr>
              <w:t>Director of Studies/Supervisor:</w:t>
            </w:r>
          </w:p>
        </w:tc>
        <w:tc>
          <w:tcPr>
            <w:tcW w:w="6386" w:type="dxa"/>
            <w:vAlign w:val="center"/>
          </w:tcPr>
          <w:p w14:paraId="130287BC" w14:textId="77777777" w:rsidR="008A4A4F" w:rsidRPr="00A42F82" w:rsidRDefault="008A4A4F" w:rsidP="00A91894">
            <w:pPr>
              <w:rPr>
                <w:rFonts w:ascii="Arial" w:hAnsi="Arial" w:cs="Arial"/>
                <w:sz w:val="22"/>
                <w:szCs w:val="22"/>
              </w:rPr>
            </w:pPr>
            <w:r>
              <w:rPr>
                <w:rFonts w:ascii="Arial" w:hAnsi="Arial" w:cs="Arial"/>
                <w:sz w:val="22"/>
                <w:szCs w:val="22"/>
              </w:rPr>
              <w:t>MD Kalam</w:t>
            </w:r>
          </w:p>
        </w:tc>
      </w:tr>
    </w:tbl>
    <w:p w14:paraId="0C26923A" w14:textId="77777777" w:rsidR="008A4A4F" w:rsidRPr="00A42F82" w:rsidRDefault="008A4A4F" w:rsidP="00A91894">
      <w:pPr>
        <w:rPr>
          <w:rFonts w:ascii="Arial" w:hAnsi="Arial" w:cs="Arial"/>
          <w:bCs/>
          <w:iCs/>
        </w:rPr>
      </w:pPr>
    </w:p>
    <w:p w14:paraId="3EC48014" w14:textId="77777777" w:rsidR="008A4A4F" w:rsidRPr="00A42F82" w:rsidRDefault="008A4A4F" w:rsidP="00A91894">
      <w:pPr>
        <w:autoSpaceDE w:val="0"/>
        <w:autoSpaceDN w:val="0"/>
        <w:adjustRightInd w:val="0"/>
        <w:jc w:val="both"/>
        <w:rPr>
          <w:rFonts w:ascii="Arial" w:hAnsi="Arial" w:cs="Arial"/>
          <w:b/>
          <w:sz w:val="22"/>
          <w:szCs w:val="22"/>
        </w:rPr>
      </w:pPr>
    </w:p>
    <w:p w14:paraId="13726446" w14:textId="77777777" w:rsidR="008A4A4F" w:rsidRPr="00A42F82" w:rsidRDefault="008A4A4F" w:rsidP="00A91894">
      <w:pPr>
        <w:rPr>
          <w:rFonts w:ascii="Arial" w:hAnsi="Arial" w:cs="Arial"/>
          <w:b/>
          <w:sz w:val="22"/>
          <w:szCs w:val="22"/>
        </w:rPr>
      </w:pPr>
    </w:p>
    <w:p w14:paraId="267D7F36" w14:textId="77777777" w:rsidR="008A4A4F" w:rsidRPr="00A42F82" w:rsidRDefault="008A4A4F"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201" w:type="dxa"/>
        <w:tblLayout w:type="fixed"/>
        <w:tblLook w:val="04A0" w:firstRow="1" w:lastRow="0" w:firstColumn="1" w:lastColumn="0" w:noHBand="0" w:noVBand="1"/>
      </w:tblPr>
      <w:tblGrid>
        <w:gridCol w:w="562"/>
        <w:gridCol w:w="3693"/>
        <w:gridCol w:w="2539"/>
        <w:gridCol w:w="993"/>
        <w:gridCol w:w="850"/>
        <w:gridCol w:w="992"/>
        <w:gridCol w:w="572"/>
      </w:tblGrid>
      <w:tr w:rsidR="008A4A4F" w:rsidRPr="00A42F82" w14:paraId="1C35C192" w14:textId="77777777" w:rsidTr="00CD616E">
        <w:tc>
          <w:tcPr>
            <w:tcW w:w="562" w:type="dxa"/>
            <w:shd w:val="clear" w:color="auto" w:fill="F2F2F2" w:themeFill="background1" w:themeFillShade="F2"/>
          </w:tcPr>
          <w:p w14:paraId="378613C8"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2DB1BF57"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170644B9"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687380F" w14:textId="77777777" w:rsidR="008A4A4F" w:rsidRPr="00A42F82" w:rsidRDefault="008A4A4F"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C7E82E5" w14:textId="77777777" w:rsidR="008A4A4F" w:rsidRPr="00A42F82" w:rsidRDefault="008A4A4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4C70772A" w14:textId="77777777" w:rsidR="008A4A4F" w:rsidRPr="00A42F82" w:rsidRDefault="008A4A4F"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572" w:type="dxa"/>
                <w:shd w:val="clear" w:color="auto" w:fill="BFBFBF" w:themeFill="background1" w:themeFillShade="BF"/>
                <w:vAlign w:val="center"/>
              </w:tcPr>
              <w:p w14:paraId="1198565C" w14:textId="77777777" w:rsidR="008A4A4F" w:rsidRPr="00A42F82" w:rsidRDefault="008A4A4F"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8A4A4F" w:rsidRPr="00A42F82" w14:paraId="740F4E62" w14:textId="77777777" w:rsidTr="00CD616E">
        <w:tc>
          <w:tcPr>
            <w:tcW w:w="562" w:type="dxa"/>
            <w:shd w:val="clear" w:color="auto" w:fill="F2F2F2" w:themeFill="background1" w:themeFillShade="F2"/>
          </w:tcPr>
          <w:p w14:paraId="554FAFB7" w14:textId="77777777" w:rsidR="008A4A4F" w:rsidRPr="00A42F82" w:rsidRDefault="008A4A4F"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D14E9BA" w14:textId="77777777" w:rsidR="008A4A4F" w:rsidRPr="00A42F82" w:rsidRDefault="008A4A4F" w:rsidP="00A91894">
            <w:pPr>
              <w:autoSpaceDE w:val="0"/>
              <w:autoSpaceDN w:val="0"/>
              <w:adjustRightInd w:val="0"/>
              <w:rPr>
                <w:rFonts w:ascii="Arial" w:hAnsi="Arial" w:cs="Arial"/>
                <w:b/>
                <w:bCs/>
                <w:sz w:val="22"/>
                <w:szCs w:val="22"/>
              </w:rPr>
            </w:pPr>
          </w:p>
        </w:tc>
        <w:tc>
          <w:tcPr>
            <w:tcW w:w="1564" w:type="dxa"/>
            <w:gridSpan w:val="2"/>
            <w:shd w:val="clear" w:color="auto" w:fill="F2F2F2" w:themeFill="background1" w:themeFillShade="F2"/>
          </w:tcPr>
          <w:p w14:paraId="56577423" w14:textId="77777777" w:rsidR="008A4A4F" w:rsidRPr="00A42F82" w:rsidRDefault="008A4A4F"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8A4A4F" w:rsidRPr="00A42F82" w14:paraId="6D93F6DF" w14:textId="77777777" w:rsidTr="00CD616E">
        <w:trPr>
          <w:trHeight w:val="437"/>
        </w:trPr>
        <w:tc>
          <w:tcPr>
            <w:tcW w:w="562" w:type="dxa"/>
            <w:vMerge w:val="restart"/>
            <w:shd w:val="clear" w:color="auto" w:fill="F2F2F2" w:themeFill="background1" w:themeFillShade="F2"/>
          </w:tcPr>
          <w:p w14:paraId="0A3F067B" w14:textId="77777777" w:rsidR="008A4A4F" w:rsidRPr="00A42F82" w:rsidRDefault="008A4A4F"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2EE86058" w14:textId="77777777" w:rsidR="008A4A4F" w:rsidRPr="00A42F82" w:rsidRDefault="008A4A4F"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3C4EAA2"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46A1A73"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564" w:type="dxa"/>
            <w:gridSpan w:val="2"/>
            <w:vAlign w:val="center"/>
          </w:tcPr>
          <w:p w14:paraId="05858034" w14:textId="77777777" w:rsidR="008A4A4F" w:rsidRPr="00A42F82" w:rsidRDefault="008A4A4F" w:rsidP="00A91894">
            <w:pPr>
              <w:autoSpaceDE w:val="0"/>
              <w:autoSpaceDN w:val="0"/>
              <w:adjustRightInd w:val="0"/>
              <w:jc w:val="center"/>
              <w:rPr>
                <w:rFonts w:ascii="Arial" w:hAnsi="Arial" w:cs="Arial"/>
                <w:b/>
                <w:bCs/>
                <w:sz w:val="22"/>
                <w:szCs w:val="22"/>
              </w:rPr>
            </w:pPr>
          </w:p>
        </w:tc>
      </w:tr>
      <w:tr w:rsidR="008A4A4F" w:rsidRPr="00A42F82" w14:paraId="25EFDEB8" w14:textId="77777777" w:rsidTr="00CD616E">
        <w:trPr>
          <w:trHeight w:val="415"/>
        </w:trPr>
        <w:tc>
          <w:tcPr>
            <w:tcW w:w="562" w:type="dxa"/>
            <w:vMerge/>
            <w:shd w:val="clear" w:color="auto" w:fill="F2F2F2" w:themeFill="background1" w:themeFillShade="F2"/>
          </w:tcPr>
          <w:p w14:paraId="6072BAC0" w14:textId="77777777" w:rsidR="008A4A4F" w:rsidRPr="00A42F82" w:rsidRDefault="008A4A4F"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C734DC3" w14:textId="77777777" w:rsidR="008A4A4F" w:rsidRPr="00A42F82" w:rsidRDefault="008A4A4F"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E7B0EE6"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1F77E53"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564" w:type="dxa"/>
            <w:gridSpan w:val="2"/>
            <w:vAlign w:val="center"/>
          </w:tcPr>
          <w:p w14:paraId="7EB5F7C9" w14:textId="77777777" w:rsidR="008A4A4F" w:rsidRPr="00A42F82" w:rsidRDefault="008A4A4F" w:rsidP="00A91894">
            <w:pPr>
              <w:autoSpaceDE w:val="0"/>
              <w:autoSpaceDN w:val="0"/>
              <w:adjustRightInd w:val="0"/>
              <w:jc w:val="center"/>
              <w:rPr>
                <w:rFonts w:ascii="Arial" w:hAnsi="Arial" w:cs="Arial"/>
                <w:b/>
                <w:bCs/>
                <w:sz w:val="22"/>
                <w:szCs w:val="22"/>
              </w:rPr>
            </w:pPr>
          </w:p>
        </w:tc>
      </w:tr>
      <w:tr w:rsidR="008A4A4F" w:rsidRPr="00A42F82" w14:paraId="5BC3F190" w14:textId="77777777" w:rsidTr="00CD616E">
        <w:tc>
          <w:tcPr>
            <w:tcW w:w="562" w:type="dxa"/>
            <w:vMerge/>
            <w:shd w:val="clear" w:color="auto" w:fill="F2F2F2" w:themeFill="background1" w:themeFillShade="F2"/>
          </w:tcPr>
          <w:p w14:paraId="7E4006B1" w14:textId="77777777" w:rsidR="008A4A4F" w:rsidRPr="00A42F82" w:rsidRDefault="008A4A4F"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794DA9EF" w14:textId="77777777" w:rsidR="008A4A4F" w:rsidRPr="00A42F82" w:rsidRDefault="008A4A4F"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37D3CEC"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6696F064" w14:textId="77777777" w:rsidR="008A4A4F" w:rsidRPr="00A42F82" w:rsidRDefault="008A4A4F"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791112E"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564" w:type="dxa"/>
            <w:gridSpan w:val="2"/>
            <w:vAlign w:val="center"/>
          </w:tcPr>
          <w:p w14:paraId="234CFE49" w14:textId="77777777" w:rsidR="008A4A4F" w:rsidRPr="00A42F82" w:rsidRDefault="008A4A4F" w:rsidP="00A91894">
            <w:pPr>
              <w:autoSpaceDE w:val="0"/>
              <w:autoSpaceDN w:val="0"/>
              <w:adjustRightInd w:val="0"/>
              <w:jc w:val="center"/>
              <w:rPr>
                <w:rFonts w:ascii="Arial" w:hAnsi="Arial" w:cs="Arial"/>
                <w:b/>
                <w:bCs/>
                <w:sz w:val="22"/>
                <w:szCs w:val="22"/>
              </w:rPr>
            </w:pPr>
            <w:r>
              <w:rPr>
                <w:rFonts w:ascii="Arial" w:hAnsi="Arial" w:cs="Arial"/>
                <w:b/>
                <w:bCs/>
                <w:sz w:val="22"/>
                <w:szCs w:val="22"/>
              </w:rPr>
              <w:t>20/02/26</w:t>
            </w:r>
          </w:p>
        </w:tc>
      </w:tr>
    </w:tbl>
    <w:p w14:paraId="07170040" w14:textId="77777777" w:rsidR="008A4A4F" w:rsidRPr="00A42F82" w:rsidRDefault="008A4A4F" w:rsidP="00A91894">
      <w:pPr>
        <w:autoSpaceDE w:val="0"/>
        <w:autoSpaceDN w:val="0"/>
        <w:adjustRightInd w:val="0"/>
        <w:spacing w:after="240"/>
        <w:jc w:val="both"/>
        <w:rPr>
          <w:rFonts w:ascii="Arial" w:hAnsi="Arial" w:cs="Arial"/>
          <w:bCs/>
          <w:iCs/>
        </w:rPr>
      </w:pPr>
    </w:p>
    <w:p w14:paraId="1871500C" w14:textId="77777777" w:rsidR="008A4A4F" w:rsidRPr="00A42F82" w:rsidRDefault="008A4A4F"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201" w:type="dxa"/>
        <w:tblLook w:val="04A0" w:firstRow="1" w:lastRow="0" w:firstColumn="1" w:lastColumn="0" w:noHBand="0" w:noVBand="1"/>
      </w:tblPr>
      <w:tblGrid>
        <w:gridCol w:w="562"/>
        <w:gridCol w:w="8784"/>
        <w:gridCol w:w="855"/>
      </w:tblGrid>
      <w:tr w:rsidR="008A4A4F" w:rsidRPr="00A42F82" w14:paraId="0C3D3FA2" w14:textId="77777777" w:rsidTr="00CD616E">
        <w:tc>
          <w:tcPr>
            <w:tcW w:w="562" w:type="dxa"/>
            <w:shd w:val="clear" w:color="auto" w:fill="F2F2F2" w:themeFill="background1" w:themeFillShade="F2"/>
          </w:tcPr>
          <w:p w14:paraId="4E18AA0F" w14:textId="77777777" w:rsidR="008A4A4F" w:rsidRPr="00A42F82" w:rsidRDefault="008A4A4F" w:rsidP="00A91894">
            <w:pPr>
              <w:autoSpaceDE w:val="0"/>
              <w:autoSpaceDN w:val="0"/>
              <w:adjustRightInd w:val="0"/>
              <w:rPr>
                <w:rFonts w:ascii="Arial" w:hAnsi="Arial" w:cs="Arial"/>
                <w:sz w:val="22"/>
                <w:szCs w:val="22"/>
              </w:rPr>
            </w:pPr>
          </w:p>
        </w:tc>
        <w:tc>
          <w:tcPr>
            <w:tcW w:w="9639" w:type="dxa"/>
            <w:gridSpan w:val="2"/>
            <w:shd w:val="clear" w:color="auto" w:fill="F2F2F2" w:themeFill="background1" w:themeFillShade="F2"/>
          </w:tcPr>
          <w:p w14:paraId="2340E927"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w:t>
            </w:r>
            <w:r w:rsidRPr="00A42F82">
              <w:rPr>
                <w:rFonts w:ascii="Arial" w:hAnsi="Arial" w:cs="Arial"/>
                <w:sz w:val="22"/>
                <w:szCs w:val="22"/>
              </w:rPr>
              <w:lastRenderedPageBreak/>
              <w:t>research ethics, and also any specific ethical guidance relating to the proposed methodology). Please tick to confirm that your research proposal adheres to these codes and guidelines. You may add rows to this table if needed.</w:t>
            </w:r>
          </w:p>
        </w:tc>
      </w:tr>
      <w:tr w:rsidR="008A4A4F" w:rsidRPr="00A42F82" w14:paraId="49A3AA34" w14:textId="77777777" w:rsidTr="00CD616E">
        <w:trPr>
          <w:trHeight w:val="355"/>
        </w:trPr>
        <w:tc>
          <w:tcPr>
            <w:tcW w:w="562" w:type="dxa"/>
            <w:vAlign w:val="center"/>
          </w:tcPr>
          <w:p w14:paraId="24BEE1C0"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8784" w:type="dxa"/>
            <w:vAlign w:val="center"/>
          </w:tcPr>
          <w:p w14:paraId="49E7498F" w14:textId="77777777" w:rsidR="008A4A4F" w:rsidRPr="00A42F82" w:rsidRDefault="008A4A4F" w:rsidP="00A91894">
            <w:pPr>
              <w:autoSpaceDE w:val="0"/>
              <w:autoSpaceDN w:val="0"/>
              <w:adjustRightInd w:val="0"/>
              <w:rPr>
                <w:rFonts w:ascii="Arial" w:hAnsi="Arial" w:cs="Arial"/>
                <w:b/>
                <w:bCs/>
                <w:sz w:val="22"/>
                <w:szCs w:val="22"/>
              </w:rPr>
            </w:pPr>
            <w:hyperlink r:id="rId12" w:history="1">
              <w:r w:rsidRPr="00A42F82">
                <w:rPr>
                  <w:rStyle w:val="Hyperlink"/>
                  <w:rFonts w:ascii="Arial" w:hAnsi="Arial" w:cs="Arial"/>
                  <w:b/>
                  <w:bCs/>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855" w:type="dxa"/>
                <w:shd w:val="clear" w:color="auto" w:fill="BFBFBF" w:themeFill="background1" w:themeFillShade="BF"/>
                <w:vAlign w:val="center"/>
              </w:tcPr>
              <w:p w14:paraId="48FDBF60"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8A4A4F" w:rsidRPr="00A42F82" w14:paraId="2E821BC3" w14:textId="77777777" w:rsidTr="00CD616E">
        <w:trPr>
          <w:trHeight w:val="417"/>
        </w:trPr>
        <w:tc>
          <w:tcPr>
            <w:tcW w:w="562" w:type="dxa"/>
            <w:vAlign w:val="center"/>
          </w:tcPr>
          <w:p w14:paraId="26C56F0C"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7F41F73F" w14:textId="77777777" w:rsidR="008A4A4F" w:rsidRPr="00A42F82" w:rsidRDefault="008A4A4F"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855"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20B72E90" w14:textId="77777777" w:rsidR="008A4A4F" w:rsidRPr="00A42F82" w:rsidRDefault="008A4A4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8A4A4F" w:rsidRPr="00A42F82" w14:paraId="4F214A36" w14:textId="77777777" w:rsidTr="00CD616E">
        <w:trPr>
          <w:trHeight w:val="409"/>
        </w:trPr>
        <w:tc>
          <w:tcPr>
            <w:tcW w:w="562" w:type="dxa"/>
            <w:vAlign w:val="center"/>
          </w:tcPr>
          <w:p w14:paraId="506FCC53"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6BFE66BD" w14:textId="77777777" w:rsidR="008A4A4F" w:rsidRPr="00A42F82" w:rsidRDefault="008A4A4F"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855"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9B851A8" w14:textId="77777777" w:rsidR="008A4A4F" w:rsidRPr="00A42F82" w:rsidRDefault="008A4A4F"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4B28CB97" w14:textId="77777777" w:rsidR="008A4A4F" w:rsidRPr="00A42F82" w:rsidRDefault="008A4A4F" w:rsidP="00A91894">
      <w:pPr>
        <w:autoSpaceDE w:val="0"/>
        <w:autoSpaceDN w:val="0"/>
        <w:adjustRightInd w:val="0"/>
        <w:spacing w:after="240"/>
        <w:jc w:val="both"/>
        <w:rPr>
          <w:rFonts w:ascii="Arial" w:hAnsi="Arial" w:cs="Arial"/>
          <w:b/>
          <w:sz w:val="22"/>
          <w:szCs w:val="22"/>
        </w:rPr>
      </w:pPr>
    </w:p>
    <w:p w14:paraId="77172EC0" w14:textId="77777777" w:rsidR="008A4A4F" w:rsidRPr="00A42F82" w:rsidRDefault="008A4A4F" w:rsidP="00A91894">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4F698638" w14:textId="77777777" w:rsidR="008A4A4F" w:rsidRPr="00A42F82" w:rsidRDefault="008A4A4F"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201" w:type="dxa"/>
        <w:tblLayout w:type="fixed"/>
        <w:tblLook w:val="04A0" w:firstRow="1" w:lastRow="0" w:firstColumn="1" w:lastColumn="0" w:noHBand="0" w:noVBand="1"/>
      </w:tblPr>
      <w:tblGrid>
        <w:gridCol w:w="562"/>
        <w:gridCol w:w="3823"/>
        <w:gridCol w:w="2409"/>
        <w:gridCol w:w="993"/>
        <w:gridCol w:w="850"/>
        <w:gridCol w:w="982"/>
        <w:gridCol w:w="10"/>
        <w:gridCol w:w="572"/>
      </w:tblGrid>
      <w:tr w:rsidR="008A4A4F" w:rsidRPr="00A42F82" w14:paraId="4B9CB414" w14:textId="77777777" w:rsidTr="00CD616E">
        <w:trPr>
          <w:trHeight w:val="227"/>
        </w:trPr>
        <w:tc>
          <w:tcPr>
            <w:tcW w:w="562" w:type="dxa"/>
            <w:shd w:val="clear" w:color="auto" w:fill="F2F2F2" w:themeFill="background1" w:themeFillShade="F2"/>
          </w:tcPr>
          <w:p w14:paraId="1E4EDF99"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52E4AE79" w14:textId="77777777" w:rsidR="008A4A4F" w:rsidRPr="00A42F82" w:rsidRDefault="008A4A4F"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5816" w:type="dxa"/>
            <w:gridSpan w:val="6"/>
          </w:tcPr>
          <w:p w14:paraId="2A063325" w14:textId="77777777" w:rsidR="008A4A4F" w:rsidRPr="00A42F82" w:rsidRDefault="008A4A4F" w:rsidP="00A91894">
            <w:pPr>
              <w:autoSpaceDE w:val="0"/>
              <w:autoSpaceDN w:val="0"/>
              <w:adjustRightInd w:val="0"/>
              <w:rPr>
                <w:rFonts w:ascii="Arial" w:hAnsi="Arial" w:cs="Arial"/>
                <w:bCs/>
                <w:sz w:val="22"/>
                <w:szCs w:val="22"/>
              </w:rPr>
            </w:pPr>
          </w:p>
          <w:p w14:paraId="4AE4EE74" w14:textId="77777777" w:rsidR="008A4A4F" w:rsidRPr="00A42F82" w:rsidRDefault="008A4A4F" w:rsidP="00A91894">
            <w:pPr>
              <w:autoSpaceDE w:val="0"/>
              <w:autoSpaceDN w:val="0"/>
              <w:adjustRightInd w:val="0"/>
              <w:rPr>
                <w:rFonts w:ascii="Arial" w:hAnsi="Arial" w:cs="Arial"/>
                <w:bCs/>
                <w:sz w:val="22"/>
                <w:szCs w:val="22"/>
              </w:rPr>
            </w:pPr>
          </w:p>
        </w:tc>
      </w:tr>
      <w:tr w:rsidR="008A4A4F" w:rsidRPr="00A42F82" w14:paraId="0EEA5FC2" w14:textId="77777777" w:rsidTr="00CD616E">
        <w:trPr>
          <w:trHeight w:val="227"/>
        </w:trPr>
        <w:tc>
          <w:tcPr>
            <w:tcW w:w="562" w:type="dxa"/>
            <w:shd w:val="clear" w:color="auto" w:fill="F2F2F2" w:themeFill="background1" w:themeFillShade="F2"/>
          </w:tcPr>
          <w:p w14:paraId="55B5383C"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243B2EE3" w14:textId="77777777" w:rsidR="008A4A4F" w:rsidRPr="00A42F82" w:rsidRDefault="008A4A4F"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5816" w:type="dxa"/>
            <w:gridSpan w:val="6"/>
          </w:tcPr>
          <w:p w14:paraId="0D82932F" w14:textId="77777777" w:rsidR="008A4A4F" w:rsidRPr="00A42F82" w:rsidRDefault="008A4A4F" w:rsidP="00A91894">
            <w:pPr>
              <w:autoSpaceDE w:val="0"/>
              <w:autoSpaceDN w:val="0"/>
              <w:adjustRightInd w:val="0"/>
              <w:rPr>
                <w:rFonts w:ascii="Arial" w:hAnsi="Arial" w:cs="Arial"/>
                <w:bCs/>
                <w:sz w:val="22"/>
                <w:szCs w:val="22"/>
              </w:rPr>
            </w:pPr>
          </w:p>
          <w:p w14:paraId="655527F2" w14:textId="77777777" w:rsidR="008A4A4F" w:rsidRPr="00A42F82" w:rsidRDefault="008A4A4F" w:rsidP="00A91894">
            <w:pPr>
              <w:autoSpaceDE w:val="0"/>
              <w:autoSpaceDN w:val="0"/>
              <w:adjustRightInd w:val="0"/>
              <w:rPr>
                <w:rFonts w:ascii="Arial" w:hAnsi="Arial" w:cs="Arial"/>
                <w:bCs/>
                <w:sz w:val="22"/>
                <w:szCs w:val="22"/>
              </w:rPr>
            </w:pPr>
          </w:p>
        </w:tc>
      </w:tr>
      <w:tr w:rsidR="008A4A4F" w:rsidRPr="00A42F82" w14:paraId="007F47F6" w14:textId="77777777" w:rsidTr="00CD616E">
        <w:trPr>
          <w:trHeight w:val="227"/>
        </w:trPr>
        <w:tc>
          <w:tcPr>
            <w:tcW w:w="562" w:type="dxa"/>
            <w:shd w:val="clear" w:color="auto" w:fill="F2F2F2" w:themeFill="background1" w:themeFillShade="F2"/>
          </w:tcPr>
          <w:p w14:paraId="50685E15"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4EEE25D8" w14:textId="77777777" w:rsidR="008A4A4F" w:rsidRPr="00A42F82" w:rsidRDefault="008A4A4F"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212E9D9F" w14:textId="77777777" w:rsidR="008A4A4F" w:rsidRPr="00A42F82" w:rsidRDefault="008A4A4F" w:rsidP="00A91894">
            <w:pPr>
              <w:autoSpaceDE w:val="0"/>
              <w:autoSpaceDN w:val="0"/>
              <w:adjustRightInd w:val="0"/>
              <w:jc w:val="both"/>
              <w:rPr>
                <w:rFonts w:ascii="Arial" w:hAnsi="Arial" w:cs="Arial"/>
                <w:sz w:val="22"/>
                <w:szCs w:val="22"/>
              </w:rPr>
            </w:pPr>
          </w:p>
        </w:tc>
        <w:tc>
          <w:tcPr>
            <w:tcW w:w="5816" w:type="dxa"/>
            <w:gridSpan w:val="6"/>
          </w:tcPr>
          <w:p w14:paraId="1461A18D" w14:textId="77777777" w:rsidR="008A4A4F" w:rsidRPr="00A42F82" w:rsidRDefault="008A4A4F" w:rsidP="00A91894">
            <w:pPr>
              <w:autoSpaceDE w:val="0"/>
              <w:autoSpaceDN w:val="0"/>
              <w:adjustRightInd w:val="0"/>
              <w:rPr>
                <w:rFonts w:ascii="Arial" w:hAnsi="Arial" w:cs="Arial"/>
                <w:bCs/>
                <w:sz w:val="22"/>
                <w:szCs w:val="22"/>
              </w:rPr>
            </w:pPr>
          </w:p>
        </w:tc>
      </w:tr>
      <w:tr w:rsidR="008A4A4F" w:rsidRPr="00A42F82" w14:paraId="45B6A62C" w14:textId="77777777" w:rsidTr="00CD616E">
        <w:tc>
          <w:tcPr>
            <w:tcW w:w="562" w:type="dxa"/>
            <w:shd w:val="clear" w:color="auto" w:fill="F2F2F2" w:themeFill="background1" w:themeFillShade="F2"/>
          </w:tcPr>
          <w:p w14:paraId="2DF86283"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2CE813A2"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5E45FD3D" w14:textId="77777777" w:rsidR="008A4A4F" w:rsidRPr="00A42F82" w:rsidRDefault="008A4A4F"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E10E504" w14:textId="77777777" w:rsidR="008A4A4F" w:rsidRPr="00A42F82" w:rsidRDefault="008A4A4F"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92E9023" w14:textId="77777777" w:rsidR="008A4A4F" w:rsidRPr="00A42F82" w:rsidRDefault="008A4A4F"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572"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7A5C65B4" w14:textId="77777777" w:rsidR="008A4A4F" w:rsidRPr="00A42F82" w:rsidRDefault="008A4A4F"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A4A4F" w:rsidRPr="00A42F82" w14:paraId="47F43969" w14:textId="77777777" w:rsidTr="00CD616E">
        <w:tc>
          <w:tcPr>
            <w:tcW w:w="562" w:type="dxa"/>
            <w:shd w:val="clear" w:color="auto" w:fill="F2F2F2" w:themeFill="background1" w:themeFillShade="F2"/>
          </w:tcPr>
          <w:p w14:paraId="0B11C286"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43604EAB"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60B6D49B" w14:textId="77777777" w:rsidR="008A4A4F" w:rsidRPr="00A42F82" w:rsidRDefault="008A4A4F"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1071A05" w14:textId="77777777" w:rsidR="008A4A4F" w:rsidRPr="00A42F82" w:rsidRDefault="008A4A4F"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87E183E" w14:textId="77777777" w:rsidR="008A4A4F" w:rsidRPr="00A42F82" w:rsidRDefault="008A4A4F"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572"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4874E7FA" w14:textId="77777777" w:rsidR="008A4A4F" w:rsidRPr="00A42F82" w:rsidRDefault="008A4A4F"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A4A4F" w:rsidRPr="00A42F82" w14:paraId="5185A092" w14:textId="77777777" w:rsidTr="00CD616E">
        <w:trPr>
          <w:trHeight w:val="386"/>
        </w:trPr>
        <w:tc>
          <w:tcPr>
            <w:tcW w:w="562" w:type="dxa"/>
            <w:shd w:val="clear" w:color="auto" w:fill="F2F2F2" w:themeFill="background1" w:themeFillShade="F2"/>
          </w:tcPr>
          <w:p w14:paraId="7F4B57F1"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0879C0D9"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41E807E5" w14:textId="77777777" w:rsidR="008A4A4F" w:rsidRPr="00A42F82" w:rsidRDefault="008A4A4F"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7D83A578" w14:textId="77777777" w:rsidR="008A4A4F" w:rsidRPr="00A42F82" w:rsidRDefault="008A4A4F"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3E6FDF29"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64D0F764" w14:textId="77777777" w:rsidR="008A4A4F" w:rsidRPr="00A42F82" w:rsidRDefault="008A4A4F"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582"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3FAFACD1" w14:textId="77777777" w:rsidR="008A4A4F" w:rsidRPr="00A42F82" w:rsidRDefault="008A4A4F"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A4A4F" w:rsidRPr="00A42F82" w14:paraId="64F47A19" w14:textId="77777777" w:rsidTr="00CD616E">
        <w:trPr>
          <w:trHeight w:val="386"/>
        </w:trPr>
        <w:tc>
          <w:tcPr>
            <w:tcW w:w="562" w:type="dxa"/>
            <w:shd w:val="clear" w:color="auto" w:fill="F2F2F2" w:themeFill="background1" w:themeFillShade="F2"/>
          </w:tcPr>
          <w:p w14:paraId="0E6DE84B"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29754443" w14:textId="77777777" w:rsidR="008A4A4F" w:rsidRPr="00A42F82" w:rsidRDefault="008A4A4F" w:rsidP="00A91894">
            <w:pPr>
              <w:autoSpaceDE w:val="0"/>
              <w:autoSpaceDN w:val="0"/>
              <w:adjustRightInd w:val="0"/>
              <w:rPr>
                <w:rFonts w:ascii="Arial" w:hAnsi="Arial" w:cs="Arial"/>
                <w:sz w:val="22"/>
                <w:szCs w:val="22"/>
              </w:rPr>
            </w:pPr>
          </w:p>
        </w:tc>
        <w:tc>
          <w:tcPr>
            <w:tcW w:w="2409" w:type="dxa"/>
          </w:tcPr>
          <w:p w14:paraId="12C88EF7" w14:textId="77777777" w:rsidR="008A4A4F" w:rsidRPr="00A42F82" w:rsidRDefault="008A4A4F"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33215E4A" w14:textId="77777777" w:rsidR="008A4A4F" w:rsidRPr="00A42F82" w:rsidRDefault="008A4A4F"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222B1E71"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6B3B9B8E" w14:textId="77777777" w:rsidR="008A4A4F" w:rsidRPr="00A42F82" w:rsidRDefault="008A4A4F"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582"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68CB93DD" w14:textId="77777777" w:rsidR="008A4A4F" w:rsidRPr="00A42F82" w:rsidRDefault="008A4A4F"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A4A4F" w:rsidRPr="00A42F82" w14:paraId="50C0BEC4" w14:textId="77777777" w:rsidTr="00CD616E">
        <w:tc>
          <w:tcPr>
            <w:tcW w:w="562" w:type="dxa"/>
            <w:shd w:val="clear" w:color="auto" w:fill="F2F2F2" w:themeFill="background1" w:themeFillShade="F2"/>
          </w:tcPr>
          <w:p w14:paraId="11FCF1BE"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2FD2C5A4"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3F4E039" w14:textId="77777777" w:rsidR="008A4A4F" w:rsidRPr="00A42F82" w:rsidRDefault="008A4A4F"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244AB4AA" w14:textId="77777777" w:rsidR="008A4A4F" w:rsidRPr="00A42F82" w:rsidRDefault="008A4A4F"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1019BF2" w14:textId="77777777" w:rsidR="008A4A4F" w:rsidRPr="00A42F82" w:rsidRDefault="008A4A4F"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5C889FA" w14:textId="77777777" w:rsidR="008A4A4F" w:rsidRPr="00A42F82" w:rsidRDefault="008A4A4F"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572"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49620759" w14:textId="77777777" w:rsidR="008A4A4F" w:rsidRPr="00A42F82" w:rsidRDefault="008A4A4F"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A4A4F" w:rsidRPr="00A42F82" w14:paraId="0663578E" w14:textId="77777777" w:rsidTr="00CD616E">
        <w:tc>
          <w:tcPr>
            <w:tcW w:w="562" w:type="dxa"/>
            <w:shd w:val="clear" w:color="auto" w:fill="F2F2F2" w:themeFill="background1" w:themeFillShade="F2"/>
          </w:tcPr>
          <w:p w14:paraId="0D635274"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365ED92C"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6FBE4D31" w14:textId="77777777" w:rsidR="008A4A4F" w:rsidRPr="00A42F82" w:rsidRDefault="008A4A4F"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72A43354" w14:textId="77777777" w:rsidR="008A4A4F" w:rsidRPr="00A42F82" w:rsidDel="008461DD" w:rsidRDefault="008A4A4F"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20521853" w14:textId="77777777" w:rsidR="008A4A4F" w:rsidRPr="00A42F82" w:rsidRDefault="008A4A4F"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87BF6E8" w14:textId="77777777" w:rsidR="008A4A4F" w:rsidRPr="00A42F82" w:rsidRDefault="008A4A4F"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6BBD217" w14:textId="77777777" w:rsidR="008A4A4F" w:rsidRPr="00A42F82" w:rsidRDefault="008A4A4F"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572"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E776B7C" w14:textId="77777777" w:rsidR="008A4A4F" w:rsidRPr="00A42F82" w:rsidRDefault="008A4A4F"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2C229E75" w14:textId="77777777" w:rsidR="008A4A4F" w:rsidRPr="00A42F82" w:rsidRDefault="008A4A4F" w:rsidP="00A91894">
      <w:pPr>
        <w:rPr>
          <w:rFonts w:ascii="Arial" w:hAnsi="Arial" w:cs="Arial"/>
          <w:bCs/>
          <w:iCs/>
          <w:sz w:val="16"/>
          <w:szCs w:val="16"/>
        </w:rPr>
      </w:pPr>
    </w:p>
    <w:p w14:paraId="4725A700" w14:textId="77777777" w:rsidR="008A4A4F" w:rsidRPr="00A42F82" w:rsidRDefault="008A4A4F" w:rsidP="00A91894">
      <w:pPr>
        <w:rPr>
          <w:rFonts w:ascii="Arial" w:hAnsi="Arial" w:cs="Arial"/>
          <w:b/>
          <w:bCs/>
          <w:iCs/>
          <w:sz w:val="22"/>
          <w:szCs w:val="22"/>
        </w:rPr>
      </w:pPr>
    </w:p>
    <w:p w14:paraId="0A848332" w14:textId="77777777" w:rsidR="008A4A4F" w:rsidRPr="00A42F82" w:rsidRDefault="008A4A4F"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206" w:type="dxa"/>
        <w:tblInd w:w="-5" w:type="dxa"/>
        <w:tblLayout w:type="fixed"/>
        <w:tblLook w:val="04A0" w:firstRow="1" w:lastRow="0" w:firstColumn="1" w:lastColumn="0" w:noHBand="0" w:noVBand="1"/>
      </w:tblPr>
      <w:tblGrid>
        <w:gridCol w:w="567"/>
        <w:gridCol w:w="6237"/>
        <w:gridCol w:w="993"/>
        <w:gridCol w:w="895"/>
        <w:gridCol w:w="947"/>
        <w:gridCol w:w="567"/>
      </w:tblGrid>
      <w:tr w:rsidR="008A4A4F" w:rsidRPr="00A42F82" w14:paraId="02F48FBD" w14:textId="77777777" w:rsidTr="00CD616E">
        <w:trPr>
          <w:trHeight w:val="507"/>
        </w:trPr>
        <w:tc>
          <w:tcPr>
            <w:tcW w:w="567" w:type="dxa"/>
            <w:shd w:val="clear" w:color="auto" w:fill="F2F2F2" w:themeFill="background1" w:themeFillShade="F2"/>
            <w:vAlign w:val="center"/>
          </w:tcPr>
          <w:p w14:paraId="18A9C0A0" w14:textId="77777777" w:rsidR="008A4A4F" w:rsidRPr="00A42F82" w:rsidRDefault="008A4A4F" w:rsidP="00A91894">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434F7B17" w14:textId="77777777" w:rsidR="008A4A4F" w:rsidRPr="00A42F82" w:rsidRDefault="008A4A4F"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B31E756" w14:textId="77777777" w:rsidR="008A4A4F" w:rsidRPr="00A42F82" w:rsidRDefault="008A4A4F"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2484C11C" w14:textId="77777777" w:rsidR="008A4A4F" w:rsidRPr="00A42F82" w:rsidRDefault="008A4A4F"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13F1141C" w14:textId="77777777" w:rsidR="008A4A4F" w:rsidRPr="00A42F82" w:rsidRDefault="008A4A4F"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567"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229D2DD9" w14:textId="77777777" w:rsidR="008A4A4F" w:rsidRPr="00A42F82" w:rsidRDefault="008A4A4F"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8A4A4F" w:rsidRPr="00A42F82" w14:paraId="4382686E" w14:textId="77777777" w:rsidTr="00CD616E">
        <w:tc>
          <w:tcPr>
            <w:tcW w:w="567" w:type="dxa"/>
          </w:tcPr>
          <w:p w14:paraId="7B3AF815" w14:textId="77777777" w:rsidR="008A4A4F" w:rsidRPr="00A42F82" w:rsidRDefault="008A4A4F" w:rsidP="00A91894">
            <w:pPr>
              <w:autoSpaceDE w:val="0"/>
              <w:autoSpaceDN w:val="0"/>
              <w:adjustRightInd w:val="0"/>
              <w:rPr>
                <w:rFonts w:ascii="Arial" w:hAnsi="Arial" w:cs="Arial"/>
                <w:bCs/>
                <w:sz w:val="22"/>
                <w:szCs w:val="22"/>
              </w:rPr>
            </w:pPr>
          </w:p>
        </w:tc>
        <w:tc>
          <w:tcPr>
            <w:tcW w:w="9639" w:type="dxa"/>
            <w:gridSpan w:val="5"/>
          </w:tcPr>
          <w:p w14:paraId="204C4734" w14:textId="77777777" w:rsidR="008A4A4F" w:rsidRPr="00A42F82" w:rsidRDefault="008A4A4F" w:rsidP="00A91894">
            <w:pPr>
              <w:autoSpaceDE w:val="0"/>
              <w:autoSpaceDN w:val="0"/>
              <w:adjustRightInd w:val="0"/>
              <w:rPr>
                <w:rFonts w:ascii="Arial" w:hAnsi="Arial" w:cs="Arial"/>
                <w:bCs/>
                <w:sz w:val="22"/>
                <w:szCs w:val="22"/>
              </w:rPr>
            </w:pPr>
          </w:p>
          <w:p w14:paraId="29544CF7" w14:textId="77777777" w:rsidR="008A4A4F" w:rsidRPr="00A42F82" w:rsidRDefault="008A4A4F"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2219669D" w14:textId="77777777" w:rsidR="008A4A4F" w:rsidRPr="00A42F82" w:rsidRDefault="008A4A4F" w:rsidP="00A91894">
            <w:pPr>
              <w:autoSpaceDE w:val="0"/>
              <w:autoSpaceDN w:val="0"/>
              <w:adjustRightInd w:val="0"/>
              <w:rPr>
                <w:rFonts w:ascii="Arial" w:hAnsi="Arial" w:cs="Arial"/>
                <w:b/>
                <w:bCs/>
                <w:sz w:val="22"/>
                <w:szCs w:val="22"/>
              </w:rPr>
            </w:pPr>
          </w:p>
        </w:tc>
      </w:tr>
    </w:tbl>
    <w:p w14:paraId="7CED242A" w14:textId="77777777" w:rsidR="008A4A4F" w:rsidRPr="00A42F82" w:rsidRDefault="008A4A4F" w:rsidP="00A91894">
      <w:pPr>
        <w:autoSpaceDE w:val="0"/>
        <w:autoSpaceDN w:val="0"/>
        <w:adjustRightInd w:val="0"/>
        <w:spacing w:after="240"/>
        <w:jc w:val="both"/>
        <w:rPr>
          <w:rFonts w:ascii="Arial" w:hAnsi="Arial" w:cs="Arial"/>
          <w:b/>
          <w:sz w:val="22"/>
          <w:szCs w:val="22"/>
        </w:rPr>
      </w:pPr>
    </w:p>
    <w:p w14:paraId="30916827" w14:textId="77777777" w:rsidR="008A4A4F" w:rsidRPr="00A42F82" w:rsidRDefault="008A4A4F"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663"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5"/>
        <w:gridCol w:w="2296"/>
        <w:gridCol w:w="2324"/>
        <w:gridCol w:w="2324"/>
        <w:gridCol w:w="2733"/>
      </w:tblGrid>
      <w:tr w:rsidR="008A4A4F" w:rsidRPr="00A42F82" w14:paraId="433725C3" w14:textId="77777777" w:rsidTr="007C4B1E">
        <w:trPr>
          <w:trHeight w:val="454"/>
        </w:trPr>
        <w:tc>
          <w:tcPr>
            <w:tcW w:w="26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55749C" w14:textId="77777777" w:rsidR="008A4A4F" w:rsidRPr="00A42F82" w:rsidRDefault="008A4A4F" w:rsidP="00A91894">
            <w:pPr>
              <w:rPr>
                <w:rFonts w:ascii="Arial" w:hAnsi="Arial" w:cs="Arial"/>
                <w:sz w:val="22"/>
                <w:szCs w:val="22"/>
              </w:rPr>
            </w:pPr>
            <w:r w:rsidRPr="00A42F82">
              <w:rPr>
                <w:rFonts w:ascii="Arial" w:hAnsi="Arial" w:cs="Arial"/>
                <w:sz w:val="22"/>
                <w:szCs w:val="22"/>
              </w:rPr>
              <w:t>1</w:t>
            </w:r>
          </w:p>
        </w:tc>
        <w:tc>
          <w:tcPr>
            <w:tcW w:w="112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6779B6" w14:textId="77777777" w:rsidR="008A4A4F" w:rsidRPr="00A42F82" w:rsidRDefault="008A4A4F" w:rsidP="00A91894">
            <w:pPr>
              <w:rPr>
                <w:rFonts w:ascii="Arial" w:hAnsi="Arial" w:cs="Arial"/>
                <w:sz w:val="22"/>
                <w:szCs w:val="22"/>
              </w:rPr>
            </w:pPr>
            <w:r w:rsidRPr="00A42F82">
              <w:rPr>
                <w:rFonts w:ascii="Arial" w:hAnsi="Arial" w:cs="Arial"/>
                <w:sz w:val="22"/>
                <w:szCs w:val="22"/>
              </w:rPr>
              <w:t>Indicative title:</w:t>
            </w:r>
          </w:p>
        </w:tc>
        <w:tc>
          <w:tcPr>
            <w:tcW w:w="3613" w:type="pct"/>
            <w:gridSpan w:val="3"/>
            <w:tcBorders>
              <w:top w:val="single" w:sz="4" w:space="0" w:color="auto"/>
              <w:left w:val="single" w:sz="4" w:space="0" w:color="auto"/>
              <w:bottom w:val="single" w:sz="4" w:space="0" w:color="auto"/>
              <w:right w:val="single" w:sz="4" w:space="0" w:color="auto"/>
            </w:tcBorders>
            <w:vAlign w:val="center"/>
          </w:tcPr>
          <w:p w14:paraId="7EB50A50" w14:textId="77777777" w:rsidR="008A4A4F" w:rsidRDefault="008A4A4F" w:rsidP="00A91894">
            <w:pPr>
              <w:rPr>
                <w:rFonts w:ascii="Arial" w:hAnsi="Arial" w:cs="Arial"/>
                <w:sz w:val="22"/>
                <w:szCs w:val="22"/>
              </w:rPr>
            </w:pPr>
            <w:r>
              <w:rPr>
                <w:rFonts w:ascii="Arial" w:hAnsi="Arial" w:cs="Arial"/>
                <w:sz w:val="22"/>
                <w:szCs w:val="22"/>
              </w:rPr>
              <w:t>Building Supply Chain Resilience in the UK following Recent Global</w:t>
            </w:r>
          </w:p>
          <w:p w14:paraId="02599F0B" w14:textId="77777777" w:rsidR="008A4A4F" w:rsidRPr="00A42F82" w:rsidRDefault="008A4A4F" w:rsidP="00A91894">
            <w:pPr>
              <w:rPr>
                <w:rFonts w:ascii="Arial" w:hAnsi="Arial" w:cs="Arial"/>
                <w:sz w:val="22"/>
                <w:szCs w:val="22"/>
              </w:rPr>
            </w:pPr>
            <w:r>
              <w:rPr>
                <w:rFonts w:ascii="Arial" w:hAnsi="Arial" w:cs="Arial"/>
                <w:sz w:val="22"/>
                <w:szCs w:val="22"/>
              </w:rPr>
              <w:t>Disruptions: A Case Study of the Fresh Produce Sector</w:t>
            </w:r>
          </w:p>
        </w:tc>
      </w:tr>
      <w:tr w:rsidR="008A4A4F" w:rsidRPr="00A42F82" w14:paraId="4B29393D" w14:textId="77777777" w:rsidTr="007C4B1E">
        <w:trPr>
          <w:trHeight w:val="454"/>
        </w:trPr>
        <w:tc>
          <w:tcPr>
            <w:tcW w:w="26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B08F99" w14:textId="77777777" w:rsidR="008A4A4F" w:rsidRPr="00A42F82" w:rsidRDefault="008A4A4F" w:rsidP="00A91894">
            <w:pPr>
              <w:rPr>
                <w:rFonts w:ascii="Arial" w:hAnsi="Arial" w:cs="Arial"/>
                <w:sz w:val="22"/>
                <w:szCs w:val="22"/>
              </w:rPr>
            </w:pPr>
            <w:r w:rsidRPr="00A42F82">
              <w:rPr>
                <w:rFonts w:ascii="Arial" w:hAnsi="Arial" w:cs="Arial"/>
                <w:sz w:val="22"/>
                <w:szCs w:val="22"/>
              </w:rPr>
              <w:t>2</w:t>
            </w:r>
          </w:p>
        </w:tc>
        <w:tc>
          <w:tcPr>
            <w:tcW w:w="112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819E52" w14:textId="77777777" w:rsidR="008A4A4F" w:rsidRPr="00A42F82" w:rsidRDefault="008A4A4F" w:rsidP="00A91894">
            <w:pPr>
              <w:rPr>
                <w:rFonts w:ascii="Arial" w:hAnsi="Arial" w:cs="Arial"/>
                <w:sz w:val="22"/>
                <w:szCs w:val="22"/>
              </w:rPr>
            </w:pPr>
            <w:r w:rsidRPr="00A42F82">
              <w:rPr>
                <w:rFonts w:ascii="Arial" w:hAnsi="Arial" w:cs="Arial"/>
                <w:sz w:val="22"/>
                <w:szCs w:val="22"/>
              </w:rPr>
              <w:t>Proposed start date:</w:t>
            </w:r>
          </w:p>
        </w:tc>
        <w:tc>
          <w:tcPr>
            <w:tcW w:w="1138" w:type="pct"/>
            <w:tcBorders>
              <w:top w:val="single" w:sz="4" w:space="0" w:color="auto"/>
              <w:left w:val="single" w:sz="4" w:space="0" w:color="auto"/>
              <w:bottom w:val="single" w:sz="4" w:space="0" w:color="auto"/>
              <w:right w:val="single" w:sz="4" w:space="0" w:color="auto"/>
            </w:tcBorders>
            <w:vAlign w:val="center"/>
          </w:tcPr>
          <w:p w14:paraId="74A3A367" w14:textId="77777777" w:rsidR="008A4A4F" w:rsidRPr="00A42F82" w:rsidRDefault="008A4A4F" w:rsidP="00A91894">
            <w:pPr>
              <w:rPr>
                <w:rFonts w:ascii="Arial" w:hAnsi="Arial" w:cs="Arial"/>
                <w:sz w:val="22"/>
                <w:szCs w:val="22"/>
              </w:rPr>
            </w:pPr>
            <w:r>
              <w:rPr>
                <w:rFonts w:ascii="Arial" w:hAnsi="Arial" w:cs="Arial"/>
                <w:sz w:val="22"/>
                <w:szCs w:val="22"/>
              </w:rPr>
              <w:t>12/02/2026</w:t>
            </w:r>
          </w:p>
        </w:tc>
        <w:tc>
          <w:tcPr>
            <w:tcW w:w="113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C08AAC" w14:textId="77777777" w:rsidR="008A4A4F" w:rsidRPr="00A42F82" w:rsidRDefault="008A4A4F" w:rsidP="00A91894">
            <w:pPr>
              <w:rPr>
                <w:rFonts w:ascii="Arial" w:hAnsi="Arial" w:cs="Arial"/>
                <w:sz w:val="22"/>
                <w:szCs w:val="22"/>
              </w:rPr>
            </w:pPr>
            <w:r w:rsidRPr="00A42F82">
              <w:rPr>
                <w:rFonts w:ascii="Arial" w:hAnsi="Arial" w:cs="Arial"/>
                <w:sz w:val="22"/>
                <w:szCs w:val="22"/>
              </w:rPr>
              <w:t>Proposed end date:</w:t>
            </w:r>
          </w:p>
        </w:tc>
        <w:tc>
          <w:tcPr>
            <w:tcW w:w="1336" w:type="pct"/>
            <w:tcBorders>
              <w:top w:val="single" w:sz="4" w:space="0" w:color="auto"/>
              <w:left w:val="single" w:sz="4" w:space="0" w:color="auto"/>
              <w:bottom w:val="single" w:sz="4" w:space="0" w:color="auto"/>
              <w:right w:val="single" w:sz="4" w:space="0" w:color="auto"/>
            </w:tcBorders>
            <w:vAlign w:val="center"/>
          </w:tcPr>
          <w:p w14:paraId="2994C3D3" w14:textId="77777777" w:rsidR="008A4A4F" w:rsidRPr="00A42F82" w:rsidRDefault="008A4A4F" w:rsidP="00A91894">
            <w:pPr>
              <w:rPr>
                <w:rFonts w:ascii="Arial" w:hAnsi="Arial" w:cs="Arial"/>
                <w:sz w:val="22"/>
                <w:szCs w:val="22"/>
              </w:rPr>
            </w:pPr>
            <w:r>
              <w:rPr>
                <w:rFonts w:ascii="Arial" w:hAnsi="Arial" w:cs="Arial"/>
                <w:sz w:val="22"/>
                <w:szCs w:val="22"/>
              </w:rPr>
              <w:t>23/04/2026</w:t>
            </w:r>
          </w:p>
        </w:tc>
      </w:tr>
      <w:tr w:rsidR="008A4A4F" w:rsidRPr="00A42F82" w14:paraId="183C838A" w14:textId="77777777" w:rsidTr="007C4B1E">
        <w:trPr>
          <w:trHeight w:val="454"/>
        </w:trPr>
        <w:tc>
          <w:tcPr>
            <w:tcW w:w="262" w:type="pct"/>
            <w:tcBorders>
              <w:top w:val="single" w:sz="4" w:space="0" w:color="auto"/>
            </w:tcBorders>
            <w:shd w:val="clear" w:color="auto" w:fill="F2F2F2" w:themeFill="background1" w:themeFillShade="F2"/>
            <w:vAlign w:val="center"/>
          </w:tcPr>
          <w:p w14:paraId="0785ACDC" w14:textId="77777777" w:rsidR="008A4A4F" w:rsidRPr="00A42F82" w:rsidRDefault="008A4A4F" w:rsidP="00A91894">
            <w:pPr>
              <w:spacing w:before="120" w:after="120"/>
              <w:rPr>
                <w:rFonts w:ascii="Arial" w:hAnsi="Arial" w:cs="Arial"/>
                <w:sz w:val="22"/>
                <w:szCs w:val="22"/>
              </w:rPr>
            </w:pPr>
          </w:p>
        </w:tc>
        <w:tc>
          <w:tcPr>
            <w:tcW w:w="4738" w:type="pct"/>
            <w:gridSpan w:val="4"/>
            <w:tcBorders>
              <w:top w:val="single" w:sz="4" w:space="0" w:color="auto"/>
            </w:tcBorders>
            <w:shd w:val="clear" w:color="auto" w:fill="F2F2F2" w:themeFill="background1" w:themeFillShade="F2"/>
            <w:vAlign w:val="center"/>
          </w:tcPr>
          <w:p w14:paraId="2E452347" w14:textId="77777777" w:rsidR="008A4A4F" w:rsidRPr="00A42F82" w:rsidRDefault="008A4A4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2D672CD7" w14:textId="77777777" w:rsidR="008A4A4F" w:rsidRPr="00A42F82" w:rsidRDefault="008A4A4F" w:rsidP="00A91894">
            <w:pPr>
              <w:spacing w:before="120" w:after="120"/>
              <w:rPr>
                <w:rFonts w:ascii="Arial" w:hAnsi="Arial" w:cs="Arial"/>
                <w:b/>
                <w:sz w:val="22"/>
                <w:szCs w:val="22"/>
              </w:rPr>
            </w:pPr>
            <w:r w:rsidRPr="00A42F82">
              <w:rPr>
                <w:rFonts w:ascii="Arial" w:hAnsi="Arial" w:cs="Arial"/>
                <w:b/>
                <w:sz w:val="22"/>
                <w:szCs w:val="22"/>
              </w:rPr>
              <w:lastRenderedPageBreak/>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6A3009F9" w14:textId="77777777" w:rsidR="008A4A4F" w:rsidRPr="00A42F82" w:rsidRDefault="008A4A4F" w:rsidP="008A4A4F">
            <w:pPr>
              <w:pStyle w:val="ListParagraph"/>
              <w:numPr>
                <w:ilvl w:val="0"/>
                <w:numId w:val="34"/>
              </w:numPr>
              <w:ind w:left="0"/>
              <w:rPr>
                <w:rFonts w:ascii="Arial" w:hAnsi="Arial" w:cs="Arial"/>
                <w:i/>
              </w:rPr>
            </w:pPr>
            <w:r w:rsidRPr="00A42F82">
              <w:rPr>
                <w:rFonts w:ascii="Arial" w:hAnsi="Arial" w:cs="Arial"/>
                <w:i/>
              </w:rPr>
              <w:t>Purpose of Research Activity</w:t>
            </w:r>
          </w:p>
          <w:p w14:paraId="4FFB7571" w14:textId="77777777" w:rsidR="008A4A4F" w:rsidRPr="00A42F82" w:rsidRDefault="008A4A4F" w:rsidP="008A4A4F">
            <w:pPr>
              <w:pStyle w:val="ListParagraph"/>
              <w:numPr>
                <w:ilvl w:val="0"/>
                <w:numId w:val="34"/>
              </w:numPr>
              <w:ind w:left="0"/>
              <w:rPr>
                <w:rFonts w:ascii="Arial" w:hAnsi="Arial" w:cs="Arial"/>
                <w:i/>
              </w:rPr>
            </w:pPr>
            <w:r w:rsidRPr="00A42F82">
              <w:rPr>
                <w:rFonts w:ascii="Arial" w:hAnsi="Arial" w:cs="Arial"/>
                <w:i/>
              </w:rPr>
              <w:t>Proposed Research Question</w:t>
            </w:r>
          </w:p>
          <w:p w14:paraId="7CD53DAC" w14:textId="77777777" w:rsidR="008A4A4F" w:rsidRPr="00A42F82" w:rsidRDefault="008A4A4F" w:rsidP="008A4A4F">
            <w:pPr>
              <w:pStyle w:val="ListParagraph"/>
              <w:numPr>
                <w:ilvl w:val="0"/>
                <w:numId w:val="34"/>
              </w:numPr>
              <w:ind w:left="0"/>
              <w:rPr>
                <w:rFonts w:ascii="Arial" w:hAnsi="Arial" w:cs="Arial"/>
                <w:i/>
              </w:rPr>
            </w:pPr>
            <w:r w:rsidRPr="00A42F82">
              <w:rPr>
                <w:rFonts w:ascii="Arial" w:hAnsi="Arial" w:cs="Arial"/>
                <w:i/>
              </w:rPr>
              <w:t>Aims of Research Activity</w:t>
            </w:r>
          </w:p>
          <w:p w14:paraId="1BABF695" w14:textId="77777777" w:rsidR="008A4A4F" w:rsidRPr="00A42F82" w:rsidRDefault="008A4A4F" w:rsidP="008A4A4F">
            <w:pPr>
              <w:pStyle w:val="ListParagraph"/>
              <w:numPr>
                <w:ilvl w:val="0"/>
                <w:numId w:val="34"/>
              </w:numPr>
              <w:spacing w:after="240"/>
              <w:ind w:left="0" w:hanging="357"/>
              <w:rPr>
                <w:rFonts w:ascii="Arial" w:hAnsi="Arial" w:cs="Arial"/>
                <w:i/>
              </w:rPr>
            </w:pPr>
            <w:r w:rsidRPr="00A42F82">
              <w:rPr>
                <w:rFonts w:ascii="Arial" w:hAnsi="Arial" w:cs="Arial"/>
                <w:i/>
              </w:rPr>
              <w:t>Objectives of Research Activity</w:t>
            </w:r>
          </w:p>
          <w:p w14:paraId="2F1F78CA" w14:textId="77777777" w:rsidR="008A4A4F" w:rsidRPr="00A42F82" w:rsidRDefault="008A4A4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5699BDF" w14:textId="77777777" w:rsidR="008A4A4F" w:rsidRPr="00A42F82" w:rsidRDefault="008A4A4F" w:rsidP="008A4A4F">
            <w:pPr>
              <w:pStyle w:val="ListParagraph"/>
              <w:numPr>
                <w:ilvl w:val="0"/>
                <w:numId w:val="34"/>
              </w:numPr>
              <w:ind w:left="0"/>
              <w:rPr>
                <w:rFonts w:ascii="Arial" w:hAnsi="Arial" w:cs="Arial"/>
                <w:i/>
              </w:rPr>
            </w:pPr>
            <w:r w:rsidRPr="00A42F82">
              <w:rPr>
                <w:rFonts w:ascii="Arial" w:hAnsi="Arial" w:cs="Arial"/>
                <w:i/>
              </w:rPr>
              <w:t xml:space="preserve">What the research activity will add to the body of knowledge </w:t>
            </w:r>
          </w:p>
          <w:p w14:paraId="1F8DA696" w14:textId="77777777" w:rsidR="008A4A4F" w:rsidRPr="00A42F82" w:rsidRDefault="008A4A4F" w:rsidP="008A4A4F">
            <w:pPr>
              <w:pStyle w:val="ListParagraph"/>
              <w:numPr>
                <w:ilvl w:val="0"/>
                <w:numId w:val="34"/>
              </w:numPr>
              <w:ind w:left="0"/>
              <w:rPr>
                <w:rFonts w:ascii="Arial" w:hAnsi="Arial" w:cs="Arial"/>
              </w:rPr>
            </w:pPr>
            <w:r w:rsidRPr="00A42F82">
              <w:rPr>
                <w:rFonts w:ascii="Arial" w:hAnsi="Arial" w:cs="Arial"/>
                <w:i/>
              </w:rPr>
              <w:t xml:space="preserve">How it addresses an area of importance. </w:t>
            </w:r>
          </w:p>
        </w:tc>
      </w:tr>
      <w:tr w:rsidR="008A4A4F" w:rsidRPr="00A42F82" w:rsidDel="002A152D" w14:paraId="525719FC" w14:textId="77777777" w:rsidTr="007C4B1E">
        <w:trPr>
          <w:trHeight w:val="454"/>
        </w:trPr>
        <w:tc>
          <w:tcPr>
            <w:tcW w:w="262" w:type="pct"/>
            <w:vAlign w:val="center"/>
          </w:tcPr>
          <w:p w14:paraId="648EFDB4"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4738" w:type="pct"/>
            <w:gridSpan w:val="4"/>
            <w:vAlign w:val="center"/>
          </w:tcPr>
          <w:p w14:paraId="5CA7C18C" w14:textId="77777777" w:rsidR="008A4A4F" w:rsidRPr="00A42F82" w:rsidRDefault="008A4A4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AB90BED" w14:textId="77777777" w:rsidR="008A4A4F" w:rsidRPr="00A42F82" w:rsidRDefault="008A4A4F" w:rsidP="00A91894">
            <w:pPr>
              <w:rPr>
                <w:rFonts w:ascii="Arial" w:hAnsi="Arial" w:cs="Arial"/>
              </w:rPr>
            </w:pPr>
          </w:p>
          <w:p w14:paraId="180B4470" w14:textId="77777777" w:rsidR="008A4A4F" w:rsidRPr="00A42F82" w:rsidRDefault="008A4A4F" w:rsidP="00A91894">
            <w:pPr>
              <w:rPr>
                <w:rFonts w:ascii="Arial" w:hAnsi="Arial" w:cs="Arial"/>
              </w:rPr>
            </w:pPr>
            <w:r w:rsidRPr="00115130">
              <w:rPr>
                <w:rFonts w:ascii="Arial" w:hAnsi="Arial" w:cs="Arial"/>
              </w:rPr>
              <w:t>The purpose of this research activity is to systematically investigate how UK fresh produce companies have adapted their supply chain strategies to build resilience following recent global disruptions</w:t>
            </w:r>
            <w:r>
              <w:rPr>
                <w:rFonts w:ascii="Arial" w:hAnsi="Arial" w:cs="Arial"/>
              </w:rPr>
              <w:t xml:space="preserve"> </w:t>
            </w:r>
            <w:r w:rsidRPr="00115130">
              <w:rPr>
                <w:rFonts w:ascii="Arial" w:hAnsi="Arial" w:cs="Arial"/>
              </w:rPr>
              <w:t>including Brexit, COVID-19, extreme weather events, and the 2022–2023 energy crisis</w:t>
            </w:r>
            <w:r>
              <w:rPr>
                <w:rFonts w:ascii="Arial" w:hAnsi="Arial" w:cs="Arial"/>
              </w:rPr>
              <w:t>.</w:t>
            </w:r>
          </w:p>
          <w:p w14:paraId="034D3F27" w14:textId="77777777" w:rsidR="008A4A4F" w:rsidRPr="00A42F82" w:rsidRDefault="008A4A4F" w:rsidP="00A91894">
            <w:pPr>
              <w:rPr>
                <w:rFonts w:ascii="Arial" w:hAnsi="Arial" w:cs="Arial"/>
              </w:rPr>
            </w:pPr>
          </w:p>
          <w:p w14:paraId="457C7311" w14:textId="77777777" w:rsidR="008A4A4F" w:rsidRPr="00A42F82" w:rsidDel="00425DA7" w:rsidRDefault="008A4A4F" w:rsidP="00A91894">
            <w:pPr>
              <w:rPr>
                <w:rFonts w:ascii="Arial" w:hAnsi="Arial" w:cs="Arial"/>
              </w:rPr>
            </w:pPr>
            <w:r w:rsidRPr="00A42F82">
              <w:rPr>
                <w:rFonts w:ascii="Arial" w:hAnsi="Arial" w:cs="Arial"/>
                <w:color w:val="808080"/>
                <w:sz w:val="18"/>
                <w:szCs w:val="18"/>
              </w:rPr>
              <w:t>(this box should expand as you type)</w:t>
            </w:r>
          </w:p>
        </w:tc>
      </w:tr>
      <w:tr w:rsidR="008A4A4F" w:rsidRPr="00A42F82" w:rsidDel="002A152D" w14:paraId="653E0638" w14:textId="77777777" w:rsidTr="007C4B1E">
        <w:trPr>
          <w:trHeight w:val="454"/>
        </w:trPr>
        <w:tc>
          <w:tcPr>
            <w:tcW w:w="262" w:type="pct"/>
            <w:vAlign w:val="center"/>
          </w:tcPr>
          <w:p w14:paraId="728CBBF9"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38" w:type="pct"/>
            <w:gridSpan w:val="4"/>
            <w:vAlign w:val="center"/>
          </w:tcPr>
          <w:p w14:paraId="1C144116" w14:textId="77777777" w:rsidR="008A4A4F" w:rsidRPr="00A42F82" w:rsidRDefault="008A4A4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011A5C2" w14:textId="77777777" w:rsidR="008A4A4F" w:rsidRPr="00A42F82" w:rsidRDefault="008A4A4F" w:rsidP="00A91894">
            <w:pPr>
              <w:rPr>
                <w:rFonts w:ascii="Arial" w:hAnsi="Arial" w:cs="Arial"/>
              </w:rPr>
            </w:pPr>
          </w:p>
          <w:p w14:paraId="5010E93B" w14:textId="77777777" w:rsidR="008A4A4F" w:rsidRPr="00163CCD" w:rsidRDefault="008A4A4F" w:rsidP="00903246">
            <w:pPr>
              <w:rPr>
                <w:rFonts w:ascii="Arial" w:hAnsi="Arial" w:cs="Arial"/>
              </w:rPr>
            </w:pPr>
            <w:r w:rsidRPr="00163CCD">
              <w:rPr>
                <w:rFonts w:ascii="Arial" w:hAnsi="Arial" w:cs="Arial"/>
                <w:b/>
                <w:bCs/>
              </w:rPr>
              <w:t xml:space="preserve">Primary Research Question: </w:t>
            </w:r>
            <w:r w:rsidRPr="00045AF4">
              <w:rPr>
                <w:rFonts w:ascii="Arial" w:hAnsi="Arial" w:cs="Arial"/>
                <w:sz w:val="22"/>
                <w:szCs w:val="22"/>
              </w:rPr>
              <w:t>How have UK fresh produce companies adapted their supply chain strategies to build resilience following recent global disruptions, as documented in secondary sources, and what factors have shaped the success or failure of these documented adaptations?</w:t>
            </w:r>
          </w:p>
          <w:p w14:paraId="33D04989" w14:textId="77777777" w:rsidR="008A4A4F" w:rsidRPr="00163CCD" w:rsidRDefault="008A4A4F" w:rsidP="00903246">
            <w:pPr>
              <w:rPr>
                <w:rFonts w:ascii="Arial" w:hAnsi="Arial" w:cs="Arial"/>
              </w:rPr>
            </w:pPr>
            <w:r w:rsidRPr="00163CCD">
              <w:rPr>
                <w:rFonts w:ascii="Arial" w:hAnsi="Arial" w:cs="Arial"/>
                <w:b/>
                <w:bCs/>
              </w:rPr>
              <w:t>Secondary Research Questions:</w:t>
            </w:r>
          </w:p>
          <w:p w14:paraId="58A1E316" w14:textId="77777777" w:rsidR="008A4A4F" w:rsidRPr="00163CCD" w:rsidRDefault="008A4A4F" w:rsidP="00903246">
            <w:pPr>
              <w:rPr>
                <w:rFonts w:ascii="Arial" w:hAnsi="Arial" w:cs="Arial"/>
              </w:rPr>
            </w:pPr>
            <w:r w:rsidRPr="00163CCD">
              <w:rPr>
                <w:rFonts w:ascii="Arial" w:hAnsi="Arial" w:cs="Arial"/>
                <w:b/>
                <w:bCs/>
              </w:rPr>
              <w:t xml:space="preserve">RQ1: </w:t>
            </w:r>
            <w:r w:rsidRPr="00045AF4">
              <w:rPr>
                <w:rFonts w:ascii="Arial" w:hAnsi="Arial" w:cs="Arial"/>
                <w:sz w:val="22"/>
                <w:szCs w:val="22"/>
              </w:rPr>
              <w:t>What disruptions are documented as most consequential for UK fresh produce supply chains, and what resilience strategies have been adopted in response across different organisational types?</w:t>
            </w:r>
          </w:p>
          <w:p w14:paraId="5591A66C" w14:textId="77777777" w:rsidR="008A4A4F" w:rsidRPr="00163CCD" w:rsidRDefault="008A4A4F" w:rsidP="00903246">
            <w:pPr>
              <w:rPr>
                <w:rFonts w:ascii="Arial" w:hAnsi="Arial" w:cs="Arial"/>
              </w:rPr>
            </w:pPr>
            <w:r w:rsidRPr="00163CCD">
              <w:rPr>
                <w:rFonts w:ascii="Arial" w:hAnsi="Arial" w:cs="Arial"/>
                <w:b/>
                <w:bCs/>
              </w:rPr>
              <w:t xml:space="preserve">RQ2: </w:t>
            </w:r>
            <w:r w:rsidRPr="00045AF4">
              <w:rPr>
                <w:rFonts w:ascii="Arial" w:hAnsi="Arial" w:cs="Arial"/>
                <w:sz w:val="22"/>
                <w:szCs w:val="22"/>
              </w:rPr>
              <w:t>How do secondary sources document companies' navigation of resilience-efficiency tensions, and what implementation challenges and enablers are evident in documented cases?</w:t>
            </w:r>
          </w:p>
          <w:p w14:paraId="4FAA587F" w14:textId="77777777" w:rsidR="008A4A4F" w:rsidRPr="00163CCD" w:rsidRDefault="008A4A4F" w:rsidP="00903246">
            <w:pPr>
              <w:rPr>
                <w:rFonts w:ascii="Arial" w:hAnsi="Arial" w:cs="Arial"/>
              </w:rPr>
            </w:pPr>
            <w:r w:rsidRPr="00163CCD">
              <w:rPr>
                <w:rFonts w:ascii="Arial" w:hAnsi="Arial" w:cs="Arial"/>
                <w:b/>
                <w:bCs/>
              </w:rPr>
              <w:t xml:space="preserve">RQ3: </w:t>
            </w:r>
            <w:r w:rsidRPr="00045AF4">
              <w:rPr>
                <w:rFonts w:ascii="Arial" w:hAnsi="Arial" w:cs="Arial"/>
                <w:sz w:val="22"/>
                <w:szCs w:val="22"/>
              </w:rPr>
              <w:t>What critical success factors and lessons for building resilient fresh produce supply chains emerge from synthesis of multiple documentary sources, and how do findings challenge or extend existing theoretical frameworks?</w:t>
            </w:r>
          </w:p>
          <w:p w14:paraId="5511E31E" w14:textId="77777777" w:rsidR="008A4A4F" w:rsidRPr="00A42F82" w:rsidRDefault="008A4A4F" w:rsidP="00A91894">
            <w:pPr>
              <w:rPr>
                <w:rFonts w:ascii="Arial" w:hAnsi="Arial" w:cs="Arial"/>
              </w:rPr>
            </w:pPr>
          </w:p>
          <w:p w14:paraId="2A42CDB7" w14:textId="77777777" w:rsidR="008A4A4F" w:rsidRPr="00A42F82" w:rsidRDefault="008A4A4F" w:rsidP="00A91894">
            <w:pPr>
              <w:rPr>
                <w:rFonts w:ascii="Arial" w:hAnsi="Arial" w:cs="Arial"/>
                <w:sz w:val="22"/>
                <w:szCs w:val="22"/>
              </w:rPr>
            </w:pPr>
          </w:p>
          <w:p w14:paraId="5FDABAD2" w14:textId="77777777" w:rsidR="008A4A4F" w:rsidRPr="00A42F82" w:rsidRDefault="008A4A4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8A4A4F" w:rsidRPr="00A42F82" w14:paraId="285F4DFD" w14:textId="77777777" w:rsidTr="007C4B1E">
        <w:trPr>
          <w:trHeight w:val="454"/>
        </w:trPr>
        <w:tc>
          <w:tcPr>
            <w:tcW w:w="262" w:type="pct"/>
            <w:vAlign w:val="center"/>
          </w:tcPr>
          <w:p w14:paraId="17817CD2"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38" w:type="pct"/>
            <w:gridSpan w:val="4"/>
            <w:vAlign w:val="center"/>
          </w:tcPr>
          <w:p w14:paraId="5D9E3C09" w14:textId="77777777" w:rsidR="008A4A4F" w:rsidRPr="00A42F82" w:rsidRDefault="008A4A4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A720482" w14:textId="77777777" w:rsidR="008A4A4F" w:rsidRPr="00A42F82" w:rsidRDefault="008A4A4F" w:rsidP="00A91894">
            <w:pPr>
              <w:rPr>
                <w:rFonts w:ascii="Arial" w:hAnsi="Arial" w:cs="Arial"/>
                <w:sz w:val="22"/>
                <w:szCs w:val="22"/>
              </w:rPr>
            </w:pPr>
            <w:r w:rsidRPr="00045AF4">
              <w:rPr>
                <w:rFonts w:ascii="Arial" w:hAnsi="Arial" w:cs="Arial"/>
                <w:sz w:val="22"/>
                <w:szCs w:val="22"/>
              </w:rPr>
              <w:t>To investigate comprehensively how UK fresh produce companies have adapted their supply chain strategies to build resilience following recent global disruptions through systematic secondary research, examining documented experiences, strategic responses, implementation outcomes, and lessons learned whilst critically evaluating the applicability of established theoretical frameworks to perishable goods contexts</w:t>
            </w:r>
            <w:r w:rsidRPr="00163CCD">
              <w:rPr>
                <w:rFonts w:ascii="Arial" w:hAnsi="Arial" w:cs="Arial"/>
              </w:rPr>
              <w:t>.</w:t>
            </w:r>
          </w:p>
          <w:p w14:paraId="23239D89" w14:textId="77777777" w:rsidR="008A4A4F" w:rsidRPr="00A42F82" w:rsidRDefault="008A4A4F" w:rsidP="00A91894">
            <w:pPr>
              <w:rPr>
                <w:rFonts w:ascii="Arial" w:hAnsi="Arial" w:cs="Arial"/>
              </w:rPr>
            </w:pPr>
            <w:r w:rsidRPr="00A42F82">
              <w:rPr>
                <w:rFonts w:ascii="Arial" w:hAnsi="Arial" w:cs="Arial"/>
                <w:color w:val="808080"/>
                <w:sz w:val="18"/>
                <w:szCs w:val="18"/>
              </w:rPr>
              <w:t>(this box should expand as you type)</w:t>
            </w:r>
          </w:p>
        </w:tc>
      </w:tr>
      <w:tr w:rsidR="008A4A4F" w:rsidRPr="00A42F82" w14:paraId="58115422" w14:textId="77777777" w:rsidTr="007C4B1E">
        <w:trPr>
          <w:trHeight w:val="454"/>
        </w:trPr>
        <w:tc>
          <w:tcPr>
            <w:tcW w:w="262" w:type="pct"/>
            <w:vAlign w:val="center"/>
          </w:tcPr>
          <w:p w14:paraId="6B3FA5BE"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38" w:type="pct"/>
            <w:gridSpan w:val="4"/>
            <w:vAlign w:val="center"/>
          </w:tcPr>
          <w:p w14:paraId="03C66B21" w14:textId="77777777" w:rsidR="008A4A4F" w:rsidRPr="00A42F82" w:rsidRDefault="008A4A4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E088343" w14:textId="77777777" w:rsidR="008A4A4F" w:rsidRPr="00163CCD" w:rsidRDefault="008A4A4F" w:rsidP="00903246">
            <w:pPr>
              <w:rPr>
                <w:rFonts w:ascii="Arial" w:hAnsi="Arial" w:cs="Arial"/>
              </w:rPr>
            </w:pPr>
            <w:r w:rsidRPr="00163CCD">
              <w:rPr>
                <w:rFonts w:ascii="Arial" w:hAnsi="Arial" w:cs="Arial"/>
                <w:b/>
                <w:bCs/>
              </w:rPr>
              <w:t xml:space="preserve">Objective 1: Disruption Assessment and Strategic Response Analysis. </w:t>
            </w:r>
            <w:r w:rsidRPr="00045AF4">
              <w:rPr>
                <w:rFonts w:ascii="Arial" w:hAnsi="Arial" w:cs="Arial"/>
                <w:sz w:val="22"/>
                <w:szCs w:val="22"/>
              </w:rPr>
              <w:t>To identify and critically assess through documentary evidence the key supply chain disruptions experienced by UK fresh produce companies between 2020 and 2025, evaluating their documented impacts whilst systematically analysing the resilience strategies adopted across the sector. This dual focus is essential because understanding both disruption characteristics and strategic responses provides complete picture of sectoral adaptation patterns.</w:t>
            </w:r>
          </w:p>
          <w:p w14:paraId="57A09CF8" w14:textId="77777777" w:rsidR="008A4A4F" w:rsidRPr="00163CCD" w:rsidRDefault="008A4A4F" w:rsidP="00903246">
            <w:pPr>
              <w:rPr>
                <w:rFonts w:ascii="Arial" w:hAnsi="Arial" w:cs="Arial"/>
              </w:rPr>
            </w:pPr>
            <w:r w:rsidRPr="00163CCD">
              <w:rPr>
                <w:rFonts w:ascii="Arial" w:hAnsi="Arial" w:cs="Arial"/>
                <w:b/>
                <w:bCs/>
              </w:rPr>
              <w:lastRenderedPageBreak/>
              <w:t xml:space="preserve">Objective 2: Implementation and Theoretical Framework Evaluation. </w:t>
            </w:r>
            <w:r w:rsidRPr="00045AF4">
              <w:rPr>
                <w:rFonts w:ascii="Arial" w:hAnsi="Arial" w:cs="Arial"/>
                <w:sz w:val="22"/>
                <w:szCs w:val="22"/>
              </w:rPr>
              <w:t xml:space="preserve">To examine critically the implementation challenges and enablers documented in secondary sources, understanding barriers preventing strategy execution and factors facilitating successful implementation, whilst evaluating how established supply chain resilience frameworks apply to fresh produce contexts. This combined analysis reveals whether implementation failures stem from strategy inadequacy or execution gaps, and whether theoretical frameworks require adaptation or fundamental </w:t>
            </w:r>
            <w:proofErr w:type="spellStart"/>
            <w:r w:rsidRPr="00045AF4">
              <w:rPr>
                <w:rFonts w:ascii="Arial" w:hAnsi="Arial" w:cs="Arial"/>
                <w:sz w:val="22"/>
                <w:szCs w:val="22"/>
              </w:rPr>
              <w:t>reconceptualisation</w:t>
            </w:r>
            <w:proofErr w:type="spellEnd"/>
            <w:r w:rsidRPr="00045AF4">
              <w:rPr>
                <w:rFonts w:ascii="Arial" w:hAnsi="Arial" w:cs="Arial"/>
                <w:sz w:val="22"/>
                <w:szCs w:val="22"/>
              </w:rPr>
              <w:t xml:space="preserve"> for perishable goods</w:t>
            </w:r>
            <w:r w:rsidRPr="00163CCD">
              <w:rPr>
                <w:rFonts w:ascii="Arial" w:hAnsi="Arial" w:cs="Arial"/>
              </w:rPr>
              <w:t>.</w:t>
            </w:r>
          </w:p>
          <w:p w14:paraId="47B2CB35" w14:textId="77777777" w:rsidR="008A4A4F" w:rsidRPr="00163CCD" w:rsidRDefault="008A4A4F" w:rsidP="00903246">
            <w:pPr>
              <w:rPr>
                <w:rFonts w:ascii="Arial" w:hAnsi="Arial" w:cs="Arial"/>
              </w:rPr>
            </w:pPr>
            <w:r w:rsidRPr="00163CCD">
              <w:rPr>
                <w:rFonts w:ascii="Arial" w:hAnsi="Arial" w:cs="Arial"/>
                <w:b/>
                <w:bCs/>
              </w:rPr>
              <w:t xml:space="preserve">Objective 3: Evidence-Based Synthesis and Contribution. </w:t>
            </w:r>
            <w:r w:rsidRPr="00045AF4">
              <w:rPr>
                <w:rFonts w:ascii="Arial" w:hAnsi="Arial" w:cs="Arial"/>
                <w:sz w:val="22"/>
                <w:szCs w:val="22"/>
              </w:rPr>
              <w:t>To synthesise findings from multiple documentary sources into evidence-based insights informing both supply chain resilience theory development and practical implementation in the fresh produce sector, identifying critical success factors and lessons learned. This synthesis contributes theoretically by challenging framework universality whilst providing practical guidance for companies and policymakers addressing market failures individual organisations cannot resolve.</w:t>
            </w:r>
          </w:p>
          <w:p w14:paraId="312A866C" w14:textId="77777777" w:rsidR="008A4A4F" w:rsidRPr="00A42F82" w:rsidRDefault="008A4A4F" w:rsidP="00A91894">
            <w:pPr>
              <w:rPr>
                <w:rFonts w:ascii="Arial" w:hAnsi="Arial" w:cs="Arial"/>
                <w:sz w:val="22"/>
                <w:szCs w:val="22"/>
              </w:rPr>
            </w:pPr>
          </w:p>
          <w:p w14:paraId="4773B2BA" w14:textId="77777777" w:rsidR="008A4A4F" w:rsidRPr="00A42F82" w:rsidRDefault="008A4A4F" w:rsidP="00A91894">
            <w:pPr>
              <w:rPr>
                <w:rFonts w:ascii="Arial" w:hAnsi="Arial" w:cs="Arial"/>
                <w:sz w:val="22"/>
                <w:szCs w:val="22"/>
              </w:rPr>
            </w:pPr>
          </w:p>
          <w:p w14:paraId="3C9C6D13" w14:textId="77777777" w:rsidR="008A4A4F" w:rsidRPr="00A42F82" w:rsidRDefault="008A4A4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8A4A4F" w:rsidRPr="00A42F82" w14:paraId="090AD025" w14:textId="77777777" w:rsidTr="007C4B1E">
        <w:trPr>
          <w:trHeight w:val="454"/>
        </w:trPr>
        <w:tc>
          <w:tcPr>
            <w:tcW w:w="262" w:type="pct"/>
            <w:shd w:val="clear" w:color="auto" w:fill="F2F2F2" w:themeFill="background1" w:themeFillShade="F2"/>
            <w:vAlign w:val="center"/>
          </w:tcPr>
          <w:p w14:paraId="2BD57B36" w14:textId="77777777" w:rsidR="008A4A4F" w:rsidRPr="00A42F82" w:rsidRDefault="008A4A4F" w:rsidP="00A91894">
            <w:pPr>
              <w:spacing w:before="120" w:after="120"/>
              <w:rPr>
                <w:rFonts w:ascii="Arial" w:hAnsi="Arial" w:cs="Arial"/>
                <w:sz w:val="22"/>
                <w:szCs w:val="22"/>
              </w:rPr>
            </w:pPr>
          </w:p>
        </w:tc>
        <w:tc>
          <w:tcPr>
            <w:tcW w:w="4738" w:type="pct"/>
            <w:gridSpan w:val="4"/>
            <w:shd w:val="clear" w:color="auto" w:fill="F2F2F2" w:themeFill="background1" w:themeFillShade="F2"/>
            <w:vAlign w:val="center"/>
          </w:tcPr>
          <w:p w14:paraId="37E49ECF" w14:textId="77777777" w:rsidR="008A4A4F" w:rsidRPr="00A42F82" w:rsidRDefault="008A4A4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AD3D05" w14:textId="77777777" w:rsidR="008A4A4F" w:rsidRPr="00A42F82" w:rsidRDefault="008A4A4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8A4A4F" w:rsidRPr="00A42F82" w14:paraId="26D07DD6" w14:textId="77777777" w:rsidTr="007C4B1E">
        <w:trPr>
          <w:trHeight w:val="454"/>
        </w:trPr>
        <w:tc>
          <w:tcPr>
            <w:tcW w:w="262" w:type="pct"/>
            <w:vAlign w:val="center"/>
          </w:tcPr>
          <w:p w14:paraId="7EDFE16C" w14:textId="77777777" w:rsidR="008A4A4F" w:rsidRPr="00A42F82" w:rsidRDefault="008A4A4F" w:rsidP="00A91894">
            <w:pPr>
              <w:rPr>
                <w:rFonts w:ascii="Arial" w:hAnsi="Arial" w:cs="Arial"/>
                <w:sz w:val="22"/>
                <w:szCs w:val="22"/>
              </w:rPr>
            </w:pPr>
            <w:r w:rsidRPr="00A42F82">
              <w:rPr>
                <w:rFonts w:ascii="Arial" w:hAnsi="Arial" w:cs="Arial"/>
                <w:sz w:val="22"/>
                <w:szCs w:val="22"/>
              </w:rPr>
              <w:t>7</w:t>
            </w:r>
          </w:p>
        </w:tc>
        <w:tc>
          <w:tcPr>
            <w:tcW w:w="4738" w:type="pct"/>
            <w:gridSpan w:val="4"/>
            <w:vAlign w:val="center"/>
          </w:tcPr>
          <w:p w14:paraId="6DD7DF19" w14:textId="77777777" w:rsidR="008A4A4F" w:rsidRPr="007C5F60" w:rsidRDefault="008A4A4F" w:rsidP="002B4B85">
            <w:pPr>
              <w:rPr>
                <w:rFonts w:ascii="Arial" w:hAnsi="Arial" w:cs="Arial"/>
                <w:sz w:val="22"/>
                <w:szCs w:val="22"/>
              </w:rPr>
            </w:pPr>
            <w:r w:rsidRPr="007C5F60">
              <w:rPr>
                <w:rFonts w:ascii="Arial" w:hAnsi="Arial" w:cs="Arial"/>
                <w:sz w:val="22"/>
                <w:szCs w:val="22"/>
              </w:rPr>
              <w:t>This research will employ qualitative secondary analysis as its primary method, focusing on the systematic collection and analysis of publicly available documentary sources. Data will be gathered from a range of documents, including: industry association reports (e.g., Fresh Produce Consortium, British Retail Consortium), government publications (e.g., DEFRA reports, parliamentary inquiries), trade press articles (e.g., The Grocer, Fresh Produce Journal), company annual reports and sustainability disclosures, academic case studies, and research from relevant think tanks (e.g., Food Foundation, Sustain). All documents will be published between January 2020 and December 2025, with a specific focus on the UK fresh produce sector and documented supply chain adaptations to recent global disruptions.</w:t>
            </w:r>
          </w:p>
          <w:p w14:paraId="0D96AD75" w14:textId="77777777" w:rsidR="008A4A4F" w:rsidRPr="007C5F60" w:rsidRDefault="008A4A4F" w:rsidP="002B4B85">
            <w:pPr>
              <w:rPr>
                <w:rFonts w:ascii="Arial" w:hAnsi="Arial" w:cs="Arial"/>
                <w:sz w:val="22"/>
                <w:szCs w:val="22"/>
              </w:rPr>
            </w:pPr>
            <w:r w:rsidRPr="007C5F60">
              <w:rPr>
                <w:rFonts w:ascii="Arial" w:hAnsi="Arial" w:cs="Arial"/>
                <w:sz w:val="22"/>
                <w:szCs w:val="22"/>
              </w:rPr>
              <w:t>A structured search strategy will be employed, utilising academic databases (such as Business Source Complete, Emerald Insight, Scopus, and Web of Science) with relevant keywords, as well as targeted searches of organisational websites, government repositories, and trade press archives. Inclusion and exclusion criteria will be applied to ensure that only relevant, substantive, and high-quality documents are selected.</w:t>
            </w:r>
          </w:p>
          <w:p w14:paraId="68892037" w14:textId="77777777" w:rsidR="008A4A4F" w:rsidRPr="007C5F60" w:rsidRDefault="008A4A4F" w:rsidP="002B4B85">
            <w:pPr>
              <w:rPr>
                <w:rFonts w:ascii="Arial" w:hAnsi="Arial" w:cs="Arial"/>
                <w:sz w:val="22"/>
                <w:szCs w:val="22"/>
              </w:rPr>
            </w:pPr>
            <w:r w:rsidRPr="007C5F60">
              <w:rPr>
                <w:rFonts w:ascii="Arial" w:hAnsi="Arial" w:cs="Arial"/>
                <w:sz w:val="22"/>
                <w:szCs w:val="22"/>
              </w:rPr>
              <w:t>Collected documents will be managed using qualitative data analysis software (e.g., NVivo), and analysed using thematic analysis to identify patterns, themes, and strategic responses across the sector. Codes will be developed both deductively (from resilience theory) and inductively (from the data). Quality assessment criteria</w:t>
            </w:r>
            <w:r>
              <w:rPr>
                <w:rFonts w:ascii="Arial" w:hAnsi="Arial" w:cs="Arial"/>
                <w:sz w:val="22"/>
                <w:szCs w:val="22"/>
              </w:rPr>
              <w:t xml:space="preserve"> </w:t>
            </w:r>
            <w:r w:rsidRPr="007C5F60">
              <w:rPr>
                <w:rFonts w:ascii="Arial" w:hAnsi="Arial" w:cs="Arial"/>
                <w:sz w:val="22"/>
                <w:szCs w:val="22"/>
              </w:rPr>
              <w:t>including authenticity, credibility, and representativeness</w:t>
            </w:r>
            <w:r>
              <w:rPr>
                <w:rFonts w:ascii="Arial" w:hAnsi="Arial" w:cs="Arial"/>
                <w:sz w:val="22"/>
                <w:szCs w:val="22"/>
              </w:rPr>
              <w:t xml:space="preserve"> </w:t>
            </w:r>
            <w:r w:rsidRPr="007C5F60">
              <w:rPr>
                <w:rFonts w:ascii="Arial" w:hAnsi="Arial" w:cs="Arial"/>
                <w:sz w:val="22"/>
                <w:szCs w:val="22"/>
              </w:rPr>
              <w:t>will inform the weighting of findings from different sources.</w:t>
            </w:r>
          </w:p>
          <w:p w14:paraId="6FA5DF74" w14:textId="77777777" w:rsidR="008A4A4F" w:rsidRPr="007C5F60" w:rsidRDefault="008A4A4F" w:rsidP="002B4B85">
            <w:pPr>
              <w:rPr>
                <w:rFonts w:ascii="Arial" w:hAnsi="Arial" w:cs="Arial"/>
                <w:sz w:val="22"/>
                <w:szCs w:val="22"/>
              </w:rPr>
            </w:pPr>
            <w:r w:rsidRPr="007C5F60">
              <w:rPr>
                <w:rFonts w:ascii="Arial" w:hAnsi="Arial" w:cs="Arial"/>
                <w:sz w:val="22"/>
                <w:szCs w:val="22"/>
              </w:rPr>
              <w:t>No primary data collection involving human participants or confidential information is planned. All sources will be properly attributed, and only publicly available or open-access documents will be used in the research.</w:t>
            </w:r>
          </w:p>
          <w:p w14:paraId="497A608C" w14:textId="77777777" w:rsidR="008A4A4F" w:rsidRPr="00A42F82" w:rsidRDefault="008A4A4F" w:rsidP="00A91894">
            <w:pPr>
              <w:rPr>
                <w:rFonts w:ascii="Arial" w:hAnsi="Arial" w:cs="Arial"/>
                <w:sz w:val="22"/>
                <w:szCs w:val="22"/>
              </w:rPr>
            </w:pPr>
          </w:p>
          <w:p w14:paraId="76D6BAFD" w14:textId="77777777" w:rsidR="008A4A4F" w:rsidRPr="00A42F82" w:rsidRDefault="008A4A4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8A4A4F" w:rsidRPr="00A42F82" w14:paraId="1BA54745" w14:textId="77777777" w:rsidTr="007C4B1E">
        <w:trPr>
          <w:trHeight w:val="454"/>
        </w:trPr>
        <w:tc>
          <w:tcPr>
            <w:tcW w:w="262" w:type="pct"/>
            <w:shd w:val="clear" w:color="auto" w:fill="F2F2F2" w:themeFill="background1" w:themeFillShade="F2"/>
            <w:vAlign w:val="center"/>
          </w:tcPr>
          <w:p w14:paraId="27785362" w14:textId="77777777" w:rsidR="008A4A4F" w:rsidRPr="00A42F82" w:rsidRDefault="008A4A4F" w:rsidP="00A91894">
            <w:pPr>
              <w:spacing w:before="120"/>
              <w:rPr>
                <w:rFonts w:ascii="Arial" w:hAnsi="Arial" w:cs="Arial"/>
                <w:bCs/>
                <w:sz w:val="22"/>
                <w:szCs w:val="22"/>
              </w:rPr>
            </w:pPr>
            <w:r w:rsidRPr="00A42F82">
              <w:rPr>
                <w:rFonts w:ascii="Arial" w:hAnsi="Arial" w:cs="Arial"/>
              </w:rPr>
              <w:br w:type="page"/>
            </w:r>
          </w:p>
        </w:tc>
        <w:tc>
          <w:tcPr>
            <w:tcW w:w="4738" w:type="pct"/>
            <w:gridSpan w:val="4"/>
            <w:shd w:val="clear" w:color="auto" w:fill="F2F2F2" w:themeFill="background1" w:themeFillShade="F2"/>
            <w:vAlign w:val="center"/>
          </w:tcPr>
          <w:p w14:paraId="4E23ABDF" w14:textId="77777777" w:rsidR="008A4A4F" w:rsidRPr="00A42F82" w:rsidRDefault="008A4A4F" w:rsidP="00A91894">
            <w:pPr>
              <w:spacing w:before="120"/>
              <w:rPr>
                <w:rFonts w:ascii="Arial" w:hAnsi="Arial" w:cs="Arial"/>
                <w:b/>
                <w:sz w:val="22"/>
                <w:szCs w:val="22"/>
              </w:rPr>
            </w:pPr>
            <w:r w:rsidRPr="00A42F82">
              <w:rPr>
                <w:rFonts w:ascii="Arial" w:hAnsi="Arial" w:cs="Arial"/>
                <w:b/>
                <w:sz w:val="22"/>
                <w:szCs w:val="22"/>
              </w:rPr>
              <w:t>Location of research activity</w:t>
            </w:r>
          </w:p>
          <w:p w14:paraId="4985589C" w14:textId="77777777" w:rsidR="008A4A4F" w:rsidRPr="00A42F82" w:rsidRDefault="008A4A4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8A4A4F" w:rsidRPr="00A42F82" w14:paraId="3514515E" w14:textId="77777777" w:rsidTr="007C4B1E">
        <w:trPr>
          <w:trHeight w:val="454"/>
        </w:trPr>
        <w:tc>
          <w:tcPr>
            <w:tcW w:w="262" w:type="pct"/>
            <w:vAlign w:val="center"/>
          </w:tcPr>
          <w:p w14:paraId="2EABD971" w14:textId="77777777" w:rsidR="008A4A4F" w:rsidRPr="00A42F82" w:rsidRDefault="008A4A4F" w:rsidP="00A91894">
            <w:pPr>
              <w:rPr>
                <w:rFonts w:ascii="Arial" w:hAnsi="Arial" w:cs="Arial"/>
                <w:bCs/>
                <w:sz w:val="22"/>
                <w:szCs w:val="22"/>
              </w:rPr>
            </w:pPr>
            <w:r w:rsidRPr="00A42F82">
              <w:rPr>
                <w:rFonts w:ascii="Arial" w:hAnsi="Arial" w:cs="Arial"/>
                <w:bCs/>
                <w:sz w:val="22"/>
                <w:szCs w:val="22"/>
              </w:rPr>
              <w:t>8</w:t>
            </w:r>
          </w:p>
        </w:tc>
        <w:tc>
          <w:tcPr>
            <w:tcW w:w="4738" w:type="pct"/>
            <w:gridSpan w:val="4"/>
            <w:vAlign w:val="center"/>
          </w:tcPr>
          <w:p w14:paraId="11C18072" w14:textId="77777777" w:rsidR="008A4A4F" w:rsidRPr="00A42F82" w:rsidRDefault="008A4A4F" w:rsidP="00A91894">
            <w:pPr>
              <w:rPr>
                <w:rFonts w:ascii="Arial" w:hAnsi="Arial" w:cs="Arial"/>
                <w:sz w:val="22"/>
                <w:szCs w:val="22"/>
              </w:rPr>
            </w:pPr>
          </w:p>
          <w:p w14:paraId="47695853" w14:textId="77777777" w:rsidR="008A4A4F" w:rsidRPr="00A42F82" w:rsidRDefault="008A4A4F" w:rsidP="00A91894">
            <w:pPr>
              <w:rPr>
                <w:rFonts w:ascii="Arial" w:hAnsi="Arial" w:cs="Arial"/>
                <w:sz w:val="22"/>
                <w:szCs w:val="22"/>
              </w:rPr>
            </w:pPr>
            <w:r>
              <w:rPr>
                <w:rFonts w:ascii="Arial" w:hAnsi="Arial" w:cs="Arial"/>
                <w:sz w:val="22"/>
                <w:szCs w:val="22"/>
              </w:rPr>
              <w:t>Desktop. London UK</w:t>
            </w:r>
          </w:p>
          <w:p w14:paraId="2F6E49DC" w14:textId="77777777" w:rsidR="008A4A4F" w:rsidRPr="00A42F82" w:rsidRDefault="008A4A4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8A4A4F" w:rsidRPr="00A42F82" w14:paraId="497B0654" w14:textId="77777777" w:rsidTr="007C4B1E">
        <w:trPr>
          <w:trHeight w:val="454"/>
        </w:trPr>
        <w:tc>
          <w:tcPr>
            <w:tcW w:w="262" w:type="pct"/>
            <w:shd w:val="clear" w:color="auto" w:fill="F2F2F2" w:themeFill="background1" w:themeFillShade="F2"/>
            <w:vAlign w:val="center"/>
          </w:tcPr>
          <w:p w14:paraId="678251D2" w14:textId="77777777" w:rsidR="008A4A4F" w:rsidRPr="00A42F82" w:rsidRDefault="008A4A4F" w:rsidP="00A91894">
            <w:pPr>
              <w:spacing w:before="120"/>
              <w:rPr>
                <w:rFonts w:ascii="Arial" w:hAnsi="Arial" w:cs="Arial"/>
                <w:bCs/>
                <w:sz w:val="22"/>
                <w:szCs w:val="22"/>
              </w:rPr>
            </w:pPr>
          </w:p>
        </w:tc>
        <w:tc>
          <w:tcPr>
            <w:tcW w:w="4738" w:type="pct"/>
            <w:gridSpan w:val="4"/>
            <w:shd w:val="clear" w:color="auto" w:fill="F2F2F2" w:themeFill="background1" w:themeFillShade="F2"/>
            <w:vAlign w:val="center"/>
          </w:tcPr>
          <w:p w14:paraId="0D89DADB" w14:textId="77777777" w:rsidR="008A4A4F" w:rsidRPr="00A42F82" w:rsidRDefault="008A4A4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7C9DB6CE"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8A4A4F" w:rsidRPr="00A42F82" w14:paraId="1B133449" w14:textId="77777777" w:rsidTr="007C4B1E">
        <w:trPr>
          <w:trHeight w:val="454"/>
        </w:trPr>
        <w:tc>
          <w:tcPr>
            <w:tcW w:w="262" w:type="pct"/>
            <w:vAlign w:val="center"/>
          </w:tcPr>
          <w:p w14:paraId="0FAEAA59" w14:textId="77777777" w:rsidR="008A4A4F" w:rsidRPr="00A42F82" w:rsidRDefault="008A4A4F" w:rsidP="00A91894">
            <w:pPr>
              <w:rPr>
                <w:rFonts w:ascii="Arial" w:hAnsi="Arial" w:cs="Arial"/>
                <w:bCs/>
                <w:sz w:val="22"/>
                <w:szCs w:val="22"/>
              </w:rPr>
            </w:pPr>
            <w:r w:rsidRPr="00A42F82">
              <w:rPr>
                <w:rFonts w:ascii="Arial" w:hAnsi="Arial" w:cs="Arial"/>
                <w:bCs/>
                <w:sz w:val="22"/>
                <w:szCs w:val="22"/>
              </w:rPr>
              <w:t>9</w:t>
            </w:r>
          </w:p>
        </w:tc>
        <w:tc>
          <w:tcPr>
            <w:tcW w:w="4738" w:type="pct"/>
            <w:gridSpan w:val="4"/>
            <w:vAlign w:val="center"/>
          </w:tcPr>
          <w:p w14:paraId="3AC9C60A" w14:textId="77777777" w:rsidR="008A4A4F" w:rsidRPr="00A42F82" w:rsidRDefault="008A4A4F" w:rsidP="00A91894">
            <w:pPr>
              <w:rPr>
                <w:rFonts w:ascii="Arial" w:hAnsi="Arial" w:cs="Arial"/>
                <w:sz w:val="22"/>
                <w:szCs w:val="22"/>
              </w:rPr>
            </w:pPr>
            <w:r>
              <w:rPr>
                <w:rFonts w:ascii="Arial" w:hAnsi="Arial" w:cs="Arial"/>
                <w:sz w:val="22"/>
                <w:szCs w:val="22"/>
              </w:rPr>
              <w:t>N/A</w:t>
            </w:r>
          </w:p>
          <w:p w14:paraId="69BF3FD4" w14:textId="77777777" w:rsidR="008A4A4F" w:rsidRPr="00A42F82" w:rsidRDefault="008A4A4F" w:rsidP="00A91894">
            <w:pPr>
              <w:rPr>
                <w:rFonts w:ascii="Arial" w:hAnsi="Arial" w:cs="Arial"/>
                <w:sz w:val="22"/>
                <w:szCs w:val="22"/>
              </w:rPr>
            </w:pPr>
          </w:p>
          <w:p w14:paraId="69008BD1" w14:textId="77777777" w:rsidR="008A4A4F" w:rsidRPr="00A42F82" w:rsidRDefault="008A4A4F" w:rsidP="00A91894">
            <w:pPr>
              <w:rPr>
                <w:rFonts w:ascii="Arial" w:hAnsi="Arial" w:cs="Arial"/>
                <w:sz w:val="22"/>
                <w:szCs w:val="22"/>
              </w:rPr>
            </w:pPr>
          </w:p>
          <w:p w14:paraId="5500CF07" w14:textId="77777777" w:rsidR="008A4A4F" w:rsidRPr="00A42F82" w:rsidRDefault="008A4A4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4AC987D8" w14:textId="77777777" w:rsidR="008A4A4F" w:rsidRPr="00A42F82" w:rsidRDefault="008A4A4F" w:rsidP="00A91894">
      <w:pPr>
        <w:rPr>
          <w:rFonts w:ascii="Arial" w:hAnsi="Arial" w:cs="Arial"/>
        </w:rPr>
      </w:pPr>
    </w:p>
    <w:tbl>
      <w:tblPr>
        <w:tblStyle w:val="TableGrid"/>
        <w:tblW w:w="10206" w:type="dxa"/>
        <w:tblInd w:w="-5" w:type="dxa"/>
        <w:tblLayout w:type="fixed"/>
        <w:tblLook w:val="04A0" w:firstRow="1" w:lastRow="0" w:firstColumn="1" w:lastColumn="0" w:noHBand="0" w:noVBand="1"/>
      </w:tblPr>
      <w:tblGrid>
        <w:gridCol w:w="567"/>
        <w:gridCol w:w="7371"/>
        <w:gridCol w:w="1276"/>
        <w:gridCol w:w="992"/>
      </w:tblGrid>
      <w:tr w:rsidR="008A4A4F" w:rsidRPr="00A42F82" w14:paraId="79DED39E" w14:textId="77777777" w:rsidTr="00CD616E">
        <w:trPr>
          <w:trHeight w:val="383"/>
        </w:trPr>
        <w:tc>
          <w:tcPr>
            <w:tcW w:w="567" w:type="dxa"/>
            <w:vMerge w:val="restart"/>
            <w:shd w:val="clear" w:color="auto" w:fill="F2F2F2" w:themeFill="background1" w:themeFillShade="F2"/>
            <w:vAlign w:val="center"/>
          </w:tcPr>
          <w:p w14:paraId="306D5392"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6D2BC34E"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42F07B2D" w14:textId="77777777" w:rsidR="008A4A4F" w:rsidRPr="00A42F82" w:rsidRDefault="008A4A4F"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EB2404C" w14:textId="77777777" w:rsidR="008A4A4F" w:rsidRPr="00A42F82" w:rsidRDefault="008A4A4F"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992"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7595A02" w14:textId="77777777" w:rsidR="008A4A4F" w:rsidRPr="00A42F82" w:rsidRDefault="008A4A4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A4A4F" w:rsidRPr="00A42F82" w14:paraId="1F2C1950" w14:textId="77777777" w:rsidTr="00CD616E">
        <w:trPr>
          <w:trHeight w:val="218"/>
        </w:trPr>
        <w:tc>
          <w:tcPr>
            <w:tcW w:w="567" w:type="dxa"/>
            <w:vMerge/>
            <w:shd w:val="clear" w:color="auto" w:fill="F2F2F2" w:themeFill="background1" w:themeFillShade="F2"/>
            <w:vAlign w:val="center"/>
          </w:tcPr>
          <w:p w14:paraId="74694CE1" w14:textId="77777777" w:rsidR="008A4A4F" w:rsidRPr="00A42F82" w:rsidRDefault="008A4A4F"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06B756F1" w14:textId="77777777" w:rsidR="008A4A4F" w:rsidRPr="00A42F82" w:rsidRDefault="008A4A4F"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28F1120" w14:textId="77777777" w:rsidR="008A4A4F" w:rsidRPr="00A42F82" w:rsidRDefault="008A4A4F"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992" w:type="dxa"/>
            <w:shd w:val="clear" w:color="auto" w:fill="D9D9D9" w:themeFill="background1" w:themeFillShade="D9"/>
            <w:vAlign w:val="center"/>
          </w:tcPr>
          <w:p w14:paraId="0590CD99" w14:textId="77777777" w:rsidR="008A4A4F" w:rsidRPr="00A42F82" w:rsidRDefault="008A4A4F"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8A4A4F" w:rsidRPr="00A42F82" w14:paraId="67A9DB8E" w14:textId="77777777" w:rsidTr="00CD616E">
        <w:tc>
          <w:tcPr>
            <w:tcW w:w="567" w:type="dxa"/>
            <w:shd w:val="clear" w:color="auto" w:fill="FFFFFF" w:themeFill="background1"/>
            <w:vAlign w:val="center"/>
          </w:tcPr>
          <w:p w14:paraId="79D3C469"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9639" w:type="dxa"/>
            <w:gridSpan w:val="3"/>
            <w:shd w:val="clear" w:color="auto" w:fill="FFFFFF" w:themeFill="background1"/>
          </w:tcPr>
          <w:p w14:paraId="4C22F2BE"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73C753F0" w14:textId="77777777" w:rsidR="008A4A4F" w:rsidRPr="00A42F82" w:rsidRDefault="008A4A4F" w:rsidP="00A91894">
            <w:pPr>
              <w:rPr>
                <w:rFonts w:ascii="Arial" w:hAnsi="Arial" w:cs="Arial"/>
                <w:sz w:val="22"/>
                <w:szCs w:val="22"/>
              </w:rPr>
            </w:pPr>
          </w:p>
          <w:p w14:paraId="40EC1420" w14:textId="77777777" w:rsidR="008A4A4F" w:rsidRPr="00A42F82" w:rsidRDefault="008A4A4F" w:rsidP="00A91894">
            <w:pPr>
              <w:rPr>
                <w:rFonts w:ascii="Arial" w:hAnsi="Arial" w:cs="Arial"/>
                <w:sz w:val="22"/>
                <w:szCs w:val="22"/>
              </w:rPr>
            </w:pPr>
          </w:p>
          <w:p w14:paraId="3BCCE5DE" w14:textId="77777777" w:rsidR="008A4A4F" w:rsidRPr="00A42F82" w:rsidRDefault="008A4A4F" w:rsidP="00A91894">
            <w:pPr>
              <w:rPr>
                <w:rFonts w:ascii="Arial" w:hAnsi="Arial" w:cs="Arial"/>
                <w:sz w:val="22"/>
                <w:szCs w:val="22"/>
              </w:rPr>
            </w:pPr>
          </w:p>
          <w:p w14:paraId="3E9B521C" w14:textId="77777777" w:rsidR="008A4A4F" w:rsidRPr="00A42F82" w:rsidRDefault="008A4A4F"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7A58B930" w14:textId="77777777" w:rsidR="008A4A4F" w:rsidRPr="00A42F82" w:rsidRDefault="008A4A4F" w:rsidP="00A91894">
      <w:pPr>
        <w:autoSpaceDE w:val="0"/>
        <w:autoSpaceDN w:val="0"/>
        <w:adjustRightInd w:val="0"/>
        <w:spacing w:after="240"/>
        <w:jc w:val="both"/>
        <w:rPr>
          <w:rFonts w:ascii="Arial" w:hAnsi="Arial" w:cs="Arial"/>
          <w:b/>
          <w:sz w:val="22"/>
          <w:szCs w:val="22"/>
        </w:rPr>
      </w:pPr>
    </w:p>
    <w:tbl>
      <w:tblPr>
        <w:tblStyle w:val="TableGrid"/>
        <w:tblW w:w="10201" w:type="dxa"/>
        <w:tblLook w:val="04A0" w:firstRow="1" w:lastRow="0" w:firstColumn="1" w:lastColumn="0" w:noHBand="0" w:noVBand="1"/>
      </w:tblPr>
      <w:tblGrid>
        <w:gridCol w:w="562"/>
        <w:gridCol w:w="8217"/>
        <w:gridCol w:w="850"/>
        <w:gridCol w:w="572"/>
      </w:tblGrid>
      <w:tr w:rsidR="008A4A4F" w:rsidRPr="00A42F82" w14:paraId="03B89456" w14:textId="77777777" w:rsidTr="00CD616E">
        <w:tc>
          <w:tcPr>
            <w:tcW w:w="562" w:type="dxa"/>
            <w:shd w:val="clear" w:color="auto" w:fill="F2F2F2" w:themeFill="background1" w:themeFillShade="F2"/>
            <w:vAlign w:val="center"/>
          </w:tcPr>
          <w:p w14:paraId="38C56824" w14:textId="77777777" w:rsidR="008A4A4F" w:rsidRPr="00A42F82" w:rsidRDefault="008A4A4F"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838F0BE" w14:textId="77777777" w:rsidR="008A4A4F" w:rsidRPr="00A42F82" w:rsidRDefault="008A4A4F"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0B785D54" w14:textId="77777777" w:rsidR="008A4A4F" w:rsidRPr="00A42F82" w:rsidRDefault="008A4A4F" w:rsidP="00A91894">
            <w:pPr>
              <w:autoSpaceDE w:val="0"/>
              <w:autoSpaceDN w:val="0"/>
              <w:adjustRightInd w:val="0"/>
              <w:jc w:val="center"/>
              <w:rPr>
                <w:rFonts w:ascii="Arial" w:hAnsi="Arial" w:cs="Arial"/>
                <w:b/>
                <w:bCs/>
                <w:sz w:val="22"/>
                <w:szCs w:val="22"/>
              </w:rPr>
            </w:pPr>
          </w:p>
          <w:p w14:paraId="23A10AC0" w14:textId="77777777" w:rsidR="008A4A4F" w:rsidRPr="00A42F82" w:rsidRDefault="008A4A4F"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572" w:type="dxa"/>
            <w:shd w:val="clear" w:color="auto" w:fill="F2F2F2" w:themeFill="background1" w:themeFillShade="F2"/>
          </w:tcPr>
          <w:p w14:paraId="74263A2B" w14:textId="77777777" w:rsidR="008A4A4F" w:rsidRPr="00A42F82" w:rsidRDefault="008A4A4F" w:rsidP="00A91894">
            <w:pPr>
              <w:autoSpaceDE w:val="0"/>
              <w:autoSpaceDN w:val="0"/>
              <w:adjustRightInd w:val="0"/>
              <w:jc w:val="center"/>
              <w:rPr>
                <w:rFonts w:ascii="Arial" w:hAnsi="Arial" w:cs="Arial"/>
                <w:b/>
                <w:bCs/>
                <w:sz w:val="22"/>
                <w:szCs w:val="22"/>
              </w:rPr>
            </w:pPr>
          </w:p>
          <w:p w14:paraId="79927C54" w14:textId="77777777" w:rsidR="008A4A4F" w:rsidRPr="00A42F82" w:rsidRDefault="008A4A4F"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8A4A4F" w:rsidRPr="00A42F82" w14:paraId="71C862AE" w14:textId="77777777" w:rsidTr="00CD616E">
        <w:trPr>
          <w:trHeight w:val="439"/>
        </w:trPr>
        <w:tc>
          <w:tcPr>
            <w:tcW w:w="562" w:type="dxa"/>
            <w:shd w:val="clear" w:color="auto" w:fill="F2F2F2" w:themeFill="background1" w:themeFillShade="F2"/>
            <w:vAlign w:val="center"/>
          </w:tcPr>
          <w:p w14:paraId="5B1F576B"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5C699C34"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5A9A6C27"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7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7133F845"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1258E32D" w14:textId="77777777" w:rsidTr="00CD616E">
        <w:trPr>
          <w:trHeight w:val="403"/>
        </w:trPr>
        <w:tc>
          <w:tcPr>
            <w:tcW w:w="562" w:type="dxa"/>
            <w:shd w:val="clear" w:color="auto" w:fill="F2F2F2" w:themeFill="background1" w:themeFillShade="F2"/>
            <w:vAlign w:val="center"/>
          </w:tcPr>
          <w:p w14:paraId="2F7E918B"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25A23D5E"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5C18F7A5"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7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44E14D22"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0C828A50" w14:textId="77777777" w:rsidTr="00CD616E">
        <w:trPr>
          <w:trHeight w:val="439"/>
        </w:trPr>
        <w:tc>
          <w:tcPr>
            <w:tcW w:w="562" w:type="dxa"/>
            <w:shd w:val="clear" w:color="auto" w:fill="F2F2F2" w:themeFill="background1" w:themeFillShade="F2"/>
            <w:vAlign w:val="center"/>
          </w:tcPr>
          <w:p w14:paraId="770FF64F"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3A69210C"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6E259602"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7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32F8C3F6"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3AE8F0F0" w14:textId="77777777" w:rsidTr="00CD616E">
        <w:trPr>
          <w:trHeight w:val="403"/>
        </w:trPr>
        <w:tc>
          <w:tcPr>
            <w:tcW w:w="562" w:type="dxa"/>
            <w:shd w:val="clear" w:color="auto" w:fill="F2F2F2" w:themeFill="background1" w:themeFillShade="F2"/>
            <w:vAlign w:val="center"/>
          </w:tcPr>
          <w:p w14:paraId="0700DFA8"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4790D32C"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1A022018"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7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5E95FBC7"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4735F042" w14:textId="77777777" w:rsidTr="00CD616E">
        <w:trPr>
          <w:trHeight w:val="403"/>
        </w:trPr>
        <w:tc>
          <w:tcPr>
            <w:tcW w:w="562" w:type="dxa"/>
            <w:shd w:val="clear" w:color="auto" w:fill="F2F2F2" w:themeFill="background1" w:themeFillShade="F2"/>
            <w:vAlign w:val="center"/>
          </w:tcPr>
          <w:p w14:paraId="156FF364"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02D912C2"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5CB13E45"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7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16AEB3D7"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36E3AEA1" w14:textId="77777777" w:rsidTr="00CD616E">
        <w:trPr>
          <w:trHeight w:val="439"/>
        </w:trPr>
        <w:tc>
          <w:tcPr>
            <w:tcW w:w="562" w:type="dxa"/>
            <w:shd w:val="clear" w:color="auto" w:fill="F2F2F2" w:themeFill="background1" w:themeFillShade="F2"/>
            <w:vAlign w:val="center"/>
          </w:tcPr>
          <w:p w14:paraId="7B4EF3CE"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1EEC3241"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6650AA5F"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7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3FA4F8A5"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296C8B59" w14:textId="77777777" w:rsidTr="00CD616E">
        <w:trPr>
          <w:trHeight w:val="403"/>
        </w:trPr>
        <w:tc>
          <w:tcPr>
            <w:tcW w:w="562" w:type="dxa"/>
            <w:shd w:val="clear" w:color="auto" w:fill="F2F2F2" w:themeFill="background1" w:themeFillShade="F2"/>
            <w:vAlign w:val="center"/>
          </w:tcPr>
          <w:p w14:paraId="57AF246A"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7514CCBF"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39FFBE36"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7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2330FD27"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27BE5843" w14:textId="77777777" w:rsidTr="00CD616E">
        <w:trPr>
          <w:trHeight w:val="403"/>
        </w:trPr>
        <w:tc>
          <w:tcPr>
            <w:tcW w:w="562" w:type="dxa"/>
            <w:shd w:val="clear" w:color="auto" w:fill="F2F2F2" w:themeFill="background1" w:themeFillShade="F2"/>
            <w:vAlign w:val="center"/>
          </w:tcPr>
          <w:p w14:paraId="442AA86D"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639" w:type="dxa"/>
            <w:gridSpan w:val="3"/>
            <w:shd w:val="clear" w:color="auto" w:fill="F2F2F2" w:themeFill="background1" w:themeFillShade="F2"/>
            <w:vAlign w:val="center"/>
          </w:tcPr>
          <w:p w14:paraId="338C484C" w14:textId="77777777" w:rsidR="008A4A4F" w:rsidRPr="00A42F82" w:rsidRDefault="008A4A4F"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8A4A4F" w:rsidRPr="00A42F82" w14:paraId="7A53454A" w14:textId="77777777" w:rsidTr="00CD616E">
        <w:trPr>
          <w:trHeight w:val="403"/>
        </w:trPr>
        <w:tc>
          <w:tcPr>
            <w:tcW w:w="562" w:type="dxa"/>
            <w:vAlign w:val="center"/>
          </w:tcPr>
          <w:p w14:paraId="4C4CD536" w14:textId="77777777" w:rsidR="008A4A4F" w:rsidRPr="00A42F82" w:rsidRDefault="008A4A4F" w:rsidP="00A91894">
            <w:pPr>
              <w:autoSpaceDE w:val="0"/>
              <w:autoSpaceDN w:val="0"/>
              <w:adjustRightInd w:val="0"/>
              <w:jc w:val="center"/>
              <w:rPr>
                <w:rFonts w:ascii="Arial" w:hAnsi="Arial" w:cs="Arial"/>
                <w:sz w:val="22"/>
                <w:szCs w:val="22"/>
              </w:rPr>
            </w:pPr>
          </w:p>
        </w:tc>
        <w:tc>
          <w:tcPr>
            <w:tcW w:w="9639" w:type="dxa"/>
            <w:gridSpan w:val="3"/>
            <w:vAlign w:val="center"/>
          </w:tcPr>
          <w:p w14:paraId="3A9C4E69" w14:textId="77777777" w:rsidR="008A4A4F" w:rsidRPr="00A42F82" w:rsidRDefault="008A4A4F" w:rsidP="00A91894">
            <w:pPr>
              <w:rPr>
                <w:rFonts w:ascii="Arial" w:hAnsi="Arial" w:cs="Arial"/>
              </w:rPr>
            </w:pPr>
          </w:p>
          <w:p w14:paraId="1978EB29" w14:textId="77777777" w:rsidR="008A4A4F" w:rsidRPr="00A42F82" w:rsidRDefault="008A4A4F" w:rsidP="00A91894">
            <w:pPr>
              <w:rPr>
                <w:rFonts w:ascii="Arial" w:hAnsi="Arial" w:cs="Arial"/>
              </w:rPr>
            </w:pPr>
          </w:p>
          <w:p w14:paraId="4EE255A4" w14:textId="77777777" w:rsidR="008A4A4F" w:rsidRPr="00A42F82" w:rsidRDefault="008A4A4F" w:rsidP="00A91894">
            <w:pPr>
              <w:rPr>
                <w:rFonts w:ascii="Arial" w:hAnsi="Arial" w:cs="Arial"/>
                <w:sz w:val="22"/>
                <w:szCs w:val="22"/>
              </w:rPr>
            </w:pPr>
          </w:p>
          <w:p w14:paraId="5BFC54EF" w14:textId="77777777" w:rsidR="008A4A4F" w:rsidRPr="00A42F82" w:rsidRDefault="008A4A4F"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67961A5F" w14:textId="77777777" w:rsidR="008A4A4F" w:rsidRPr="00A42F82" w:rsidRDefault="008A4A4F" w:rsidP="00A91894">
      <w:pPr>
        <w:autoSpaceDE w:val="0"/>
        <w:autoSpaceDN w:val="0"/>
        <w:adjustRightInd w:val="0"/>
        <w:spacing w:after="240"/>
        <w:jc w:val="both"/>
        <w:rPr>
          <w:rFonts w:ascii="Arial" w:hAnsi="Arial" w:cs="Arial"/>
          <w:b/>
          <w:sz w:val="22"/>
          <w:szCs w:val="22"/>
        </w:rPr>
      </w:pPr>
    </w:p>
    <w:p w14:paraId="047E9D56" w14:textId="77777777" w:rsidR="008A4A4F" w:rsidRPr="00A42F82" w:rsidRDefault="008A4A4F"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201" w:type="dxa"/>
        <w:tblLook w:val="04A0" w:firstRow="1" w:lastRow="0" w:firstColumn="1" w:lastColumn="0" w:noHBand="0" w:noVBand="1"/>
      </w:tblPr>
      <w:tblGrid>
        <w:gridCol w:w="562"/>
        <w:gridCol w:w="8227"/>
        <w:gridCol w:w="846"/>
        <w:gridCol w:w="566"/>
      </w:tblGrid>
      <w:tr w:rsidR="008A4A4F" w:rsidRPr="00A42F82" w14:paraId="29A77634" w14:textId="77777777" w:rsidTr="00CD616E">
        <w:trPr>
          <w:trHeight w:val="558"/>
        </w:trPr>
        <w:tc>
          <w:tcPr>
            <w:tcW w:w="562" w:type="dxa"/>
            <w:shd w:val="clear" w:color="auto" w:fill="F2F2F2" w:themeFill="background1" w:themeFillShade="F2"/>
            <w:vAlign w:val="center"/>
          </w:tcPr>
          <w:p w14:paraId="08669229" w14:textId="77777777" w:rsidR="008A4A4F" w:rsidRPr="00A42F82" w:rsidRDefault="008A4A4F"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201DEEC" w14:textId="77777777" w:rsidR="008A4A4F" w:rsidRPr="00A42F82" w:rsidRDefault="008A4A4F"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CD1EE21" w14:textId="77777777" w:rsidR="008A4A4F" w:rsidRPr="00A42F82" w:rsidRDefault="008A4A4F"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566" w:type="dxa"/>
            <w:shd w:val="clear" w:color="auto" w:fill="F2F2F2" w:themeFill="background1" w:themeFillShade="F2"/>
            <w:vAlign w:val="center"/>
          </w:tcPr>
          <w:p w14:paraId="1CA9657F" w14:textId="77777777" w:rsidR="008A4A4F" w:rsidRPr="00A42F82" w:rsidRDefault="008A4A4F"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8A4A4F" w:rsidRPr="00A42F82" w14:paraId="43F64274" w14:textId="77777777" w:rsidTr="00CD616E">
        <w:trPr>
          <w:trHeight w:val="439"/>
        </w:trPr>
        <w:tc>
          <w:tcPr>
            <w:tcW w:w="562" w:type="dxa"/>
            <w:shd w:val="clear" w:color="auto" w:fill="F2F2F2" w:themeFill="background1" w:themeFillShade="F2"/>
            <w:vAlign w:val="center"/>
          </w:tcPr>
          <w:p w14:paraId="186E8428"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62D0AF25"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ADC1C9E"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6942D51A"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78B2A1EC" w14:textId="77777777" w:rsidTr="00CD616E">
        <w:trPr>
          <w:trHeight w:val="439"/>
        </w:trPr>
        <w:tc>
          <w:tcPr>
            <w:tcW w:w="562" w:type="dxa"/>
            <w:shd w:val="clear" w:color="auto" w:fill="F2F2F2" w:themeFill="background1" w:themeFillShade="F2"/>
            <w:vAlign w:val="center"/>
          </w:tcPr>
          <w:p w14:paraId="59602738"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2</w:t>
            </w:r>
          </w:p>
        </w:tc>
        <w:tc>
          <w:tcPr>
            <w:tcW w:w="8227" w:type="dxa"/>
            <w:shd w:val="clear" w:color="auto" w:fill="F2F2F2" w:themeFill="background1" w:themeFillShade="F2"/>
            <w:vAlign w:val="center"/>
          </w:tcPr>
          <w:p w14:paraId="58CD6955"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B4EC17C"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7761A98E"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09DEC76A" w14:textId="77777777" w:rsidTr="00CD616E">
        <w:trPr>
          <w:trHeight w:val="439"/>
        </w:trPr>
        <w:tc>
          <w:tcPr>
            <w:tcW w:w="562" w:type="dxa"/>
            <w:shd w:val="clear" w:color="auto" w:fill="F2F2F2" w:themeFill="background1" w:themeFillShade="F2"/>
            <w:vAlign w:val="center"/>
          </w:tcPr>
          <w:p w14:paraId="77FAC5F4"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6A891F25"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297CB1DF"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2FC09347"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6CEEA978" w14:textId="77777777" w:rsidTr="00CD616E">
        <w:trPr>
          <w:trHeight w:val="403"/>
        </w:trPr>
        <w:tc>
          <w:tcPr>
            <w:tcW w:w="562" w:type="dxa"/>
            <w:shd w:val="clear" w:color="auto" w:fill="F2F2F2" w:themeFill="background1" w:themeFillShade="F2"/>
            <w:vAlign w:val="center"/>
          </w:tcPr>
          <w:p w14:paraId="4294DEF6"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643A58B5"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6A13B0"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59820B0C"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55578F17" w14:textId="77777777" w:rsidTr="00CD616E">
        <w:trPr>
          <w:trHeight w:val="403"/>
        </w:trPr>
        <w:tc>
          <w:tcPr>
            <w:tcW w:w="562" w:type="dxa"/>
            <w:shd w:val="clear" w:color="auto" w:fill="F2F2F2" w:themeFill="background1" w:themeFillShade="F2"/>
            <w:vAlign w:val="center"/>
          </w:tcPr>
          <w:p w14:paraId="1AE83FD5"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5AE57CC2"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30F00907"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3971043"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6F682CE6" w14:textId="77777777" w:rsidTr="00CD616E">
        <w:trPr>
          <w:trHeight w:val="403"/>
        </w:trPr>
        <w:tc>
          <w:tcPr>
            <w:tcW w:w="562" w:type="dxa"/>
            <w:shd w:val="clear" w:color="auto" w:fill="F2F2F2" w:themeFill="background1" w:themeFillShade="F2"/>
            <w:vAlign w:val="center"/>
          </w:tcPr>
          <w:p w14:paraId="1B193A67"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31E23B1D"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4F029C21"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322C7A9A"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35436212" w14:textId="77777777" w:rsidTr="00CD616E">
        <w:trPr>
          <w:trHeight w:val="439"/>
        </w:trPr>
        <w:tc>
          <w:tcPr>
            <w:tcW w:w="562" w:type="dxa"/>
            <w:shd w:val="clear" w:color="auto" w:fill="F2F2F2" w:themeFill="background1" w:themeFillShade="F2"/>
            <w:vAlign w:val="center"/>
          </w:tcPr>
          <w:p w14:paraId="0A8F7449"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3C6CCA65"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349D4F2C"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11F31398"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0807210E" w14:textId="77777777" w:rsidTr="00CD616E">
        <w:trPr>
          <w:trHeight w:val="403"/>
        </w:trPr>
        <w:tc>
          <w:tcPr>
            <w:tcW w:w="562" w:type="dxa"/>
            <w:shd w:val="clear" w:color="auto" w:fill="F2F2F2" w:themeFill="background1" w:themeFillShade="F2"/>
            <w:vAlign w:val="center"/>
          </w:tcPr>
          <w:p w14:paraId="75161AB0"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6C0ABD15"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7304C53D"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190FA3AF"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084D6CC9" w14:textId="77777777" w:rsidTr="00CD616E">
        <w:trPr>
          <w:trHeight w:val="439"/>
        </w:trPr>
        <w:tc>
          <w:tcPr>
            <w:tcW w:w="562" w:type="dxa"/>
            <w:shd w:val="clear" w:color="auto" w:fill="F2F2F2" w:themeFill="background1" w:themeFillShade="F2"/>
            <w:vAlign w:val="center"/>
          </w:tcPr>
          <w:p w14:paraId="148BDD92"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54BFE874"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1458FBE"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4A8518D"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017B82ED" w14:textId="77777777" w:rsidTr="00CD616E">
        <w:trPr>
          <w:trHeight w:val="403"/>
        </w:trPr>
        <w:tc>
          <w:tcPr>
            <w:tcW w:w="562" w:type="dxa"/>
            <w:shd w:val="clear" w:color="auto" w:fill="F2F2F2" w:themeFill="background1" w:themeFillShade="F2"/>
            <w:vAlign w:val="center"/>
          </w:tcPr>
          <w:p w14:paraId="1D531757"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17B3208D"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4DF480B0"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37F9B402"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61F20DB5" w14:textId="77777777" w:rsidTr="00CD616E">
        <w:trPr>
          <w:trHeight w:val="403"/>
        </w:trPr>
        <w:tc>
          <w:tcPr>
            <w:tcW w:w="562" w:type="dxa"/>
            <w:shd w:val="clear" w:color="auto" w:fill="F2F2F2" w:themeFill="background1" w:themeFillShade="F2"/>
            <w:vAlign w:val="center"/>
          </w:tcPr>
          <w:p w14:paraId="7A5A7B89"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7C4234DF"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12F34F5E"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1B388279"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790BBFEA" w14:textId="77777777" w:rsidTr="00CD616E">
        <w:trPr>
          <w:trHeight w:val="403"/>
        </w:trPr>
        <w:tc>
          <w:tcPr>
            <w:tcW w:w="562" w:type="dxa"/>
            <w:shd w:val="clear" w:color="auto" w:fill="F2F2F2" w:themeFill="background1" w:themeFillShade="F2"/>
            <w:vAlign w:val="center"/>
          </w:tcPr>
          <w:p w14:paraId="1E04C9F9"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38C51A8B"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7C980C1A"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701537D4"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54CA24CB" w14:textId="77777777" w:rsidTr="00CD616E">
        <w:trPr>
          <w:trHeight w:val="403"/>
        </w:trPr>
        <w:tc>
          <w:tcPr>
            <w:tcW w:w="562" w:type="dxa"/>
            <w:shd w:val="clear" w:color="auto" w:fill="F2F2F2" w:themeFill="background1" w:themeFillShade="F2"/>
            <w:vAlign w:val="center"/>
          </w:tcPr>
          <w:p w14:paraId="52CE769B"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55A90939"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50D3C5A5"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7522108"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7295980D" w14:textId="77777777" w:rsidTr="00CD616E">
        <w:trPr>
          <w:trHeight w:val="403"/>
        </w:trPr>
        <w:tc>
          <w:tcPr>
            <w:tcW w:w="562" w:type="dxa"/>
            <w:shd w:val="clear" w:color="auto" w:fill="F2F2F2" w:themeFill="background1" w:themeFillShade="F2"/>
            <w:vAlign w:val="center"/>
          </w:tcPr>
          <w:p w14:paraId="69F2675F"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1374895F"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78C6BD87"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B61D0D6"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7CC88BB9" w14:textId="77777777" w:rsidTr="00CD616E">
        <w:trPr>
          <w:trHeight w:val="403"/>
        </w:trPr>
        <w:tc>
          <w:tcPr>
            <w:tcW w:w="562" w:type="dxa"/>
            <w:shd w:val="clear" w:color="auto" w:fill="F2F2F2" w:themeFill="background1" w:themeFillShade="F2"/>
            <w:vAlign w:val="center"/>
          </w:tcPr>
          <w:p w14:paraId="6FF723BB"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7722A442"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07046467"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4E8C7099"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599AF7D6" w14:textId="77777777" w:rsidTr="00CD616E">
        <w:trPr>
          <w:trHeight w:val="403"/>
        </w:trPr>
        <w:tc>
          <w:tcPr>
            <w:tcW w:w="562" w:type="dxa"/>
            <w:shd w:val="clear" w:color="auto" w:fill="F2F2F2" w:themeFill="background1" w:themeFillShade="F2"/>
            <w:vAlign w:val="center"/>
          </w:tcPr>
          <w:p w14:paraId="34A538DC"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4183251E"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5F33B787"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6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5E14A8C2"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080FE8C0" w14:textId="77777777" w:rsidTr="00CD616E">
        <w:trPr>
          <w:trHeight w:val="403"/>
        </w:trPr>
        <w:tc>
          <w:tcPr>
            <w:tcW w:w="562" w:type="dxa"/>
            <w:shd w:val="clear" w:color="auto" w:fill="F2F2F2" w:themeFill="background1" w:themeFillShade="F2"/>
            <w:vAlign w:val="center"/>
          </w:tcPr>
          <w:p w14:paraId="2922B305"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333A9E55"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6AD902B6"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6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249E62C"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3EFBCE0A" w14:textId="77777777" w:rsidTr="00CD616E">
        <w:trPr>
          <w:trHeight w:val="403"/>
        </w:trPr>
        <w:tc>
          <w:tcPr>
            <w:tcW w:w="562" w:type="dxa"/>
            <w:vAlign w:val="center"/>
          </w:tcPr>
          <w:p w14:paraId="6560BB28" w14:textId="77777777" w:rsidR="008A4A4F" w:rsidRPr="00A42F82" w:rsidRDefault="008A4A4F" w:rsidP="00A91894">
            <w:pPr>
              <w:autoSpaceDE w:val="0"/>
              <w:autoSpaceDN w:val="0"/>
              <w:adjustRightInd w:val="0"/>
              <w:rPr>
                <w:rFonts w:ascii="Arial" w:hAnsi="Arial" w:cs="Arial"/>
                <w:sz w:val="22"/>
                <w:szCs w:val="22"/>
              </w:rPr>
            </w:pPr>
          </w:p>
        </w:tc>
        <w:tc>
          <w:tcPr>
            <w:tcW w:w="8227" w:type="dxa"/>
            <w:vAlign w:val="center"/>
          </w:tcPr>
          <w:p w14:paraId="4AF8CA38"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5729445" w14:textId="77777777" w:rsidR="008A4A4F" w:rsidRPr="00A42F82" w:rsidRDefault="008A4A4F" w:rsidP="00A91894">
            <w:pPr>
              <w:rPr>
                <w:rFonts w:ascii="Arial" w:hAnsi="Arial" w:cs="Arial"/>
              </w:rPr>
            </w:pPr>
            <w:r>
              <w:rPr>
                <w:rFonts w:ascii="Arial" w:hAnsi="Arial" w:cs="Arial"/>
              </w:rPr>
              <w:t xml:space="preserve">Secondary data collection </w:t>
            </w:r>
          </w:p>
          <w:p w14:paraId="57AEF14F" w14:textId="77777777" w:rsidR="008A4A4F" w:rsidRPr="00A42F82" w:rsidRDefault="008A4A4F" w:rsidP="00A91894">
            <w:pPr>
              <w:rPr>
                <w:rFonts w:ascii="Arial" w:hAnsi="Arial" w:cs="Arial"/>
              </w:rPr>
            </w:pPr>
          </w:p>
          <w:p w14:paraId="6D6C4029" w14:textId="77777777" w:rsidR="008A4A4F" w:rsidRPr="00A42F82" w:rsidRDefault="008A4A4F" w:rsidP="00A91894">
            <w:pPr>
              <w:rPr>
                <w:rFonts w:ascii="Arial" w:hAnsi="Arial" w:cs="Arial"/>
                <w:sz w:val="22"/>
                <w:szCs w:val="22"/>
              </w:rPr>
            </w:pPr>
          </w:p>
          <w:p w14:paraId="6CE64447"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58D63A79" w14:textId="77777777" w:rsidR="008A4A4F" w:rsidRPr="00A42F82" w:rsidRDefault="008A4A4F" w:rsidP="00A91894">
            <w:pPr>
              <w:autoSpaceDE w:val="0"/>
              <w:autoSpaceDN w:val="0"/>
              <w:adjustRightInd w:val="0"/>
              <w:jc w:val="center"/>
              <w:rPr>
                <w:rFonts w:ascii="Arial" w:hAnsi="Arial" w:cs="Arial"/>
                <w:b/>
                <w:bCs/>
                <w:sz w:val="22"/>
                <w:szCs w:val="22"/>
              </w:rPr>
            </w:pPr>
          </w:p>
        </w:tc>
        <w:tc>
          <w:tcPr>
            <w:tcW w:w="566" w:type="dxa"/>
            <w:vMerge/>
            <w:shd w:val="clear" w:color="auto" w:fill="BFBFBF" w:themeFill="background1" w:themeFillShade="BF"/>
            <w:vAlign w:val="center"/>
          </w:tcPr>
          <w:p w14:paraId="2D8E1657" w14:textId="77777777" w:rsidR="008A4A4F" w:rsidRPr="00A42F82" w:rsidRDefault="008A4A4F" w:rsidP="00A91894">
            <w:pPr>
              <w:autoSpaceDE w:val="0"/>
              <w:autoSpaceDN w:val="0"/>
              <w:adjustRightInd w:val="0"/>
              <w:jc w:val="center"/>
              <w:rPr>
                <w:rFonts w:ascii="Arial" w:hAnsi="Arial" w:cs="Arial"/>
                <w:b/>
                <w:bCs/>
                <w:sz w:val="22"/>
                <w:szCs w:val="22"/>
              </w:rPr>
            </w:pPr>
          </w:p>
        </w:tc>
      </w:tr>
    </w:tbl>
    <w:p w14:paraId="5D1C2594" w14:textId="77777777" w:rsidR="008A4A4F" w:rsidRPr="00A42F82" w:rsidRDefault="008A4A4F"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1BDA97B4" w14:textId="77777777" w:rsidR="008A4A4F" w:rsidRPr="00A42F82" w:rsidRDefault="008A4A4F" w:rsidP="00A91894">
      <w:pPr>
        <w:rPr>
          <w:rFonts w:ascii="Arial" w:hAnsi="Arial" w:cs="Arial"/>
          <w:bCs/>
          <w:iCs/>
          <w:sz w:val="22"/>
          <w:szCs w:val="22"/>
        </w:rPr>
      </w:pPr>
    </w:p>
    <w:p w14:paraId="2BFA8E50" w14:textId="77777777" w:rsidR="008A4A4F" w:rsidRPr="00A42F82" w:rsidRDefault="008A4A4F" w:rsidP="00A91894">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46325633" w14:textId="77777777" w:rsidR="008A4A4F" w:rsidRPr="00A42F82" w:rsidRDefault="008A4A4F" w:rsidP="00A91894">
      <w:pPr>
        <w:rPr>
          <w:rFonts w:ascii="Arial" w:hAnsi="Arial" w:cs="Arial"/>
          <w:bCs/>
          <w:iCs/>
          <w:sz w:val="22"/>
          <w:szCs w:val="22"/>
        </w:rPr>
      </w:pPr>
    </w:p>
    <w:p w14:paraId="1421B2C7" w14:textId="77777777" w:rsidR="008A4A4F" w:rsidRPr="00A42F82" w:rsidRDefault="008A4A4F"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6BD4445F" w14:textId="77777777" w:rsidR="008A4A4F" w:rsidRPr="00A42F82" w:rsidRDefault="008A4A4F" w:rsidP="00A91894">
      <w:pPr>
        <w:rPr>
          <w:rFonts w:ascii="Arial" w:hAnsi="Arial" w:cs="Arial"/>
          <w:bCs/>
        </w:rPr>
      </w:pPr>
      <w:r w:rsidRPr="00A42F82">
        <w:rPr>
          <w:rFonts w:ascii="Arial" w:hAnsi="Arial" w:cs="Arial"/>
          <w:bCs/>
        </w:rPr>
        <w:t>If there are no participants then do not complete this section, but go directly to section H.</w:t>
      </w:r>
    </w:p>
    <w:p w14:paraId="494FE6AC" w14:textId="77777777" w:rsidR="008A4A4F" w:rsidRPr="00A42F82" w:rsidRDefault="008A4A4F" w:rsidP="00A91894">
      <w:pPr>
        <w:rPr>
          <w:rFonts w:ascii="Arial" w:hAnsi="Arial" w:cs="Arial"/>
          <w:bCs/>
        </w:rPr>
      </w:pPr>
    </w:p>
    <w:tbl>
      <w:tblPr>
        <w:tblStyle w:val="TableGrid"/>
        <w:tblW w:w="10201" w:type="dxa"/>
        <w:tblLook w:val="04A0" w:firstRow="1" w:lastRow="0" w:firstColumn="1" w:lastColumn="0" w:noHBand="0" w:noVBand="1"/>
      </w:tblPr>
      <w:tblGrid>
        <w:gridCol w:w="562"/>
        <w:gridCol w:w="8217"/>
        <w:gridCol w:w="850"/>
        <w:gridCol w:w="572"/>
      </w:tblGrid>
      <w:tr w:rsidR="008A4A4F" w:rsidRPr="00A42F82" w14:paraId="6427A1E0" w14:textId="77777777" w:rsidTr="00CD616E">
        <w:tc>
          <w:tcPr>
            <w:tcW w:w="562" w:type="dxa"/>
            <w:shd w:val="clear" w:color="auto" w:fill="F2F2F2" w:themeFill="background1" w:themeFillShade="F2"/>
            <w:vAlign w:val="center"/>
          </w:tcPr>
          <w:p w14:paraId="19513F8F" w14:textId="77777777" w:rsidR="008A4A4F" w:rsidRPr="00A42F82" w:rsidRDefault="008A4A4F"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D001A14" w14:textId="77777777" w:rsidR="008A4A4F" w:rsidRPr="00A42F82" w:rsidRDefault="008A4A4F"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67F555E4" w14:textId="77777777" w:rsidR="008A4A4F" w:rsidRPr="00A42F82" w:rsidRDefault="008A4A4F" w:rsidP="00A91894">
            <w:pPr>
              <w:autoSpaceDE w:val="0"/>
              <w:autoSpaceDN w:val="0"/>
              <w:adjustRightInd w:val="0"/>
              <w:jc w:val="center"/>
              <w:rPr>
                <w:rFonts w:ascii="Arial" w:hAnsi="Arial" w:cs="Arial"/>
                <w:b/>
                <w:bCs/>
                <w:sz w:val="22"/>
                <w:szCs w:val="22"/>
              </w:rPr>
            </w:pPr>
          </w:p>
          <w:p w14:paraId="49ED09DB" w14:textId="77777777" w:rsidR="008A4A4F" w:rsidRPr="00A42F82" w:rsidRDefault="008A4A4F"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572" w:type="dxa"/>
            <w:shd w:val="clear" w:color="auto" w:fill="F2F2F2" w:themeFill="background1" w:themeFillShade="F2"/>
          </w:tcPr>
          <w:p w14:paraId="25A00455" w14:textId="77777777" w:rsidR="008A4A4F" w:rsidRPr="00A42F82" w:rsidRDefault="008A4A4F" w:rsidP="00A91894">
            <w:pPr>
              <w:autoSpaceDE w:val="0"/>
              <w:autoSpaceDN w:val="0"/>
              <w:adjustRightInd w:val="0"/>
              <w:jc w:val="center"/>
              <w:rPr>
                <w:rFonts w:ascii="Arial" w:hAnsi="Arial" w:cs="Arial"/>
                <w:b/>
                <w:bCs/>
                <w:sz w:val="22"/>
                <w:szCs w:val="22"/>
              </w:rPr>
            </w:pPr>
          </w:p>
          <w:p w14:paraId="06D2E854" w14:textId="77777777" w:rsidR="008A4A4F" w:rsidRPr="00A42F82" w:rsidRDefault="008A4A4F"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8A4A4F" w:rsidRPr="00A42F82" w14:paraId="52880D51" w14:textId="77777777" w:rsidTr="00CD616E">
        <w:trPr>
          <w:trHeight w:val="439"/>
        </w:trPr>
        <w:tc>
          <w:tcPr>
            <w:tcW w:w="562" w:type="dxa"/>
            <w:shd w:val="clear" w:color="auto" w:fill="F2F2F2" w:themeFill="background1" w:themeFillShade="F2"/>
            <w:vAlign w:val="center"/>
          </w:tcPr>
          <w:p w14:paraId="5F79F387"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480641F"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2C8DF08D"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7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5C520B4A"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37C7FB78" w14:textId="77777777" w:rsidTr="00CD616E">
        <w:trPr>
          <w:trHeight w:val="403"/>
        </w:trPr>
        <w:tc>
          <w:tcPr>
            <w:tcW w:w="562" w:type="dxa"/>
            <w:shd w:val="clear" w:color="auto" w:fill="F2F2F2" w:themeFill="background1" w:themeFillShade="F2"/>
            <w:vAlign w:val="center"/>
          </w:tcPr>
          <w:p w14:paraId="4873CACC"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1D37BCF1"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7E58324D"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57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188EC27D"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60D013F4" w14:textId="77777777" w:rsidTr="00CD616E">
        <w:trPr>
          <w:trHeight w:val="439"/>
        </w:trPr>
        <w:tc>
          <w:tcPr>
            <w:tcW w:w="562" w:type="dxa"/>
            <w:shd w:val="clear" w:color="auto" w:fill="F2F2F2" w:themeFill="background1" w:themeFillShade="F2"/>
            <w:vAlign w:val="center"/>
          </w:tcPr>
          <w:p w14:paraId="0E06FE11"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3D4D92FD"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640CD251"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7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5AED6888"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05378278" w14:textId="77777777" w:rsidTr="00CD616E">
        <w:trPr>
          <w:trHeight w:val="403"/>
        </w:trPr>
        <w:tc>
          <w:tcPr>
            <w:tcW w:w="562" w:type="dxa"/>
            <w:shd w:val="clear" w:color="auto" w:fill="F2F2F2" w:themeFill="background1" w:themeFillShade="F2"/>
            <w:vAlign w:val="center"/>
          </w:tcPr>
          <w:p w14:paraId="299A5CB8"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1E3D9F5"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3D2D610C"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7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10F0E96C"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212BF50C" w14:textId="77777777" w:rsidTr="00CD616E">
        <w:trPr>
          <w:trHeight w:val="403"/>
        </w:trPr>
        <w:tc>
          <w:tcPr>
            <w:tcW w:w="562" w:type="dxa"/>
            <w:shd w:val="clear" w:color="auto" w:fill="F2F2F2" w:themeFill="background1" w:themeFillShade="F2"/>
            <w:vAlign w:val="center"/>
          </w:tcPr>
          <w:p w14:paraId="3D94EBD8"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1528846E"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4E6D23F6"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7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4C097074"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2C41600E" w14:textId="77777777" w:rsidTr="00CD616E">
        <w:trPr>
          <w:trHeight w:val="439"/>
        </w:trPr>
        <w:tc>
          <w:tcPr>
            <w:tcW w:w="562" w:type="dxa"/>
            <w:shd w:val="clear" w:color="auto" w:fill="F2F2F2" w:themeFill="background1" w:themeFillShade="F2"/>
            <w:vAlign w:val="center"/>
          </w:tcPr>
          <w:p w14:paraId="2E649E35"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8217" w:type="dxa"/>
            <w:shd w:val="clear" w:color="auto" w:fill="F2F2F2" w:themeFill="background1" w:themeFillShade="F2"/>
            <w:vAlign w:val="center"/>
          </w:tcPr>
          <w:p w14:paraId="651630B7"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1F57D80A"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7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0807BF45"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39F36788" w14:textId="77777777" w:rsidTr="00CD616E">
        <w:trPr>
          <w:trHeight w:val="403"/>
        </w:trPr>
        <w:tc>
          <w:tcPr>
            <w:tcW w:w="562" w:type="dxa"/>
            <w:shd w:val="clear" w:color="auto" w:fill="F2F2F2" w:themeFill="background1" w:themeFillShade="F2"/>
            <w:vAlign w:val="center"/>
          </w:tcPr>
          <w:p w14:paraId="630ED672"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4B45B9B1"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4CF192D1"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7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6A9A3BC2"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75E4749C" w14:textId="77777777" w:rsidTr="00CD616E">
        <w:trPr>
          <w:trHeight w:val="403"/>
        </w:trPr>
        <w:tc>
          <w:tcPr>
            <w:tcW w:w="562" w:type="dxa"/>
            <w:shd w:val="clear" w:color="auto" w:fill="F2F2F2" w:themeFill="background1" w:themeFillShade="F2"/>
            <w:vAlign w:val="center"/>
          </w:tcPr>
          <w:p w14:paraId="49D78F04"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6D9678A6"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409F5D3C"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7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3CC8940C"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70CF0436" w14:textId="77777777" w:rsidTr="00CD616E">
        <w:trPr>
          <w:trHeight w:val="403"/>
        </w:trPr>
        <w:tc>
          <w:tcPr>
            <w:tcW w:w="562" w:type="dxa"/>
            <w:shd w:val="clear" w:color="auto" w:fill="F2F2F2" w:themeFill="background1" w:themeFillShade="F2"/>
            <w:vAlign w:val="center"/>
          </w:tcPr>
          <w:p w14:paraId="585A8639"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23DC14CC"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4D1692A7" w14:textId="77777777" w:rsidR="008A4A4F" w:rsidRPr="00A42F82" w:rsidRDefault="008A4A4F"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7604E183"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572" w:type="dxa"/>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344C5E6B"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5E1B98C0" w14:textId="77777777" w:rsidTr="00CD616E">
        <w:trPr>
          <w:trHeight w:val="403"/>
        </w:trPr>
        <w:tc>
          <w:tcPr>
            <w:tcW w:w="562" w:type="dxa"/>
            <w:vAlign w:val="center"/>
          </w:tcPr>
          <w:p w14:paraId="50E1878C" w14:textId="77777777" w:rsidR="008A4A4F" w:rsidRPr="00A42F82" w:rsidRDefault="008A4A4F" w:rsidP="00A91894">
            <w:pPr>
              <w:autoSpaceDE w:val="0"/>
              <w:autoSpaceDN w:val="0"/>
              <w:adjustRightInd w:val="0"/>
              <w:jc w:val="center"/>
              <w:rPr>
                <w:rFonts w:ascii="Arial" w:hAnsi="Arial" w:cs="Arial"/>
                <w:sz w:val="22"/>
                <w:szCs w:val="22"/>
              </w:rPr>
            </w:pPr>
          </w:p>
        </w:tc>
        <w:tc>
          <w:tcPr>
            <w:tcW w:w="8217" w:type="dxa"/>
            <w:vAlign w:val="center"/>
          </w:tcPr>
          <w:p w14:paraId="7719F07B"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392B8ABB" w14:textId="77777777" w:rsidR="008A4A4F" w:rsidRPr="00A42F82" w:rsidRDefault="008A4A4F" w:rsidP="00A91894">
            <w:pPr>
              <w:rPr>
                <w:rFonts w:ascii="Arial" w:hAnsi="Arial" w:cs="Arial"/>
              </w:rPr>
            </w:pPr>
          </w:p>
          <w:p w14:paraId="5675FF13" w14:textId="77777777" w:rsidR="008A4A4F" w:rsidRPr="00A42F82" w:rsidRDefault="008A4A4F" w:rsidP="00A91894">
            <w:pPr>
              <w:rPr>
                <w:rFonts w:ascii="Arial" w:hAnsi="Arial" w:cs="Arial"/>
              </w:rPr>
            </w:pPr>
          </w:p>
          <w:p w14:paraId="07C75F43" w14:textId="77777777" w:rsidR="008A4A4F" w:rsidRPr="00A42F82" w:rsidRDefault="008A4A4F" w:rsidP="00A91894">
            <w:pPr>
              <w:rPr>
                <w:rFonts w:ascii="Arial" w:hAnsi="Arial" w:cs="Arial"/>
                <w:sz w:val="22"/>
                <w:szCs w:val="22"/>
              </w:rPr>
            </w:pPr>
          </w:p>
          <w:p w14:paraId="069E3B46"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F54AD2A" w14:textId="77777777" w:rsidR="008A4A4F" w:rsidRPr="00A42F82" w:rsidRDefault="008A4A4F" w:rsidP="00A91894">
            <w:pPr>
              <w:autoSpaceDE w:val="0"/>
              <w:autoSpaceDN w:val="0"/>
              <w:adjustRightInd w:val="0"/>
              <w:jc w:val="center"/>
              <w:rPr>
                <w:rFonts w:ascii="Arial" w:hAnsi="Arial" w:cs="Arial"/>
                <w:b/>
                <w:bCs/>
                <w:sz w:val="22"/>
                <w:szCs w:val="22"/>
              </w:rPr>
            </w:pPr>
          </w:p>
        </w:tc>
        <w:tc>
          <w:tcPr>
            <w:tcW w:w="572" w:type="dxa"/>
            <w:shd w:val="clear" w:color="auto" w:fill="BFBFBF" w:themeFill="background1" w:themeFillShade="BF"/>
            <w:vAlign w:val="center"/>
          </w:tcPr>
          <w:p w14:paraId="6E84220F" w14:textId="77777777" w:rsidR="008A4A4F" w:rsidRPr="00A42F82" w:rsidRDefault="008A4A4F" w:rsidP="00A91894">
            <w:pPr>
              <w:autoSpaceDE w:val="0"/>
              <w:autoSpaceDN w:val="0"/>
              <w:adjustRightInd w:val="0"/>
              <w:jc w:val="center"/>
              <w:rPr>
                <w:rFonts w:ascii="Arial" w:hAnsi="Arial" w:cs="Arial"/>
                <w:b/>
                <w:bCs/>
                <w:sz w:val="22"/>
                <w:szCs w:val="22"/>
              </w:rPr>
            </w:pPr>
          </w:p>
        </w:tc>
      </w:tr>
    </w:tbl>
    <w:p w14:paraId="63BFEEF7" w14:textId="77777777" w:rsidR="008A4A4F" w:rsidRPr="00A42F82" w:rsidRDefault="008A4A4F" w:rsidP="00A91894">
      <w:pPr>
        <w:rPr>
          <w:rFonts w:ascii="Arial" w:hAnsi="Arial" w:cs="Arial"/>
          <w:bCs/>
        </w:rPr>
      </w:pPr>
    </w:p>
    <w:tbl>
      <w:tblPr>
        <w:tblStyle w:val="TableGrid"/>
        <w:tblW w:w="10201" w:type="dxa"/>
        <w:tblLook w:val="04A0" w:firstRow="1" w:lastRow="0" w:firstColumn="1" w:lastColumn="0" w:noHBand="0" w:noVBand="1"/>
      </w:tblPr>
      <w:tblGrid>
        <w:gridCol w:w="562"/>
        <w:gridCol w:w="3256"/>
        <w:gridCol w:w="6383"/>
      </w:tblGrid>
      <w:tr w:rsidR="008A4A4F" w:rsidRPr="00A42F82" w14:paraId="3A178D1A" w14:textId="77777777" w:rsidTr="00CD616E">
        <w:trPr>
          <w:trHeight w:val="403"/>
        </w:trPr>
        <w:tc>
          <w:tcPr>
            <w:tcW w:w="562" w:type="dxa"/>
            <w:tcBorders>
              <w:bottom w:val="single" w:sz="4" w:space="0" w:color="auto"/>
            </w:tcBorders>
            <w:shd w:val="clear" w:color="auto" w:fill="F2F2F2" w:themeFill="background1" w:themeFillShade="F2"/>
          </w:tcPr>
          <w:p w14:paraId="553F652D" w14:textId="77777777" w:rsidR="008A4A4F" w:rsidRPr="00A42F82" w:rsidRDefault="008A4A4F" w:rsidP="00A91894">
            <w:pPr>
              <w:rPr>
                <w:rFonts w:ascii="Arial" w:hAnsi="Arial" w:cs="Arial"/>
                <w:bCs/>
                <w:sz w:val="22"/>
                <w:szCs w:val="22"/>
              </w:rPr>
            </w:pPr>
          </w:p>
        </w:tc>
        <w:tc>
          <w:tcPr>
            <w:tcW w:w="9639" w:type="dxa"/>
            <w:gridSpan w:val="2"/>
            <w:tcBorders>
              <w:bottom w:val="single" w:sz="4" w:space="0" w:color="auto"/>
            </w:tcBorders>
            <w:shd w:val="clear" w:color="auto" w:fill="F2F2F2" w:themeFill="background1" w:themeFillShade="F2"/>
            <w:vAlign w:val="center"/>
          </w:tcPr>
          <w:p w14:paraId="7C195B51" w14:textId="77777777" w:rsidR="008A4A4F" w:rsidRPr="00A42F82" w:rsidRDefault="008A4A4F" w:rsidP="00A91894">
            <w:pPr>
              <w:rPr>
                <w:rFonts w:ascii="Arial" w:hAnsi="Arial" w:cs="Arial"/>
                <w:b/>
                <w:sz w:val="22"/>
                <w:szCs w:val="22"/>
              </w:rPr>
            </w:pPr>
            <w:r w:rsidRPr="00A42F82">
              <w:rPr>
                <w:rFonts w:ascii="Arial" w:hAnsi="Arial" w:cs="Arial"/>
                <w:b/>
                <w:sz w:val="22"/>
                <w:szCs w:val="22"/>
              </w:rPr>
              <w:t>Participant numbers and source</w:t>
            </w:r>
          </w:p>
          <w:p w14:paraId="73D128CF"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8A4A4F" w:rsidRPr="00A42F82" w14:paraId="4FDB19D3" w14:textId="77777777" w:rsidTr="00CD616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8CFAAF" w14:textId="77777777" w:rsidR="008A4A4F" w:rsidRPr="00A42F82" w:rsidRDefault="008A4A4F"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79D60E" w14:textId="77777777" w:rsidR="008A4A4F" w:rsidRPr="00A42F82" w:rsidRDefault="008A4A4F" w:rsidP="00A91894">
            <w:pPr>
              <w:rPr>
                <w:rFonts w:ascii="Arial" w:hAnsi="Arial" w:cs="Arial"/>
                <w:sz w:val="22"/>
                <w:szCs w:val="22"/>
              </w:rPr>
            </w:pPr>
            <w:r w:rsidRPr="00A42F82">
              <w:rPr>
                <w:rFonts w:ascii="Arial" w:hAnsi="Arial" w:cs="Arial"/>
                <w:sz w:val="22"/>
                <w:szCs w:val="22"/>
              </w:rPr>
              <w:t>How many participants are expected?</w:t>
            </w:r>
          </w:p>
          <w:p w14:paraId="20159FB2" w14:textId="77777777" w:rsidR="008A4A4F" w:rsidRPr="00A42F82" w:rsidRDefault="008A4A4F" w:rsidP="00A91894">
            <w:pPr>
              <w:rPr>
                <w:rFonts w:ascii="Arial" w:hAnsi="Arial" w:cs="Arial"/>
                <w:sz w:val="22"/>
                <w:szCs w:val="22"/>
              </w:rPr>
            </w:pPr>
          </w:p>
        </w:tc>
        <w:tc>
          <w:tcPr>
            <w:tcW w:w="6383" w:type="dxa"/>
            <w:tcBorders>
              <w:top w:val="single" w:sz="4" w:space="0" w:color="auto"/>
              <w:left w:val="single" w:sz="4" w:space="0" w:color="auto"/>
              <w:bottom w:val="single" w:sz="4" w:space="0" w:color="auto"/>
              <w:right w:val="single" w:sz="4" w:space="0" w:color="auto"/>
            </w:tcBorders>
            <w:vAlign w:val="center"/>
          </w:tcPr>
          <w:p w14:paraId="789C2383" w14:textId="77777777" w:rsidR="008A4A4F" w:rsidRPr="00A42F82" w:rsidRDefault="008A4A4F" w:rsidP="00A91894">
            <w:pPr>
              <w:rPr>
                <w:rFonts w:ascii="Arial" w:hAnsi="Arial" w:cs="Arial"/>
                <w:sz w:val="22"/>
                <w:szCs w:val="22"/>
              </w:rPr>
            </w:pPr>
          </w:p>
          <w:p w14:paraId="190B4D1B" w14:textId="77777777" w:rsidR="008A4A4F" w:rsidRPr="00A42F82" w:rsidRDefault="008A4A4F" w:rsidP="00A91894">
            <w:pPr>
              <w:rPr>
                <w:rFonts w:ascii="Arial" w:hAnsi="Arial" w:cs="Arial"/>
                <w:sz w:val="22"/>
                <w:szCs w:val="22"/>
              </w:rPr>
            </w:pPr>
          </w:p>
          <w:p w14:paraId="6199C9AA" w14:textId="77777777" w:rsidR="008A4A4F" w:rsidRPr="00A42F82" w:rsidRDefault="008A4A4F" w:rsidP="00A91894">
            <w:pPr>
              <w:rPr>
                <w:rFonts w:ascii="Arial" w:hAnsi="Arial" w:cs="Arial"/>
                <w:sz w:val="22"/>
                <w:szCs w:val="22"/>
              </w:rPr>
            </w:pPr>
          </w:p>
          <w:p w14:paraId="63DA7C30" w14:textId="77777777" w:rsidR="008A4A4F" w:rsidRPr="00A42F82" w:rsidRDefault="008A4A4F"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8A4A4F" w:rsidRPr="00A42F82" w14:paraId="2DEED1B6" w14:textId="77777777" w:rsidTr="00CD616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7A8C12" w14:textId="77777777" w:rsidR="008A4A4F" w:rsidRPr="00A42F82" w:rsidRDefault="008A4A4F"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5C4EE7" w14:textId="77777777" w:rsidR="008A4A4F" w:rsidRPr="00A42F82" w:rsidRDefault="008A4A4F" w:rsidP="00A91894">
            <w:pPr>
              <w:rPr>
                <w:rFonts w:ascii="Arial" w:hAnsi="Arial" w:cs="Arial"/>
                <w:sz w:val="22"/>
                <w:szCs w:val="22"/>
              </w:rPr>
            </w:pPr>
            <w:r w:rsidRPr="00A42F82">
              <w:rPr>
                <w:rFonts w:ascii="Arial" w:hAnsi="Arial" w:cs="Arial"/>
                <w:sz w:val="22"/>
                <w:szCs w:val="22"/>
              </w:rPr>
              <w:t>Who will the participants be?</w:t>
            </w:r>
          </w:p>
          <w:p w14:paraId="034BCEE3" w14:textId="77777777" w:rsidR="008A4A4F" w:rsidRPr="00A42F82" w:rsidRDefault="008A4A4F" w:rsidP="00A91894">
            <w:pPr>
              <w:rPr>
                <w:rFonts w:ascii="Arial" w:hAnsi="Arial" w:cs="Arial"/>
                <w:sz w:val="22"/>
                <w:szCs w:val="22"/>
              </w:rPr>
            </w:pPr>
          </w:p>
        </w:tc>
        <w:tc>
          <w:tcPr>
            <w:tcW w:w="6383" w:type="dxa"/>
            <w:tcBorders>
              <w:top w:val="single" w:sz="4" w:space="0" w:color="auto"/>
              <w:left w:val="single" w:sz="4" w:space="0" w:color="auto"/>
              <w:bottom w:val="single" w:sz="4" w:space="0" w:color="auto"/>
              <w:right w:val="single" w:sz="4" w:space="0" w:color="auto"/>
            </w:tcBorders>
            <w:vAlign w:val="center"/>
          </w:tcPr>
          <w:p w14:paraId="0E4C7B36" w14:textId="77777777" w:rsidR="008A4A4F" w:rsidRPr="00A42F82" w:rsidRDefault="008A4A4F" w:rsidP="00A91894">
            <w:pPr>
              <w:rPr>
                <w:rFonts w:ascii="Arial" w:hAnsi="Arial" w:cs="Arial"/>
                <w:sz w:val="22"/>
                <w:szCs w:val="22"/>
              </w:rPr>
            </w:pPr>
          </w:p>
          <w:p w14:paraId="271F888F" w14:textId="77777777" w:rsidR="008A4A4F" w:rsidRPr="00A42F82" w:rsidRDefault="008A4A4F" w:rsidP="00A91894">
            <w:pPr>
              <w:rPr>
                <w:rFonts w:ascii="Arial" w:hAnsi="Arial" w:cs="Arial"/>
                <w:sz w:val="22"/>
                <w:szCs w:val="22"/>
              </w:rPr>
            </w:pPr>
            <w:r>
              <w:rPr>
                <w:rFonts w:ascii="Arial" w:hAnsi="Arial" w:cs="Arial"/>
                <w:sz w:val="22"/>
                <w:szCs w:val="22"/>
              </w:rPr>
              <w:t>Front of house team.</w:t>
            </w:r>
          </w:p>
          <w:p w14:paraId="7FC69A6E" w14:textId="77777777" w:rsidR="008A4A4F" w:rsidRPr="00A42F82" w:rsidRDefault="008A4A4F" w:rsidP="00A91894">
            <w:pPr>
              <w:rPr>
                <w:rFonts w:ascii="Arial" w:hAnsi="Arial" w:cs="Arial"/>
                <w:sz w:val="22"/>
                <w:szCs w:val="22"/>
              </w:rPr>
            </w:pPr>
          </w:p>
          <w:p w14:paraId="011F6EEB" w14:textId="77777777" w:rsidR="008A4A4F" w:rsidRPr="00A42F82" w:rsidRDefault="008A4A4F"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8A4A4F" w:rsidRPr="00A42F82" w14:paraId="35AEB911" w14:textId="77777777" w:rsidTr="00CD616E">
        <w:trPr>
          <w:trHeight w:val="403"/>
        </w:trPr>
        <w:tc>
          <w:tcPr>
            <w:tcW w:w="562" w:type="dxa"/>
            <w:tcBorders>
              <w:top w:val="single" w:sz="4" w:space="0" w:color="auto"/>
            </w:tcBorders>
            <w:shd w:val="clear" w:color="auto" w:fill="F2F2F2" w:themeFill="background1" w:themeFillShade="F2"/>
            <w:vAlign w:val="center"/>
          </w:tcPr>
          <w:p w14:paraId="3DF010A1" w14:textId="77777777" w:rsidR="008A4A4F" w:rsidRPr="00A42F82" w:rsidRDefault="008A4A4F"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3DBAC9D7" w14:textId="77777777" w:rsidR="008A4A4F" w:rsidRPr="00A42F82" w:rsidRDefault="008A4A4F" w:rsidP="00A91894">
            <w:pPr>
              <w:rPr>
                <w:rFonts w:ascii="Arial" w:hAnsi="Arial" w:cs="Arial"/>
                <w:sz w:val="22"/>
                <w:szCs w:val="22"/>
              </w:rPr>
            </w:pPr>
            <w:r w:rsidRPr="00A42F82">
              <w:rPr>
                <w:rFonts w:ascii="Arial" w:hAnsi="Arial" w:cs="Arial"/>
                <w:sz w:val="22"/>
                <w:szCs w:val="22"/>
              </w:rPr>
              <w:t>How will you identify the participants?</w:t>
            </w:r>
          </w:p>
        </w:tc>
        <w:tc>
          <w:tcPr>
            <w:tcW w:w="6383" w:type="dxa"/>
            <w:tcBorders>
              <w:top w:val="single" w:sz="4" w:space="0" w:color="auto"/>
            </w:tcBorders>
            <w:vAlign w:val="center"/>
          </w:tcPr>
          <w:p w14:paraId="41DE1B11" w14:textId="77777777" w:rsidR="008A4A4F" w:rsidRPr="00A42F82" w:rsidRDefault="008A4A4F" w:rsidP="00A91894">
            <w:pPr>
              <w:rPr>
                <w:rFonts w:ascii="Arial" w:hAnsi="Arial" w:cs="Arial"/>
                <w:sz w:val="22"/>
                <w:szCs w:val="22"/>
              </w:rPr>
            </w:pPr>
          </w:p>
          <w:p w14:paraId="00C12C7A" w14:textId="77777777" w:rsidR="008A4A4F" w:rsidRPr="00A42F82" w:rsidRDefault="008A4A4F" w:rsidP="00A91894">
            <w:pPr>
              <w:rPr>
                <w:rFonts w:ascii="Arial" w:hAnsi="Arial" w:cs="Arial"/>
                <w:sz w:val="22"/>
                <w:szCs w:val="22"/>
              </w:rPr>
            </w:pPr>
            <w:r w:rsidRPr="00ED1D4E">
              <w:rPr>
                <w:rFonts w:ascii="Arial" w:hAnsi="Arial" w:cs="Arial"/>
                <w:sz w:val="22"/>
                <w:szCs w:val="22"/>
              </w:rPr>
              <w:t>Who is directly involved in the workplace, both managers and team members.</w:t>
            </w:r>
          </w:p>
          <w:p w14:paraId="0DD3FADF" w14:textId="77777777" w:rsidR="008A4A4F" w:rsidRPr="00A42F82" w:rsidRDefault="008A4A4F" w:rsidP="00A91894">
            <w:pPr>
              <w:rPr>
                <w:rFonts w:ascii="Arial" w:hAnsi="Arial" w:cs="Arial"/>
                <w:sz w:val="22"/>
                <w:szCs w:val="22"/>
              </w:rPr>
            </w:pPr>
          </w:p>
          <w:p w14:paraId="184BF97C" w14:textId="77777777" w:rsidR="008A4A4F" w:rsidRPr="00A42F82" w:rsidRDefault="008A4A4F"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AFE870D" w14:textId="77777777" w:rsidR="008A4A4F" w:rsidRPr="00A42F82" w:rsidRDefault="008A4A4F" w:rsidP="00A91894">
      <w:pPr>
        <w:rPr>
          <w:rFonts w:ascii="Arial" w:hAnsi="Arial" w:cs="Arial"/>
          <w:bCs/>
        </w:rPr>
      </w:pPr>
    </w:p>
    <w:p w14:paraId="618FACA0" w14:textId="77777777" w:rsidR="008A4A4F" w:rsidRPr="00A42F82" w:rsidRDefault="008A4A4F" w:rsidP="00A91894">
      <w:pPr>
        <w:rPr>
          <w:rFonts w:ascii="Arial" w:hAnsi="Arial" w:cs="Arial"/>
        </w:rPr>
      </w:pPr>
    </w:p>
    <w:tbl>
      <w:tblPr>
        <w:tblStyle w:val="TableGrid"/>
        <w:tblW w:w="10201" w:type="dxa"/>
        <w:tblLook w:val="04A0" w:firstRow="1" w:lastRow="0" w:firstColumn="1" w:lastColumn="0" w:noHBand="0" w:noVBand="1"/>
      </w:tblPr>
      <w:tblGrid>
        <w:gridCol w:w="562"/>
        <w:gridCol w:w="7088"/>
        <w:gridCol w:w="992"/>
        <w:gridCol w:w="851"/>
        <w:gridCol w:w="708"/>
      </w:tblGrid>
      <w:tr w:rsidR="008A4A4F" w:rsidRPr="00A42F82" w14:paraId="07255334" w14:textId="77777777" w:rsidTr="00CD616E">
        <w:tc>
          <w:tcPr>
            <w:tcW w:w="562" w:type="dxa"/>
            <w:shd w:val="clear" w:color="auto" w:fill="F2F2F2" w:themeFill="background1" w:themeFillShade="F2"/>
            <w:vAlign w:val="center"/>
          </w:tcPr>
          <w:p w14:paraId="5FDE6B16" w14:textId="77777777" w:rsidR="008A4A4F" w:rsidRPr="00A42F82" w:rsidRDefault="008A4A4F"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2BF1995" w14:textId="77777777" w:rsidR="008A4A4F" w:rsidRPr="00A42F82" w:rsidRDefault="008A4A4F"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28456D3B" w14:textId="77777777" w:rsidR="008A4A4F" w:rsidRPr="00A42F82" w:rsidRDefault="008A4A4F" w:rsidP="00A91894">
            <w:pPr>
              <w:autoSpaceDE w:val="0"/>
              <w:autoSpaceDN w:val="0"/>
              <w:adjustRightInd w:val="0"/>
              <w:jc w:val="center"/>
              <w:rPr>
                <w:rFonts w:ascii="Arial" w:hAnsi="Arial" w:cs="Arial"/>
                <w:b/>
                <w:bCs/>
                <w:sz w:val="16"/>
                <w:szCs w:val="16"/>
              </w:rPr>
            </w:pPr>
          </w:p>
          <w:p w14:paraId="0A7C2CE8" w14:textId="77777777" w:rsidR="008A4A4F" w:rsidRPr="00A42F82" w:rsidRDefault="008A4A4F"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8D363CC" w14:textId="77777777" w:rsidR="008A4A4F" w:rsidRPr="00A42F82" w:rsidRDefault="008A4A4F"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708" w:type="dxa"/>
            <w:shd w:val="clear" w:color="auto" w:fill="F2F2F2" w:themeFill="background1" w:themeFillShade="F2"/>
          </w:tcPr>
          <w:p w14:paraId="40A866B2" w14:textId="77777777" w:rsidR="008A4A4F" w:rsidRPr="00A42F82" w:rsidRDefault="008A4A4F" w:rsidP="00A91894">
            <w:pPr>
              <w:autoSpaceDE w:val="0"/>
              <w:autoSpaceDN w:val="0"/>
              <w:adjustRightInd w:val="0"/>
              <w:jc w:val="center"/>
              <w:rPr>
                <w:rFonts w:ascii="Arial" w:hAnsi="Arial" w:cs="Arial"/>
                <w:b/>
                <w:bCs/>
                <w:sz w:val="16"/>
                <w:szCs w:val="16"/>
              </w:rPr>
            </w:pPr>
          </w:p>
          <w:p w14:paraId="17788F7C" w14:textId="77777777" w:rsidR="008A4A4F" w:rsidRPr="00A42F82" w:rsidRDefault="008A4A4F"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8A4A4F" w:rsidRPr="00A42F82" w14:paraId="4110C903" w14:textId="77777777" w:rsidTr="00CD616E">
        <w:trPr>
          <w:trHeight w:val="439"/>
        </w:trPr>
        <w:tc>
          <w:tcPr>
            <w:tcW w:w="562" w:type="dxa"/>
            <w:shd w:val="clear" w:color="auto" w:fill="F2F2F2" w:themeFill="background1" w:themeFillShade="F2"/>
            <w:vAlign w:val="center"/>
          </w:tcPr>
          <w:p w14:paraId="3DF5AC7C"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14E6EC8A"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7A0D154A"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62F6A9B2"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08"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2BD90E92"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A4A4F" w:rsidRPr="00A42F82" w14:paraId="05906E14" w14:textId="77777777" w:rsidTr="00CD616E">
        <w:trPr>
          <w:trHeight w:val="403"/>
        </w:trPr>
        <w:tc>
          <w:tcPr>
            <w:tcW w:w="562" w:type="dxa"/>
            <w:shd w:val="clear" w:color="auto" w:fill="F2F2F2" w:themeFill="background1" w:themeFillShade="F2"/>
            <w:vAlign w:val="center"/>
          </w:tcPr>
          <w:p w14:paraId="3BFC46FD"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583C3C03"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19D732B5"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6FC107A4"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08"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5B4F2021"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A4A4F" w:rsidRPr="00A42F82" w14:paraId="701F3473" w14:textId="77777777" w:rsidTr="00CD616E">
        <w:trPr>
          <w:trHeight w:val="439"/>
        </w:trPr>
        <w:tc>
          <w:tcPr>
            <w:tcW w:w="562" w:type="dxa"/>
            <w:shd w:val="clear" w:color="auto" w:fill="F2F2F2" w:themeFill="background1" w:themeFillShade="F2"/>
            <w:vAlign w:val="center"/>
          </w:tcPr>
          <w:p w14:paraId="10DBB1D0"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5741230C"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8EA5CD2"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51F7DFD8"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08"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2D534F8A"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A4A4F" w:rsidRPr="00A42F82" w14:paraId="4406F4B2" w14:textId="77777777" w:rsidTr="00CD616E">
        <w:trPr>
          <w:trHeight w:val="403"/>
        </w:trPr>
        <w:tc>
          <w:tcPr>
            <w:tcW w:w="562" w:type="dxa"/>
            <w:shd w:val="clear" w:color="auto" w:fill="F2F2F2" w:themeFill="background1" w:themeFillShade="F2"/>
            <w:vAlign w:val="center"/>
          </w:tcPr>
          <w:p w14:paraId="782C1F61"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4FBCB2F7"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152A88C5"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CDBBA5"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08"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3EA466C2"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A4A4F" w:rsidRPr="00A42F82" w14:paraId="732A6876" w14:textId="77777777" w:rsidTr="00CD616E">
        <w:trPr>
          <w:trHeight w:val="439"/>
        </w:trPr>
        <w:tc>
          <w:tcPr>
            <w:tcW w:w="562" w:type="dxa"/>
            <w:shd w:val="clear" w:color="auto" w:fill="F2F2F2" w:themeFill="background1" w:themeFillShade="F2"/>
            <w:vAlign w:val="center"/>
          </w:tcPr>
          <w:p w14:paraId="59E630CC"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6EEADDAB"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4346E7FA"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123E293B"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08"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75C073E1"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040829B9" w14:textId="77777777" w:rsidTr="00CD616E">
        <w:trPr>
          <w:trHeight w:val="403"/>
        </w:trPr>
        <w:tc>
          <w:tcPr>
            <w:tcW w:w="562" w:type="dxa"/>
            <w:shd w:val="clear" w:color="auto" w:fill="F2F2F2" w:themeFill="background1" w:themeFillShade="F2"/>
            <w:vAlign w:val="center"/>
          </w:tcPr>
          <w:p w14:paraId="3CF65C19"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5237EDD8"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46AC4B3D"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5ACF3FD8"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08"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5BD135C2"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A4A4F" w:rsidRPr="00A42F82" w14:paraId="38A23DBE" w14:textId="77777777" w:rsidTr="00CD616E">
        <w:trPr>
          <w:trHeight w:val="439"/>
        </w:trPr>
        <w:tc>
          <w:tcPr>
            <w:tcW w:w="562" w:type="dxa"/>
            <w:shd w:val="clear" w:color="auto" w:fill="F2F2F2" w:themeFill="background1" w:themeFillShade="F2"/>
            <w:vAlign w:val="center"/>
          </w:tcPr>
          <w:p w14:paraId="4835544E"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40F013B8"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55315C73"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61B4831D"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08"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516D97B"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A4A4F" w:rsidRPr="00A42F82" w14:paraId="471D8CBF" w14:textId="77777777" w:rsidTr="00CD616E">
        <w:trPr>
          <w:trHeight w:val="403"/>
        </w:trPr>
        <w:tc>
          <w:tcPr>
            <w:tcW w:w="562" w:type="dxa"/>
            <w:shd w:val="clear" w:color="auto" w:fill="F2F2F2" w:themeFill="background1" w:themeFillShade="F2"/>
            <w:vAlign w:val="center"/>
          </w:tcPr>
          <w:p w14:paraId="432777BE"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5C298612"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40093668"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3C7913C4"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08"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0BF813D5"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A4A4F" w:rsidRPr="00A42F82" w14:paraId="64B318D7" w14:textId="77777777" w:rsidTr="00CD616E">
        <w:trPr>
          <w:trHeight w:val="439"/>
        </w:trPr>
        <w:tc>
          <w:tcPr>
            <w:tcW w:w="562" w:type="dxa"/>
            <w:shd w:val="clear" w:color="auto" w:fill="F2F2F2" w:themeFill="background1" w:themeFillShade="F2"/>
            <w:vAlign w:val="center"/>
          </w:tcPr>
          <w:p w14:paraId="53AD6855"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3E8862C4"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141C389"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2F71971"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08"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7C97C024"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A4A4F" w:rsidRPr="00A42F82" w14:paraId="27EF9E3D" w14:textId="77777777" w:rsidTr="00CD616E">
        <w:trPr>
          <w:trHeight w:val="403"/>
        </w:trPr>
        <w:tc>
          <w:tcPr>
            <w:tcW w:w="562" w:type="dxa"/>
            <w:tcBorders>
              <w:bottom w:val="single" w:sz="4" w:space="0" w:color="auto"/>
            </w:tcBorders>
            <w:shd w:val="clear" w:color="auto" w:fill="F2F2F2" w:themeFill="background1" w:themeFillShade="F2"/>
            <w:vAlign w:val="center"/>
          </w:tcPr>
          <w:p w14:paraId="45CCE25F"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639" w:type="dxa"/>
            <w:gridSpan w:val="4"/>
            <w:tcBorders>
              <w:bottom w:val="single" w:sz="4" w:space="0" w:color="auto"/>
            </w:tcBorders>
            <w:shd w:val="clear" w:color="auto" w:fill="F2F2F2" w:themeFill="background1" w:themeFillShade="F2"/>
            <w:vAlign w:val="center"/>
          </w:tcPr>
          <w:p w14:paraId="6015306D"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8A4A4F" w:rsidRPr="00A42F82" w14:paraId="27A897B7" w14:textId="77777777" w:rsidTr="00CD616E">
        <w:trPr>
          <w:trHeight w:val="403"/>
        </w:trPr>
        <w:tc>
          <w:tcPr>
            <w:tcW w:w="562" w:type="dxa"/>
            <w:vAlign w:val="center"/>
          </w:tcPr>
          <w:p w14:paraId="2E965F6E" w14:textId="77777777" w:rsidR="008A4A4F" w:rsidRPr="00A42F82" w:rsidRDefault="008A4A4F" w:rsidP="00A91894">
            <w:pPr>
              <w:jc w:val="center"/>
              <w:rPr>
                <w:rFonts w:ascii="Arial" w:hAnsi="Arial" w:cs="Arial"/>
                <w:sz w:val="22"/>
                <w:szCs w:val="22"/>
              </w:rPr>
            </w:pPr>
          </w:p>
        </w:tc>
        <w:tc>
          <w:tcPr>
            <w:tcW w:w="9639" w:type="dxa"/>
            <w:gridSpan w:val="4"/>
            <w:vAlign w:val="center"/>
          </w:tcPr>
          <w:p w14:paraId="59D7CD8F" w14:textId="77777777" w:rsidR="008A4A4F" w:rsidRPr="00A42F82" w:rsidRDefault="008A4A4F" w:rsidP="00A91894">
            <w:pPr>
              <w:rPr>
                <w:rFonts w:ascii="Arial" w:hAnsi="Arial" w:cs="Arial"/>
                <w:sz w:val="22"/>
                <w:szCs w:val="22"/>
              </w:rPr>
            </w:pPr>
          </w:p>
          <w:p w14:paraId="46F5D58B" w14:textId="77777777" w:rsidR="008A4A4F" w:rsidRPr="00A42F82" w:rsidRDefault="008A4A4F" w:rsidP="00A91894">
            <w:pPr>
              <w:rPr>
                <w:rFonts w:ascii="Arial" w:hAnsi="Arial" w:cs="Arial"/>
                <w:sz w:val="22"/>
                <w:szCs w:val="22"/>
              </w:rPr>
            </w:pPr>
          </w:p>
          <w:p w14:paraId="600E133B" w14:textId="77777777" w:rsidR="008A4A4F" w:rsidRPr="00A42F82" w:rsidRDefault="008A4A4F" w:rsidP="00A91894">
            <w:pPr>
              <w:rPr>
                <w:rFonts w:ascii="Arial" w:hAnsi="Arial" w:cs="Arial"/>
                <w:sz w:val="22"/>
                <w:szCs w:val="22"/>
              </w:rPr>
            </w:pPr>
          </w:p>
          <w:p w14:paraId="1704A131" w14:textId="77777777" w:rsidR="008A4A4F" w:rsidRPr="00A42F82" w:rsidRDefault="008A4A4F"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D102D4" w14:textId="77777777" w:rsidR="008A4A4F" w:rsidRPr="00A42F82" w:rsidRDefault="008A4A4F" w:rsidP="00A91894">
      <w:pPr>
        <w:rPr>
          <w:rFonts w:ascii="Arial" w:hAnsi="Arial" w:cs="Arial"/>
        </w:rPr>
      </w:pPr>
    </w:p>
    <w:tbl>
      <w:tblPr>
        <w:tblStyle w:val="TableGrid"/>
        <w:tblW w:w="10201" w:type="dxa"/>
        <w:tblLayout w:type="fixed"/>
        <w:tblLook w:val="04A0" w:firstRow="1" w:lastRow="0" w:firstColumn="1" w:lastColumn="0" w:noHBand="0" w:noVBand="1"/>
      </w:tblPr>
      <w:tblGrid>
        <w:gridCol w:w="562"/>
        <w:gridCol w:w="7088"/>
        <w:gridCol w:w="992"/>
        <w:gridCol w:w="851"/>
        <w:gridCol w:w="708"/>
      </w:tblGrid>
      <w:tr w:rsidR="008A4A4F" w:rsidRPr="00A42F82" w14:paraId="567E9147" w14:textId="77777777" w:rsidTr="00CD616E">
        <w:tc>
          <w:tcPr>
            <w:tcW w:w="562" w:type="dxa"/>
            <w:shd w:val="clear" w:color="auto" w:fill="F2F2F2" w:themeFill="background1" w:themeFillShade="F2"/>
          </w:tcPr>
          <w:p w14:paraId="32662D19" w14:textId="77777777" w:rsidR="008A4A4F" w:rsidRPr="00A42F82" w:rsidRDefault="008A4A4F"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4DCE6C2" w14:textId="77777777" w:rsidR="008A4A4F" w:rsidRPr="00A42F82" w:rsidRDefault="008A4A4F"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798D6FAC" w14:textId="77777777" w:rsidR="008A4A4F" w:rsidRPr="00A42F82" w:rsidRDefault="008A4A4F" w:rsidP="00A91894">
            <w:pPr>
              <w:autoSpaceDE w:val="0"/>
              <w:autoSpaceDN w:val="0"/>
              <w:adjustRightInd w:val="0"/>
              <w:jc w:val="center"/>
              <w:rPr>
                <w:rFonts w:ascii="Arial" w:hAnsi="Arial" w:cs="Arial"/>
                <w:b/>
                <w:bCs/>
                <w:sz w:val="16"/>
                <w:szCs w:val="16"/>
              </w:rPr>
            </w:pPr>
          </w:p>
          <w:p w14:paraId="42021976" w14:textId="77777777" w:rsidR="008A4A4F" w:rsidRPr="00A42F82" w:rsidRDefault="008A4A4F"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6597A6FF" w14:textId="77777777" w:rsidR="008A4A4F" w:rsidRPr="00A42F82" w:rsidRDefault="008A4A4F"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708" w:type="dxa"/>
            <w:shd w:val="clear" w:color="auto" w:fill="F2F2F2" w:themeFill="background1" w:themeFillShade="F2"/>
            <w:vAlign w:val="bottom"/>
          </w:tcPr>
          <w:p w14:paraId="05EE6A65" w14:textId="77777777" w:rsidR="008A4A4F" w:rsidRPr="00A42F82" w:rsidRDefault="008A4A4F" w:rsidP="00A91894">
            <w:pPr>
              <w:autoSpaceDE w:val="0"/>
              <w:autoSpaceDN w:val="0"/>
              <w:adjustRightInd w:val="0"/>
              <w:jc w:val="center"/>
              <w:rPr>
                <w:rFonts w:ascii="Arial" w:hAnsi="Arial" w:cs="Arial"/>
                <w:b/>
                <w:bCs/>
                <w:sz w:val="16"/>
                <w:szCs w:val="16"/>
              </w:rPr>
            </w:pPr>
          </w:p>
          <w:p w14:paraId="26744B6E" w14:textId="77777777" w:rsidR="008A4A4F" w:rsidRPr="00A42F82" w:rsidRDefault="008A4A4F"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8A4A4F" w:rsidRPr="00A42F82" w14:paraId="770E42E5" w14:textId="77777777" w:rsidTr="00CD616E">
        <w:trPr>
          <w:trHeight w:val="439"/>
        </w:trPr>
        <w:tc>
          <w:tcPr>
            <w:tcW w:w="562" w:type="dxa"/>
            <w:shd w:val="clear" w:color="auto" w:fill="F2F2F2" w:themeFill="background1" w:themeFillShade="F2"/>
            <w:vAlign w:val="center"/>
          </w:tcPr>
          <w:p w14:paraId="50983439"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7A1849F7"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10DA9214"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2C22BACB"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08"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64DA0F"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A4A4F" w:rsidRPr="00A42F82" w14:paraId="3650701D" w14:textId="77777777" w:rsidTr="00CD616E">
        <w:trPr>
          <w:trHeight w:val="403"/>
        </w:trPr>
        <w:tc>
          <w:tcPr>
            <w:tcW w:w="562" w:type="dxa"/>
            <w:shd w:val="clear" w:color="auto" w:fill="F2F2F2" w:themeFill="background1" w:themeFillShade="F2"/>
            <w:vAlign w:val="center"/>
          </w:tcPr>
          <w:p w14:paraId="79293609"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3D0AF85F"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68E72D26"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07BC0671"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08"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34FC549"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A4A4F" w:rsidRPr="00A42F82" w14:paraId="38269F04" w14:textId="77777777" w:rsidTr="00CD616E">
        <w:trPr>
          <w:trHeight w:val="439"/>
        </w:trPr>
        <w:tc>
          <w:tcPr>
            <w:tcW w:w="562" w:type="dxa"/>
            <w:shd w:val="clear" w:color="auto" w:fill="F2F2F2" w:themeFill="background1" w:themeFillShade="F2"/>
            <w:vAlign w:val="center"/>
          </w:tcPr>
          <w:p w14:paraId="46E9E645"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1633C7D3"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5B85AC90"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239F205"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08"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74067E42"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A4A4F" w:rsidRPr="00A42F82" w14:paraId="117DC101" w14:textId="77777777" w:rsidTr="00CD616E">
        <w:trPr>
          <w:trHeight w:val="403"/>
        </w:trPr>
        <w:tc>
          <w:tcPr>
            <w:tcW w:w="562" w:type="dxa"/>
            <w:shd w:val="clear" w:color="auto" w:fill="F2F2F2" w:themeFill="background1" w:themeFillShade="F2"/>
            <w:vAlign w:val="center"/>
          </w:tcPr>
          <w:p w14:paraId="3CAF2BCD"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27303F07"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00EEA412"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5E1906AD"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08"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01220746"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A4A4F" w:rsidRPr="00A42F82" w14:paraId="0AA5B112" w14:textId="77777777" w:rsidTr="00CD616E">
        <w:trPr>
          <w:trHeight w:val="403"/>
        </w:trPr>
        <w:tc>
          <w:tcPr>
            <w:tcW w:w="562" w:type="dxa"/>
            <w:shd w:val="clear" w:color="auto" w:fill="F2F2F2" w:themeFill="background1" w:themeFillShade="F2"/>
            <w:vAlign w:val="center"/>
          </w:tcPr>
          <w:p w14:paraId="2061FC2A"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639" w:type="dxa"/>
            <w:gridSpan w:val="4"/>
            <w:shd w:val="clear" w:color="auto" w:fill="F2F2F2" w:themeFill="background1" w:themeFillShade="F2"/>
            <w:vAlign w:val="center"/>
          </w:tcPr>
          <w:p w14:paraId="6A138A18"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8A4A4F" w:rsidRPr="00A42F82" w14:paraId="09B1E72F" w14:textId="77777777" w:rsidTr="00CD616E">
        <w:trPr>
          <w:trHeight w:val="403"/>
        </w:trPr>
        <w:tc>
          <w:tcPr>
            <w:tcW w:w="562" w:type="dxa"/>
            <w:vAlign w:val="center"/>
          </w:tcPr>
          <w:p w14:paraId="1186C261" w14:textId="77777777" w:rsidR="008A4A4F" w:rsidRPr="00A42F82" w:rsidRDefault="008A4A4F" w:rsidP="00A91894">
            <w:pPr>
              <w:jc w:val="center"/>
              <w:rPr>
                <w:rFonts w:ascii="Arial" w:hAnsi="Arial" w:cs="Arial"/>
                <w:sz w:val="22"/>
                <w:szCs w:val="22"/>
              </w:rPr>
            </w:pPr>
          </w:p>
        </w:tc>
        <w:tc>
          <w:tcPr>
            <w:tcW w:w="9639" w:type="dxa"/>
            <w:gridSpan w:val="4"/>
            <w:vAlign w:val="center"/>
          </w:tcPr>
          <w:p w14:paraId="79DBB79C" w14:textId="77777777" w:rsidR="008A4A4F" w:rsidRPr="00A42F82" w:rsidRDefault="008A4A4F" w:rsidP="00A91894">
            <w:pPr>
              <w:rPr>
                <w:rFonts w:ascii="Arial" w:hAnsi="Arial" w:cs="Arial"/>
                <w:sz w:val="22"/>
                <w:szCs w:val="22"/>
              </w:rPr>
            </w:pPr>
          </w:p>
          <w:p w14:paraId="7D1FDA99" w14:textId="77777777" w:rsidR="008A4A4F" w:rsidRPr="00A42F82" w:rsidRDefault="008A4A4F" w:rsidP="00A91894">
            <w:pPr>
              <w:rPr>
                <w:rFonts w:ascii="Arial" w:hAnsi="Arial" w:cs="Arial"/>
                <w:sz w:val="22"/>
                <w:szCs w:val="22"/>
              </w:rPr>
            </w:pPr>
          </w:p>
          <w:p w14:paraId="4A121465" w14:textId="77777777" w:rsidR="008A4A4F" w:rsidRPr="00A42F82" w:rsidRDefault="008A4A4F" w:rsidP="00A91894">
            <w:pPr>
              <w:rPr>
                <w:rFonts w:ascii="Arial" w:hAnsi="Arial" w:cs="Arial"/>
                <w:sz w:val="22"/>
                <w:szCs w:val="22"/>
              </w:rPr>
            </w:pPr>
          </w:p>
          <w:p w14:paraId="32A5476D" w14:textId="77777777" w:rsidR="008A4A4F" w:rsidRPr="00A42F82" w:rsidRDefault="008A4A4F"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8FEAD9A" w14:textId="77777777" w:rsidR="008A4A4F" w:rsidRPr="00A42F82" w:rsidRDefault="008A4A4F" w:rsidP="00A91894">
      <w:pPr>
        <w:autoSpaceDE w:val="0"/>
        <w:autoSpaceDN w:val="0"/>
        <w:adjustRightInd w:val="0"/>
        <w:spacing w:after="240"/>
        <w:jc w:val="both"/>
        <w:rPr>
          <w:rFonts w:ascii="Arial" w:hAnsi="Arial" w:cs="Arial"/>
          <w:b/>
          <w:sz w:val="22"/>
          <w:szCs w:val="22"/>
        </w:rPr>
      </w:pPr>
    </w:p>
    <w:p w14:paraId="2D5690EA" w14:textId="77777777" w:rsidR="008A4A4F" w:rsidRPr="00A42F82" w:rsidRDefault="008A4A4F" w:rsidP="00A91894">
      <w:pPr>
        <w:rPr>
          <w:rFonts w:ascii="Arial" w:hAnsi="Arial" w:cs="Arial"/>
          <w:b/>
          <w:sz w:val="22"/>
          <w:szCs w:val="22"/>
        </w:rPr>
      </w:pPr>
      <w:r w:rsidRPr="00A42F82">
        <w:rPr>
          <w:rFonts w:ascii="Arial" w:hAnsi="Arial" w:cs="Arial"/>
          <w:b/>
          <w:sz w:val="22"/>
          <w:szCs w:val="22"/>
        </w:rPr>
        <w:t>SECTION H: Anticipated Risks</w:t>
      </w:r>
    </w:p>
    <w:p w14:paraId="6D021BAD" w14:textId="77777777" w:rsidR="008A4A4F" w:rsidRPr="00A42F82" w:rsidRDefault="008A4A4F" w:rsidP="00A91894">
      <w:pPr>
        <w:rPr>
          <w:rFonts w:ascii="Arial" w:hAnsi="Arial" w:cs="Arial"/>
          <w:b/>
          <w:sz w:val="22"/>
          <w:szCs w:val="22"/>
        </w:rPr>
      </w:pPr>
    </w:p>
    <w:tbl>
      <w:tblPr>
        <w:tblW w:w="1023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2"/>
        <w:gridCol w:w="4941"/>
        <w:gridCol w:w="3356"/>
        <w:gridCol w:w="850"/>
        <w:gridCol w:w="496"/>
      </w:tblGrid>
      <w:tr w:rsidR="008A4A4F" w:rsidRPr="00A42F82" w14:paraId="648DB339" w14:textId="77777777" w:rsidTr="00CD616E">
        <w:tc>
          <w:tcPr>
            <w:tcW w:w="596" w:type="dxa"/>
            <w:tcBorders>
              <w:bottom w:val="single" w:sz="4" w:space="0" w:color="auto"/>
            </w:tcBorders>
            <w:shd w:val="clear" w:color="auto" w:fill="F2F2F2" w:themeFill="background1" w:themeFillShade="F2"/>
          </w:tcPr>
          <w:p w14:paraId="04EC9E4F" w14:textId="77777777" w:rsidR="008A4A4F" w:rsidRPr="00A42F82" w:rsidRDefault="008A4A4F" w:rsidP="00A91894">
            <w:pPr>
              <w:pStyle w:val="Heading1"/>
              <w:rPr>
                <w:rFonts w:ascii="Arial" w:hAnsi="Arial" w:cs="Arial"/>
                <w:b w:val="0"/>
                <w:bCs w:val="0"/>
              </w:rPr>
            </w:pPr>
          </w:p>
        </w:tc>
        <w:tc>
          <w:tcPr>
            <w:tcW w:w="9639" w:type="dxa"/>
            <w:gridSpan w:val="4"/>
            <w:tcBorders>
              <w:bottom w:val="single" w:sz="4" w:space="0" w:color="auto"/>
            </w:tcBorders>
            <w:shd w:val="clear" w:color="auto" w:fill="F2F2F2" w:themeFill="background1" w:themeFillShade="F2"/>
          </w:tcPr>
          <w:p w14:paraId="0481E3E4" w14:textId="77777777" w:rsidR="008A4A4F" w:rsidRPr="00A42F82" w:rsidRDefault="008A4A4F" w:rsidP="00A91894">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610553C" w14:textId="77777777" w:rsidR="008A4A4F" w:rsidRPr="00A42F82" w:rsidRDefault="008A4A4F" w:rsidP="00A91894">
            <w:pPr>
              <w:rPr>
                <w:rFonts w:ascii="Arial" w:hAnsi="Arial" w:cs="Arial"/>
              </w:rPr>
            </w:pPr>
          </w:p>
          <w:p w14:paraId="3BA28323" w14:textId="77777777" w:rsidR="008A4A4F" w:rsidRPr="00A42F82" w:rsidRDefault="008A4A4F"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A4A4F" w:rsidRPr="00A42F82" w14:paraId="3D8A91E2" w14:textId="77777777" w:rsidTr="00CD616E">
        <w:tc>
          <w:tcPr>
            <w:tcW w:w="596" w:type="dxa"/>
            <w:vMerge w:val="restart"/>
            <w:shd w:val="clear" w:color="auto" w:fill="F2F2F2" w:themeFill="background1" w:themeFillShade="F2"/>
            <w:vAlign w:val="center"/>
          </w:tcPr>
          <w:p w14:paraId="2B2185EC" w14:textId="77777777" w:rsidR="008A4A4F" w:rsidRPr="00A42F82" w:rsidRDefault="008A4A4F"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401B7E02" w14:textId="77777777" w:rsidR="008A4A4F" w:rsidRPr="00A42F82" w:rsidRDefault="008A4A4F" w:rsidP="00A91894">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79BDF34E" w14:textId="77777777" w:rsidR="008A4A4F" w:rsidRPr="00A42F82" w:rsidRDefault="008A4A4F" w:rsidP="00A91894">
            <w:pPr>
              <w:pStyle w:val="Heading1"/>
              <w:rPr>
                <w:rFonts w:ascii="Arial" w:hAnsi="Arial" w:cs="Arial"/>
              </w:rPr>
            </w:pPr>
            <w:r w:rsidRPr="00A42F82">
              <w:rPr>
                <w:rFonts w:ascii="Arial" w:hAnsi="Arial" w:cs="Arial"/>
              </w:rPr>
              <w:t xml:space="preserve">Yes </w:t>
            </w:r>
          </w:p>
        </w:tc>
        <w:tc>
          <w:tcPr>
            <w:tcW w:w="396" w:type="dxa"/>
            <w:tcBorders>
              <w:bottom w:val="single" w:sz="4" w:space="0" w:color="auto"/>
            </w:tcBorders>
            <w:shd w:val="clear" w:color="auto" w:fill="BFBFBF" w:themeFill="background1" w:themeFillShade="BF"/>
          </w:tcPr>
          <w:p w14:paraId="072BFCB6" w14:textId="77777777" w:rsidR="008A4A4F" w:rsidRPr="00A42F82" w:rsidRDefault="008A4A4F"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8A4A4F" w:rsidRPr="00A42F82" w14:paraId="57881F61" w14:textId="77777777" w:rsidTr="00CD616E">
        <w:tc>
          <w:tcPr>
            <w:tcW w:w="596" w:type="dxa"/>
            <w:vMerge/>
            <w:tcBorders>
              <w:bottom w:val="single" w:sz="4" w:space="0" w:color="auto"/>
            </w:tcBorders>
            <w:shd w:val="clear" w:color="auto" w:fill="F2F2F2" w:themeFill="background1" w:themeFillShade="F2"/>
            <w:vAlign w:val="center"/>
          </w:tcPr>
          <w:p w14:paraId="080B54AF" w14:textId="77777777" w:rsidR="008A4A4F" w:rsidRPr="00A42F82" w:rsidRDefault="008A4A4F"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35BC7F4A" w14:textId="77777777" w:rsidR="008A4A4F" w:rsidRPr="00A42F82" w:rsidRDefault="008A4A4F" w:rsidP="00A91894">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B6BF8D3" w14:textId="77777777" w:rsidR="008A4A4F" w:rsidRPr="00A42F82" w:rsidRDefault="008A4A4F" w:rsidP="00A91894">
            <w:pPr>
              <w:pStyle w:val="Heading1"/>
              <w:rPr>
                <w:rFonts w:ascii="Arial" w:hAnsi="Arial" w:cs="Arial"/>
              </w:rPr>
            </w:pPr>
            <w:r w:rsidRPr="00A42F82">
              <w:rPr>
                <w:rFonts w:ascii="Arial" w:hAnsi="Arial" w:cs="Arial"/>
              </w:rPr>
              <w:t>No</w:t>
            </w:r>
          </w:p>
        </w:tc>
        <w:tc>
          <w:tcPr>
            <w:tcW w:w="396" w:type="dxa"/>
            <w:tcBorders>
              <w:bottom w:val="single" w:sz="4" w:space="0" w:color="auto"/>
            </w:tcBorders>
            <w:shd w:val="clear" w:color="auto" w:fill="BFBFBF" w:themeFill="background1" w:themeFillShade="BF"/>
          </w:tcPr>
          <w:p w14:paraId="1835804F" w14:textId="77777777" w:rsidR="008A4A4F" w:rsidRPr="00A42F82" w:rsidRDefault="008A4A4F"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Pr="00A42F82">
                  <w:rPr>
                    <w:rFonts w:ascii="Segoe UI Symbol" w:eastAsia="MS Gothic" w:hAnsi="Segoe UI Symbol" w:cs="Segoe UI Symbol"/>
                    <w:b w:val="0"/>
                    <w:bCs w:val="0"/>
                  </w:rPr>
                  <w:t>☐</w:t>
                </w:r>
              </w:sdtContent>
            </w:sdt>
          </w:p>
        </w:tc>
      </w:tr>
      <w:tr w:rsidR="008A4A4F" w:rsidRPr="00A42F82" w14:paraId="3A6ACDDD" w14:textId="77777777" w:rsidTr="00CD616E">
        <w:tc>
          <w:tcPr>
            <w:tcW w:w="596" w:type="dxa"/>
            <w:tcBorders>
              <w:bottom w:val="single" w:sz="4" w:space="0" w:color="auto"/>
            </w:tcBorders>
            <w:shd w:val="clear" w:color="auto" w:fill="F2F2F2" w:themeFill="background1" w:themeFillShade="F2"/>
            <w:vAlign w:val="center"/>
          </w:tcPr>
          <w:p w14:paraId="1C28AD6C" w14:textId="77777777" w:rsidR="008A4A4F" w:rsidRPr="00A42F82" w:rsidRDefault="008A4A4F" w:rsidP="00A91894">
            <w:pPr>
              <w:jc w:val="center"/>
              <w:rPr>
                <w:rFonts w:ascii="Arial" w:hAnsi="Arial" w:cs="Arial"/>
                <w:sz w:val="22"/>
                <w:szCs w:val="22"/>
              </w:rPr>
            </w:pPr>
            <w:r w:rsidRPr="00A42F82">
              <w:rPr>
                <w:rFonts w:ascii="Arial" w:hAnsi="Arial" w:cs="Arial"/>
                <w:sz w:val="22"/>
                <w:szCs w:val="22"/>
              </w:rPr>
              <w:t>2</w:t>
            </w:r>
          </w:p>
        </w:tc>
        <w:tc>
          <w:tcPr>
            <w:tcW w:w="9639" w:type="dxa"/>
            <w:gridSpan w:val="4"/>
            <w:tcBorders>
              <w:bottom w:val="single" w:sz="4" w:space="0" w:color="auto"/>
            </w:tcBorders>
            <w:shd w:val="clear" w:color="auto" w:fill="F2F2F2" w:themeFill="background1" w:themeFillShade="F2"/>
          </w:tcPr>
          <w:p w14:paraId="5F91D243" w14:textId="77777777" w:rsidR="008A4A4F" w:rsidRPr="00A42F82" w:rsidRDefault="008A4A4F" w:rsidP="00A91894">
            <w:pPr>
              <w:rPr>
                <w:rFonts w:ascii="Arial" w:hAnsi="Arial" w:cs="Arial"/>
                <w:sz w:val="22"/>
                <w:szCs w:val="22"/>
              </w:rPr>
            </w:pPr>
            <w:r w:rsidRPr="00A42F82">
              <w:rPr>
                <w:rFonts w:ascii="Arial" w:hAnsi="Arial" w:cs="Arial"/>
                <w:b/>
                <w:sz w:val="22"/>
                <w:szCs w:val="22"/>
              </w:rPr>
              <w:t>Risks to participants</w:t>
            </w:r>
          </w:p>
          <w:p w14:paraId="783C3FDC" w14:textId="77777777" w:rsidR="008A4A4F" w:rsidRPr="00A42F82" w:rsidRDefault="008A4A4F"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8A4A4F" w:rsidRPr="00A42F82" w14:paraId="427C2967" w14:textId="77777777" w:rsidTr="00CD616E">
        <w:tc>
          <w:tcPr>
            <w:tcW w:w="596" w:type="dxa"/>
            <w:tcBorders>
              <w:top w:val="single" w:sz="4" w:space="0" w:color="auto"/>
              <w:bottom w:val="single" w:sz="4" w:space="0" w:color="auto"/>
            </w:tcBorders>
            <w:vAlign w:val="center"/>
          </w:tcPr>
          <w:p w14:paraId="2E686357" w14:textId="77777777" w:rsidR="008A4A4F" w:rsidRPr="00A42F82" w:rsidRDefault="008A4A4F"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5B7C217" w14:textId="77777777" w:rsidR="008A4A4F" w:rsidRPr="00A42F82" w:rsidRDefault="008A4A4F" w:rsidP="00ED1D4E">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259DE31E" w14:textId="77777777" w:rsidR="008A4A4F" w:rsidRDefault="008A4A4F" w:rsidP="00A91894">
            <w:pPr>
              <w:rPr>
                <w:rFonts w:ascii="Arial" w:hAnsi="Arial" w:cs="Arial"/>
                <w:sz w:val="22"/>
                <w:szCs w:val="22"/>
              </w:rPr>
            </w:pPr>
            <w:r w:rsidRPr="00ED1D4E">
              <w:rPr>
                <w:rFonts w:ascii="Arial" w:hAnsi="Arial" w:cs="Arial"/>
                <w:sz w:val="22"/>
                <w:szCs w:val="22"/>
              </w:rPr>
              <w:t>• Feeling of embarrassment or shame</w:t>
            </w:r>
          </w:p>
          <w:p w14:paraId="351ECBFE" w14:textId="77777777" w:rsidR="008A4A4F" w:rsidRDefault="008A4A4F" w:rsidP="00A91894">
            <w:pPr>
              <w:rPr>
                <w:rFonts w:ascii="Arial" w:hAnsi="Arial" w:cs="Arial"/>
                <w:sz w:val="22"/>
                <w:szCs w:val="22"/>
              </w:rPr>
            </w:pPr>
            <w:r w:rsidRPr="00ED1D4E">
              <w:rPr>
                <w:rFonts w:ascii="Arial" w:hAnsi="Arial" w:cs="Arial"/>
                <w:sz w:val="22"/>
                <w:szCs w:val="22"/>
              </w:rPr>
              <w:t xml:space="preserve">• Harm to reputation </w:t>
            </w:r>
          </w:p>
          <w:p w14:paraId="79849DCC" w14:textId="77777777" w:rsidR="008A4A4F" w:rsidRDefault="008A4A4F" w:rsidP="00A91894">
            <w:pPr>
              <w:rPr>
                <w:rFonts w:ascii="Arial" w:hAnsi="Arial" w:cs="Arial"/>
                <w:sz w:val="22"/>
                <w:szCs w:val="22"/>
              </w:rPr>
            </w:pPr>
            <w:r w:rsidRPr="00ED1D4E">
              <w:rPr>
                <w:rFonts w:ascii="Arial" w:hAnsi="Arial" w:cs="Arial"/>
                <w:sz w:val="22"/>
                <w:szCs w:val="22"/>
              </w:rPr>
              <w:t>• Stress, anxiety, or depression triggered by questions or interventions</w:t>
            </w:r>
          </w:p>
          <w:p w14:paraId="6FA682BC" w14:textId="77777777" w:rsidR="008A4A4F" w:rsidRDefault="008A4A4F" w:rsidP="00A91894">
            <w:pPr>
              <w:rPr>
                <w:rFonts w:ascii="Arial" w:hAnsi="Arial" w:cs="Arial"/>
                <w:sz w:val="22"/>
                <w:szCs w:val="22"/>
              </w:rPr>
            </w:pPr>
          </w:p>
          <w:p w14:paraId="61F2483A" w14:textId="77777777" w:rsidR="008A4A4F" w:rsidRDefault="008A4A4F" w:rsidP="00A91894">
            <w:pPr>
              <w:rPr>
                <w:rFonts w:ascii="Arial" w:hAnsi="Arial" w:cs="Arial"/>
                <w:sz w:val="22"/>
                <w:szCs w:val="22"/>
              </w:rPr>
            </w:pPr>
          </w:p>
          <w:p w14:paraId="26C9C27F" w14:textId="77777777" w:rsidR="008A4A4F" w:rsidRPr="00A42F82" w:rsidRDefault="008A4A4F" w:rsidP="00A91894">
            <w:pPr>
              <w:rPr>
                <w:rFonts w:ascii="Arial" w:hAnsi="Arial" w:cs="Arial"/>
                <w:sz w:val="22"/>
                <w:szCs w:val="22"/>
              </w:rPr>
            </w:pPr>
          </w:p>
          <w:p w14:paraId="25374B6B"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648" w:type="dxa"/>
            <w:gridSpan w:val="3"/>
            <w:tcBorders>
              <w:top w:val="single" w:sz="4" w:space="0" w:color="auto"/>
              <w:bottom w:val="single" w:sz="4" w:space="0" w:color="auto"/>
            </w:tcBorders>
          </w:tcPr>
          <w:p w14:paraId="55551412" w14:textId="77777777" w:rsidR="008A4A4F" w:rsidRPr="00A42F82" w:rsidRDefault="008A4A4F"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3BEFEC54" w14:textId="77777777" w:rsidR="008A4A4F" w:rsidRDefault="008A4A4F" w:rsidP="00A91894">
            <w:pPr>
              <w:rPr>
                <w:rFonts w:ascii="Arial" w:hAnsi="Arial" w:cs="Arial"/>
                <w:sz w:val="22"/>
                <w:szCs w:val="22"/>
              </w:rPr>
            </w:pPr>
            <w:r w:rsidRPr="00ED1D4E">
              <w:rPr>
                <w:rFonts w:ascii="Arial" w:hAnsi="Arial" w:cs="Arial"/>
                <w:sz w:val="22"/>
                <w:szCs w:val="22"/>
              </w:rPr>
              <w:t xml:space="preserve">• Minimize risks </w:t>
            </w:r>
          </w:p>
          <w:p w14:paraId="7E4A1AAB" w14:textId="77777777" w:rsidR="008A4A4F" w:rsidRDefault="008A4A4F" w:rsidP="00A91894">
            <w:pPr>
              <w:rPr>
                <w:rFonts w:ascii="Arial" w:hAnsi="Arial" w:cs="Arial"/>
                <w:sz w:val="22"/>
                <w:szCs w:val="22"/>
              </w:rPr>
            </w:pPr>
            <w:r w:rsidRPr="00ED1D4E">
              <w:rPr>
                <w:rFonts w:ascii="Arial" w:hAnsi="Arial" w:cs="Arial"/>
                <w:sz w:val="22"/>
                <w:szCs w:val="22"/>
              </w:rPr>
              <w:t xml:space="preserve">• Obtain informed consent </w:t>
            </w:r>
          </w:p>
          <w:p w14:paraId="7BEE0F3F" w14:textId="77777777" w:rsidR="008A4A4F" w:rsidRDefault="008A4A4F" w:rsidP="00A91894">
            <w:pPr>
              <w:rPr>
                <w:rFonts w:ascii="Arial" w:hAnsi="Arial" w:cs="Arial"/>
                <w:sz w:val="22"/>
                <w:szCs w:val="22"/>
              </w:rPr>
            </w:pPr>
            <w:r w:rsidRPr="00ED1D4E">
              <w:rPr>
                <w:rFonts w:ascii="Arial" w:hAnsi="Arial" w:cs="Arial"/>
                <w:sz w:val="22"/>
                <w:szCs w:val="22"/>
              </w:rPr>
              <w:t xml:space="preserve">• Ensure confidentiality </w:t>
            </w:r>
          </w:p>
          <w:p w14:paraId="76CBF146" w14:textId="77777777" w:rsidR="008A4A4F" w:rsidRDefault="008A4A4F" w:rsidP="00A91894">
            <w:pPr>
              <w:rPr>
                <w:rFonts w:ascii="Arial" w:hAnsi="Arial" w:cs="Arial"/>
                <w:sz w:val="22"/>
                <w:szCs w:val="22"/>
              </w:rPr>
            </w:pPr>
            <w:r w:rsidRPr="00ED1D4E">
              <w:rPr>
                <w:rFonts w:ascii="Arial" w:hAnsi="Arial" w:cs="Arial"/>
                <w:sz w:val="22"/>
                <w:szCs w:val="22"/>
              </w:rPr>
              <w:t xml:space="preserve">• Avoid or carefully handle sensitive topics </w:t>
            </w:r>
          </w:p>
          <w:p w14:paraId="08F40158" w14:textId="77777777" w:rsidR="008A4A4F" w:rsidRPr="00A42F82" w:rsidRDefault="008A4A4F" w:rsidP="00A91894">
            <w:pPr>
              <w:rPr>
                <w:rFonts w:ascii="Arial" w:hAnsi="Arial" w:cs="Arial"/>
                <w:sz w:val="22"/>
                <w:szCs w:val="22"/>
              </w:rPr>
            </w:pPr>
            <w:r w:rsidRPr="00ED1D4E">
              <w:rPr>
                <w:rFonts w:ascii="Arial" w:hAnsi="Arial" w:cs="Arial"/>
                <w:sz w:val="22"/>
                <w:szCs w:val="22"/>
              </w:rPr>
              <w:t>• Allow participants to skip any questions</w:t>
            </w:r>
          </w:p>
          <w:p w14:paraId="13E44AA3" w14:textId="77777777" w:rsidR="008A4A4F" w:rsidRPr="00A42F82" w:rsidRDefault="008A4A4F" w:rsidP="00A91894">
            <w:pPr>
              <w:rPr>
                <w:rFonts w:ascii="Arial" w:hAnsi="Arial" w:cs="Arial"/>
                <w:sz w:val="22"/>
                <w:szCs w:val="22"/>
              </w:rPr>
            </w:pPr>
          </w:p>
          <w:p w14:paraId="38101580" w14:textId="77777777" w:rsidR="008A4A4F" w:rsidRPr="00A42F82" w:rsidRDefault="008A4A4F" w:rsidP="00A91894">
            <w:pPr>
              <w:rPr>
                <w:rFonts w:ascii="Arial" w:hAnsi="Arial" w:cs="Arial"/>
                <w:sz w:val="22"/>
                <w:szCs w:val="22"/>
              </w:rPr>
            </w:pPr>
          </w:p>
          <w:p w14:paraId="5C159183" w14:textId="77777777" w:rsidR="008A4A4F" w:rsidRPr="00A42F82" w:rsidRDefault="008A4A4F"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8A4A4F" w:rsidRPr="00A42F82" w14:paraId="47BA0862" w14:textId="77777777" w:rsidTr="00CD616E">
        <w:tc>
          <w:tcPr>
            <w:tcW w:w="596" w:type="dxa"/>
            <w:tcBorders>
              <w:bottom w:val="single" w:sz="4" w:space="0" w:color="auto"/>
            </w:tcBorders>
            <w:shd w:val="clear" w:color="auto" w:fill="F2F2F2" w:themeFill="background1" w:themeFillShade="F2"/>
            <w:vAlign w:val="center"/>
          </w:tcPr>
          <w:p w14:paraId="304D33F4" w14:textId="77777777" w:rsidR="008A4A4F" w:rsidRPr="00A42F82" w:rsidRDefault="008A4A4F" w:rsidP="00A91894">
            <w:pPr>
              <w:jc w:val="center"/>
              <w:rPr>
                <w:rFonts w:ascii="Arial" w:hAnsi="Arial" w:cs="Arial"/>
                <w:sz w:val="22"/>
                <w:szCs w:val="22"/>
              </w:rPr>
            </w:pPr>
            <w:r w:rsidRPr="00A42F82">
              <w:rPr>
                <w:rFonts w:ascii="Arial" w:hAnsi="Arial" w:cs="Arial"/>
                <w:sz w:val="22"/>
                <w:szCs w:val="22"/>
              </w:rPr>
              <w:t>3</w:t>
            </w:r>
          </w:p>
        </w:tc>
        <w:tc>
          <w:tcPr>
            <w:tcW w:w="9639" w:type="dxa"/>
            <w:gridSpan w:val="4"/>
            <w:tcBorders>
              <w:bottom w:val="single" w:sz="4" w:space="0" w:color="auto"/>
            </w:tcBorders>
            <w:shd w:val="clear" w:color="auto" w:fill="F2F2F2" w:themeFill="background1" w:themeFillShade="F2"/>
          </w:tcPr>
          <w:p w14:paraId="1CCEE1D2" w14:textId="77777777" w:rsidR="008A4A4F" w:rsidRPr="00A42F82" w:rsidRDefault="008A4A4F"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w:t>
            </w:r>
            <w:r w:rsidRPr="00A42F82">
              <w:rPr>
                <w:rFonts w:ascii="Arial" w:hAnsi="Arial" w:cs="Arial"/>
                <w:bCs/>
                <w:sz w:val="22"/>
                <w:szCs w:val="22"/>
              </w:rPr>
              <w:lastRenderedPageBreak/>
              <w:t xml:space="preserve">helpline numbers) to be offered to participants. Note that </w:t>
            </w:r>
            <w:r w:rsidRPr="00A42F82">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8A4A4F" w:rsidRPr="00A42F82" w14:paraId="3C25A470" w14:textId="77777777" w:rsidTr="00CD616E">
        <w:tc>
          <w:tcPr>
            <w:tcW w:w="596" w:type="dxa"/>
            <w:tcBorders>
              <w:top w:val="single" w:sz="4" w:space="0" w:color="auto"/>
              <w:bottom w:val="single" w:sz="4" w:space="0" w:color="auto"/>
            </w:tcBorders>
            <w:vAlign w:val="center"/>
          </w:tcPr>
          <w:p w14:paraId="46E0824D" w14:textId="77777777" w:rsidR="008A4A4F" w:rsidRPr="00A42F82" w:rsidRDefault="008A4A4F" w:rsidP="00A91894">
            <w:pPr>
              <w:jc w:val="center"/>
              <w:rPr>
                <w:rFonts w:ascii="Arial" w:hAnsi="Arial" w:cs="Arial"/>
                <w:sz w:val="22"/>
                <w:szCs w:val="22"/>
              </w:rPr>
            </w:pPr>
          </w:p>
        </w:tc>
        <w:tc>
          <w:tcPr>
            <w:tcW w:w="9639" w:type="dxa"/>
            <w:gridSpan w:val="4"/>
            <w:tcBorders>
              <w:top w:val="single" w:sz="4" w:space="0" w:color="auto"/>
              <w:bottom w:val="single" w:sz="4" w:space="0" w:color="auto"/>
            </w:tcBorders>
          </w:tcPr>
          <w:p w14:paraId="2DF390A0" w14:textId="77777777" w:rsidR="008A4A4F" w:rsidRPr="00A42F82" w:rsidRDefault="008A4A4F" w:rsidP="00A91894">
            <w:pPr>
              <w:rPr>
                <w:rFonts w:ascii="Arial" w:hAnsi="Arial" w:cs="Arial"/>
                <w:sz w:val="22"/>
                <w:szCs w:val="22"/>
              </w:rPr>
            </w:pPr>
          </w:p>
          <w:p w14:paraId="74001CFE" w14:textId="77777777" w:rsidR="008A4A4F" w:rsidRPr="00A42F82" w:rsidRDefault="008A4A4F" w:rsidP="00A91894">
            <w:pPr>
              <w:rPr>
                <w:rFonts w:ascii="Arial" w:hAnsi="Arial" w:cs="Arial"/>
                <w:sz w:val="22"/>
                <w:szCs w:val="22"/>
              </w:rPr>
            </w:pPr>
            <w:r>
              <w:rPr>
                <w:rFonts w:ascii="Arial" w:hAnsi="Arial" w:cs="Arial"/>
                <w:sz w:val="22"/>
                <w:szCs w:val="22"/>
              </w:rPr>
              <w:t>N/A</w:t>
            </w:r>
          </w:p>
          <w:p w14:paraId="4365386E" w14:textId="77777777" w:rsidR="008A4A4F" w:rsidRPr="00A42F82" w:rsidRDefault="008A4A4F" w:rsidP="00A91894">
            <w:pPr>
              <w:rPr>
                <w:rFonts w:ascii="Arial" w:hAnsi="Arial" w:cs="Arial"/>
                <w:sz w:val="22"/>
                <w:szCs w:val="22"/>
              </w:rPr>
            </w:pPr>
          </w:p>
          <w:p w14:paraId="1D32AD0E" w14:textId="77777777" w:rsidR="008A4A4F" w:rsidRPr="00A42F82" w:rsidRDefault="008A4A4F"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8A4A4F" w:rsidRPr="00A42F82" w14:paraId="7740CAB9" w14:textId="77777777" w:rsidTr="00CD616E">
        <w:tc>
          <w:tcPr>
            <w:tcW w:w="596" w:type="dxa"/>
            <w:tcBorders>
              <w:top w:val="single" w:sz="4" w:space="0" w:color="auto"/>
              <w:bottom w:val="single" w:sz="4" w:space="0" w:color="auto"/>
            </w:tcBorders>
            <w:shd w:val="clear" w:color="auto" w:fill="F2F2F2" w:themeFill="background1" w:themeFillShade="F2"/>
            <w:vAlign w:val="center"/>
          </w:tcPr>
          <w:p w14:paraId="0B2238EE" w14:textId="77777777" w:rsidR="008A4A4F" w:rsidRPr="00A42F82" w:rsidRDefault="008A4A4F" w:rsidP="00A91894">
            <w:pPr>
              <w:jc w:val="center"/>
              <w:rPr>
                <w:rFonts w:ascii="Arial" w:hAnsi="Arial" w:cs="Arial"/>
                <w:sz w:val="22"/>
                <w:szCs w:val="22"/>
              </w:rPr>
            </w:pPr>
            <w:r w:rsidRPr="00A42F82">
              <w:rPr>
                <w:rFonts w:ascii="Arial" w:hAnsi="Arial" w:cs="Arial"/>
                <w:sz w:val="22"/>
                <w:szCs w:val="22"/>
              </w:rPr>
              <w:t>4</w:t>
            </w:r>
          </w:p>
        </w:tc>
        <w:tc>
          <w:tcPr>
            <w:tcW w:w="9639" w:type="dxa"/>
            <w:gridSpan w:val="4"/>
            <w:tcBorders>
              <w:top w:val="single" w:sz="4" w:space="0" w:color="auto"/>
              <w:bottom w:val="single" w:sz="4" w:space="0" w:color="auto"/>
            </w:tcBorders>
            <w:shd w:val="clear" w:color="auto" w:fill="F2F2F2" w:themeFill="background1" w:themeFillShade="F2"/>
          </w:tcPr>
          <w:p w14:paraId="3AEEA694" w14:textId="77777777" w:rsidR="008A4A4F" w:rsidRPr="00A42F82" w:rsidRDefault="008A4A4F" w:rsidP="00A91894">
            <w:pPr>
              <w:rPr>
                <w:rFonts w:ascii="Arial" w:hAnsi="Arial" w:cs="Arial"/>
                <w:sz w:val="22"/>
                <w:szCs w:val="22"/>
              </w:rPr>
            </w:pPr>
            <w:r w:rsidRPr="00A42F82">
              <w:rPr>
                <w:rFonts w:ascii="Arial" w:hAnsi="Arial" w:cs="Arial"/>
                <w:b/>
                <w:sz w:val="22"/>
                <w:szCs w:val="22"/>
              </w:rPr>
              <w:t>Risks to the investigator</w:t>
            </w:r>
          </w:p>
          <w:p w14:paraId="7079445E" w14:textId="77777777" w:rsidR="008A4A4F" w:rsidRPr="00A42F82" w:rsidRDefault="008A4A4F" w:rsidP="00A91894">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8A4A4F" w:rsidRPr="00A42F82" w14:paraId="461E27A6" w14:textId="77777777" w:rsidTr="00CD616E">
        <w:tc>
          <w:tcPr>
            <w:tcW w:w="596" w:type="dxa"/>
            <w:tcBorders>
              <w:top w:val="single" w:sz="4" w:space="0" w:color="auto"/>
              <w:bottom w:val="single" w:sz="4" w:space="0" w:color="auto"/>
            </w:tcBorders>
            <w:vAlign w:val="center"/>
          </w:tcPr>
          <w:p w14:paraId="0BAE0FB9" w14:textId="77777777" w:rsidR="008A4A4F" w:rsidRPr="00A42F82" w:rsidRDefault="008A4A4F"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F9DF111"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5935F03E" w14:textId="77777777" w:rsidR="008A4A4F" w:rsidRDefault="008A4A4F" w:rsidP="00A91894">
            <w:pPr>
              <w:rPr>
                <w:rFonts w:ascii="Arial" w:hAnsi="Arial" w:cs="Arial"/>
                <w:sz w:val="22"/>
                <w:szCs w:val="22"/>
              </w:rPr>
            </w:pPr>
            <w:r w:rsidRPr="00ED1D4E">
              <w:rPr>
                <w:rFonts w:ascii="Arial" w:hAnsi="Arial" w:cs="Arial"/>
                <w:sz w:val="22"/>
                <w:szCs w:val="22"/>
              </w:rPr>
              <w:t xml:space="preserve">• Reputational Risks </w:t>
            </w:r>
          </w:p>
          <w:p w14:paraId="054E56EA" w14:textId="77777777" w:rsidR="008A4A4F" w:rsidRDefault="008A4A4F" w:rsidP="00A91894">
            <w:pPr>
              <w:rPr>
                <w:rFonts w:ascii="Arial" w:hAnsi="Arial" w:cs="Arial"/>
                <w:sz w:val="22"/>
                <w:szCs w:val="22"/>
              </w:rPr>
            </w:pPr>
            <w:r w:rsidRPr="00ED1D4E">
              <w:rPr>
                <w:rFonts w:ascii="Arial" w:hAnsi="Arial" w:cs="Arial"/>
                <w:sz w:val="22"/>
                <w:szCs w:val="22"/>
              </w:rPr>
              <w:t xml:space="preserve">• Accusation of research misconduct </w:t>
            </w:r>
          </w:p>
          <w:p w14:paraId="29690110" w14:textId="77777777" w:rsidR="008A4A4F" w:rsidRPr="00A42F82" w:rsidRDefault="008A4A4F" w:rsidP="00A91894">
            <w:pPr>
              <w:rPr>
                <w:rFonts w:ascii="Arial" w:hAnsi="Arial" w:cs="Arial"/>
                <w:sz w:val="22"/>
                <w:szCs w:val="22"/>
              </w:rPr>
            </w:pPr>
            <w:r w:rsidRPr="00ED1D4E">
              <w:rPr>
                <w:rFonts w:ascii="Arial" w:hAnsi="Arial" w:cs="Arial"/>
                <w:sz w:val="22"/>
                <w:szCs w:val="22"/>
              </w:rPr>
              <w:t>• Loss of funding or research privileges</w:t>
            </w:r>
          </w:p>
          <w:p w14:paraId="3C5A832D" w14:textId="77777777" w:rsidR="008A4A4F" w:rsidRPr="00A42F82" w:rsidRDefault="008A4A4F" w:rsidP="00A91894">
            <w:pPr>
              <w:rPr>
                <w:rFonts w:ascii="Arial" w:hAnsi="Arial" w:cs="Arial"/>
                <w:sz w:val="22"/>
                <w:szCs w:val="22"/>
              </w:rPr>
            </w:pPr>
          </w:p>
          <w:p w14:paraId="7767304F" w14:textId="77777777" w:rsidR="008A4A4F" w:rsidRPr="00A42F82" w:rsidRDefault="008A4A4F" w:rsidP="00A91894">
            <w:pPr>
              <w:rPr>
                <w:rFonts w:ascii="Arial" w:hAnsi="Arial" w:cs="Arial"/>
                <w:sz w:val="22"/>
                <w:szCs w:val="22"/>
              </w:rPr>
            </w:pPr>
          </w:p>
          <w:p w14:paraId="4CB5342B"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648" w:type="dxa"/>
            <w:gridSpan w:val="3"/>
            <w:tcBorders>
              <w:top w:val="single" w:sz="4" w:space="0" w:color="auto"/>
              <w:bottom w:val="single" w:sz="4" w:space="0" w:color="auto"/>
            </w:tcBorders>
          </w:tcPr>
          <w:p w14:paraId="5E9F3DFF" w14:textId="77777777" w:rsidR="008A4A4F" w:rsidRPr="00A42F82" w:rsidRDefault="008A4A4F"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1E1A3A74" w14:textId="77777777" w:rsidR="008A4A4F" w:rsidRDefault="008A4A4F" w:rsidP="00A91894">
            <w:pPr>
              <w:rPr>
                <w:rFonts w:ascii="Arial" w:hAnsi="Arial" w:cs="Arial"/>
                <w:sz w:val="22"/>
                <w:szCs w:val="22"/>
              </w:rPr>
            </w:pPr>
            <w:r w:rsidRPr="00ED1D4E">
              <w:rPr>
                <w:rFonts w:ascii="Arial" w:hAnsi="Arial" w:cs="Arial"/>
                <w:sz w:val="22"/>
                <w:szCs w:val="22"/>
              </w:rPr>
              <w:t xml:space="preserve">• Use proper data protection measures </w:t>
            </w:r>
          </w:p>
          <w:p w14:paraId="6F412D4F" w14:textId="77777777" w:rsidR="008A4A4F" w:rsidRDefault="008A4A4F" w:rsidP="00A91894">
            <w:pPr>
              <w:rPr>
                <w:rFonts w:ascii="Arial" w:hAnsi="Arial" w:cs="Arial"/>
                <w:sz w:val="22"/>
                <w:szCs w:val="22"/>
              </w:rPr>
            </w:pPr>
            <w:r w:rsidRPr="00ED1D4E">
              <w:rPr>
                <w:rFonts w:ascii="Arial" w:hAnsi="Arial" w:cs="Arial"/>
                <w:sz w:val="22"/>
                <w:szCs w:val="22"/>
              </w:rPr>
              <w:t xml:space="preserve">• Stay up to date on research regulations and institutional policies. </w:t>
            </w:r>
          </w:p>
          <w:p w14:paraId="3274203E" w14:textId="77777777" w:rsidR="008A4A4F" w:rsidRPr="00A42F82" w:rsidRDefault="008A4A4F" w:rsidP="00A91894">
            <w:pPr>
              <w:rPr>
                <w:rFonts w:ascii="Arial" w:hAnsi="Arial" w:cs="Arial"/>
                <w:sz w:val="22"/>
                <w:szCs w:val="22"/>
              </w:rPr>
            </w:pPr>
            <w:r w:rsidRPr="00ED1D4E">
              <w:rPr>
                <w:rFonts w:ascii="Arial" w:hAnsi="Arial" w:cs="Arial"/>
                <w:sz w:val="22"/>
                <w:szCs w:val="22"/>
              </w:rPr>
              <w:t>• Clear communication.</w:t>
            </w:r>
          </w:p>
          <w:p w14:paraId="2C05BDC5" w14:textId="77777777" w:rsidR="008A4A4F" w:rsidRPr="00A42F82" w:rsidRDefault="008A4A4F" w:rsidP="00A91894">
            <w:pPr>
              <w:rPr>
                <w:rFonts w:ascii="Arial" w:hAnsi="Arial" w:cs="Arial"/>
                <w:sz w:val="22"/>
                <w:szCs w:val="22"/>
              </w:rPr>
            </w:pPr>
          </w:p>
          <w:p w14:paraId="734E00D6" w14:textId="77777777" w:rsidR="008A4A4F" w:rsidRPr="00A42F82" w:rsidRDefault="008A4A4F" w:rsidP="00A91894">
            <w:pPr>
              <w:rPr>
                <w:rFonts w:ascii="Arial" w:hAnsi="Arial" w:cs="Arial"/>
                <w:sz w:val="22"/>
                <w:szCs w:val="22"/>
              </w:rPr>
            </w:pPr>
          </w:p>
          <w:p w14:paraId="1282FC85" w14:textId="77777777" w:rsidR="008A4A4F" w:rsidRPr="00A42F82" w:rsidRDefault="008A4A4F"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8A4A4F" w:rsidRPr="00A42F82" w14:paraId="0ABF6253" w14:textId="77777777" w:rsidTr="00CD616E">
        <w:tc>
          <w:tcPr>
            <w:tcW w:w="596" w:type="dxa"/>
            <w:tcBorders>
              <w:top w:val="single" w:sz="4" w:space="0" w:color="auto"/>
              <w:bottom w:val="single" w:sz="4" w:space="0" w:color="auto"/>
            </w:tcBorders>
            <w:shd w:val="clear" w:color="auto" w:fill="F2F2F2" w:themeFill="background1" w:themeFillShade="F2"/>
            <w:vAlign w:val="center"/>
          </w:tcPr>
          <w:p w14:paraId="0DE3E107" w14:textId="77777777" w:rsidR="008A4A4F" w:rsidRPr="00A42F82" w:rsidRDefault="008A4A4F" w:rsidP="00A91894">
            <w:pPr>
              <w:jc w:val="center"/>
              <w:rPr>
                <w:rFonts w:ascii="Arial" w:hAnsi="Arial" w:cs="Arial"/>
                <w:sz w:val="22"/>
                <w:szCs w:val="22"/>
              </w:rPr>
            </w:pPr>
            <w:r w:rsidRPr="00A42F82">
              <w:rPr>
                <w:rFonts w:ascii="Arial" w:hAnsi="Arial" w:cs="Arial"/>
                <w:sz w:val="22"/>
                <w:szCs w:val="22"/>
              </w:rPr>
              <w:t>5</w:t>
            </w:r>
          </w:p>
        </w:tc>
        <w:tc>
          <w:tcPr>
            <w:tcW w:w="9639" w:type="dxa"/>
            <w:gridSpan w:val="4"/>
            <w:tcBorders>
              <w:top w:val="single" w:sz="4" w:space="0" w:color="auto"/>
              <w:bottom w:val="single" w:sz="4" w:space="0" w:color="auto"/>
            </w:tcBorders>
            <w:shd w:val="clear" w:color="auto" w:fill="F2F2F2" w:themeFill="background1" w:themeFillShade="F2"/>
          </w:tcPr>
          <w:p w14:paraId="7A3C7539" w14:textId="77777777" w:rsidR="008A4A4F" w:rsidRPr="00A42F82" w:rsidRDefault="008A4A4F" w:rsidP="00A91894">
            <w:pPr>
              <w:rPr>
                <w:rFonts w:ascii="Arial" w:hAnsi="Arial" w:cs="Arial"/>
                <w:sz w:val="22"/>
                <w:szCs w:val="22"/>
              </w:rPr>
            </w:pPr>
            <w:r w:rsidRPr="00A42F82">
              <w:rPr>
                <w:rFonts w:ascii="Arial" w:hAnsi="Arial" w:cs="Arial"/>
                <w:b/>
                <w:sz w:val="22"/>
                <w:szCs w:val="22"/>
              </w:rPr>
              <w:t>University/institutional risks</w:t>
            </w:r>
          </w:p>
          <w:p w14:paraId="7C6A07EF" w14:textId="77777777" w:rsidR="008A4A4F" w:rsidRPr="00A42F82" w:rsidRDefault="008A4A4F"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8A4A4F" w:rsidRPr="00A42F82" w14:paraId="2A6125F1" w14:textId="77777777" w:rsidTr="00CD616E">
        <w:tc>
          <w:tcPr>
            <w:tcW w:w="596" w:type="dxa"/>
            <w:tcBorders>
              <w:top w:val="single" w:sz="4" w:space="0" w:color="auto"/>
              <w:bottom w:val="single" w:sz="4" w:space="0" w:color="auto"/>
            </w:tcBorders>
            <w:vAlign w:val="center"/>
          </w:tcPr>
          <w:p w14:paraId="6B2BBF6D" w14:textId="77777777" w:rsidR="008A4A4F" w:rsidRPr="00A42F82" w:rsidRDefault="008A4A4F"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85B980F"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3CE53ACF" w14:textId="77777777" w:rsidR="008A4A4F" w:rsidRPr="00A42F82" w:rsidRDefault="008A4A4F" w:rsidP="00A91894">
            <w:pPr>
              <w:rPr>
                <w:rFonts w:ascii="Arial" w:hAnsi="Arial" w:cs="Arial"/>
                <w:sz w:val="22"/>
                <w:szCs w:val="22"/>
              </w:rPr>
            </w:pPr>
          </w:p>
          <w:p w14:paraId="410DFC5A" w14:textId="77777777" w:rsidR="008A4A4F" w:rsidRDefault="008A4A4F" w:rsidP="00A91894">
            <w:pPr>
              <w:rPr>
                <w:rFonts w:ascii="Arial" w:hAnsi="Arial" w:cs="Arial"/>
                <w:sz w:val="22"/>
                <w:szCs w:val="22"/>
              </w:rPr>
            </w:pPr>
            <w:r w:rsidRPr="00D13518">
              <w:rPr>
                <w:rFonts w:ascii="Arial" w:hAnsi="Arial" w:cs="Arial"/>
                <w:sz w:val="22"/>
                <w:szCs w:val="22"/>
              </w:rPr>
              <w:t xml:space="preserve">• Reputational Damage </w:t>
            </w:r>
          </w:p>
          <w:p w14:paraId="5096EAC7" w14:textId="77777777" w:rsidR="008A4A4F" w:rsidRPr="00A42F82" w:rsidRDefault="008A4A4F" w:rsidP="00A91894">
            <w:pPr>
              <w:rPr>
                <w:rFonts w:ascii="Arial" w:hAnsi="Arial" w:cs="Arial"/>
                <w:sz w:val="22"/>
                <w:szCs w:val="22"/>
              </w:rPr>
            </w:pPr>
            <w:r w:rsidRPr="00D13518">
              <w:rPr>
                <w:rFonts w:ascii="Arial" w:hAnsi="Arial" w:cs="Arial"/>
                <w:sz w:val="22"/>
                <w:szCs w:val="22"/>
              </w:rPr>
              <w:t>• Face legal implications</w:t>
            </w:r>
          </w:p>
          <w:p w14:paraId="48B9A537" w14:textId="77777777" w:rsidR="008A4A4F" w:rsidRPr="00A42F82" w:rsidRDefault="008A4A4F" w:rsidP="00A91894">
            <w:pPr>
              <w:rPr>
                <w:rFonts w:ascii="Arial" w:hAnsi="Arial" w:cs="Arial"/>
                <w:sz w:val="22"/>
                <w:szCs w:val="22"/>
              </w:rPr>
            </w:pPr>
          </w:p>
          <w:p w14:paraId="15040F6B"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648" w:type="dxa"/>
            <w:gridSpan w:val="3"/>
            <w:tcBorders>
              <w:top w:val="single" w:sz="4" w:space="0" w:color="auto"/>
              <w:bottom w:val="single" w:sz="4" w:space="0" w:color="auto"/>
            </w:tcBorders>
          </w:tcPr>
          <w:p w14:paraId="57D02694" w14:textId="77777777" w:rsidR="008A4A4F" w:rsidRPr="00A42F82" w:rsidRDefault="008A4A4F"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6764EA22" w14:textId="77777777" w:rsidR="008A4A4F" w:rsidRPr="00A42F82" w:rsidRDefault="008A4A4F" w:rsidP="00A91894">
            <w:pPr>
              <w:rPr>
                <w:rFonts w:ascii="Arial" w:hAnsi="Arial" w:cs="Arial"/>
                <w:sz w:val="22"/>
                <w:szCs w:val="22"/>
              </w:rPr>
            </w:pPr>
          </w:p>
          <w:p w14:paraId="2577098C" w14:textId="77777777" w:rsidR="008A4A4F" w:rsidRDefault="008A4A4F" w:rsidP="00A91894">
            <w:pPr>
              <w:rPr>
                <w:rFonts w:ascii="Arial" w:hAnsi="Arial" w:cs="Arial"/>
                <w:sz w:val="22"/>
                <w:szCs w:val="22"/>
              </w:rPr>
            </w:pPr>
            <w:r w:rsidRPr="00D13518">
              <w:rPr>
                <w:rFonts w:ascii="Arial" w:hAnsi="Arial" w:cs="Arial"/>
                <w:sz w:val="22"/>
                <w:szCs w:val="22"/>
              </w:rPr>
              <w:t xml:space="preserve">• Ensure to follow ethical guidelines </w:t>
            </w:r>
          </w:p>
          <w:p w14:paraId="62B6089D" w14:textId="77777777" w:rsidR="008A4A4F" w:rsidRPr="00A42F82" w:rsidRDefault="008A4A4F" w:rsidP="00A91894">
            <w:pPr>
              <w:rPr>
                <w:rFonts w:ascii="Arial" w:hAnsi="Arial" w:cs="Arial"/>
                <w:sz w:val="22"/>
                <w:szCs w:val="22"/>
              </w:rPr>
            </w:pPr>
            <w:r w:rsidRPr="00D13518">
              <w:rPr>
                <w:rFonts w:ascii="Arial" w:hAnsi="Arial" w:cs="Arial"/>
                <w:sz w:val="22"/>
                <w:szCs w:val="22"/>
              </w:rPr>
              <w:t>• Obtain ethical approval to safeguard University s credibility</w:t>
            </w:r>
          </w:p>
          <w:p w14:paraId="7C75572F" w14:textId="77777777" w:rsidR="008A4A4F" w:rsidRPr="00A42F82" w:rsidRDefault="008A4A4F" w:rsidP="00A91894">
            <w:pPr>
              <w:rPr>
                <w:rFonts w:ascii="Arial" w:hAnsi="Arial" w:cs="Arial"/>
                <w:sz w:val="22"/>
                <w:szCs w:val="22"/>
              </w:rPr>
            </w:pPr>
          </w:p>
          <w:p w14:paraId="3C9E9259" w14:textId="77777777" w:rsidR="008A4A4F" w:rsidRPr="00A42F82" w:rsidRDefault="008A4A4F"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8A4A4F" w:rsidRPr="00A42F82" w14:paraId="55FC3ADC" w14:textId="77777777" w:rsidTr="00CD616E">
        <w:tc>
          <w:tcPr>
            <w:tcW w:w="596" w:type="dxa"/>
            <w:tcBorders>
              <w:top w:val="single" w:sz="4" w:space="0" w:color="auto"/>
              <w:bottom w:val="single" w:sz="4" w:space="0" w:color="auto"/>
            </w:tcBorders>
            <w:shd w:val="clear" w:color="auto" w:fill="F2F2F2" w:themeFill="background1" w:themeFillShade="F2"/>
            <w:vAlign w:val="center"/>
          </w:tcPr>
          <w:p w14:paraId="6BF95E92" w14:textId="77777777" w:rsidR="008A4A4F" w:rsidRPr="00A42F82" w:rsidRDefault="008A4A4F" w:rsidP="00A91894">
            <w:pPr>
              <w:jc w:val="center"/>
              <w:rPr>
                <w:rFonts w:ascii="Arial" w:hAnsi="Arial" w:cs="Arial"/>
                <w:sz w:val="22"/>
                <w:szCs w:val="22"/>
              </w:rPr>
            </w:pPr>
            <w:r w:rsidRPr="00A42F82">
              <w:rPr>
                <w:rFonts w:ascii="Arial" w:hAnsi="Arial" w:cs="Arial"/>
                <w:sz w:val="22"/>
                <w:szCs w:val="22"/>
              </w:rPr>
              <w:t>6</w:t>
            </w:r>
          </w:p>
        </w:tc>
        <w:tc>
          <w:tcPr>
            <w:tcW w:w="9639" w:type="dxa"/>
            <w:gridSpan w:val="4"/>
            <w:tcBorders>
              <w:top w:val="single" w:sz="4" w:space="0" w:color="auto"/>
              <w:bottom w:val="single" w:sz="4" w:space="0" w:color="auto"/>
            </w:tcBorders>
            <w:shd w:val="clear" w:color="auto" w:fill="F2F2F2" w:themeFill="background1" w:themeFillShade="F2"/>
          </w:tcPr>
          <w:p w14:paraId="58AE06F1" w14:textId="77777777" w:rsidR="008A4A4F" w:rsidRPr="00A42F82" w:rsidRDefault="008A4A4F" w:rsidP="00A91894">
            <w:pPr>
              <w:rPr>
                <w:rFonts w:ascii="Arial" w:hAnsi="Arial" w:cs="Arial"/>
                <w:sz w:val="22"/>
                <w:szCs w:val="22"/>
              </w:rPr>
            </w:pPr>
            <w:r w:rsidRPr="00A42F82">
              <w:rPr>
                <w:rFonts w:ascii="Arial" w:hAnsi="Arial" w:cs="Arial"/>
                <w:b/>
                <w:sz w:val="22"/>
                <w:szCs w:val="22"/>
              </w:rPr>
              <w:t>Environmental risks</w:t>
            </w:r>
          </w:p>
          <w:p w14:paraId="274D27CA" w14:textId="77777777" w:rsidR="008A4A4F" w:rsidRPr="00A42F82" w:rsidRDefault="008A4A4F" w:rsidP="00A91894">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8A4A4F" w:rsidRPr="00A42F82" w14:paraId="19E1F260" w14:textId="77777777" w:rsidTr="00CD616E">
        <w:tc>
          <w:tcPr>
            <w:tcW w:w="596" w:type="dxa"/>
            <w:tcBorders>
              <w:top w:val="single" w:sz="4" w:space="0" w:color="auto"/>
              <w:bottom w:val="single" w:sz="4" w:space="0" w:color="auto"/>
            </w:tcBorders>
            <w:vAlign w:val="center"/>
          </w:tcPr>
          <w:p w14:paraId="486AF8E4" w14:textId="77777777" w:rsidR="008A4A4F" w:rsidRPr="00A42F82" w:rsidRDefault="008A4A4F"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ADB1D0B"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52F5FD25" w14:textId="77777777" w:rsidR="008A4A4F" w:rsidRPr="00A42F82" w:rsidRDefault="008A4A4F" w:rsidP="00A91894">
            <w:pPr>
              <w:rPr>
                <w:rFonts w:ascii="Arial" w:hAnsi="Arial" w:cs="Arial"/>
                <w:sz w:val="22"/>
                <w:szCs w:val="22"/>
              </w:rPr>
            </w:pPr>
          </w:p>
          <w:p w14:paraId="41FD5F97" w14:textId="77777777" w:rsidR="008A4A4F" w:rsidRPr="00A42F82" w:rsidRDefault="008A4A4F" w:rsidP="00A91894">
            <w:pPr>
              <w:rPr>
                <w:rFonts w:ascii="Arial" w:hAnsi="Arial" w:cs="Arial"/>
                <w:sz w:val="22"/>
                <w:szCs w:val="22"/>
              </w:rPr>
            </w:pPr>
            <w:r>
              <w:rPr>
                <w:rFonts w:ascii="Arial" w:hAnsi="Arial" w:cs="Arial"/>
                <w:sz w:val="22"/>
                <w:szCs w:val="22"/>
              </w:rPr>
              <w:t>N/A</w:t>
            </w:r>
          </w:p>
          <w:p w14:paraId="3048F3F5" w14:textId="77777777" w:rsidR="008A4A4F" w:rsidRPr="00A42F82" w:rsidRDefault="008A4A4F" w:rsidP="00A91894">
            <w:pPr>
              <w:rPr>
                <w:rFonts w:ascii="Arial" w:hAnsi="Arial" w:cs="Arial"/>
                <w:sz w:val="22"/>
                <w:szCs w:val="22"/>
              </w:rPr>
            </w:pPr>
          </w:p>
          <w:p w14:paraId="79C3B825"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648" w:type="dxa"/>
            <w:gridSpan w:val="3"/>
            <w:tcBorders>
              <w:top w:val="single" w:sz="4" w:space="0" w:color="auto"/>
              <w:bottom w:val="single" w:sz="4" w:space="0" w:color="auto"/>
            </w:tcBorders>
          </w:tcPr>
          <w:p w14:paraId="647C61D8" w14:textId="77777777" w:rsidR="008A4A4F" w:rsidRPr="00A42F82" w:rsidRDefault="008A4A4F"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12C285CC" w14:textId="77777777" w:rsidR="008A4A4F" w:rsidRPr="00A42F82" w:rsidRDefault="008A4A4F" w:rsidP="00A91894">
            <w:pPr>
              <w:rPr>
                <w:rFonts w:ascii="Arial" w:hAnsi="Arial" w:cs="Arial"/>
                <w:sz w:val="22"/>
                <w:szCs w:val="22"/>
              </w:rPr>
            </w:pPr>
          </w:p>
          <w:p w14:paraId="4B938CEB" w14:textId="77777777" w:rsidR="008A4A4F" w:rsidRPr="00A42F82" w:rsidRDefault="008A4A4F" w:rsidP="00A91894">
            <w:pPr>
              <w:rPr>
                <w:rFonts w:ascii="Arial" w:hAnsi="Arial" w:cs="Arial"/>
                <w:sz w:val="22"/>
                <w:szCs w:val="22"/>
              </w:rPr>
            </w:pPr>
            <w:r>
              <w:rPr>
                <w:rFonts w:ascii="Arial" w:hAnsi="Arial" w:cs="Arial"/>
                <w:sz w:val="22"/>
                <w:szCs w:val="22"/>
              </w:rPr>
              <w:t>N/A</w:t>
            </w:r>
          </w:p>
          <w:p w14:paraId="7691FAD8" w14:textId="77777777" w:rsidR="008A4A4F" w:rsidRPr="00A42F82" w:rsidRDefault="008A4A4F" w:rsidP="00A91894">
            <w:pPr>
              <w:rPr>
                <w:rFonts w:ascii="Arial" w:hAnsi="Arial" w:cs="Arial"/>
                <w:sz w:val="22"/>
                <w:szCs w:val="22"/>
              </w:rPr>
            </w:pPr>
          </w:p>
          <w:p w14:paraId="59512AC0" w14:textId="77777777" w:rsidR="008A4A4F" w:rsidRPr="00A42F82" w:rsidRDefault="008A4A4F"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C1C1290" w14:textId="77777777" w:rsidR="008A4A4F" w:rsidRPr="00A42F82" w:rsidRDefault="008A4A4F" w:rsidP="00A91894">
      <w:pPr>
        <w:rPr>
          <w:rFonts w:ascii="Arial" w:hAnsi="Arial" w:cs="Arial"/>
        </w:rPr>
      </w:pPr>
    </w:p>
    <w:tbl>
      <w:tblPr>
        <w:tblW w:w="1023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6"/>
        <w:gridCol w:w="7401"/>
        <w:gridCol w:w="821"/>
        <w:gridCol w:w="850"/>
        <w:gridCol w:w="567"/>
      </w:tblGrid>
      <w:tr w:rsidR="008A4A4F" w:rsidRPr="00A42F82" w14:paraId="169DAEA2" w14:textId="77777777" w:rsidTr="00CD616E">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C00CEF1" w14:textId="77777777" w:rsidR="008A4A4F" w:rsidRPr="00A42F82" w:rsidRDefault="008A4A4F" w:rsidP="00A91894">
            <w:pPr>
              <w:autoSpaceDE w:val="0"/>
              <w:autoSpaceDN w:val="0"/>
              <w:adjustRightInd w:val="0"/>
              <w:jc w:val="center"/>
              <w:rPr>
                <w:rFonts w:ascii="Arial" w:hAnsi="Arial" w:cs="Arial"/>
                <w:bCs/>
                <w:sz w:val="22"/>
                <w:szCs w:val="22"/>
              </w:rPr>
            </w:pPr>
          </w:p>
        </w:tc>
        <w:tc>
          <w:tcPr>
            <w:tcW w:w="9639" w:type="dxa"/>
            <w:gridSpan w:val="4"/>
            <w:tcBorders>
              <w:top w:val="single" w:sz="4" w:space="0" w:color="auto"/>
              <w:bottom w:val="single" w:sz="4" w:space="0" w:color="auto"/>
            </w:tcBorders>
            <w:shd w:val="clear" w:color="auto" w:fill="F2F2F2" w:themeFill="background1" w:themeFillShade="F2"/>
            <w:vAlign w:val="center"/>
          </w:tcPr>
          <w:p w14:paraId="360FC8F8" w14:textId="77777777" w:rsidR="008A4A4F" w:rsidRPr="00A42F82" w:rsidRDefault="008A4A4F"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8A4A4F" w:rsidRPr="00A42F82" w14:paraId="6F9EF17D" w14:textId="77777777" w:rsidTr="00CD616E">
        <w:tc>
          <w:tcPr>
            <w:tcW w:w="596" w:type="dxa"/>
            <w:tcBorders>
              <w:top w:val="single" w:sz="4" w:space="0" w:color="auto"/>
              <w:bottom w:val="single" w:sz="4" w:space="0" w:color="auto"/>
            </w:tcBorders>
            <w:shd w:val="clear" w:color="auto" w:fill="F2F2F2" w:themeFill="background1" w:themeFillShade="F2"/>
            <w:vAlign w:val="center"/>
          </w:tcPr>
          <w:p w14:paraId="3A413CD7" w14:textId="77777777" w:rsidR="008A4A4F" w:rsidRPr="00A42F82" w:rsidRDefault="008A4A4F"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73C7E296" w14:textId="77777777" w:rsidR="008A4A4F" w:rsidRPr="00A42F82" w:rsidRDefault="008A4A4F"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564C9691" w14:textId="77777777" w:rsidR="008A4A4F" w:rsidRPr="00A42F82" w:rsidRDefault="008A4A4F"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53391F1A" w14:textId="77777777" w:rsidR="008A4A4F" w:rsidRPr="00A42F82" w:rsidRDefault="008A4A4F"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16B0DE6" w14:textId="77777777" w:rsidR="008A4A4F" w:rsidRPr="00A42F82" w:rsidRDefault="008A4A4F"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13010826" w14:textId="77777777" w:rsidR="008A4A4F" w:rsidRPr="00A42F82" w:rsidRDefault="008A4A4F" w:rsidP="00A91894">
            <w:pPr>
              <w:autoSpaceDE w:val="0"/>
              <w:autoSpaceDN w:val="0"/>
              <w:adjustRightInd w:val="0"/>
              <w:jc w:val="center"/>
              <w:rPr>
                <w:rFonts w:ascii="Arial" w:hAnsi="Arial" w:cs="Arial"/>
                <w:b/>
                <w:sz w:val="22"/>
                <w:szCs w:val="22"/>
              </w:rPr>
            </w:pPr>
          </w:p>
        </w:tc>
        <w:tc>
          <w:tcPr>
            <w:tcW w:w="567" w:type="dxa"/>
            <w:tcBorders>
              <w:top w:val="single" w:sz="4" w:space="0" w:color="auto"/>
              <w:bottom w:val="single" w:sz="4" w:space="0" w:color="auto"/>
            </w:tcBorders>
            <w:shd w:val="clear" w:color="auto" w:fill="F2F2F2" w:themeFill="background1" w:themeFillShade="F2"/>
            <w:vAlign w:val="bottom"/>
          </w:tcPr>
          <w:p w14:paraId="29A25A3F" w14:textId="77777777" w:rsidR="008A4A4F" w:rsidRPr="00A42F82" w:rsidRDefault="008A4A4F"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546CDE74" w14:textId="77777777" w:rsidR="008A4A4F" w:rsidRPr="00A42F82" w:rsidRDefault="008A4A4F" w:rsidP="00A91894">
            <w:pPr>
              <w:autoSpaceDE w:val="0"/>
              <w:autoSpaceDN w:val="0"/>
              <w:adjustRightInd w:val="0"/>
              <w:jc w:val="center"/>
              <w:rPr>
                <w:rFonts w:ascii="Arial" w:hAnsi="Arial" w:cs="Arial"/>
                <w:b/>
                <w:sz w:val="22"/>
                <w:szCs w:val="22"/>
              </w:rPr>
            </w:pPr>
          </w:p>
        </w:tc>
      </w:tr>
      <w:tr w:rsidR="008A4A4F" w:rsidRPr="00A42F82" w14:paraId="21C2411A" w14:textId="77777777" w:rsidTr="00CD616E">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FA33116" w14:textId="77777777" w:rsidR="008A4A4F" w:rsidRPr="00A42F82" w:rsidRDefault="008A4A4F"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29EE963"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56C7758" w14:textId="77777777" w:rsidR="008A4A4F" w:rsidRPr="00A42F82" w:rsidRDefault="008A4A4F"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D2B58E4" w14:textId="77777777" w:rsidR="008A4A4F" w:rsidRPr="00A42F82" w:rsidRDefault="008A4A4F"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567" w:type="dxa"/>
            <w:tcBorders>
              <w:top w:val="single" w:sz="4" w:space="0" w:color="auto"/>
              <w:bottom w:val="single" w:sz="4" w:space="0" w:color="auto"/>
            </w:tcBorders>
            <w:shd w:val="clear" w:color="auto" w:fill="BFBFBF" w:themeFill="background1" w:themeFillShade="BF"/>
            <w:vAlign w:val="center"/>
          </w:tcPr>
          <w:p w14:paraId="42FDE836" w14:textId="77777777" w:rsidR="008A4A4F" w:rsidRPr="00A42F82" w:rsidRDefault="008A4A4F"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r>
      <w:tr w:rsidR="008A4A4F" w:rsidRPr="00A42F82" w14:paraId="5A3919DB" w14:textId="77777777" w:rsidTr="00CD616E">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44841FC" w14:textId="77777777" w:rsidR="008A4A4F" w:rsidRPr="00A42F82" w:rsidRDefault="008A4A4F"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3183B95"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238" w:type="dxa"/>
            <w:gridSpan w:val="3"/>
            <w:tcBorders>
              <w:top w:val="single" w:sz="4" w:space="0" w:color="auto"/>
              <w:bottom w:val="single" w:sz="4" w:space="0" w:color="auto"/>
            </w:tcBorders>
            <w:vAlign w:val="center"/>
          </w:tcPr>
          <w:p w14:paraId="63B2B791" w14:textId="77777777" w:rsidR="008A4A4F" w:rsidRPr="00A42F82" w:rsidRDefault="008A4A4F" w:rsidP="00A91894">
            <w:pPr>
              <w:autoSpaceDE w:val="0"/>
              <w:autoSpaceDN w:val="0"/>
              <w:adjustRightInd w:val="0"/>
              <w:jc w:val="center"/>
              <w:rPr>
                <w:rFonts w:ascii="Arial" w:hAnsi="Arial" w:cs="Arial"/>
                <w:b/>
                <w:bCs/>
                <w:sz w:val="22"/>
                <w:szCs w:val="22"/>
              </w:rPr>
            </w:pPr>
          </w:p>
        </w:tc>
      </w:tr>
    </w:tbl>
    <w:p w14:paraId="5BA1BAC7" w14:textId="77777777" w:rsidR="008A4A4F" w:rsidRPr="00A42F82" w:rsidRDefault="008A4A4F" w:rsidP="00A91894">
      <w:pPr>
        <w:autoSpaceDE w:val="0"/>
        <w:autoSpaceDN w:val="0"/>
        <w:adjustRightInd w:val="0"/>
        <w:spacing w:after="240"/>
        <w:jc w:val="both"/>
        <w:rPr>
          <w:rFonts w:ascii="Arial" w:hAnsi="Arial" w:cs="Arial"/>
          <w:b/>
          <w:sz w:val="22"/>
          <w:szCs w:val="22"/>
        </w:rPr>
      </w:pPr>
    </w:p>
    <w:p w14:paraId="6687446D" w14:textId="77777777" w:rsidR="008A4A4F" w:rsidRPr="00A42F82" w:rsidRDefault="008A4A4F" w:rsidP="00A91894">
      <w:pPr>
        <w:rPr>
          <w:rFonts w:ascii="Arial" w:hAnsi="Arial" w:cs="Arial"/>
          <w:b/>
          <w:sz w:val="22"/>
          <w:szCs w:val="22"/>
        </w:rPr>
      </w:pPr>
      <w:r w:rsidRPr="00A42F82">
        <w:rPr>
          <w:rFonts w:ascii="Arial" w:hAnsi="Arial" w:cs="Arial"/>
          <w:b/>
          <w:sz w:val="22"/>
          <w:szCs w:val="22"/>
        </w:rPr>
        <w:t>SECTION I: Feedback, Consent and Confidentiality</w:t>
      </w:r>
    </w:p>
    <w:p w14:paraId="6E58E528" w14:textId="77777777" w:rsidR="008A4A4F" w:rsidRPr="00A42F82" w:rsidRDefault="008A4A4F" w:rsidP="00A91894">
      <w:pPr>
        <w:rPr>
          <w:rFonts w:ascii="Arial" w:hAnsi="Arial" w:cs="Arial"/>
          <w:b/>
          <w:sz w:val="22"/>
          <w:szCs w:val="22"/>
        </w:rPr>
      </w:pPr>
    </w:p>
    <w:tbl>
      <w:tblPr>
        <w:tblW w:w="1023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639"/>
      </w:tblGrid>
      <w:tr w:rsidR="008A4A4F" w:rsidRPr="00A42F82" w14:paraId="2721D084" w14:textId="77777777" w:rsidTr="008A4A4F">
        <w:tc>
          <w:tcPr>
            <w:tcW w:w="596" w:type="dxa"/>
            <w:tcBorders>
              <w:top w:val="single" w:sz="4" w:space="0" w:color="auto"/>
              <w:bottom w:val="single" w:sz="4" w:space="0" w:color="auto"/>
            </w:tcBorders>
            <w:shd w:val="clear" w:color="auto" w:fill="F2F2F2" w:themeFill="background1" w:themeFillShade="F2"/>
          </w:tcPr>
          <w:p w14:paraId="635C2E62" w14:textId="77777777" w:rsidR="008A4A4F" w:rsidRPr="00A42F82" w:rsidRDefault="008A4A4F" w:rsidP="00A91894">
            <w:pPr>
              <w:rPr>
                <w:rFonts w:ascii="Arial" w:hAnsi="Arial" w:cs="Arial"/>
                <w:bCs/>
                <w:sz w:val="22"/>
                <w:szCs w:val="22"/>
              </w:rPr>
            </w:pPr>
            <w:r w:rsidRPr="00A42F82">
              <w:rPr>
                <w:rFonts w:ascii="Arial" w:hAnsi="Arial" w:cs="Arial"/>
                <w:bCs/>
                <w:sz w:val="22"/>
                <w:szCs w:val="22"/>
              </w:rPr>
              <w:t>1</w:t>
            </w:r>
          </w:p>
        </w:tc>
        <w:tc>
          <w:tcPr>
            <w:tcW w:w="9639" w:type="dxa"/>
            <w:tcBorders>
              <w:top w:val="single" w:sz="4" w:space="0" w:color="auto"/>
              <w:bottom w:val="single" w:sz="4" w:space="0" w:color="auto"/>
            </w:tcBorders>
            <w:shd w:val="clear" w:color="auto" w:fill="F2F2F2" w:themeFill="background1" w:themeFillShade="F2"/>
          </w:tcPr>
          <w:p w14:paraId="626C535F" w14:textId="77777777" w:rsidR="008A4A4F" w:rsidRPr="00A42F82" w:rsidRDefault="008A4A4F" w:rsidP="00A91894">
            <w:pPr>
              <w:rPr>
                <w:rFonts w:ascii="Arial" w:hAnsi="Arial" w:cs="Arial"/>
                <w:sz w:val="22"/>
                <w:szCs w:val="22"/>
              </w:rPr>
            </w:pPr>
            <w:r w:rsidRPr="00A42F82">
              <w:rPr>
                <w:rFonts w:ascii="Arial" w:hAnsi="Arial" w:cs="Arial"/>
                <w:b/>
                <w:sz w:val="22"/>
                <w:szCs w:val="22"/>
              </w:rPr>
              <w:t>Feedback</w:t>
            </w:r>
          </w:p>
          <w:p w14:paraId="70C74152" w14:textId="77777777" w:rsidR="008A4A4F" w:rsidRPr="00A42F82" w:rsidRDefault="008A4A4F"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8A4A4F" w:rsidRPr="00A42F82" w14:paraId="37B69D77" w14:textId="77777777" w:rsidTr="008A4A4F">
        <w:tc>
          <w:tcPr>
            <w:tcW w:w="596" w:type="dxa"/>
            <w:tcBorders>
              <w:top w:val="single" w:sz="4" w:space="0" w:color="auto"/>
              <w:bottom w:val="single" w:sz="4" w:space="0" w:color="auto"/>
            </w:tcBorders>
          </w:tcPr>
          <w:p w14:paraId="574916D1" w14:textId="77777777" w:rsidR="008A4A4F" w:rsidRPr="00A42F82" w:rsidRDefault="008A4A4F" w:rsidP="00A91894">
            <w:pPr>
              <w:rPr>
                <w:rFonts w:ascii="Arial" w:hAnsi="Arial" w:cs="Arial"/>
                <w:bCs/>
                <w:sz w:val="22"/>
                <w:szCs w:val="22"/>
              </w:rPr>
            </w:pPr>
          </w:p>
        </w:tc>
        <w:tc>
          <w:tcPr>
            <w:tcW w:w="9639" w:type="dxa"/>
            <w:tcBorders>
              <w:top w:val="single" w:sz="4" w:space="0" w:color="auto"/>
              <w:bottom w:val="single" w:sz="4" w:space="0" w:color="auto"/>
            </w:tcBorders>
          </w:tcPr>
          <w:p w14:paraId="29FD38FA" w14:textId="77777777" w:rsidR="008A4A4F" w:rsidRPr="00A42F82" w:rsidRDefault="008A4A4F" w:rsidP="00A91894">
            <w:pPr>
              <w:rPr>
                <w:rFonts w:ascii="Arial" w:hAnsi="Arial" w:cs="Arial"/>
                <w:sz w:val="22"/>
                <w:szCs w:val="22"/>
              </w:rPr>
            </w:pPr>
          </w:p>
          <w:p w14:paraId="727F9B9E" w14:textId="77777777" w:rsidR="008A4A4F" w:rsidRPr="00A42F82" w:rsidRDefault="008A4A4F" w:rsidP="00A91894">
            <w:pPr>
              <w:rPr>
                <w:rFonts w:ascii="Arial" w:hAnsi="Arial" w:cs="Arial"/>
                <w:sz w:val="22"/>
                <w:szCs w:val="22"/>
              </w:rPr>
            </w:pPr>
          </w:p>
          <w:p w14:paraId="24820392" w14:textId="77777777" w:rsidR="008A4A4F" w:rsidRDefault="008A4A4F" w:rsidP="00A91894">
            <w:pPr>
              <w:rPr>
                <w:rFonts w:ascii="Arial" w:hAnsi="Arial" w:cs="Arial"/>
                <w:sz w:val="22"/>
                <w:szCs w:val="22"/>
              </w:rPr>
            </w:pPr>
            <w:r w:rsidRPr="00D13518">
              <w:rPr>
                <w:rFonts w:ascii="Arial" w:hAnsi="Arial" w:cs="Arial"/>
                <w:sz w:val="22"/>
                <w:szCs w:val="22"/>
              </w:rPr>
              <w:lastRenderedPageBreak/>
              <w:t>Participants will receive de briefing immediately after participation, including the purpose of the research, and feedback to participant who are interested, explaining them how they are contributing to the research goals. De-briefing and feedback will be provided in-person.</w:t>
            </w:r>
          </w:p>
          <w:p w14:paraId="2ACFC597" w14:textId="77777777" w:rsidR="008A4A4F" w:rsidRPr="00A42F82" w:rsidRDefault="008A4A4F" w:rsidP="00A91894">
            <w:pPr>
              <w:rPr>
                <w:rFonts w:ascii="Arial" w:hAnsi="Arial" w:cs="Arial"/>
                <w:sz w:val="22"/>
                <w:szCs w:val="22"/>
              </w:rPr>
            </w:pPr>
          </w:p>
          <w:p w14:paraId="7FDC0B9E" w14:textId="77777777" w:rsidR="008A4A4F" w:rsidRPr="00A42F82" w:rsidRDefault="008A4A4F"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8A4A4F" w:rsidRPr="00A42F82" w14:paraId="348B8E17" w14:textId="77777777" w:rsidTr="008A4A4F">
        <w:tc>
          <w:tcPr>
            <w:tcW w:w="596" w:type="dxa"/>
            <w:tcBorders>
              <w:top w:val="single" w:sz="4" w:space="0" w:color="auto"/>
              <w:bottom w:val="single" w:sz="4" w:space="0" w:color="auto"/>
            </w:tcBorders>
            <w:shd w:val="clear" w:color="auto" w:fill="F2F2F2" w:themeFill="background1" w:themeFillShade="F2"/>
          </w:tcPr>
          <w:p w14:paraId="73C3BBD0" w14:textId="77777777" w:rsidR="008A4A4F" w:rsidRPr="00A42F82" w:rsidRDefault="008A4A4F" w:rsidP="00A91894">
            <w:pPr>
              <w:rPr>
                <w:rFonts w:ascii="Arial" w:hAnsi="Arial" w:cs="Arial"/>
                <w:bCs/>
                <w:sz w:val="22"/>
                <w:szCs w:val="22"/>
              </w:rPr>
            </w:pPr>
            <w:r w:rsidRPr="00A42F82">
              <w:rPr>
                <w:rFonts w:ascii="Arial" w:hAnsi="Arial" w:cs="Arial"/>
                <w:bCs/>
                <w:sz w:val="22"/>
                <w:szCs w:val="22"/>
              </w:rPr>
              <w:lastRenderedPageBreak/>
              <w:t>2</w:t>
            </w:r>
          </w:p>
        </w:tc>
        <w:tc>
          <w:tcPr>
            <w:tcW w:w="9639" w:type="dxa"/>
            <w:tcBorders>
              <w:top w:val="single" w:sz="4" w:space="0" w:color="auto"/>
              <w:bottom w:val="single" w:sz="4" w:space="0" w:color="auto"/>
            </w:tcBorders>
            <w:shd w:val="clear" w:color="auto" w:fill="F2F2F2" w:themeFill="background1" w:themeFillShade="F2"/>
          </w:tcPr>
          <w:p w14:paraId="370915BF" w14:textId="77777777" w:rsidR="008A4A4F" w:rsidRPr="00A42F82" w:rsidRDefault="008A4A4F" w:rsidP="00A91894">
            <w:pPr>
              <w:rPr>
                <w:rFonts w:ascii="Arial" w:hAnsi="Arial" w:cs="Arial"/>
                <w:sz w:val="22"/>
                <w:szCs w:val="22"/>
              </w:rPr>
            </w:pPr>
            <w:r w:rsidRPr="00A42F82">
              <w:rPr>
                <w:rFonts w:ascii="Arial" w:hAnsi="Arial" w:cs="Arial"/>
                <w:b/>
                <w:sz w:val="22"/>
                <w:szCs w:val="22"/>
              </w:rPr>
              <w:t>Informed consent</w:t>
            </w:r>
          </w:p>
          <w:p w14:paraId="72940B89"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A4A4F" w:rsidRPr="00A42F82" w14:paraId="428F093E" w14:textId="77777777" w:rsidTr="008A4A4F">
        <w:tc>
          <w:tcPr>
            <w:tcW w:w="596" w:type="dxa"/>
            <w:tcBorders>
              <w:top w:val="single" w:sz="4" w:space="0" w:color="auto"/>
              <w:bottom w:val="single" w:sz="4" w:space="0" w:color="auto"/>
            </w:tcBorders>
          </w:tcPr>
          <w:p w14:paraId="68D6E3FE" w14:textId="77777777" w:rsidR="008A4A4F" w:rsidRPr="00A42F82" w:rsidRDefault="008A4A4F" w:rsidP="00A91894">
            <w:pPr>
              <w:rPr>
                <w:rFonts w:ascii="Arial" w:hAnsi="Arial" w:cs="Arial"/>
                <w:bCs/>
                <w:sz w:val="22"/>
                <w:szCs w:val="22"/>
              </w:rPr>
            </w:pPr>
          </w:p>
        </w:tc>
        <w:tc>
          <w:tcPr>
            <w:tcW w:w="9639" w:type="dxa"/>
            <w:tcBorders>
              <w:top w:val="single" w:sz="4" w:space="0" w:color="auto"/>
              <w:bottom w:val="single" w:sz="4" w:space="0" w:color="auto"/>
            </w:tcBorders>
          </w:tcPr>
          <w:p w14:paraId="16F566BC" w14:textId="77777777" w:rsidR="008A4A4F" w:rsidRPr="00A42F82" w:rsidRDefault="008A4A4F" w:rsidP="00A91894">
            <w:pPr>
              <w:rPr>
                <w:rFonts w:ascii="Arial" w:hAnsi="Arial" w:cs="Arial"/>
                <w:sz w:val="22"/>
                <w:szCs w:val="22"/>
              </w:rPr>
            </w:pPr>
          </w:p>
          <w:p w14:paraId="5F72FD82" w14:textId="77777777" w:rsidR="008A4A4F" w:rsidRDefault="008A4A4F" w:rsidP="00A91894">
            <w:pPr>
              <w:rPr>
                <w:rFonts w:ascii="Arial" w:hAnsi="Arial" w:cs="Arial"/>
                <w:sz w:val="22"/>
                <w:szCs w:val="22"/>
              </w:rPr>
            </w:pPr>
            <w:r w:rsidRPr="00D13518">
              <w:rPr>
                <w:rFonts w:ascii="Arial" w:hAnsi="Arial" w:cs="Arial"/>
                <w:sz w:val="22"/>
                <w:szCs w:val="22"/>
              </w:rPr>
              <w:t xml:space="preserve">Before participants are asked to give their consent, they will be provided with comprehensive, accessible information about the study to ensure that they can make a fully informed decision. This will include: </w:t>
            </w:r>
          </w:p>
          <w:p w14:paraId="59743B71" w14:textId="77777777" w:rsidR="008A4A4F" w:rsidRDefault="008A4A4F" w:rsidP="00A91894">
            <w:pPr>
              <w:rPr>
                <w:rFonts w:ascii="Arial" w:hAnsi="Arial" w:cs="Arial"/>
                <w:sz w:val="22"/>
                <w:szCs w:val="22"/>
              </w:rPr>
            </w:pPr>
            <w:r w:rsidRPr="00D13518">
              <w:rPr>
                <w:rFonts w:ascii="Arial" w:hAnsi="Arial" w:cs="Arial"/>
                <w:sz w:val="22"/>
                <w:szCs w:val="22"/>
              </w:rPr>
              <w:t xml:space="preserve">• The purpose of the study and its objectives </w:t>
            </w:r>
          </w:p>
          <w:p w14:paraId="5B19485F" w14:textId="77777777" w:rsidR="008A4A4F" w:rsidRDefault="008A4A4F" w:rsidP="00A91894">
            <w:pPr>
              <w:rPr>
                <w:rFonts w:ascii="Arial" w:hAnsi="Arial" w:cs="Arial"/>
                <w:sz w:val="22"/>
                <w:szCs w:val="22"/>
              </w:rPr>
            </w:pPr>
            <w:r w:rsidRPr="00D13518">
              <w:rPr>
                <w:rFonts w:ascii="Arial" w:hAnsi="Arial" w:cs="Arial"/>
                <w:sz w:val="22"/>
                <w:szCs w:val="22"/>
              </w:rPr>
              <w:t xml:space="preserve">• What participation involves, including the procedures, time commitment, and any follow-up </w:t>
            </w:r>
          </w:p>
          <w:p w14:paraId="73FA5B0C" w14:textId="77777777" w:rsidR="008A4A4F" w:rsidRDefault="008A4A4F" w:rsidP="00A91894">
            <w:pPr>
              <w:rPr>
                <w:rFonts w:ascii="Arial" w:hAnsi="Arial" w:cs="Arial"/>
                <w:sz w:val="22"/>
                <w:szCs w:val="22"/>
              </w:rPr>
            </w:pPr>
            <w:r w:rsidRPr="00D13518">
              <w:rPr>
                <w:rFonts w:ascii="Arial" w:hAnsi="Arial" w:cs="Arial"/>
                <w:sz w:val="22"/>
                <w:szCs w:val="22"/>
              </w:rPr>
              <w:t xml:space="preserve">• Any potential risks or discomforts, as well as benefits </w:t>
            </w:r>
          </w:p>
          <w:p w14:paraId="6683C2D5" w14:textId="77777777" w:rsidR="008A4A4F" w:rsidRDefault="008A4A4F" w:rsidP="00A91894">
            <w:pPr>
              <w:rPr>
                <w:rFonts w:ascii="Arial" w:hAnsi="Arial" w:cs="Arial"/>
                <w:sz w:val="22"/>
                <w:szCs w:val="22"/>
              </w:rPr>
            </w:pPr>
            <w:r w:rsidRPr="00D13518">
              <w:rPr>
                <w:rFonts w:ascii="Arial" w:hAnsi="Arial" w:cs="Arial"/>
                <w:sz w:val="22"/>
                <w:szCs w:val="22"/>
              </w:rPr>
              <w:t xml:space="preserve">• Assurance that participation is voluntary, and participants can withdraw at any time without penalty </w:t>
            </w:r>
          </w:p>
          <w:p w14:paraId="67D65FBC" w14:textId="77777777" w:rsidR="008A4A4F" w:rsidRDefault="008A4A4F" w:rsidP="00A91894">
            <w:pPr>
              <w:rPr>
                <w:rFonts w:ascii="Arial" w:hAnsi="Arial" w:cs="Arial"/>
                <w:sz w:val="22"/>
                <w:szCs w:val="22"/>
              </w:rPr>
            </w:pPr>
            <w:r w:rsidRPr="00D13518">
              <w:rPr>
                <w:rFonts w:ascii="Arial" w:hAnsi="Arial" w:cs="Arial"/>
                <w:sz w:val="22"/>
                <w:szCs w:val="22"/>
              </w:rPr>
              <w:t xml:space="preserve">• How confidentiality and data protection will be maintained </w:t>
            </w:r>
          </w:p>
          <w:p w14:paraId="2623A0E4" w14:textId="77777777" w:rsidR="008A4A4F" w:rsidRDefault="008A4A4F" w:rsidP="00A91894">
            <w:pPr>
              <w:rPr>
                <w:rFonts w:ascii="Arial" w:hAnsi="Arial" w:cs="Arial"/>
                <w:sz w:val="22"/>
                <w:szCs w:val="22"/>
              </w:rPr>
            </w:pPr>
            <w:r w:rsidRPr="00D13518">
              <w:rPr>
                <w:rFonts w:ascii="Arial" w:hAnsi="Arial" w:cs="Arial"/>
                <w:sz w:val="22"/>
                <w:szCs w:val="22"/>
              </w:rPr>
              <w:t xml:space="preserve">• How their data will be used, stored, and shared </w:t>
            </w:r>
          </w:p>
          <w:p w14:paraId="3FE00C64" w14:textId="77777777" w:rsidR="008A4A4F" w:rsidRPr="00A42F82" w:rsidRDefault="008A4A4F" w:rsidP="00A91894">
            <w:pPr>
              <w:rPr>
                <w:rFonts w:ascii="Arial" w:hAnsi="Arial" w:cs="Arial"/>
                <w:sz w:val="22"/>
                <w:szCs w:val="22"/>
              </w:rPr>
            </w:pPr>
            <w:r w:rsidRPr="00D13518">
              <w:rPr>
                <w:rFonts w:ascii="Arial" w:hAnsi="Arial" w:cs="Arial"/>
                <w:sz w:val="22"/>
                <w:szCs w:val="22"/>
              </w:rPr>
              <w:t xml:space="preserve">• Contact details for the researcher and ethics oversight body This information will be presented in a </w:t>
            </w:r>
            <w:r>
              <w:rPr>
                <w:rFonts w:ascii="Arial" w:hAnsi="Arial" w:cs="Arial"/>
                <w:sz w:val="22"/>
                <w:szCs w:val="22"/>
              </w:rPr>
              <w:t xml:space="preserve"> </w:t>
            </w:r>
            <w:r w:rsidRPr="00D13518">
              <w:rPr>
                <w:rFonts w:ascii="Arial" w:hAnsi="Arial" w:cs="Arial"/>
                <w:sz w:val="22"/>
                <w:szCs w:val="22"/>
              </w:rPr>
              <w:t>Participant Information.</w:t>
            </w:r>
          </w:p>
          <w:p w14:paraId="11482FB3" w14:textId="77777777" w:rsidR="008A4A4F" w:rsidRPr="00A42F82" w:rsidRDefault="008A4A4F" w:rsidP="00A91894">
            <w:pPr>
              <w:rPr>
                <w:rFonts w:ascii="Arial" w:hAnsi="Arial" w:cs="Arial"/>
                <w:sz w:val="22"/>
                <w:szCs w:val="22"/>
              </w:rPr>
            </w:pPr>
          </w:p>
          <w:p w14:paraId="195A9190" w14:textId="77777777" w:rsidR="008A4A4F" w:rsidRPr="00A42F82" w:rsidRDefault="008A4A4F"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8A4A4F" w:rsidRPr="00A42F82" w14:paraId="7B4D1958" w14:textId="77777777" w:rsidTr="008A4A4F">
        <w:tc>
          <w:tcPr>
            <w:tcW w:w="596" w:type="dxa"/>
            <w:tcBorders>
              <w:top w:val="single" w:sz="4" w:space="0" w:color="auto"/>
              <w:bottom w:val="single" w:sz="4" w:space="0" w:color="auto"/>
            </w:tcBorders>
            <w:shd w:val="clear" w:color="auto" w:fill="F2F2F2" w:themeFill="background1" w:themeFillShade="F2"/>
          </w:tcPr>
          <w:p w14:paraId="046277C1" w14:textId="77777777" w:rsidR="008A4A4F" w:rsidRPr="00A42F82" w:rsidRDefault="008A4A4F" w:rsidP="00A91894">
            <w:pPr>
              <w:rPr>
                <w:rFonts w:ascii="Arial" w:hAnsi="Arial" w:cs="Arial"/>
                <w:bCs/>
                <w:sz w:val="22"/>
                <w:szCs w:val="22"/>
              </w:rPr>
            </w:pPr>
            <w:r w:rsidRPr="00A42F82">
              <w:rPr>
                <w:rFonts w:ascii="Arial" w:hAnsi="Arial" w:cs="Arial"/>
                <w:bCs/>
                <w:sz w:val="22"/>
                <w:szCs w:val="22"/>
              </w:rPr>
              <w:t>3</w:t>
            </w:r>
          </w:p>
        </w:tc>
        <w:tc>
          <w:tcPr>
            <w:tcW w:w="9639" w:type="dxa"/>
            <w:tcBorders>
              <w:top w:val="single" w:sz="4" w:space="0" w:color="auto"/>
              <w:bottom w:val="single" w:sz="4" w:space="0" w:color="auto"/>
            </w:tcBorders>
            <w:shd w:val="clear" w:color="auto" w:fill="F2F2F2" w:themeFill="background1" w:themeFillShade="F2"/>
          </w:tcPr>
          <w:p w14:paraId="5098CDA0" w14:textId="77777777" w:rsidR="008A4A4F" w:rsidRPr="00A42F82" w:rsidRDefault="008A4A4F" w:rsidP="00A91894">
            <w:pPr>
              <w:rPr>
                <w:rFonts w:ascii="Arial" w:hAnsi="Arial" w:cs="Arial"/>
                <w:b/>
                <w:sz w:val="22"/>
                <w:szCs w:val="22"/>
              </w:rPr>
            </w:pPr>
            <w:r w:rsidRPr="00A42F82">
              <w:rPr>
                <w:rFonts w:ascii="Arial" w:hAnsi="Arial" w:cs="Arial"/>
                <w:b/>
                <w:sz w:val="22"/>
                <w:szCs w:val="22"/>
              </w:rPr>
              <w:t>Confidentiality / Anonymity</w:t>
            </w:r>
          </w:p>
          <w:p w14:paraId="11155AE7" w14:textId="77777777" w:rsidR="008A4A4F" w:rsidRPr="00A42F82" w:rsidRDefault="008A4A4F"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8A4A4F" w:rsidRPr="00A42F82" w14:paraId="6DF431BB" w14:textId="77777777" w:rsidTr="008A4A4F">
        <w:tc>
          <w:tcPr>
            <w:tcW w:w="596" w:type="dxa"/>
            <w:tcBorders>
              <w:top w:val="single" w:sz="4" w:space="0" w:color="auto"/>
              <w:bottom w:val="single" w:sz="4" w:space="0" w:color="auto"/>
            </w:tcBorders>
          </w:tcPr>
          <w:p w14:paraId="57D24578" w14:textId="77777777" w:rsidR="008A4A4F" w:rsidRPr="00A42F82" w:rsidRDefault="008A4A4F" w:rsidP="00A91894">
            <w:pPr>
              <w:rPr>
                <w:rFonts w:ascii="Arial" w:hAnsi="Arial" w:cs="Arial"/>
                <w:bCs/>
                <w:sz w:val="22"/>
                <w:szCs w:val="22"/>
              </w:rPr>
            </w:pPr>
          </w:p>
        </w:tc>
        <w:tc>
          <w:tcPr>
            <w:tcW w:w="9639" w:type="dxa"/>
            <w:tcBorders>
              <w:top w:val="single" w:sz="4" w:space="0" w:color="auto"/>
              <w:bottom w:val="single" w:sz="4" w:space="0" w:color="auto"/>
            </w:tcBorders>
          </w:tcPr>
          <w:p w14:paraId="38BFFA37" w14:textId="77777777" w:rsidR="008A4A4F" w:rsidRPr="00A42F82" w:rsidRDefault="008A4A4F" w:rsidP="00A91894">
            <w:pPr>
              <w:rPr>
                <w:rFonts w:ascii="Arial" w:hAnsi="Arial" w:cs="Arial"/>
                <w:sz w:val="22"/>
                <w:szCs w:val="22"/>
              </w:rPr>
            </w:pPr>
          </w:p>
          <w:p w14:paraId="37EEDFDB" w14:textId="77777777" w:rsidR="008A4A4F" w:rsidRPr="00A42F82" w:rsidRDefault="008A4A4F" w:rsidP="00A91894">
            <w:pPr>
              <w:rPr>
                <w:rFonts w:ascii="Arial" w:hAnsi="Arial" w:cs="Arial"/>
                <w:sz w:val="22"/>
                <w:szCs w:val="22"/>
              </w:rPr>
            </w:pPr>
            <w:r w:rsidRPr="00D13518">
              <w:rPr>
                <w:rFonts w:ascii="Arial" w:hAnsi="Arial" w:cs="Arial"/>
                <w:sz w:val="22"/>
                <w:szCs w:val="22"/>
              </w:rPr>
              <w:t>Participants name and age will not be used. Access to raw data will be limited to the researcher only. All publications, presentations, and reports will use anonymised data</w:t>
            </w:r>
            <w:r>
              <w:rPr>
                <w:rFonts w:ascii="Arial" w:hAnsi="Arial" w:cs="Arial"/>
                <w:sz w:val="22"/>
                <w:szCs w:val="22"/>
              </w:rPr>
              <w:t>.</w:t>
            </w:r>
          </w:p>
          <w:p w14:paraId="620EA029" w14:textId="77777777" w:rsidR="008A4A4F" w:rsidRPr="00A42F82" w:rsidRDefault="008A4A4F" w:rsidP="00A91894">
            <w:pPr>
              <w:rPr>
                <w:rFonts w:ascii="Arial" w:hAnsi="Arial" w:cs="Arial"/>
                <w:sz w:val="22"/>
                <w:szCs w:val="22"/>
              </w:rPr>
            </w:pPr>
          </w:p>
          <w:p w14:paraId="6623294C" w14:textId="77777777" w:rsidR="008A4A4F" w:rsidRPr="00A42F82" w:rsidRDefault="008A4A4F"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C24CD11" w14:textId="77777777" w:rsidR="008A4A4F" w:rsidRPr="00A42F82" w:rsidRDefault="008A4A4F" w:rsidP="00A91894">
      <w:pPr>
        <w:rPr>
          <w:rFonts w:ascii="Arial" w:hAnsi="Arial" w:cs="Arial"/>
          <w:sz w:val="22"/>
          <w:szCs w:val="22"/>
        </w:rPr>
      </w:pPr>
    </w:p>
    <w:p w14:paraId="3ADBE203" w14:textId="77777777" w:rsidR="008A4A4F" w:rsidRPr="00A42F82" w:rsidRDefault="008A4A4F" w:rsidP="00A91894">
      <w:pPr>
        <w:rPr>
          <w:rFonts w:ascii="Arial" w:hAnsi="Arial" w:cs="Arial"/>
          <w:b/>
          <w:sz w:val="22"/>
          <w:szCs w:val="22"/>
        </w:rPr>
      </w:pPr>
      <w:r w:rsidRPr="00A42F82">
        <w:rPr>
          <w:rFonts w:ascii="Arial" w:hAnsi="Arial" w:cs="Arial"/>
          <w:b/>
          <w:sz w:val="22"/>
          <w:szCs w:val="22"/>
        </w:rPr>
        <w:t>SECTION J: Data Protection and Storage</w:t>
      </w:r>
    </w:p>
    <w:p w14:paraId="207A68F4" w14:textId="77777777" w:rsidR="008A4A4F" w:rsidRPr="00A42F82" w:rsidRDefault="008A4A4F" w:rsidP="00A91894">
      <w:pPr>
        <w:rPr>
          <w:rFonts w:ascii="Arial" w:hAnsi="Arial" w:cs="Arial"/>
          <w:b/>
          <w:sz w:val="22"/>
          <w:szCs w:val="22"/>
        </w:rPr>
      </w:pPr>
    </w:p>
    <w:tbl>
      <w:tblPr>
        <w:tblW w:w="10206" w:type="dxa"/>
        <w:tblInd w:w="-5" w:type="dxa"/>
        <w:tblBorders>
          <w:top w:val="single" w:sz="4" w:space="0" w:color="auto"/>
          <w:left w:val="single" w:sz="4" w:space="0" w:color="auto"/>
          <w:bottom w:val="single" w:sz="4" w:space="0" w:color="auto"/>
          <w:right w:val="single" w:sz="4" w:space="0" w:color="auto"/>
        </w:tblBorders>
        <w:tblLayout w:type="fixed"/>
        <w:tblLook w:val="04A0" w:firstRow="1" w:lastRow="0" w:firstColumn="1" w:lastColumn="0" w:noHBand="0" w:noVBand="1"/>
      </w:tblPr>
      <w:tblGrid>
        <w:gridCol w:w="567"/>
        <w:gridCol w:w="7905"/>
        <w:gridCol w:w="992"/>
        <w:gridCol w:w="742"/>
      </w:tblGrid>
      <w:tr w:rsidR="008A4A4F" w:rsidRPr="00A42F82" w14:paraId="58D115F7" w14:textId="77777777" w:rsidTr="008A4A4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31926A5" w14:textId="77777777" w:rsidR="008A4A4F" w:rsidRPr="00A42F82" w:rsidRDefault="008A4A4F"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6EC3ECA" w14:textId="77777777" w:rsidR="008A4A4F" w:rsidRPr="00A42F82" w:rsidRDefault="008A4A4F"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31A3B8" w14:textId="77777777" w:rsidR="008A4A4F" w:rsidRPr="00A42F82" w:rsidRDefault="008A4A4F"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7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62CFF7" w14:textId="77777777" w:rsidR="008A4A4F" w:rsidRPr="00A42F82" w:rsidRDefault="008A4A4F"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8A4A4F" w:rsidRPr="00A42F82" w14:paraId="5112556F" w14:textId="77777777" w:rsidTr="008A4A4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8447966" w14:textId="77777777" w:rsidR="008A4A4F" w:rsidRPr="00A42F82" w:rsidRDefault="008A4A4F"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5F221A3" w14:textId="77777777" w:rsidR="008A4A4F" w:rsidRPr="00A42F82" w:rsidRDefault="008A4A4F"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5012D0D" w14:textId="77777777" w:rsidR="008A4A4F" w:rsidRPr="00A42F82" w:rsidRDefault="008A4A4F"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74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2A2676" w14:textId="77777777" w:rsidR="008A4A4F" w:rsidRPr="00A42F82" w:rsidRDefault="008A4A4F"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Pr="00A42F82">
              <w:rPr>
                <w:rFonts w:ascii="Segoe UI Symbol" w:eastAsia="MS Gothic" w:hAnsi="Segoe UI Symbol" w:cs="Segoe UI Symbol"/>
                <w:sz w:val="22"/>
                <w:szCs w:val="22"/>
                <w:lang w:val="en-US"/>
              </w:rPr>
              <w:t>☐</w:t>
            </w:r>
          </w:p>
        </w:tc>
      </w:tr>
      <w:tr w:rsidR="008A4A4F" w:rsidRPr="00A42F82" w14:paraId="7A6401AF" w14:textId="77777777" w:rsidTr="008A4A4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6451A0" w14:textId="77777777" w:rsidR="008A4A4F" w:rsidRPr="00A42F82" w:rsidRDefault="008A4A4F" w:rsidP="00A91894">
            <w:pPr>
              <w:pStyle w:val="NormalWeb"/>
              <w:autoSpaceDE w:val="0"/>
              <w:autoSpaceDN w:val="0"/>
              <w:adjustRightInd w:val="0"/>
              <w:jc w:val="center"/>
              <w:rPr>
                <w:rFonts w:ascii="Arial" w:hAnsi="Arial" w:cs="Arial"/>
                <w:sz w:val="22"/>
                <w:szCs w:val="22"/>
              </w:rPr>
            </w:pPr>
          </w:p>
        </w:tc>
        <w:tc>
          <w:tcPr>
            <w:tcW w:w="963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9C39D8" w14:textId="77777777" w:rsidR="008A4A4F" w:rsidRPr="00A42F82" w:rsidRDefault="008A4A4F"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8A4A4F" w:rsidRPr="00A42F82" w14:paraId="00107D2F" w14:textId="77777777" w:rsidTr="008A4A4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9A19E44" w14:textId="77777777" w:rsidR="008A4A4F" w:rsidRPr="00A42F82" w:rsidRDefault="008A4A4F" w:rsidP="00A91894">
            <w:pPr>
              <w:jc w:val="center"/>
              <w:rPr>
                <w:rFonts w:ascii="Arial" w:hAnsi="Arial" w:cs="Arial"/>
                <w:sz w:val="22"/>
                <w:szCs w:val="22"/>
              </w:rPr>
            </w:pPr>
            <w:r w:rsidRPr="00A42F82">
              <w:rPr>
                <w:rFonts w:ascii="Arial" w:hAnsi="Arial" w:cs="Arial"/>
                <w:sz w:val="22"/>
                <w:szCs w:val="22"/>
              </w:rPr>
              <w:t>2</w:t>
            </w:r>
          </w:p>
        </w:tc>
        <w:tc>
          <w:tcPr>
            <w:tcW w:w="9639" w:type="dxa"/>
            <w:gridSpan w:val="3"/>
            <w:tcBorders>
              <w:top w:val="single" w:sz="4" w:space="0" w:color="auto"/>
              <w:left w:val="single" w:sz="4" w:space="0" w:color="auto"/>
              <w:bottom w:val="single" w:sz="4" w:space="0" w:color="auto"/>
              <w:right w:val="single" w:sz="4" w:space="0" w:color="auto"/>
            </w:tcBorders>
            <w:vAlign w:val="center"/>
            <w:hideMark/>
          </w:tcPr>
          <w:p w14:paraId="7841951B" w14:textId="77777777" w:rsidR="008A4A4F" w:rsidRPr="00A42F82" w:rsidRDefault="008A4A4F" w:rsidP="00A91894">
            <w:pPr>
              <w:rPr>
                <w:rFonts w:ascii="Arial" w:hAnsi="Arial" w:cs="Arial"/>
                <w:sz w:val="22"/>
                <w:szCs w:val="22"/>
              </w:rPr>
            </w:pPr>
          </w:p>
          <w:p w14:paraId="07021710" w14:textId="77777777" w:rsidR="008A4A4F" w:rsidRPr="00A42F82" w:rsidRDefault="008A4A4F" w:rsidP="00A91894">
            <w:pPr>
              <w:rPr>
                <w:rFonts w:ascii="Arial" w:hAnsi="Arial" w:cs="Arial"/>
                <w:sz w:val="22"/>
                <w:szCs w:val="22"/>
              </w:rPr>
            </w:pPr>
          </w:p>
          <w:p w14:paraId="763B63CD" w14:textId="77777777" w:rsidR="008A4A4F" w:rsidRPr="00A42F82" w:rsidRDefault="008A4A4F" w:rsidP="00A91894">
            <w:pPr>
              <w:rPr>
                <w:rFonts w:ascii="Arial" w:hAnsi="Arial" w:cs="Arial"/>
                <w:sz w:val="22"/>
                <w:szCs w:val="22"/>
              </w:rPr>
            </w:pPr>
          </w:p>
          <w:p w14:paraId="5F70A901" w14:textId="77777777" w:rsidR="008A4A4F" w:rsidRPr="00A42F82" w:rsidRDefault="008A4A4F"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8A4A4F" w:rsidRPr="00A42F82" w14:paraId="75A7A2CF" w14:textId="77777777" w:rsidTr="008A4A4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39F242E" w14:textId="77777777" w:rsidR="008A4A4F" w:rsidRPr="00A42F82" w:rsidRDefault="008A4A4F"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B3BC3B7" w14:textId="77777777" w:rsidR="008A4A4F" w:rsidRPr="00A42F82" w:rsidRDefault="008A4A4F"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D02429" w14:textId="77777777" w:rsidR="008A4A4F" w:rsidRPr="00A42F82" w:rsidRDefault="008A4A4F"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74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07F0A4" w14:textId="77777777" w:rsidR="008A4A4F" w:rsidRPr="00A42F82" w:rsidRDefault="008A4A4F"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8A4A4F" w:rsidRPr="00A42F82" w14:paraId="5E902F53" w14:textId="77777777" w:rsidTr="008A4A4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1DDA3B" w14:textId="77777777" w:rsidR="008A4A4F" w:rsidRPr="00A42F82" w:rsidRDefault="008A4A4F"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49ED2B" w14:textId="77777777" w:rsidR="008A4A4F" w:rsidRPr="00A42F82" w:rsidRDefault="008A4A4F"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461C3508" w14:textId="77777777" w:rsidR="008A4A4F" w:rsidRPr="00A42F82" w:rsidRDefault="008A4A4F"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(a) racial or ethnic origin,</w:t>
            </w:r>
          </w:p>
          <w:p w14:paraId="432B4668" w14:textId="77777777" w:rsidR="008A4A4F" w:rsidRPr="00A42F82" w:rsidRDefault="008A4A4F"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6E38CDBC" w14:textId="77777777" w:rsidR="008A4A4F" w:rsidRPr="00A42F82" w:rsidRDefault="008A4A4F"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143989DB" w14:textId="77777777" w:rsidR="008A4A4F" w:rsidRPr="00A42F82" w:rsidRDefault="008A4A4F"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7E6A410A" w14:textId="77777777" w:rsidR="008A4A4F" w:rsidRPr="00A42F82" w:rsidRDefault="008A4A4F"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D4E1C76" w14:textId="77777777" w:rsidR="008A4A4F" w:rsidRPr="00A42F82" w:rsidRDefault="008A4A4F"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48A6B036" w14:textId="77777777" w:rsidR="008A4A4F" w:rsidRPr="00A42F82" w:rsidRDefault="008A4A4F"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3DC2DD30" w14:textId="77777777" w:rsidR="008A4A4F" w:rsidRPr="00A42F82" w:rsidRDefault="008A4A4F"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7AC3E8B" w14:textId="77777777" w:rsidR="008A4A4F" w:rsidRPr="00A42F82" w:rsidRDefault="008A4A4F"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74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5E85EF9" w14:textId="77777777" w:rsidR="008A4A4F" w:rsidRPr="00A42F82" w:rsidRDefault="008A4A4F"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Pr="00A42F82">
              <w:rPr>
                <w:rFonts w:ascii="Segoe UI Symbol" w:eastAsia="MS Gothic" w:hAnsi="Segoe UI Symbol" w:cs="Segoe UI Symbol"/>
                <w:sz w:val="22"/>
                <w:szCs w:val="22"/>
                <w:lang w:val="en-US"/>
              </w:rPr>
              <w:t>☐</w:t>
            </w:r>
          </w:p>
        </w:tc>
      </w:tr>
      <w:tr w:rsidR="008A4A4F" w:rsidRPr="00A42F82" w14:paraId="013453DF" w14:textId="77777777" w:rsidTr="008A4A4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47E2F" w14:textId="77777777" w:rsidR="008A4A4F" w:rsidRPr="00A42F82" w:rsidRDefault="008A4A4F" w:rsidP="00A91894">
            <w:pPr>
              <w:pStyle w:val="NormalWeb"/>
              <w:autoSpaceDE w:val="0"/>
              <w:autoSpaceDN w:val="0"/>
              <w:adjustRightInd w:val="0"/>
              <w:jc w:val="center"/>
              <w:rPr>
                <w:rFonts w:ascii="Arial" w:hAnsi="Arial" w:cs="Arial"/>
                <w:sz w:val="22"/>
                <w:szCs w:val="22"/>
              </w:rPr>
            </w:pPr>
          </w:p>
        </w:tc>
        <w:tc>
          <w:tcPr>
            <w:tcW w:w="963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19B4A7" w14:textId="77777777" w:rsidR="008A4A4F" w:rsidRPr="00A42F82" w:rsidRDefault="008A4A4F"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8A4A4F" w:rsidRPr="00A42F82" w14:paraId="795B27A0" w14:textId="77777777" w:rsidTr="008A4A4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F824663" w14:textId="77777777" w:rsidR="008A4A4F" w:rsidRPr="00A42F82" w:rsidRDefault="008A4A4F" w:rsidP="00A91894">
            <w:pPr>
              <w:jc w:val="center"/>
              <w:rPr>
                <w:rFonts w:ascii="Arial" w:hAnsi="Arial" w:cs="Arial"/>
                <w:sz w:val="22"/>
                <w:szCs w:val="22"/>
              </w:rPr>
            </w:pPr>
            <w:r w:rsidRPr="00A42F82">
              <w:rPr>
                <w:rFonts w:ascii="Arial" w:hAnsi="Arial" w:cs="Arial"/>
                <w:sz w:val="22"/>
                <w:szCs w:val="22"/>
              </w:rPr>
              <w:t>4</w:t>
            </w:r>
          </w:p>
        </w:tc>
        <w:tc>
          <w:tcPr>
            <w:tcW w:w="9639" w:type="dxa"/>
            <w:gridSpan w:val="3"/>
            <w:tcBorders>
              <w:top w:val="single" w:sz="4" w:space="0" w:color="auto"/>
              <w:left w:val="single" w:sz="4" w:space="0" w:color="auto"/>
              <w:bottom w:val="single" w:sz="4" w:space="0" w:color="auto"/>
              <w:right w:val="single" w:sz="4" w:space="0" w:color="auto"/>
            </w:tcBorders>
            <w:vAlign w:val="center"/>
            <w:hideMark/>
          </w:tcPr>
          <w:p w14:paraId="53D31C88" w14:textId="77777777" w:rsidR="008A4A4F" w:rsidRPr="00A42F82" w:rsidRDefault="008A4A4F" w:rsidP="00A91894">
            <w:pPr>
              <w:rPr>
                <w:rFonts w:ascii="Arial" w:hAnsi="Arial" w:cs="Arial"/>
                <w:sz w:val="22"/>
                <w:szCs w:val="22"/>
              </w:rPr>
            </w:pPr>
          </w:p>
          <w:p w14:paraId="64FA672B" w14:textId="77777777" w:rsidR="008A4A4F" w:rsidRPr="00A42F82" w:rsidRDefault="008A4A4F" w:rsidP="00A91894">
            <w:pPr>
              <w:rPr>
                <w:rFonts w:ascii="Arial" w:hAnsi="Arial" w:cs="Arial"/>
                <w:sz w:val="22"/>
                <w:szCs w:val="22"/>
              </w:rPr>
            </w:pPr>
          </w:p>
          <w:p w14:paraId="7554CDAF" w14:textId="77777777" w:rsidR="008A4A4F" w:rsidRPr="00A42F82" w:rsidRDefault="008A4A4F" w:rsidP="00A91894">
            <w:pPr>
              <w:rPr>
                <w:rFonts w:ascii="Arial" w:hAnsi="Arial" w:cs="Arial"/>
                <w:sz w:val="22"/>
                <w:szCs w:val="22"/>
              </w:rPr>
            </w:pPr>
          </w:p>
          <w:p w14:paraId="5163B673" w14:textId="77777777" w:rsidR="008A4A4F" w:rsidRPr="00A42F82" w:rsidRDefault="008A4A4F"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90C1AC3" w14:textId="77777777" w:rsidR="008A4A4F" w:rsidRPr="00A42F82" w:rsidRDefault="008A4A4F" w:rsidP="00A91894">
      <w:pPr>
        <w:rPr>
          <w:rFonts w:ascii="Arial" w:hAnsi="Arial" w:cs="Arial"/>
        </w:rPr>
      </w:pPr>
    </w:p>
    <w:tbl>
      <w:tblPr>
        <w:tblStyle w:val="TableGrid"/>
        <w:tblW w:w="10201" w:type="dxa"/>
        <w:tblLook w:val="04A0" w:firstRow="1" w:lastRow="0" w:firstColumn="1" w:lastColumn="0" w:noHBand="0" w:noVBand="1"/>
      </w:tblPr>
      <w:tblGrid>
        <w:gridCol w:w="562"/>
        <w:gridCol w:w="7905"/>
        <w:gridCol w:w="992"/>
        <w:gridCol w:w="742"/>
      </w:tblGrid>
      <w:tr w:rsidR="008A4A4F" w:rsidRPr="00A42F82" w14:paraId="790B08B2" w14:textId="77777777" w:rsidTr="008A4A4F">
        <w:trPr>
          <w:trHeight w:val="439"/>
        </w:trPr>
        <w:tc>
          <w:tcPr>
            <w:tcW w:w="562" w:type="dxa"/>
            <w:shd w:val="clear" w:color="auto" w:fill="F2F2F2" w:themeFill="background1" w:themeFillShade="F2"/>
            <w:vAlign w:val="center"/>
          </w:tcPr>
          <w:p w14:paraId="206B8B93" w14:textId="77777777" w:rsidR="008A4A4F" w:rsidRPr="00A42F82" w:rsidRDefault="008A4A4F"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58D64CFC" w14:textId="77777777" w:rsidR="008A4A4F" w:rsidRPr="00A42F82" w:rsidRDefault="008A4A4F" w:rsidP="00A91894">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30543D6F" w14:textId="77777777" w:rsidR="008A4A4F" w:rsidRPr="00A42F82" w:rsidRDefault="008A4A4F"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42" w:type="dxa"/>
            <w:shd w:val="clear" w:color="auto" w:fill="F2F2F2" w:themeFill="background1" w:themeFillShade="F2"/>
          </w:tcPr>
          <w:p w14:paraId="2AC595A8" w14:textId="77777777" w:rsidR="008A4A4F" w:rsidRPr="00A42F82" w:rsidRDefault="008A4A4F"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8A4A4F" w:rsidRPr="00A42F82" w14:paraId="36F589C8" w14:textId="77777777" w:rsidTr="008A4A4F">
        <w:trPr>
          <w:trHeight w:val="439"/>
        </w:trPr>
        <w:tc>
          <w:tcPr>
            <w:tcW w:w="562" w:type="dxa"/>
            <w:shd w:val="clear" w:color="auto" w:fill="F2F2F2" w:themeFill="background1" w:themeFillShade="F2"/>
            <w:vAlign w:val="center"/>
          </w:tcPr>
          <w:p w14:paraId="37599D7C"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3FB6B9A"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5F5BA658"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42"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5A096F09"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2BC35B37" w14:textId="77777777" w:rsidTr="008A4A4F">
        <w:trPr>
          <w:trHeight w:val="403"/>
        </w:trPr>
        <w:tc>
          <w:tcPr>
            <w:tcW w:w="562" w:type="dxa"/>
            <w:shd w:val="clear" w:color="auto" w:fill="F2F2F2" w:themeFill="background1" w:themeFillShade="F2"/>
            <w:vAlign w:val="center"/>
          </w:tcPr>
          <w:p w14:paraId="04B38B83"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76FBC97F"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46E1415"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42"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7E0548B6"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17E5E5E4" w14:textId="77777777" w:rsidTr="008A4A4F">
        <w:trPr>
          <w:trHeight w:val="439"/>
        </w:trPr>
        <w:tc>
          <w:tcPr>
            <w:tcW w:w="562" w:type="dxa"/>
            <w:shd w:val="clear" w:color="auto" w:fill="F2F2F2" w:themeFill="background1" w:themeFillShade="F2"/>
            <w:vAlign w:val="center"/>
          </w:tcPr>
          <w:p w14:paraId="008F1271"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BC33B24"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5BC08F7F"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42"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054DE20E"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0CCBCE2A" w14:textId="77777777" w:rsidTr="008A4A4F">
        <w:trPr>
          <w:trHeight w:val="403"/>
        </w:trPr>
        <w:tc>
          <w:tcPr>
            <w:tcW w:w="562" w:type="dxa"/>
            <w:shd w:val="clear" w:color="auto" w:fill="F2F2F2" w:themeFill="background1" w:themeFillShade="F2"/>
            <w:vAlign w:val="center"/>
          </w:tcPr>
          <w:p w14:paraId="69B11525"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49852AEC"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14CC6A97"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42"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0121E7F2"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16344A13" w14:textId="77777777" w:rsidTr="008A4A4F">
        <w:trPr>
          <w:trHeight w:val="403"/>
        </w:trPr>
        <w:tc>
          <w:tcPr>
            <w:tcW w:w="562" w:type="dxa"/>
            <w:shd w:val="clear" w:color="auto" w:fill="F2F2F2" w:themeFill="background1" w:themeFillShade="F2"/>
            <w:vAlign w:val="center"/>
          </w:tcPr>
          <w:p w14:paraId="01B0CAEC"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76657E69"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2EAF6CF5"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42"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1AF3CE0B"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21986BAF" w14:textId="77777777" w:rsidTr="008A4A4F">
        <w:trPr>
          <w:trHeight w:val="403"/>
        </w:trPr>
        <w:tc>
          <w:tcPr>
            <w:tcW w:w="562" w:type="dxa"/>
            <w:shd w:val="clear" w:color="auto" w:fill="F2F2F2" w:themeFill="background1" w:themeFillShade="F2"/>
            <w:vAlign w:val="center"/>
          </w:tcPr>
          <w:p w14:paraId="6F0A78B7"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7FC5FF0F"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69D6E8F1"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42"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74B3678C"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21B1DB81" w14:textId="77777777" w:rsidTr="008A4A4F">
        <w:trPr>
          <w:trHeight w:val="403"/>
        </w:trPr>
        <w:tc>
          <w:tcPr>
            <w:tcW w:w="562" w:type="dxa"/>
            <w:shd w:val="clear" w:color="auto" w:fill="F2F2F2" w:themeFill="background1" w:themeFillShade="F2"/>
            <w:vAlign w:val="center"/>
          </w:tcPr>
          <w:p w14:paraId="6F67DBEF"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7E6D44F9"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40FC0D0D" w14:textId="77777777" w:rsidR="008A4A4F" w:rsidRPr="00A42F82" w:rsidRDefault="008A4A4F"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208D8AA9"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42"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710D2E30"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6FC68AD8" w14:textId="77777777" w:rsidTr="008A4A4F">
        <w:trPr>
          <w:trHeight w:val="403"/>
        </w:trPr>
        <w:tc>
          <w:tcPr>
            <w:tcW w:w="562" w:type="dxa"/>
            <w:shd w:val="clear" w:color="auto" w:fill="F2F2F2" w:themeFill="background1" w:themeFillShade="F2"/>
            <w:vAlign w:val="center"/>
          </w:tcPr>
          <w:p w14:paraId="3F3EA547" w14:textId="77777777" w:rsidR="008A4A4F" w:rsidRPr="00A42F82" w:rsidRDefault="008A4A4F"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639" w:type="dxa"/>
            <w:gridSpan w:val="3"/>
            <w:shd w:val="clear" w:color="auto" w:fill="F2F2F2" w:themeFill="background1" w:themeFillShade="F2"/>
          </w:tcPr>
          <w:p w14:paraId="61575E39" w14:textId="77777777" w:rsidR="008A4A4F" w:rsidRPr="00A42F82" w:rsidRDefault="008A4A4F"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8A4A4F" w:rsidRPr="00A42F82" w14:paraId="599A1CFF" w14:textId="77777777" w:rsidTr="008A4A4F">
        <w:trPr>
          <w:trHeight w:val="403"/>
        </w:trPr>
        <w:tc>
          <w:tcPr>
            <w:tcW w:w="562" w:type="dxa"/>
            <w:vAlign w:val="center"/>
          </w:tcPr>
          <w:p w14:paraId="2EC96E04" w14:textId="77777777" w:rsidR="008A4A4F" w:rsidRPr="00A42F82" w:rsidRDefault="008A4A4F" w:rsidP="00A91894">
            <w:pPr>
              <w:jc w:val="center"/>
              <w:rPr>
                <w:rFonts w:ascii="Arial" w:hAnsi="Arial" w:cs="Arial"/>
                <w:sz w:val="22"/>
                <w:szCs w:val="22"/>
              </w:rPr>
            </w:pPr>
          </w:p>
        </w:tc>
        <w:tc>
          <w:tcPr>
            <w:tcW w:w="9639" w:type="dxa"/>
            <w:gridSpan w:val="3"/>
          </w:tcPr>
          <w:p w14:paraId="008E5883" w14:textId="77777777" w:rsidR="008A4A4F" w:rsidRPr="00A42F82" w:rsidRDefault="008A4A4F" w:rsidP="00A91894">
            <w:pPr>
              <w:rPr>
                <w:rFonts w:ascii="Arial" w:hAnsi="Arial" w:cs="Arial"/>
                <w:sz w:val="22"/>
                <w:szCs w:val="22"/>
              </w:rPr>
            </w:pPr>
          </w:p>
          <w:p w14:paraId="6FE650E2" w14:textId="77777777" w:rsidR="008A4A4F" w:rsidRDefault="008A4A4F" w:rsidP="00A91894">
            <w:pPr>
              <w:rPr>
                <w:rFonts w:ascii="Arial" w:hAnsi="Arial" w:cs="Arial"/>
                <w:sz w:val="22"/>
                <w:szCs w:val="22"/>
              </w:rPr>
            </w:pPr>
            <w:r w:rsidRPr="00D13518">
              <w:rPr>
                <w:rFonts w:ascii="Arial" w:hAnsi="Arial" w:cs="Arial"/>
                <w:sz w:val="22"/>
                <w:szCs w:val="22"/>
              </w:rPr>
              <w:t xml:space="preserve">1. Anonymization: I will use pseudonyms and remove identifying details from all data. </w:t>
            </w:r>
          </w:p>
          <w:p w14:paraId="71B9F040" w14:textId="77777777" w:rsidR="008A4A4F" w:rsidRDefault="008A4A4F" w:rsidP="00A91894">
            <w:pPr>
              <w:rPr>
                <w:rFonts w:ascii="Arial" w:hAnsi="Arial" w:cs="Arial"/>
                <w:sz w:val="22"/>
                <w:szCs w:val="22"/>
              </w:rPr>
            </w:pPr>
            <w:r w:rsidRPr="00D13518">
              <w:rPr>
                <w:rFonts w:ascii="Arial" w:hAnsi="Arial" w:cs="Arial"/>
                <w:sz w:val="22"/>
                <w:szCs w:val="22"/>
              </w:rPr>
              <w:t xml:space="preserve">2. Secure Storage: I will store data on encrypted devices, with access limited to me. </w:t>
            </w:r>
          </w:p>
          <w:p w14:paraId="0542C043" w14:textId="77777777" w:rsidR="008A4A4F" w:rsidRDefault="008A4A4F" w:rsidP="00A91894">
            <w:pPr>
              <w:rPr>
                <w:rFonts w:ascii="Arial" w:hAnsi="Arial" w:cs="Arial"/>
                <w:sz w:val="22"/>
                <w:szCs w:val="22"/>
              </w:rPr>
            </w:pPr>
            <w:r w:rsidRPr="00D13518">
              <w:rPr>
                <w:rFonts w:ascii="Arial" w:hAnsi="Arial" w:cs="Arial"/>
                <w:sz w:val="22"/>
                <w:szCs w:val="22"/>
              </w:rPr>
              <w:t>3. Confidentiality: Any third parties will sign confidentiality agreements.</w:t>
            </w:r>
          </w:p>
          <w:p w14:paraId="6CD68B4D" w14:textId="77777777" w:rsidR="008A4A4F" w:rsidRDefault="008A4A4F" w:rsidP="00A91894">
            <w:pPr>
              <w:rPr>
                <w:rFonts w:ascii="Arial" w:hAnsi="Arial" w:cs="Arial"/>
                <w:sz w:val="22"/>
                <w:szCs w:val="22"/>
              </w:rPr>
            </w:pPr>
            <w:r w:rsidRPr="00D13518">
              <w:rPr>
                <w:rFonts w:ascii="Arial" w:hAnsi="Arial" w:cs="Arial"/>
                <w:sz w:val="22"/>
                <w:szCs w:val="22"/>
              </w:rPr>
              <w:t xml:space="preserve">4. Data Sharing: I will only share data with authorized individuals, like my supervisor. </w:t>
            </w:r>
          </w:p>
          <w:p w14:paraId="7DAAF551" w14:textId="77777777" w:rsidR="008A4A4F" w:rsidRPr="00A42F82" w:rsidRDefault="008A4A4F" w:rsidP="00A91894">
            <w:pPr>
              <w:rPr>
                <w:rFonts w:ascii="Arial" w:hAnsi="Arial" w:cs="Arial"/>
                <w:sz w:val="22"/>
                <w:szCs w:val="22"/>
              </w:rPr>
            </w:pPr>
            <w:r w:rsidRPr="00D13518">
              <w:rPr>
                <w:rFonts w:ascii="Arial" w:hAnsi="Arial" w:cs="Arial"/>
                <w:sz w:val="22"/>
                <w:szCs w:val="22"/>
              </w:rPr>
              <w:t>5. Data Disposal: After the study, I will securely delete or destroy all personal data.</w:t>
            </w:r>
          </w:p>
          <w:p w14:paraId="22921771" w14:textId="77777777" w:rsidR="008A4A4F" w:rsidRPr="00A42F82" w:rsidRDefault="008A4A4F"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8573F67" w14:textId="77777777" w:rsidR="008A4A4F" w:rsidRPr="00A42F82" w:rsidRDefault="008A4A4F" w:rsidP="00A91894">
      <w:pPr>
        <w:rPr>
          <w:rFonts w:ascii="Arial" w:hAnsi="Arial" w:cs="Arial"/>
        </w:rPr>
      </w:pPr>
    </w:p>
    <w:tbl>
      <w:tblPr>
        <w:tblStyle w:val="TableGrid"/>
        <w:tblW w:w="10201" w:type="dxa"/>
        <w:tblLayout w:type="fixed"/>
        <w:tblLook w:val="04A0" w:firstRow="1" w:lastRow="0" w:firstColumn="1" w:lastColumn="0" w:noHBand="0" w:noVBand="1"/>
      </w:tblPr>
      <w:tblGrid>
        <w:gridCol w:w="562"/>
        <w:gridCol w:w="7905"/>
        <w:gridCol w:w="992"/>
        <w:gridCol w:w="742"/>
      </w:tblGrid>
      <w:tr w:rsidR="008A4A4F" w:rsidRPr="00A42F82" w14:paraId="384EF1E4" w14:textId="77777777" w:rsidTr="008A4A4F">
        <w:trPr>
          <w:trHeight w:val="439"/>
        </w:trPr>
        <w:tc>
          <w:tcPr>
            <w:tcW w:w="562" w:type="dxa"/>
            <w:shd w:val="clear" w:color="auto" w:fill="F2F2F2" w:themeFill="background1" w:themeFillShade="F2"/>
          </w:tcPr>
          <w:p w14:paraId="162800F4" w14:textId="77777777" w:rsidR="008A4A4F" w:rsidRPr="00A42F82" w:rsidRDefault="008A4A4F" w:rsidP="00A91894">
            <w:pPr>
              <w:autoSpaceDE w:val="0"/>
              <w:autoSpaceDN w:val="0"/>
              <w:adjustRightInd w:val="0"/>
              <w:rPr>
                <w:rFonts w:ascii="Arial" w:hAnsi="Arial" w:cs="Arial"/>
                <w:sz w:val="22"/>
                <w:szCs w:val="22"/>
              </w:rPr>
            </w:pPr>
          </w:p>
        </w:tc>
        <w:tc>
          <w:tcPr>
            <w:tcW w:w="9639" w:type="dxa"/>
            <w:gridSpan w:val="3"/>
            <w:shd w:val="clear" w:color="auto" w:fill="F2F2F2" w:themeFill="background1" w:themeFillShade="F2"/>
            <w:vAlign w:val="center"/>
          </w:tcPr>
          <w:p w14:paraId="17B93C67" w14:textId="77777777" w:rsidR="008A4A4F" w:rsidRPr="00A42F82" w:rsidRDefault="008A4A4F"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8A4A4F" w:rsidRPr="00A42F82" w14:paraId="4A7FBF44" w14:textId="77777777" w:rsidTr="008A4A4F">
        <w:trPr>
          <w:trHeight w:val="439"/>
        </w:trPr>
        <w:tc>
          <w:tcPr>
            <w:tcW w:w="562" w:type="dxa"/>
            <w:shd w:val="clear" w:color="auto" w:fill="F2F2F2" w:themeFill="background1" w:themeFillShade="F2"/>
            <w:vAlign w:val="center"/>
          </w:tcPr>
          <w:p w14:paraId="47A293B1" w14:textId="77777777" w:rsidR="008A4A4F" w:rsidRPr="00A42F82" w:rsidRDefault="008A4A4F"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4308BB4D" w14:textId="77777777" w:rsidR="008A4A4F" w:rsidRPr="00A42F82" w:rsidRDefault="008A4A4F"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106562F" w14:textId="77777777" w:rsidR="008A4A4F" w:rsidRPr="00A42F82" w:rsidRDefault="008A4A4F"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742" w:type="dxa"/>
            <w:shd w:val="clear" w:color="auto" w:fill="F2F2F2" w:themeFill="background1" w:themeFillShade="F2"/>
            <w:vAlign w:val="center"/>
          </w:tcPr>
          <w:p w14:paraId="2B25216B" w14:textId="77777777" w:rsidR="008A4A4F" w:rsidRPr="00A42F82" w:rsidRDefault="008A4A4F"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8A4A4F" w:rsidRPr="00A42F82" w14:paraId="0CC48E03" w14:textId="77777777" w:rsidTr="008A4A4F">
        <w:trPr>
          <w:trHeight w:val="439"/>
        </w:trPr>
        <w:tc>
          <w:tcPr>
            <w:tcW w:w="562" w:type="dxa"/>
            <w:shd w:val="clear" w:color="auto" w:fill="F2F2F2" w:themeFill="background1" w:themeFillShade="F2"/>
            <w:vAlign w:val="center"/>
          </w:tcPr>
          <w:p w14:paraId="21D972CA"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2E15761E"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0861225C"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42"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116FE583"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5AEF8C96" w14:textId="77777777" w:rsidTr="008A4A4F">
        <w:trPr>
          <w:trHeight w:val="403"/>
        </w:trPr>
        <w:tc>
          <w:tcPr>
            <w:tcW w:w="562" w:type="dxa"/>
            <w:shd w:val="clear" w:color="auto" w:fill="F2F2F2" w:themeFill="background1" w:themeFillShade="F2"/>
            <w:vAlign w:val="center"/>
          </w:tcPr>
          <w:p w14:paraId="6B88BE23"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77F335A1"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485D5780"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42"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3FF2A6A3"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67029268" w14:textId="77777777" w:rsidTr="008A4A4F">
        <w:trPr>
          <w:trHeight w:val="439"/>
        </w:trPr>
        <w:tc>
          <w:tcPr>
            <w:tcW w:w="562" w:type="dxa"/>
            <w:shd w:val="clear" w:color="auto" w:fill="F2F2F2" w:themeFill="background1" w:themeFillShade="F2"/>
            <w:vAlign w:val="center"/>
          </w:tcPr>
          <w:p w14:paraId="32F13A5F"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6B592D38"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5728ADF6"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42"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4EA69081"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431E2E0A" w14:textId="77777777" w:rsidTr="008A4A4F">
        <w:trPr>
          <w:trHeight w:val="403"/>
        </w:trPr>
        <w:tc>
          <w:tcPr>
            <w:tcW w:w="562" w:type="dxa"/>
            <w:shd w:val="clear" w:color="auto" w:fill="F2F2F2" w:themeFill="background1" w:themeFillShade="F2"/>
            <w:vAlign w:val="center"/>
          </w:tcPr>
          <w:p w14:paraId="68B78F0C"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64F7B572"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0DF8BA72"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42"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1A156DB3"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15D4F92C" w14:textId="77777777" w:rsidTr="008A4A4F">
        <w:trPr>
          <w:trHeight w:val="403"/>
        </w:trPr>
        <w:tc>
          <w:tcPr>
            <w:tcW w:w="562" w:type="dxa"/>
            <w:shd w:val="clear" w:color="auto" w:fill="F2F2F2" w:themeFill="background1" w:themeFillShade="F2"/>
            <w:vAlign w:val="center"/>
          </w:tcPr>
          <w:p w14:paraId="77D91071"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5D58C4F2"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31886888"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42"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591F0378"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677C899A" w14:textId="77777777" w:rsidTr="008A4A4F">
        <w:trPr>
          <w:trHeight w:val="403"/>
        </w:trPr>
        <w:tc>
          <w:tcPr>
            <w:tcW w:w="562" w:type="dxa"/>
            <w:shd w:val="clear" w:color="auto" w:fill="F2F2F2" w:themeFill="background1" w:themeFillShade="F2"/>
            <w:vAlign w:val="center"/>
          </w:tcPr>
          <w:p w14:paraId="2667DA03"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79237470"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6036D43D"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42"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32790333"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26903CB8" w14:textId="77777777" w:rsidTr="008A4A4F">
        <w:trPr>
          <w:trHeight w:val="403"/>
        </w:trPr>
        <w:tc>
          <w:tcPr>
            <w:tcW w:w="562" w:type="dxa"/>
            <w:shd w:val="clear" w:color="auto" w:fill="F2F2F2" w:themeFill="background1" w:themeFillShade="F2"/>
            <w:vAlign w:val="center"/>
          </w:tcPr>
          <w:p w14:paraId="2FB7BD20"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905" w:type="dxa"/>
            <w:shd w:val="clear" w:color="auto" w:fill="F2F2F2" w:themeFill="background1" w:themeFillShade="F2"/>
            <w:vAlign w:val="center"/>
          </w:tcPr>
          <w:p w14:paraId="36DF48D8"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2EFA669A"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42"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573EFD82"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67DCF22B" w14:textId="77777777" w:rsidTr="008A4A4F">
        <w:trPr>
          <w:trHeight w:val="403"/>
        </w:trPr>
        <w:tc>
          <w:tcPr>
            <w:tcW w:w="562" w:type="dxa"/>
            <w:shd w:val="clear" w:color="auto" w:fill="F2F2F2" w:themeFill="background1" w:themeFillShade="F2"/>
            <w:vAlign w:val="center"/>
          </w:tcPr>
          <w:p w14:paraId="0676262E"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7DA36330" w14:textId="77777777" w:rsidR="008A4A4F" w:rsidRPr="00A42F82" w:rsidRDefault="008A4A4F"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0211649"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742"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1060AD16" w14:textId="77777777" w:rsidR="008A4A4F" w:rsidRPr="00A42F82" w:rsidRDefault="008A4A4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A4A4F" w:rsidRPr="00A42F82" w14:paraId="760133FE" w14:textId="77777777" w:rsidTr="008A4A4F">
        <w:trPr>
          <w:trHeight w:val="403"/>
        </w:trPr>
        <w:tc>
          <w:tcPr>
            <w:tcW w:w="562" w:type="dxa"/>
            <w:shd w:val="clear" w:color="auto" w:fill="F2F2F2" w:themeFill="background1" w:themeFillShade="F2"/>
            <w:vAlign w:val="center"/>
          </w:tcPr>
          <w:p w14:paraId="22434747" w14:textId="77777777" w:rsidR="008A4A4F" w:rsidRPr="00A42F82" w:rsidRDefault="008A4A4F" w:rsidP="00A91894">
            <w:pPr>
              <w:spacing w:before="120" w:after="120"/>
              <w:jc w:val="center"/>
              <w:rPr>
                <w:rFonts w:ascii="Arial" w:hAnsi="Arial" w:cs="Arial"/>
                <w:sz w:val="22"/>
                <w:szCs w:val="22"/>
              </w:rPr>
            </w:pPr>
            <w:r w:rsidRPr="00A42F82">
              <w:rPr>
                <w:rFonts w:ascii="Arial" w:hAnsi="Arial" w:cs="Arial"/>
                <w:sz w:val="22"/>
                <w:szCs w:val="22"/>
              </w:rPr>
              <w:t>21</w:t>
            </w:r>
          </w:p>
        </w:tc>
        <w:tc>
          <w:tcPr>
            <w:tcW w:w="9639" w:type="dxa"/>
            <w:gridSpan w:val="3"/>
            <w:shd w:val="clear" w:color="auto" w:fill="F2F2F2" w:themeFill="background1" w:themeFillShade="F2"/>
            <w:vAlign w:val="center"/>
          </w:tcPr>
          <w:p w14:paraId="0A122AD0" w14:textId="77777777" w:rsidR="008A4A4F" w:rsidRPr="00A42F82" w:rsidRDefault="008A4A4F"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8A4A4F" w:rsidRPr="00A42F82" w14:paraId="691F009D" w14:textId="77777777" w:rsidTr="008A4A4F">
        <w:trPr>
          <w:trHeight w:val="403"/>
        </w:trPr>
        <w:tc>
          <w:tcPr>
            <w:tcW w:w="562" w:type="dxa"/>
            <w:vAlign w:val="center"/>
          </w:tcPr>
          <w:p w14:paraId="27348D96" w14:textId="77777777" w:rsidR="008A4A4F" w:rsidRPr="00A42F82" w:rsidRDefault="008A4A4F" w:rsidP="00A91894">
            <w:pPr>
              <w:autoSpaceDE w:val="0"/>
              <w:autoSpaceDN w:val="0"/>
              <w:adjustRightInd w:val="0"/>
              <w:jc w:val="center"/>
              <w:rPr>
                <w:rFonts w:ascii="Arial" w:hAnsi="Arial" w:cs="Arial"/>
                <w:sz w:val="22"/>
                <w:szCs w:val="22"/>
              </w:rPr>
            </w:pPr>
          </w:p>
        </w:tc>
        <w:tc>
          <w:tcPr>
            <w:tcW w:w="9639" w:type="dxa"/>
            <w:gridSpan w:val="3"/>
            <w:vAlign w:val="center"/>
          </w:tcPr>
          <w:p w14:paraId="26288624" w14:textId="77777777" w:rsidR="008A4A4F" w:rsidRPr="00A42F82" w:rsidRDefault="008A4A4F" w:rsidP="00A91894">
            <w:pPr>
              <w:autoSpaceDE w:val="0"/>
              <w:autoSpaceDN w:val="0"/>
              <w:adjustRightInd w:val="0"/>
              <w:rPr>
                <w:rFonts w:ascii="Arial" w:hAnsi="Arial" w:cs="Arial"/>
                <w:sz w:val="22"/>
                <w:szCs w:val="22"/>
              </w:rPr>
            </w:pPr>
          </w:p>
          <w:p w14:paraId="7BAED3F6" w14:textId="77777777" w:rsidR="008A4A4F" w:rsidRPr="00A42F82" w:rsidRDefault="008A4A4F" w:rsidP="00A91894">
            <w:pPr>
              <w:autoSpaceDE w:val="0"/>
              <w:autoSpaceDN w:val="0"/>
              <w:adjustRightInd w:val="0"/>
              <w:rPr>
                <w:rFonts w:ascii="Arial" w:hAnsi="Arial" w:cs="Arial"/>
                <w:sz w:val="22"/>
                <w:szCs w:val="22"/>
              </w:rPr>
            </w:pPr>
            <w:r w:rsidRPr="000F464E">
              <w:rPr>
                <w:rFonts w:ascii="Arial" w:hAnsi="Arial" w:cs="Arial"/>
                <w:sz w:val="22"/>
                <w:szCs w:val="22"/>
              </w:rPr>
              <w:t>Electronic Transfer of Data: I will secure that all the data collected will be transfer and share only with authorized individual directly involved in the research.</w:t>
            </w:r>
          </w:p>
          <w:p w14:paraId="7D06901B" w14:textId="77777777" w:rsidR="008A4A4F" w:rsidRPr="00A42F82" w:rsidRDefault="008A4A4F" w:rsidP="00A91894">
            <w:pPr>
              <w:autoSpaceDE w:val="0"/>
              <w:autoSpaceDN w:val="0"/>
              <w:adjustRightInd w:val="0"/>
              <w:rPr>
                <w:rFonts w:ascii="Arial" w:hAnsi="Arial" w:cs="Arial"/>
                <w:sz w:val="22"/>
                <w:szCs w:val="22"/>
              </w:rPr>
            </w:pPr>
          </w:p>
          <w:p w14:paraId="7FD352DE" w14:textId="77777777" w:rsidR="008A4A4F" w:rsidRPr="00A42F82" w:rsidRDefault="008A4A4F"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8A4A4F" w:rsidRPr="00A42F82" w14:paraId="18B3B93A" w14:textId="77777777" w:rsidTr="008A4A4F">
        <w:trPr>
          <w:trHeight w:val="403"/>
        </w:trPr>
        <w:tc>
          <w:tcPr>
            <w:tcW w:w="562" w:type="dxa"/>
            <w:shd w:val="clear" w:color="auto" w:fill="F2F2F2" w:themeFill="background1" w:themeFillShade="F2"/>
            <w:vAlign w:val="center"/>
          </w:tcPr>
          <w:p w14:paraId="65676B83" w14:textId="77777777" w:rsidR="008A4A4F" w:rsidRPr="00A42F82" w:rsidRDefault="008A4A4F"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639" w:type="dxa"/>
            <w:gridSpan w:val="3"/>
            <w:shd w:val="clear" w:color="auto" w:fill="F2F2F2" w:themeFill="background1" w:themeFillShade="F2"/>
            <w:vAlign w:val="center"/>
          </w:tcPr>
          <w:p w14:paraId="4B9470AF"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8A4A4F" w:rsidRPr="00A42F82" w14:paraId="3F332897" w14:textId="77777777" w:rsidTr="008A4A4F">
        <w:trPr>
          <w:trHeight w:val="403"/>
        </w:trPr>
        <w:tc>
          <w:tcPr>
            <w:tcW w:w="562" w:type="dxa"/>
            <w:vAlign w:val="center"/>
          </w:tcPr>
          <w:p w14:paraId="41D59CC5" w14:textId="77777777" w:rsidR="008A4A4F" w:rsidRPr="00A42F82" w:rsidRDefault="008A4A4F" w:rsidP="00A91894">
            <w:pPr>
              <w:autoSpaceDE w:val="0"/>
              <w:autoSpaceDN w:val="0"/>
              <w:adjustRightInd w:val="0"/>
              <w:jc w:val="center"/>
              <w:rPr>
                <w:rFonts w:ascii="Arial" w:hAnsi="Arial" w:cs="Arial"/>
                <w:sz w:val="22"/>
                <w:szCs w:val="22"/>
              </w:rPr>
            </w:pPr>
          </w:p>
        </w:tc>
        <w:tc>
          <w:tcPr>
            <w:tcW w:w="9639" w:type="dxa"/>
            <w:gridSpan w:val="3"/>
            <w:vAlign w:val="center"/>
          </w:tcPr>
          <w:p w14:paraId="3AEBFBF9" w14:textId="77777777" w:rsidR="008A4A4F" w:rsidRPr="00A42F82" w:rsidRDefault="008A4A4F" w:rsidP="00A91894">
            <w:pPr>
              <w:autoSpaceDE w:val="0"/>
              <w:autoSpaceDN w:val="0"/>
              <w:adjustRightInd w:val="0"/>
              <w:rPr>
                <w:rFonts w:ascii="Arial" w:hAnsi="Arial" w:cs="Arial"/>
                <w:sz w:val="22"/>
                <w:szCs w:val="22"/>
              </w:rPr>
            </w:pPr>
          </w:p>
          <w:p w14:paraId="0A2E4119" w14:textId="77777777" w:rsidR="008A4A4F" w:rsidRPr="00A42F82" w:rsidRDefault="008A4A4F" w:rsidP="00A91894">
            <w:pPr>
              <w:autoSpaceDE w:val="0"/>
              <w:autoSpaceDN w:val="0"/>
              <w:adjustRightInd w:val="0"/>
              <w:rPr>
                <w:rFonts w:ascii="Arial" w:hAnsi="Arial" w:cs="Arial"/>
                <w:sz w:val="22"/>
                <w:szCs w:val="22"/>
              </w:rPr>
            </w:pPr>
            <w:r w:rsidRPr="000F464E">
              <w:rPr>
                <w:rFonts w:ascii="Arial" w:hAnsi="Arial" w:cs="Arial"/>
                <w:sz w:val="22"/>
                <w:szCs w:val="22"/>
              </w:rPr>
              <w:t>The research and the supervisor</w:t>
            </w:r>
            <w:r>
              <w:rPr>
                <w:rFonts w:ascii="Arial" w:hAnsi="Arial" w:cs="Arial"/>
                <w:sz w:val="22"/>
                <w:szCs w:val="22"/>
              </w:rPr>
              <w:t>.</w:t>
            </w:r>
          </w:p>
          <w:p w14:paraId="2B84140E" w14:textId="77777777" w:rsidR="008A4A4F" w:rsidRPr="00A42F82" w:rsidRDefault="008A4A4F" w:rsidP="00A91894">
            <w:pPr>
              <w:autoSpaceDE w:val="0"/>
              <w:autoSpaceDN w:val="0"/>
              <w:adjustRightInd w:val="0"/>
              <w:rPr>
                <w:rFonts w:ascii="Arial" w:hAnsi="Arial" w:cs="Arial"/>
                <w:sz w:val="22"/>
                <w:szCs w:val="22"/>
              </w:rPr>
            </w:pPr>
          </w:p>
          <w:p w14:paraId="05022ADE"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8A4A4F" w:rsidRPr="00A42F82" w14:paraId="7C350EC6" w14:textId="77777777" w:rsidTr="008A4A4F">
        <w:trPr>
          <w:trHeight w:val="403"/>
        </w:trPr>
        <w:tc>
          <w:tcPr>
            <w:tcW w:w="562" w:type="dxa"/>
            <w:shd w:val="clear" w:color="auto" w:fill="F2F2F2" w:themeFill="background1" w:themeFillShade="F2"/>
            <w:vAlign w:val="center"/>
          </w:tcPr>
          <w:p w14:paraId="28A90D90" w14:textId="77777777" w:rsidR="008A4A4F" w:rsidRPr="00A42F82" w:rsidRDefault="008A4A4F" w:rsidP="00A91894">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639" w:type="dxa"/>
            <w:gridSpan w:val="3"/>
            <w:shd w:val="clear" w:color="auto" w:fill="F2F2F2" w:themeFill="background1" w:themeFillShade="F2"/>
          </w:tcPr>
          <w:p w14:paraId="787A0595"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8A4A4F" w:rsidRPr="00A42F82" w14:paraId="59160004" w14:textId="77777777" w:rsidTr="008A4A4F">
        <w:trPr>
          <w:trHeight w:val="403"/>
        </w:trPr>
        <w:tc>
          <w:tcPr>
            <w:tcW w:w="562" w:type="dxa"/>
            <w:vAlign w:val="center"/>
          </w:tcPr>
          <w:p w14:paraId="1A84C6A1" w14:textId="77777777" w:rsidR="008A4A4F" w:rsidRPr="00A42F82" w:rsidRDefault="008A4A4F" w:rsidP="00A91894">
            <w:pPr>
              <w:autoSpaceDE w:val="0"/>
              <w:autoSpaceDN w:val="0"/>
              <w:adjustRightInd w:val="0"/>
              <w:jc w:val="center"/>
              <w:rPr>
                <w:rFonts w:ascii="Arial" w:hAnsi="Arial" w:cs="Arial"/>
                <w:sz w:val="22"/>
                <w:szCs w:val="22"/>
              </w:rPr>
            </w:pPr>
          </w:p>
        </w:tc>
        <w:tc>
          <w:tcPr>
            <w:tcW w:w="9639" w:type="dxa"/>
            <w:gridSpan w:val="3"/>
          </w:tcPr>
          <w:p w14:paraId="72C4DC56" w14:textId="77777777" w:rsidR="008A4A4F" w:rsidRPr="00A42F82" w:rsidRDefault="008A4A4F" w:rsidP="00A91894">
            <w:pPr>
              <w:autoSpaceDE w:val="0"/>
              <w:autoSpaceDN w:val="0"/>
              <w:adjustRightInd w:val="0"/>
              <w:rPr>
                <w:rFonts w:ascii="Arial" w:hAnsi="Arial" w:cs="Arial"/>
                <w:sz w:val="22"/>
                <w:szCs w:val="22"/>
              </w:rPr>
            </w:pPr>
          </w:p>
          <w:p w14:paraId="0545C4E2" w14:textId="77777777" w:rsidR="008A4A4F" w:rsidRPr="00A42F82" w:rsidRDefault="008A4A4F" w:rsidP="00A91894">
            <w:pPr>
              <w:autoSpaceDE w:val="0"/>
              <w:autoSpaceDN w:val="0"/>
              <w:adjustRightInd w:val="0"/>
              <w:rPr>
                <w:rFonts w:ascii="Arial" w:hAnsi="Arial" w:cs="Arial"/>
                <w:sz w:val="22"/>
                <w:szCs w:val="22"/>
              </w:rPr>
            </w:pPr>
            <w:r w:rsidRPr="000F464E">
              <w:rPr>
                <w:rFonts w:ascii="Arial" w:hAnsi="Arial" w:cs="Arial"/>
                <w:sz w:val="22"/>
                <w:szCs w:val="22"/>
              </w:rPr>
              <w:t>I will store the data on my OneDrive cloud as long as needed. I will be the only person to have access to data. I will cancel the data once I do not need it anymo</w:t>
            </w:r>
            <w:r>
              <w:rPr>
                <w:rFonts w:ascii="Arial" w:hAnsi="Arial" w:cs="Arial"/>
                <w:sz w:val="22"/>
                <w:szCs w:val="22"/>
              </w:rPr>
              <w:t>r</w:t>
            </w:r>
            <w:r w:rsidRPr="000F464E">
              <w:rPr>
                <w:rFonts w:ascii="Arial" w:hAnsi="Arial" w:cs="Arial"/>
                <w:sz w:val="22"/>
                <w:szCs w:val="22"/>
              </w:rPr>
              <w:t>e</w:t>
            </w:r>
            <w:r>
              <w:rPr>
                <w:rFonts w:ascii="Arial" w:hAnsi="Arial" w:cs="Arial"/>
                <w:sz w:val="22"/>
                <w:szCs w:val="22"/>
              </w:rPr>
              <w:t>.</w:t>
            </w:r>
          </w:p>
          <w:p w14:paraId="609ECC78" w14:textId="77777777" w:rsidR="008A4A4F" w:rsidRPr="00A42F82" w:rsidRDefault="008A4A4F" w:rsidP="00A91894">
            <w:pPr>
              <w:autoSpaceDE w:val="0"/>
              <w:autoSpaceDN w:val="0"/>
              <w:adjustRightInd w:val="0"/>
              <w:rPr>
                <w:rFonts w:ascii="Arial" w:hAnsi="Arial" w:cs="Arial"/>
                <w:sz w:val="22"/>
                <w:szCs w:val="22"/>
              </w:rPr>
            </w:pPr>
          </w:p>
          <w:p w14:paraId="4717048A"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8A4A4F" w:rsidRPr="00A42F82" w14:paraId="4CC99A6A" w14:textId="77777777" w:rsidTr="008A4A4F">
        <w:trPr>
          <w:trHeight w:val="403"/>
        </w:trPr>
        <w:tc>
          <w:tcPr>
            <w:tcW w:w="562" w:type="dxa"/>
            <w:shd w:val="clear" w:color="auto" w:fill="F2F2F2" w:themeFill="background1" w:themeFillShade="F2"/>
            <w:vAlign w:val="center"/>
          </w:tcPr>
          <w:p w14:paraId="3C0B8A25" w14:textId="77777777" w:rsidR="008A4A4F" w:rsidRPr="00A42F82" w:rsidRDefault="008A4A4F" w:rsidP="00A91894">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639" w:type="dxa"/>
            <w:gridSpan w:val="3"/>
            <w:shd w:val="clear" w:color="auto" w:fill="F2F2F2" w:themeFill="background1" w:themeFillShade="F2"/>
          </w:tcPr>
          <w:p w14:paraId="21BF8E7A"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w:t>
            </w:r>
          </w:p>
        </w:tc>
      </w:tr>
      <w:tr w:rsidR="008A4A4F" w:rsidRPr="00A42F82" w14:paraId="0B4656EF" w14:textId="77777777" w:rsidTr="008A4A4F">
        <w:trPr>
          <w:trHeight w:val="403"/>
        </w:trPr>
        <w:tc>
          <w:tcPr>
            <w:tcW w:w="562" w:type="dxa"/>
            <w:vAlign w:val="center"/>
          </w:tcPr>
          <w:p w14:paraId="6D35A1E8" w14:textId="77777777" w:rsidR="008A4A4F" w:rsidRPr="00A42F82" w:rsidRDefault="008A4A4F" w:rsidP="00A91894">
            <w:pPr>
              <w:autoSpaceDE w:val="0"/>
              <w:autoSpaceDN w:val="0"/>
              <w:adjustRightInd w:val="0"/>
              <w:jc w:val="center"/>
              <w:rPr>
                <w:rFonts w:ascii="Arial" w:hAnsi="Arial" w:cs="Arial"/>
                <w:sz w:val="22"/>
                <w:szCs w:val="22"/>
              </w:rPr>
            </w:pPr>
          </w:p>
        </w:tc>
        <w:tc>
          <w:tcPr>
            <w:tcW w:w="9639" w:type="dxa"/>
            <w:gridSpan w:val="3"/>
          </w:tcPr>
          <w:p w14:paraId="3D913379" w14:textId="77777777" w:rsidR="008A4A4F" w:rsidRPr="00A42F82" w:rsidRDefault="008A4A4F" w:rsidP="00A91894">
            <w:pPr>
              <w:autoSpaceDE w:val="0"/>
              <w:autoSpaceDN w:val="0"/>
              <w:adjustRightInd w:val="0"/>
              <w:rPr>
                <w:rFonts w:ascii="Arial" w:hAnsi="Arial" w:cs="Arial"/>
                <w:sz w:val="22"/>
                <w:szCs w:val="22"/>
              </w:rPr>
            </w:pPr>
          </w:p>
          <w:p w14:paraId="06707BE8" w14:textId="77777777" w:rsidR="008A4A4F" w:rsidRPr="00A42F82" w:rsidRDefault="008A4A4F" w:rsidP="00A91894">
            <w:pPr>
              <w:autoSpaceDE w:val="0"/>
              <w:autoSpaceDN w:val="0"/>
              <w:adjustRightInd w:val="0"/>
              <w:rPr>
                <w:rFonts w:ascii="Arial" w:hAnsi="Arial" w:cs="Arial"/>
                <w:sz w:val="22"/>
                <w:szCs w:val="22"/>
              </w:rPr>
            </w:pPr>
          </w:p>
          <w:p w14:paraId="244E29AE" w14:textId="77777777" w:rsidR="008A4A4F" w:rsidRPr="00A42F82" w:rsidRDefault="008A4A4F" w:rsidP="00A91894">
            <w:pPr>
              <w:autoSpaceDE w:val="0"/>
              <w:autoSpaceDN w:val="0"/>
              <w:adjustRightInd w:val="0"/>
              <w:rPr>
                <w:rFonts w:ascii="Arial" w:hAnsi="Arial" w:cs="Arial"/>
                <w:sz w:val="22"/>
                <w:szCs w:val="22"/>
              </w:rPr>
            </w:pPr>
          </w:p>
          <w:p w14:paraId="65A1CD1A"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8A4A4F" w:rsidRPr="00A42F82" w14:paraId="7F9C7FF4" w14:textId="77777777" w:rsidTr="008A4A4F">
        <w:trPr>
          <w:trHeight w:val="403"/>
        </w:trPr>
        <w:tc>
          <w:tcPr>
            <w:tcW w:w="562" w:type="dxa"/>
            <w:shd w:val="clear" w:color="auto" w:fill="F2F2F2" w:themeFill="background1" w:themeFillShade="F2"/>
            <w:vAlign w:val="center"/>
          </w:tcPr>
          <w:p w14:paraId="2481C54D" w14:textId="77777777" w:rsidR="008A4A4F" w:rsidRPr="00A42F82" w:rsidRDefault="008A4A4F"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639" w:type="dxa"/>
            <w:gridSpan w:val="3"/>
            <w:shd w:val="clear" w:color="auto" w:fill="F2F2F2" w:themeFill="background1" w:themeFillShade="F2"/>
          </w:tcPr>
          <w:p w14:paraId="217AD079"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3"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8A4A4F" w:rsidRPr="00A42F82" w14:paraId="0DDFD6C4" w14:textId="77777777" w:rsidTr="008A4A4F">
        <w:trPr>
          <w:trHeight w:val="403"/>
        </w:trPr>
        <w:tc>
          <w:tcPr>
            <w:tcW w:w="562" w:type="dxa"/>
            <w:vAlign w:val="center"/>
          </w:tcPr>
          <w:p w14:paraId="31E5B737" w14:textId="77777777" w:rsidR="008A4A4F" w:rsidRPr="00A42F82" w:rsidRDefault="008A4A4F" w:rsidP="00A91894">
            <w:pPr>
              <w:autoSpaceDE w:val="0"/>
              <w:autoSpaceDN w:val="0"/>
              <w:adjustRightInd w:val="0"/>
              <w:jc w:val="center"/>
              <w:rPr>
                <w:rFonts w:ascii="Arial" w:hAnsi="Arial" w:cs="Arial"/>
                <w:sz w:val="22"/>
                <w:szCs w:val="22"/>
              </w:rPr>
            </w:pPr>
          </w:p>
        </w:tc>
        <w:tc>
          <w:tcPr>
            <w:tcW w:w="9639" w:type="dxa"/>
            <w:gridSpan w:val="3"/>
          </w:tcPr>
          <w:p w14:paraId="54B29152" w14:textId="77777777" w:rsidR="008A4A4F" w:rsidRPr="00A42F82" w:rsidRDefault="008A4A4F" w:rsidP="00A91894">
            <w:pPr>
              <w:autoSpaceDE w:val="0"/>
              <w:autoSpaceDN w:val="0"/>
              <w:adjustRightInd w:val="0"/>
              <w:rPr>
                <w:rFonts w:ascii="Arial" w:hAnsi="Arial" w:cs="Arial"/>
                <w:sz w:val="22"/>
                <w:szCs w:val="22"/>
              </w:rPr>
            </w:pPr>
          </w:p>
          <w:p w14:paraId="617DD68C" w14:textId="77777777" w:rsidR="008A4A4F" w:rsidRPr="00A42F82" w:rsidRDefault="008A4A4F" w:rsidP="00A91894">
            <w:pPr>
              <w:autoSpaceDE w:val="0"/>
              <w:autoSpaceDN w:val="0"/>
              <w:adjustRightInd w:val="0"/>
              <w:rPr>
                <w:rFonts w:ascii="Arial" w:hAnsi="Arial" w:cs="Arial"/>
                <w:sz w:val="22"/>
                <w:szCs w:val="22"/>
              </w:rPr>
            </w:pPr>
          </w:p>
          <w:p w14:paraId="339C97F2" w14:textId="77777777" w:rsidR="008A4A4F" w:rsidRPr="00A42F82" w:rsidRDefault="008A4A4F" w:rsidP="00A91894">
            <w:pPr>
              <w:autoSpaceDE w:val="0"/>
              <w:autoSpaceDN w:val="0"/>
              <w:adjustRightInd w:val="0"/>
              <w:rPr>
                <w:rFonts w:ascii="Arial" w:hAnsi="Arial" w:cs="Arial"/>
                <w:sz w:val="22"/>
                <w:szCs w:val="22"/>
              </w:rPr>
            </w:pPr>
            <w:r>
              <w:rPr>
                <w:rFonts w:ascii="Arial" w:hAnsi="Arial" w:cs="Arial"/>
                <w:sz w:val="22"/>
                <w:szCs w:val="22"/>
              </w:rPr>
              <w:t>No</w:t>
            </w:r>
          </w:p>
          <w:p w14:paraId="197DE5A6"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8A4A4F" w:rsidRPr="00A42F82" w14:paraId="71D6BBB4" w14:textId="77777777" w:rsidTr="008A4A4F">
        <w:trPr>
          <w:trHeight w:val="606"/>
        </w:trPr>
        <w:tc>
          <w:tcPr>
            <w:tcW w:w="562" w:type="dxa"/>
            <w:shd w:val="clear" w:color="auto" w:fill="F2F2F2" w:themeFill="background1" w:themeFillShade="F2"/>
            <w:vAlign w:val="center"/>
          </w:tcPr>
          <w:p w14:paraId="5F3EDF4A" w14:textId="77777777" w:rsidR="008A4A4F" w:rsidRPr="00A42F82" w:rsidRDefault="008A4A4F"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0A08FBAB" w14:textId="77777777" w:rsidR="008A4A4F" w:rsidRPr="00A42F82" w:rsidRDefault="008A4A4F"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4"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15AB842C" w14:textId="77777777" w:rsidR="008A4A4F" w:rsidRPr="00A42F82" w:rsidRDefault="008A4A4F"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742" w:type="dxa"/>
            <w:shd w:val="clear" w:color="auto" w:fill="BFBFBF" w:themeFill="background1" w:themeFillShade="BF"/>
            <w:vAlign w:val="center"/>
          </w:tcPr>
          <w:p w14:paraId="6FFA5689" w14:textId="77777777" w:rsidR="008A4A4F" w:rsidRPr="00A42F82" w:rsidRDefault="008A4A4F"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A4A4F" w:rsidRPr="00A42F82" w14:paraId="14A64949" w14:textId="77777777" w:rsidTr="008A4A4F">
        <w:trPr>
          <w:trHeight w:val="632"/>
        </w:trPr>
        <w:tc>
          <w:tcPr>
            <w:tcW w:w="562" w:type="dxa"/>
            <w:shd w:val="clear" w:color="auto" w:fill="F2F2F2" w:themeFill="background1" w:themeFillShade="F2"/>
            <w:vAlign w:val="center"/>
          </w:tcPr>
          <w:p w14:paraId="55EBE4FF" w14:textId="77777777" w:rsidR="008A4A4F" w:rsidRPr="00A42F82" w:rsidRDefault="008A4A4F"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55BCE72C" w14:textId="77777777" w:rsidR="008A4A4F" w:rsidRPr="00A42F82" w:rsidRDefault="008A4A4F"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4AFD6956" w14:textId="77777777" w:rsidR="008A4A4F" w:rsidRPr="00A42F82" w:rsidRDefault="008A4A4F"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742" w:type="dxa"/>
            <w:shd w:val="clear" w:color="auto" w:fill="BFBFBF" w:themeFill="background1" w:themeFillShade="BF"/>
            <w:vAlign w:val="center"/>
          </w:tcPr>
          <w:p w14:paraId="76BEE6B9" w14:textId="77777777" w:rsidR="008A4A4F" w:rsidRPr="00A42F82" w:rsidRDefault="008A4A4F"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4A563595" w14:textId="77777777" w:rsidR="008A4A4F" w:rsidRPr="00A42F82" w:rsidRDefault="008A4A4F" w:rsidP="00A91894">
      <w:pPr>
        <w:rPr>
          <w:rFonts w:ascii="Arial" w:hAnsi="Arial" w:cs="Arial"/>
          <w:b/>
          <w:bCs/>
          <w:sz w:val="22"/>
          <w:szCs w:val="22"/>
        </w:rPr>
      </w:pPr>
    </w:p>
    <w:p w14:paraId="68527A94" w14:textId="77777777" w:rsidR="008A4A4F" w:rsidRPr="00A42F82" w:rsidRDefault="008A4A4F" w:rsidP="00A91894">
      <w:pPr>
        <w:rPr>
          <w:rFonts w:ascii="Arial" w:hAnsi="Arial" w:cs="Arial"/>
          <w:b/>
          <w:bCs/>
          <w:sz w:val="22"/>
          <w:szCs w:val="22"/>
        </w:rPr>
      </w:pPr>
      <w:r w:rsidRPr="00A42F82">
        <w:rPr>
          <w:rFonts w:ascii="Arial" w:hAnsi="Arial" w:cs="Arial"/>
          <w:b/>
          <w:bCs/>
          <w:sz w:val="22"/>
          <w:szCs w:val="22"/>
        </w:rPr>
        <w:br w:type="page"/>
      </w:r>
    </w:p>
    <w:p w14:paraId="3F357DB8" w14:textId="77777777" w:rsidR="008A4A4F" w:rsidRPr="00A42F82" w:rsidRDefault="008A4A4F"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193"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554"/>
        <w:gridCol w:w="2964"/>
        <w:gridCol w:w="4820"/>
        <w:gridCol w:w="1855"/>
      </w:tblGrid>
      <w:tr w:rsidR="008A4A4F" w:rsidRPr="00A42F82" w14:paraId="25E42EB4" w14:textId="77777777" w:rsidTr="008A4A4F">
        <w:trPr>
          <w:trHeight w:val="1807"/>
        </w:trPr>
        <w:tc>
          <w:tcPr>
            <w:tcW w:w="554" w:type="dxa"/>
            <w:shd w:val="clear" w:color="auto" w:fill="F2F2F2" w:themeFill="background1" w:themeFillShade="F2"/>
            <w:vAlign w:val="center"/>
          </w:tcPr>
          <w:p w14:paraId="0224E2A6" w14:textId="77777777" w:rsidR="008A4A4F" w:rsidRPr="00A42F82" w:rsidRDefault="008A4A4F" w:rsidP="00A91894">
            <w:pPr>
              <w:jc w:val="center"/>
              <w:rPr>
                <w:rFonts w:ascii="Arial" w:hAnsi="Arial" w:cs="Arial"/>
                <w:sz w:val="22"/>
                <w:szCs w:val="22"/>
              </w:rPr>
            </w:pPr>
          </w:p>
        </w:tc>
        <w:tc>
          <w:tcPr>
            <w:tcW w:w="9639" w:type="dxa"/>
            <w:gridSpan w:val="3"/>
            <w:shd w:val="clear" w:color="auto" w:fill="F2F2F2" w:themeFill="background1" w:themeFillShade="F2"/>
            <w:vAlign w:val="center"/>
          </w:tcPr>
          <w:p w14:paraId="5C17B5DF" w14:textId="77777777" w:rsidR="008A4A4F" w:rsidRPr="00A42F82" w:rsidRDefault="008A4A4F"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14A9155E" w14:textId="77777777" w:rsidR="008A4A4F" w:rsidRPr="00A42F82" w:rsidRDefault="008A4A4F" w:rsidP="00A91894">
            <w:pPr>
              <w:jc w:val="both"/>
              <w:rPr>
                <w:rFonts w:ascii="Arial" w:hAnsi="Arial" w:cs="Arial"/>
                <w:b/>
                <w:bCs/>
                <w:color w:val="000000"/>
                <w:sz w:val="22"/>
                <w:szCs w:val="22"/>
              </w:rPr>
            </w:pPr>
          </w:p>
          <w:p w14:paraId="35A56A1A" w14:textId="77777777" w:rsidR="008A4A4F" w:rsidRPr="00A42F82" w:rsidRDefault="008A4A4F"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8A4A4F" w:rsidRPr="00A42F82" w14:paraId="2EFE71F1" w14:textId="77777777" w:rsidTr="008A4A4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E07F44" w14:textId="77777777" w:rsidR="008A4A4F" w:rsidRPr="00A42F82" w:rsidRDefault="008A4A4F"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7F1F4E" w14:textId="77777777" w:rsidR="008A4A4F" w:rsidRPr="00A42F82" w:rsidRDefault="008A4A4F"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6FE0D7BD" w14:textId="77777777" w:rsidR="008A4A4F" w:rsidRPr="00A42F82" w:rsidRDefault="008A4A4F" w:rsidP="00A91894">
            <w:pPr>
              <w:spacing w:before="100" w:beforeAutospacing="1" w:after="100" w:afterAutospacing="1"/>
              <w:rPr>
                <w:rFonts w:ascii="Arial" w:hAnsi="Arial" w:cs="Arial"/>
                <w:sz w:val="22"/>
                <w:szCs w:val="22"/>
              </w:rPr>
            </w:pPr>
            <w:r>
              <w:rPr>
                <w:rFonts w:ascii="Arial" w:hAnsi="Arial" w:cs="Arial"/>
                <w:sz w:val="22"/>
                <w:szCs w:val="22"/>
              </w:rPr>
              <w:t>Nanga Pedro</w:t>
            </w:r>
          </w:p>
        </w:tc>
        <w:tc>
          <w:tcPr>
            <w:tcW w:w="1855" w:type="dxa"/>
            <w:vAlign w:val="center"/>
          </w:tcPr>
          <w:p w14:paraId="1FC156C9" w14:textId="77777777" w:rsidR="008A4A4F" w:rsidRPr="00D26641" w:rsidRDefault="008A4A4F" w:rsidP="00A91894">
            <w:pPr>
              <w:spacing w:before="100" w:beforeAutospacing="1" w:after="100" w:afterAutospacing="1"/>
              <w:rPr>
                <w:rFonts w:ascii="Arial" w:hAnsi="Arial" w:cs="Arial"/>
                <w:sz w:val="22"/>
                <w:szCs w:val="22"/>
              </w:rPr>
            </w:pPr>
            <w:r w:rsidRPr="00A42F82">
              <w:rPr>
                <w:rFonts w:ascii="Arial" w:hAnsi="Arial" w:cs="Arial"/>
                <w:b/>
                <w:bCs/>
                <w:sz w:val="22"/>
                <w:szCs w:val="22"/>
              </w:rPr>
              <w:t>Date:</w:t>
            </w:r>
            <w:r>
              <w:rPr>
                <w:rFonts w:ascii="Arial" w:hAnsi="Arial" w:cs="Arial"/>
                <w:b/>
                <w:bCs/>
                <w:sz w:val="22"/>
                <w:szCs w:val="22"/>
              </w:rPr>
              <w:t xml:space="preserve"> </w:t>
            </w:r>
            <w:r>
              <w:rPr>
                <w:rFonts w:ascii="Arial" w:hAnsi="Arial" w:cs="Arial"/>
                <w:sz w:val="22"/>
                <w:szCs w:val="22"/>
              </w:rPr>
              <w:t>27/02/2026</w:t>
            </w:r>
          </w:p>
          <w:p w14:paraId="572B30DD" w14:textId="77777777" w:rsidR="008A4A4F" w:rsidRPr="00A42F82" w:rsidRDefault="008A4A4F" w:rsidP="00A91894">
            <w:pPr>
              <w:spacing w:before="100" w:beforeAutospacing="1" w:after="100" w:afterAutospacing="1"/>
              <w:rPr>
                <w:rFonts w:ascii="Arial" w:hAnsi="Arial" w:cs="Arial"/>
                <w:sz w:val="22"/>
                <w:szCs w:val="22"/>
              </w:rPr>
            </w:pPr>
          </w:p>
        </w:tc>
      </w:tr>
    </w:tbl>
    <w:p w14:paraId="7265F45A" w14:textId="77777777" w:rsidR="008A4A4F" w:rsidRPr="00A42F82" w:rsidRDefault="008A4A4F" w:rsidP="00A91894">
      <w:pPr>
        <w:rPr>
          <w:rFonts w:ascii="Arial" w:hAnsi="Arial" w:cs="Arial"/>
          <w:sz w:val="22"/>
          <w:szCs w:val="22"/>
        </w:rPr>
      </w:pPr>
    </w:p>
    <w:p w14:paraId="4C5C1DAD" w14:textId="77777777" w:rsidR="008A4A4F" w:rsidRPr="00A42F82" w:rsidRDefault="008A4A4F" w:rsidP="00A91894">
      <w:pPr>
        <w:rPr>
          <w:rFonts w:ascii="Arial" w:hAnsi="Arial" w:cs="Arial"/>
          <w:b/>
          <w:i/>
          <w:sz w:val="22"/>
          <w:szCs w:val="22"/>
        </w:rPr>
      </w:pPr>
      <w:r w:rsidRPr="00A42F82">
        <w:rPr>
          <w:rFonts w:ascii="Arial" w:hAnsi="Arial" w:cs="Arial"/>
          <w:b/>
          <w:i/>
          <w:sz w:val="22"/>
          <w:szCs w:val="22"/>
        </w:rPr>
        <w:t>For STUDENT Submissions:</w:t>
      </w:r>
    </w:p>
    <w:tbl>
      <w:tblPr>
        <w:tblW w:w="565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5"/>
        <w:gridCol w:w="3923"/>
        <w:gridCol w:w="3013"/>
      </w:tblGrid>
      <w:tr w:rsidR="008A4A4F" w:rsidRPr="00A42F82" w14:paraId="4FF614F5" w14:textId="77777777" w:rsidTr="007C4B1E">
        <w:trPr>
          <w:trHeight w:val="346"/>
        </w:trPr>
        <w:tc>
          <w:tcPr>
            <w:tcW w:w="323" w:type="pct"/>
            <w:shd w:val="clear" w:color="auto" w:fill="F2F2F2" w:themeFill="background1" w:themeFillShade="F2"/>
            <w:vAlign w:val="center"/>
          </w:tcPr>
          <w:p w14:paraId="04EB4ECB" w14:textId="77777777" w:rsidR="008A4A4F" w:rsidRPr="00A42F82" w:rsidRDefault="008A4A4F" w:rsidP="00A91894">
            <w:pPr>
              <w:pStyle w:val="ListParagraph"/>
              <w:jc w:val="center"/>
              <w:rPr>
                <w:rFonts w:ascii="Arial" w:hAnsi="Arial" w:cs="Arial"/>
              </w:rPr>
            </w:pPr>
            <w:r w:rsidRPr="00A42F82">
              <w:rPr>
                <w:rFonts w:ascii="Arial" w:hAnsi="Arial" w:cs="Arial"/>
              </w:rPr>
              <w:t>2</w:t>
            </w:r>
          </w:p>
        </w:tc>
        <w:tc>
          <w:tcPr>
            <w:tcW w:w="1277" w:type="pct"/>
            <w:shd w:val="clear" w:color="auto" w:fill="F2F2F2" w:themeFill="background1" w:themeFillShade="F2"/>
            <w:vAlign w:val="center"/>
          </w:tcPr>
          <w:p w14:paraId="523A6629" w14:textId="77777777" w:rsidR="008A4A4F" w:rsidRPr="00A42F82" w:rsidRDefault="008A4A4F" w:rsidP="00A91894">
            <w:pPr>
              <w:pStyle w:val="ListParagraph"/>
              <w:rPr>
                <w:rFonts w:ascii="Arial" w:hAnsi="Arial" w:cs="Arial"/>
              </w:rPr>
            </w:pPr>
            <w:r w:rsidRPr="00A42F82">
              <w:rPr>
                <w:rFonts w:ascii="Arial" w:hAnsi="Arial" w:cs="Arial"/>
              </w:rPr>
              <w:t>Director of Studies/Supervisor:</w:t>
            </w:r>
          </w:p>
        </w:tc>
        <w:tc>
          <w:tcPr>
            <w:tcW w:w="1923" w:type="pct"/>
            <w:vAlign w:val="center"/>
          </w:tcPr>
          <w:p w14:paraId="256E1760" w14:textId="77777777" w:rsidR="008A4A4F" w:rsidRPr="00A42F82" w:rsidRDefault="008A4A4F" w:rsidP="00A91894">
            <w:pPr>
              <w:pStyle w:val="ListParagraph"/>
              <w:rPr>
                <w:rFonts w:ascii="Arial" w:hAnsi="Arial" w:cs="Arial"/>
              </w:rPr>
            </w:pPr>
            <w:r>
              <w:rPr>
                <w:rFonts w:ascii="Arial" w:hAnsi="Arial" w:cs="Arial"/>
              </w:rPr>
              <w:t>MD Kalam</w:t>
            </w:r>
          </w:p>
        </w:tc>
        <w:tc>
          <w:tcPr>
            <w:tcW w:w="1477" w:type="pct"/>
            <w:vMerge w:val="restart"/>
          </w:tcPr>
          <w:p w14:paraId="0B83879C" w14:textId="77777777" w:rsidR="008A4A4F" w:rsidRPr="00A42F82" w:rsidRDefault="008A4A4F" w:rsidP="00A91894">
            <w:pPr>
              <w:pStyle w:val="ListParagraph"/>
              <w:rPr>
                <w:rFonts w:ascii="Arial" w:hAnsi="Arial" w:cs="Arial"/>
              </w:rPr>
            </w:pPr>
            <w:r w:rsidRPr="00A42F82">
              <w:rPr>
                <w:rFonts w:ascii="Arial" w:hAnsi="Arial" w:cs="Arial"/>
                <w:b/>
                <w:bCs/>
              </w:rPr>
              <w:t>Date:</w:t>
            </w:r>
          </w:p>
        </w:tc>
      </w:tr>
      <w:tr w:rsidR="008A4A4F" w:rsidRPr="00A42F82" w14:paraId="07E2DE1B" w14:textId="77777777" w:rsidTr="007C4B1E">
        <w:trPr>
          <w:trHeight w:val="347"/>
        </w:trPr>
        <w:tc>
          <w:tcPr>
            <w:tcW w:w="323" w:type="pct"/>
            <w:shd w:val="clear" w:color="auto" w:fill="F2F2F2" w:themeFill="background1" w:themeFillShade="F2"/>
            <w:vAlign w:val="center"/>
          </w:tcPr>
          <w:p w14:paraId="2E8ED811" w14:textId="77777777" w:rsidR="008A4A4F" w:rsidRPr="00A42F82" w:rsidRDefault="008A4A4F" w:rsidP="00A91894">
            <w:pPr>
              <w:pStyle w:val="ListParagraph"/>
              <w:jc w:val="center"/>
              <w:rPr>
                <w:rFonts w:ascii="Arial" w:hAnsi="Arial" w:cs="Arial"/>
              </w:rPr>
            </w:pPr>
            <w:r w:rsidRPr="00A42F82">
              <w:rPr>
                <w:rFonts w:ascii="Arial" w:hAnsi="Arial" w:cs="Arial"/>
              </w:rPr>
              <w:t>3</w:t>
            </w:r>
          </w:p>
        </w:tc>
        <w:tc>
          <w:tcPr>
            <w:tcW w:w="1277" w:type="pct"/>
            <w:shd w:val="clear" w:color="auto" w:fill="F2F2F2" w:themeFill="background1" w:themeFillShade="F2"/>
            <w:vAlign w:val="center"/>
          </w:tcPr>
          <w:p w14:paraId="3903CE95" w14:textId="77777777" w:rsidR="008A4A4F" w:rsidRPr="00A42F82" w:rsidRDefault="008A4A4F" w:rsidP="00A91894">
            <w:pPr>
              <w:pStyle w:val="ListParagraph"/>
              <w:rPr>
                <w:rFonts w:ascii="Arial" w:hAnsi="Arial" w:cs="Arial"/>
              </w:rPr>
            </w:pPr>
            <w:r w:rsidRPr="00A42F82">
              <w:rPr>
                <w:rFonts w:ascii="Arial" w:hAnsi="Arial" w:cs="Arial"/>
              </w:rPr>
              <w:t>Signature:</w:t>
            </w:r>
          </w:p>
        </w:tc>
        <w:tc>
          <w:tcPr>
            <w:tcW w:w="1923" w:type="pct"/>
            <w:vAlign w:val="center"/>
          </w:tcPr>
          <w:p w14:paraId="6218EBC4" w14:textId="77777777" w:rsidR="008A4A4F" w:rsidRPr="00A42F82" w:rsidRDefault="008A4A4F" w:rsidP="00A91894">
            <w:pPr>
              <w:pStyle w:val="ListParagraph"/>
              <w:rPr>
                <w:rFonts w:ascii="Arial" w:hAnsi="Arial" w:cs="Arial"/>
              </w:rPr>
            </w:pPr>
          </w:p>
          <w:p w14:paraId="71199C89" w14:textId="77777777" w:rsidR="008A4A4F" w:rsidRPr="00A42F82" w:rsidRDefault="008A4A4F" w:rsidP="00A91894">
            <w:pPr>
              <w:pStyle w:val="ListParagraph"/>
              <w:rPr>
                <w:rFonts w:ascii="Arial" w:hAnsi="Arial" w:cs="Arial"/>
              </w:rPr>
            </w:pPr>
          </w:p>
        </w:tc>
        <w:tc>
          <w:tcPr>
            <w:tcW w:w="1477" w:type="pct"/>
            <w:vMerge/>
            <w:vAlign w:val="center"/>
          </w:tcPr>
          <w:p w14:paraId="7E9727E8" w14:textId="77777777" w:rsidR="008A4A4F" w:rsidRPr="00A42F82" w:rsidRDefault="008A4A4F" w:rsidP="00A91894">
            <w:pPr>
              <w:pStyle w:val="ListParagraph"/>
              <w:rPr>
                <w:rFonts w:ascii="Arial" w:hAnsi="Arial" w:cs="Arial"/>
              </w:rPr>
            </w:pPr>
          </w:p>
        </w:tc>
      </w:tr>
    </w:tbl>
    <w:p w14:paraId="256F57CD" w14:textId="77777777" w:rsidR="008A4A4F" w:rsidRDefault="008A4A4F" w:rsidP="00A91894">
      <w:pPr>
        <w:rPr>
          <w:rFonts w:ascii="Arial" w:hAnsi="Arial" w:cs="Arial"/>
          <w:sz w:val="22"/>
          <w:szCs w:val="22"/>
        </w:rPr>
      </w:pPr>
    </w:p>
    <w:p w14:paraId="3B880A78" w14:textId="77777777" w:rsidR="008A4A4F" w:rsidRPr="00A42F82" w:rsidRDefault="008A4A4F" w:rsidP="00A91894">
      <w:pPr>
        <w:rPr>
          <w:rFonts w:ascii="Arial" w:hAnsi="Arial" w:cs="Arial"/>
          <w:b/>
          <w:i/>
          <w:sz w:val="22"/>
          <w:szCs w:val="22"/>
        </w:rPr>
      </w:pPr>
      <w:r w:rsidRPr="00A42F82">
        <w:rPr>
          <w:rFonts w:ascii="Arial" w:hAnsi="Arial" w:cs="Arial"/>
          <w:b/>
          <w:i/>
          <w:sz w:val="22"/>
          <w:szCs w:val="22"/>
        </w:rPr>
        <w:t>For STAFF Submissions:</w:t>
      </w:r>
    </w:p>
    <w:tbl>
      <w:tblPr>
        <w:tblW w:w="565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
        <w:gridCol w:w="2606"/>
        <w:gridCol w:w="3926"/>
        <w:gridCol w:w="3007"/>
      </w:tblGrid>
      <w:tr w:rsidR="008A4A4F" w:rsidRPr="00A42F82" w14:paraId="165520BA" w14:textId="77777777" w:rsidTr="007C4B1E">
        <w:trPr>
          <w:trHeight w:val="346"/>
        </w:trPr>
        <w:tc>
          <w:tcPr>
            <w:tcW w:w="324" w:type="pct"/>
            <w:shd w:val="clear" w:color="auto" w:fill="F2F2F2" w:themeFill="background1" w:themeFillShade="F2"/>
            <w:vAlign w:val="center"/>
          </w:tcPr>
          <w:p w14:paraId="6D0683DE" w14:textId="77777777" w:rsidR="008A4A4F" w:rsidRPr="00A42F82" w:rsidRDefault="008A4A4F" w:rsidP="00A91894">
            <w:pPr>
              <w:pStyle w:val="ListParagraph"/>
              <w:jc w:val="center"/>
              <w:rPr>
                <w:rFonts w:ascii="Arial" w:hAnsi="Arial" w:cs="Arial"/>
              </w:rPr>
            </w:pPr>
            <w:r w:rsidRPr="00A42F82">
              <w:rPr>
                <w:rFonts w:ascii="Arial" w:hAnsi="Arial" w:cs="Arial"/>
              </w:rPr>
              <w:t>4</w:t>
            </w:r>
          </w:p>
        </w:tc>
        <w:tc>
          <w:tcPr>
            <w:tcW w:w="1277" w:type="pct"/>
            <w:shd w:val="clear" w:color="auto" w:fill="F2F2F2" w:themeFill="background1" w:themeFillShade="F2"/>
            <w:vAlign w:val="center"/>
          </w:tcPr>
          <w:p w14:paraId="2DFDD988" w14:textId="77777777" w:rsidR="008A4A4F" w:rsidRPr="00A42F82" w:rsidRDefault="008A4A4F" w:rsidP="00A91894">
            <w:pPr>
              <w:pStyle w:val="ListParagraph"/>
              <w:rPr>
                <w:rFonts w:ascii="Arial" w:hAnsi="Arial" w:cs="Arial"/>
              </w:rPr>
            </w:pPr>
            <w:r w:rsidRPr="00A42F82">
              <w:rPr>
                <w:rFonts w:ascii="Arial" w:hAnsi="Arial" w:cs="Arial"/>
              </w:rPr>
              <w:t>Academic Director/ Assistant Dean:</w:t>
            </w:r>
          </w:p>
        </w:tc>
        <w:tc>
          <w:tcPr>
            <w:tcW w:w="1924" w:type="pct"/>
            <w:vAlign w:val="center"/>
          </w:tcPr>
          <w:p w14:paraId="7E8EEFDF" w14:textId="77777777" w:rsidR="008A4A4F" w:rsidRPr="00A42F82" w:rsidRDefault="008A4A4F" w:rsidP="00A91894">
            <w:pPr>
              <w:pStyle w:val="ListParagraph"/>
              <w:rPr>
                <w:rFonts w:ascii="Arial" w:hAnsi="Arial" w:cs="Arial"/>
              </w:rPr>
            </w:pPr>
            <w:r>
              <w:rPr>
                <w:rFonts w:ascii="Arial" w:hAnsi="Arial" w:cs="Arial"/>
              </w:rPr>
              <w:t>MD Kalam</w:t>
            </w:r>
          </w:p>
        </w:tc>
        <w:tc>
          <w:tcPr>
            <w:tcW w:w="1474" w:type="pct"/>
            <w:vMerge w:val="restart"/>
          </w:tcPr>
          <w:p w14:paraId="4C954A6D" w14:textId="77777777" w:rsidR="008A4A4F" w:rsidRPr="00A42F82" w:rsidRDefault="008A4A4F" w:rsidP="00A91894">
            <w:pPr>
              <w:pStyle w:val="ListParagraph"/>
              <w:rPr>
                <w:rFonts w:ascii="Arial" w:hAnsi="Arial" w:cs="Arial"/>
              </w:rPr>
            </w:pPr>
            <w:r w:rsidRPr="00A42F82">
              <w:rPr>
                <w:rFonts w:ascii="Arial" w:hAnsi="Arial" w:cs="Arial"/>
                <w:b/>
                <w:bCs/>
              </w:rPr>
              <w:t>Date:</w:t>
            </w:r>
          </w:p>
        </w:tc>
      </w:tr>
      <w:tr w:rsidR="008A4A4F" w:rsidRPr="00A42F82" w14:paraId="5C08BB90" w14:textId="77777777" w:rsidTr="007C4B1E">
        <w:trPr>
          <w:trHeight w:val="347"/>
        </w:trPr>
        <w:tc>
          <w:tcPr>
            <w:tcW w:w="324" w:type="pct"/>
            <w:shd w:val="clear" w:color="auto" w:fill="F2F2F2" w:themeFill="background1" w:themeFillShade="F2"/>
            <w:vAlign w:val="center"/>
          </w:tcPr>
          <w:p w14:paraId="5AD52CFA" w14:textId="77777777" w:rsidR="008A4A4F" w:rsidRPr="00A42F82" w:rsidRDefault="008A4A4F" w:rsidP="00A91894">
            <w:pPr>
              <w:pStyle w:val="ListParagraph"/>
              <w:jc w:val="center"/>
              <w:rPr>
                <w:rFonts w:ascii="Arial" w:hAnsi="Arial" w:cs="Arial"/>
              </w:rPr>
            </w:pPr>
            <w:r w:rsidRPr="00A42F82">
              <w:rPr>
                <w:rFonts w:ascii="Arial" w:hAnsi="Arial" w:cs="Arial"/>
              </w:rPr>
              <w:t>5</w:t>
            </w:r>
          </w:p>
        </w:tc>
        <w:tc>
          <w:tcPr>
            <w:tcW w:w="1277" w:type="pct"/>
            <w:shd w:val="clear" w:color="auto" w:fill="F2F2F2" w:themeFill="background1" w:themeFillShade="F2"/>
            <w:vAlign w:val="center"/>
          </w:tcPr>
          <w:p w14:paraId="3F2B4F82" w14:textId="77777777" w:rsidR="008A4A4F" w:rsidRPr="00A42F82" w:rsidRDefault="008A4A4F" w:rsidP="00A91894">
            <w:pPr>
              <w:pStyle w:val="ListParagraph"/>
              <w:rPr>
                <w:rFonts w:ascii="Arial" w:hAnsi="Arial" w:cs="Arial"/>
              </w:rPr>
            </w:pPr>
            <w:r w:rsidRPr="00A42F82">
              <w:rPr>
                <w:rFonts w:ascii="Arial" w:hAnsi="Arial" w:cs="Arial"/>
              </w:rPr>
              <w:t>Signature:</w:t>
            </w:r>
          </w:p>
        </w:tc>
        <w:tc>
          <w:tcPr>
            <w:tcW w:w="1924" w:type="pct"/>
            <w:vAlign w:val="center"/>
          </w:tcPr>
          <w:p w14:paraId="7B95FC26" w14:textId="77777777" w:rsidR="008A4A4F" w:rsidRPr="00A42F82" w:rsidRDefault="008A4A4F" w:rsidP="00A91894">
            <w:pPr>
              <w:pStyle w:val="ListParagraph"/>
              <w:rPr>
                <w:rFonts w:ascii="Arial" w:hAnsi="Arial" w:cs="Arial"/>
              </w:rPr>
            </w:pPr>
          </w:p>
          <w:p w14:paraId="43F73A69" w14:textId="77777777" w:rsidR="008A4A4F" w:rsidRPr="00A42F82" w:rsidRDefault="008A4A4F" w:rsidP="00A91894">
            <w:pPr>
              <w:pStyle w:val="ListParagraph"/>
              <w:rPr>
                <w:rFonts w:ascii="Arial" w:hAnsi="Arial" w:cs="Arial"/>
              </w:rPr>
            </w:pPr>
          </w:p>
        </w:tc>
        <w:tc>
          <w:tcPr>
            <w:tcW w:w="1474" w:type="pct"/>
            <w:vMerge/>
            <w:vAlign w:val="center"/>
          </w:tcPr>
          <w:p w14:paraId="7E88AAAD" w14:textId="77777777" w:rsidR="008A4A4F" w:rsidRPr="00A42F82" w:rsidRDefault="008A4A4F" w:rsidP="00A91894">
            <w:pPr>
              <w:pStyle w:val="ListParagraph"/>
              <w:rPr>
                <w:rFonts w:ascii="Arial" w:hAnsi="Arial" w:cs="Arial"/>
              </w:rPr>
            </w:pPr>
          </w:p>
        </w:tc>
      </w:tr>
    </w:tbl>
    <w:p w14:paraId="561061F2" w14:textId="77777777" w:rsidR="008A4A4F" w:rsidRPr="00A42F82" w:rsidRDefault="008A4A4F" w:rsidP="00A91894">
      <w:pPr>
        <w:rPr>
          <w:rFonts w:ascii="Arial" w:hAnsi="Arial" w:cs="Arial"/>
          <w:b/>
          <w:sz w:val="22"/>
          <w:szCs w:val="22"/>
        </w:rPr>
      </w:pPr>
    </w:p>
    <w:p w14:paraId="4D8A6A90" w14:textId="77777777" w:rsidR="008A4A4F" w:rsidRPr="00A42F82" w:rsidRDefault="008A4A4F"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201" w:type="dxa"/>
        <w:tblLook w:val="04A0" w:firstRow="1" w:lastRow="0" w:firstColumn="1" w:lastColumn="0" w:noHBand="0" w:noVBand="1"/>
      </w:tblPr>
      <w:tblGrid>
        <w:gridCol w:w="675"/>
        <w:gridCol w:w="9526"/>
      </w:tblGrid>
      <w:tr w:rsidR="008A4A4F" w:rsidRPr="00A42F82" w14:paraId="01C0E428" w14:textId="77777777" w:rsidTr="008A4A4F">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5226F47F" w14:textId="77777777" w:rsidR="008A4A4F" w:rsidRPr="00A42F82" w:rsidRDefault="008A4A4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526" w:type="dxa"/>
            <w:vAlign w:val="center"/>
          </w:tcPr>
          <w:p w14:paraId="3B7E9257" w14:textId="77777777" w:rsidR="008A4A4F" w:rsidRPr="00A42F82" w:rsidRDefault="008A4A4F"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8A4A4F" w:rsidRPr="00A42F82" w14:paraId="0C722CB1" w14:textId="77777777" w:rsidTr="008A4A4F">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5FFD901F" w14:textId="77777777" w:rsidR="008A4A4F" w:rsidRPr="00A42F82" w:rsidRDefault="008A4A4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526" w:type="dxa"/>
            <w:vAlign w:val="center"/>
          </w:tcPr>
          <w:p w14:paraId="1D8EDAF2" w14:textId="77777777" w:rsidR="008A4A4F" w:rsidRPr="00A42F82" w:rsidRDefault="008A4A4F"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8A4A4F" w:rsidRPr="00A42F82" w14:paraId="2347F37A" w14:textId="77777777" w:rsidTr="008A4A4F">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13292D50" w14:textId="77777777" w:rsidR="008A4A4F" w:rsidRPr="00A42F82" w:rsidRDefault="008A4A4F"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526" w:type="dxa"/>
            <w:vAlign w:val="center"/>
          </w:tcPr>
          <w:p w14:paraId="2DBC1394" w14:textId="77777777" w:rsidR="008A4A4F" w:rsidRPr="00A42F82" w:rsidRDefault="008A4A4F"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8A4A4F" w:rsidRPr="00A42F82" w14:paraId="7D1F59CE" w14:textId="77777777" w:rsidTr="008A4A4F">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1A545994" w14:textId="77777777" w:rsidR="008A4A4F" w:rsidRPr="00A42F82" w:rsidRDefault="008A4A4F" w:rsidP="00A91894">
                <w:pPr>
                  <w:jc w:val="center"/>
                  <w:rPr>
                    <w:rFonts w:ascii="Arial" w:hAnsi="Arial" w:cs="Arial"/>
                    <w:sz w:val="22"/>
                    <w:szCs w:val="22"/>
                  </w:rPr>
                </w:pPr>
                <w:r>
                  <w:rPr>
                    <w:rFonts w:ascii="MS Gothic" w:eastAsia="MS Gothic" w:hAnsi="MS Gothic" w:cs="Arial" w:hint="eastAsia"/>
                  </w:rPr>
                  <w:t>☒</w:t>
                </w:r>
              </w:p>
            </w:sdtContent>
          </w:sdt>
        </w:tc>
        <w:tc>
          <w:tcPr>
            <w:tcW w:w="9526" w:type="dxa"/>
            <w:vAlign w:val="center"/>
          </w:tcPr>
          <w:p w14:paraId="30FD3678" w14:textId="77777777" w:rsidR="008A4A4F" w:rsidRPr="00A42F82" w:rsidRDefault="008A4A4F"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8A4A4F" w:rsidRPr="00A42F82" w14:paraId="4A830F6C" w14:textId="77777777" w:rsidTr="008A4A4F">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36C5273A" w14:textId="77777777" w:rsidR="008A4A4F" w:rsidRPr="00A42F82" w:rsidRDefault="008A4A4F" w:rsidP="00A91894">
                <w:pPr>
                  <w:jc w:val="center"/>
                  <w:rPr>
                    <w:rFonts w:ascii="Arial" w:hAnsi="Arial" w:cs="Arial"/>
                  </w:rPr>
                </w:pPr>
                <w:r w:rsidRPr="00A42F82">
                  <w:rPr>
                    <w:rFonts w:ascii="Segoe UI Symbol" w:eastAsia="MS Gothic" w:hAnsi="Segoe UI Symbol" w:cs="Segoe UI Symbol"/>
                  </w:rPr>
                  <w:t>☐</w:t>
                </w:r>
              </w:p>
            </w:sdtContent>
          </w:sdt>
        </w:tc>
        <w:tc>
          <w:tcPr>
            <w:tcW w:w="9526" w:type="dxa"/>
            <w:vAlign w:val="center"/>
          </w:tcPr>
          <w:p w14:paraId="447EAB6B" w14:textId="77777777" w:rsidR="008A4A4F" w:rsidRPr="00A42F82" w:rsidRDefault="008A4A4F" w:rsidP="00A91894">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8A4A4F" w:rsidRPr="00A42F82" w14:paraId="70A1C942" w14:textId="77777777" w:rsidTr="008A4A4F">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20F37D20" w14:textId="77777777" w:rsidR="008A4A4F" w:rsidRPr="00A42F82" w:rsidRDefault="008A4A4F" w:rsidP="00A91894">
                <w:pPr>
                  <w:jc w:val="center"/>
                  <w:rPr>
                    <w:rFonts w:ascii="Arial" w:hAnsi="Arial" w:cs="Arial"/>
                    <w:sz w:val="22"/>
                    <w:szCs w:val="22"/>
                  </w:rPr>
                </w:pPr>
                <w:r>
                  <w:rPr>
                    <w:rFonts w:ascii="MS Gothic" w:eastAsia="MS Gothic" w:hAnsi="MS Gothic" w:cs="Arial" w:hint="eastAsia"/>
                  </w:rPr>
                  <w:t>☒</w:t>
                </w:r>
              </w:p>
            </w:sdtContent>
          </w:sdt>
        </w:tc>
        <w:tc>
          <w:tcPr>
            <w:tcW w:w="9526" w:type="dxa"/>
            <w:vAlign w:val="center"/>
          </w:tcPr>
          <w:p w14:paraId="3813F4C4" w14:textId="77777777" w:rsidR="008A4A4F" w:rsidRPr="00A42F82" w:rsidRDefault="008A4A4F" w:rsidP="00A91894">
            <w:pPr>
              <w:rPr>
                <w:rFonts w:ascii="Arial" w:hAnsi="Arial" w:cs="Arial"/>
                <w:sz w:val="22"/>
                <w:szCs w:val="22"/>
              </w:rPr>
            </w:pPr>
            <w:r w:rsidRPr="00A42F82">
              <w:rPr>
                <w:rFonts w:ascii="Arial" w:hAnsi="Arial" w:cs="Arial"/>
                <w:sz w:val="22"/>
                <w:szCs w:val="22"/>
              </w:rPr>
              <w:t>I understand that it is my responsibility to ensure that the above-named research activity will meet the University’s Research Ethics and Integrity Code of Practice.</w:t>
            </w:r>
          </w:p>
        </w:tc>
      </w:tr>
      <w:tr w:rsidR="008A4A4F" w:rsidRPr="00A42F82" w14:paraId="4B6B2F07" w14:textId="77777777" w:rsidTr="008A4A4F">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09B2E2D0" w14:textId="77777777" w:rsidR="008A4A4F" w:rsidRPr="00A42F82" w:rsidRDefault="008A4A4F" w:rsidP="00A91894">
                <w:pPr>
                  <w:jc w:val="center"/>
                  <w:rPr>
                    <w:rFonts w:ascii="Arial" w:hAnsi="Arial" w:cs="Arial"/>
                    <w:sz w:val="22"/>
                    <w:szCs w:val="22"/>
                  </w:rPr>
                </w:pPr>
                <w:r>
                  <w:rPr>
                    <w:rFonts w:ascii="MS Gothic" w:eastAsia="MS Gothic" w:hAnsi="MS Gothic" w:cs="Arial" w:hint="eastAsia"/>
                  </w:rPr>
                  <w:t>☒</w:t>
                </w:r>
              </w:p>
            </w:sdtContent>
          </w:sdt>
        </w:tc>
        <w:tc>
          <w:tcPr>
            <w:tcW w:w="9526" w:type="dxa"/>
            <w:vAlign w:val="center"/>
          </w:tcPr>
          <w:p w14:paraId="2EB40687" w14:textId="77777777" w:rsidR="008A4A4F" w:rsidRPr="00A42F82" w:rsidRDefault="008A4A4F" w:rsidP="00A91894">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9F7EC0B" w14:textId="77777777" w:rsidR="008A4A4F" w:rsidRPr="00A42F82" w:rsidRDefault="008A4A4F" w:rsidP="00A91894">
      <w:pPr>
        <w:tabs>
          <w:tab w:val="left" w:pos="5103"/>
        </w:tabs>
        <w:rPr>
          <w:rFonts w:ascii="Arial" w:hAnsi="Arial" w:cs="Arial"/>
          <w:b/>
          <w:bCs/>
          <w:sz w:val="22"/>
          <w:szCs w:val="22"/>
        </w:rPr>
      </w:pPr>
    </w:p>
    <w:tbl>
      <w:tblPr>
        <w:tblW w:w="102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201"/>
      </w:tblGrid>
      <w:tr w:rsidR="008A4A4F" w:rsidRPr="00A42F82" w14:paraId="5A879606" w14:textId="77777777" w:rsidTr="008A4A4F">
        <w:tc>
          <w:tcPr>
            <w:tcW w:w="10201" w:type="dxa"/>
            <w:shd w:val="clear" w:color="auto" w:fill="D9D9D9" w:themeFill="background1" w:themeFillShade="D9"/>
          </w:tcPr>
          <w:p w14:paraId="67274D4B" w14:textId="77777777" w:rsidR="008A4A4F" w:rsidRPr="00A42F82" w:rsidRDefault="008A4A4F" w:rsidP="00A91894">
            <w:pPr>
              <w:rPr>
                <w:rFonts w:ascii="Arial" w:hAnsi="Arial" w:cs="Arial"/>
                <w:b/>
                <w:sz w:val="22"/>
                <w:szCs w:val="22"/>
              </w:rPr>
            </w:pPr>
            <w:r w:rsidRPr="00A42F82">
              <w:rPr>
                <w:rFonts w:ascii="Arial" w:hAnsi="Arial" w:cs="Arial"/>
                <w:b/>
                <w:sz w:val="22"/>
                <w:szCs w:val="22"/>
              </w:rPr>
              <w:t>RESEARCH STUDENTS ONLY</w:t>
            </w:r>
          </w:p>
          <w:p w14:paraId="69CD1447" w14:textId="77777777" w:rsidR="008A4A4F" w:rsidRPr="00A42F82" w:rsidRDefault="008A4A4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6"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7B8FE66B" w14:textId="77777777" w:rsidR="008A4A4F" w:rsidRPr="00A42F82" w:rsidRDefault="008A4A4F" w:rsidP="00A91894">
            <w:pPr>
              <w:rPr>
                <w:rFonts w:ascii="Arial" w:hAnsi="Arial" w:cs="Arial"/>
                <w:sz w:val="22"/>
                <w:szCs w:val="22"/>
              </w:rPr>
            </w:pPr>
          </w:p>
        </w:tc>
      </w:tr>
      <w:tr w:rsidR="008A4A4F" w:rsidRPr="00A42F82" w14:paraId="712FD33E" w14:textId="77777777" w:rsidTr="008A4A4F">
        <w:tc>
          <w:tcPr>
            <w:tcW w:w="10201" w:type="dxa"/>
            <w:shd w:val="clear" w:color="auto" w:fill="D9D9D9" w:themeFill="background1" w:themeFillShade="D9"/>
          </w:tcPr>
          <w:p w14:paraId="1E934776" w14:textId="77777777" w:rsidR="008A4A4F" w:rsidRPr="00A42F82" w:rsidRDefault="008A4A4F" w:rsidP="00D437E5">
            <w:pPr>
              <w:rPr>
                <w:rFonts w:ascii="Arial" w:hAnsi="Arial" w:cs="Arial"/>
                <w:b/>
                <w:sz w:val="22"/>
                <w:szCs w:val="22"/>
              </w:rPr>
            </w:pPr>
            <w:r w:rsidRPr="00A42F82">
              <w:rPr>
                <w:rFonts w:ascii="Arial" w:hAnsi="Arial" w:cs="Arial"/>
                <w:b/>
                <w:sz w:val="22"/>
                <w:szCs w:val="22"/>
              </w:rPr>
              <w:t>RESEARCH STAFF ONLY</w:t>
            </w:r>
          </w:p>
          <w:p w14:paraId="13294732" w14:textId="77777777" w:rsidR="008A4A4F" w:rsidRPr="00A42F82" w:rsidRDefault="008A4A4F" w:rsidP="00D437E5">
            <w:pPr>
              <w:rPr>
                <w:rFonts w:ascii="Arial" w:hAnsi="Arial" w:cs="Arial"/>
                <w:sz w:val="22"/>
                <w:szCs w:val="22"/>
              </w:rPr>
            </w:pPr>
            <w:r w:rsidRPr="00A42F82">
              <w:rPr>
                <w:rFonts w:ascii="Arial" w:hAnsi="Arial" w:cs="Arial"/>
                <w:sz w:val="22"/>
                <w:szCs w:val="22"/>
              </w:rPr>
              <w:lastRenderedPageBreak/>
              <w:t xml:space="preserve">All communications relating to this application during its processing must be in writing and emailed to </w:t>
            </w:r>
            <w:hyperlink r:id="rId17"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319D0E06" w14:textId="77777777" w:rsidR="008A4A4F" w:rsidRPr="00A42F82" w:rsidRDefault="008A4A4F" w:rsidP="00D437E5">
            <w:pPr>
              <w:rPr>
                <w:rFonts w:ascii="Arial" w:hAnsi="Arial" w:cs="Arial"/>
                <w:sz w:val="22"/>
                <w:szCs w:val="22"/>
              </w:rPr>
            </w:pPr>
          </w:p>
        </w:tc>
      </w:tr>
      <w:tr w:rsidR="008A4A4F" w:rsidRPr="00A42F82" w14:paraId="5BF2F9EB" w14:textId="77777777" w:rsidTr="008A4A4F">
        <w:tc>
          <w:tcPr>
            <w:tcW w:w="10201" w:type="dxa"/>
            <w:shd w:val="clear" w:color="auto" w:fill="D9D9D9" w:themeFill="background1" w:themeFillShade="D9"/>
          </w:tcPr>
          <w:p w14:paraId="52C7F446" w14:textId="77777777" w:rsidR="008A4A4F" w:rsidRPr="00A42F82" w:rsidRDefault="008A4A4F"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136A9A12" w14:textId="77777777" w:rsidR="008A4A4F" w:rsidRPr="00A42F82" w:rsidRDefault="008A4A4F" w:rsidP="00A91894">
      <w:pPr>
        <w:tabs>
          <w:tab w:val="left" w:pos="5103"/>
        </w:tabs>
        <w:rPr>
          <w:rFonts w:ascii="Arial" w:hAnsi="Arial" w:cs="Arial"/>
          <w:bCs/>
          <w:sz w:val="22"/>
          <w:szCs w:val="22"/>
        </w:rPr>
      </w:pPr>
    </w:p>
    <w:p w14:paraId="5B98B848" w14:textId="77777777" w:rsidR="005728F7" w:rsidRPr="00F27956" w:rsidRDefault="005728F7" w:rsidP="00F27956">
      <w:pPr>
        <w:tabs>
          <w:tab w:val="left" w:pos="921"/>
        </w:tabs>
        <w:rPr>
          <w:rFonts w:ascii="Arial" w:hAnsi="Arial" w:cs="Arial"/>
          <w:sz w:val="20"/>
          <w:szCs w:val="20"/>
        </w:rPr>
      </w:pPr>
    </w:p>
    <w:sectPr w:rsidR="005728F7" w:rsidRPr="00F27956">
      <w:footerReference w:type="default" r:id="rId18"/>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2D5BB0" w14:textId="77777777" w:rsidR="00902680" w:rsidRDefault="00902680">
      <w:r>
        <w:separator/>
      </w:r>
    </w:p>
  </w:endnote>
  <w:endnote w:type="continuationSeparator" w:id="0">
    <w:p w14:paraId="5AF176E6" w14:textId="77777777" w:rsidR="00902680" w:rsidRDefault="009026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361974" w14:textId="77777777" w:rsidR="00BB4BB4" w:rsidRDefault="00000000">
    <w:pPr>
      <w:jc w:val="center"/>
    </w:pPr>
    <w:r>
      <w:rPr>
        <w:sz w:val="20"/>
        <w:szCs w:val="20"/>
      </w:rPr>
      <w:fldChar w:fldCharType="begin"/>
    </w:r>
    <w:r>
      <w:rPr>
        <w:sz w:val="20"/>
        <w:szCs w:val="20"/>
      </w:rPr>
      <w:instrText>PAGE</w:instrText>
    </w:r>
    <w:r>
      <w:rPr>
        <w:sz w:val="20"/>
        <w:szCs w:val="20"/>
      </w:rPr>
      <w:fldChar w:fldCharType="separate"/>
    </w:r>
    <w:r w:rsidR="00585384">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D4159D" w14:textId="77777777" w:rsidR="00902680" w:rsidRDefault="00902680">
      <w:r>
        <w:separator/>
      </w:r>
    </w:p>
  </w:footnote>
  <w:footnote w:type="continuationSeparator" w:id="0">
    <w:p w14:paraId="15ECB191" w14:textId="77777777" w:rsidR="00902680" w:rsidRDefault="0090268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DB69B8"/>
    <w:multiLevelType w:val="hybridMultilevel"/>
    <w:tmpl w:val="81C6F2E8"/>
    <w:lvl w:ilvl="0" w:tplc="DFF456FC">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3" w15:restartNumberingAfterBreak="0">
    <w:nsid w:val="239C3EAC"/>
    <w:multiLevelType w:val="multilevel"/>
    <w:tmpl w:val="F86279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C76EA1"/>
    <w:multiLevelType w:val="hybridMultilevel"/>
    <w:tmpl w:val="EA70652E"/>
    <w:lvl w:ilvl="0" w:tplc="ECAE9200">
      <w:start w:val="1"/>
      <w:numFmt w:val="bullet"/>
      <w:lvlText w:val=""/>
      <w:lvlJc w:val="left"/>
      <w:pPr>
        <w:ind w:left="644" w:hanging="360"/>
      </w:pPr>
      <w:rPr>
        <w:rFonts w:ascii="Wingdings" w:hAnsi="Wingdings" w:hint="default"/>
        <w:sz w:val="24"/>
        <w:szCs w:val="24"/>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5984098"/>
    <w:multiLevelType w:val="hybridMultilevel"/>
    <w:tmpl w:val="600AF1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64F3F1F"/>
    <w:multiLevelType w:val="hybridMultilevel"/>
    <w:tmpl w:val="8AF67340"/>
    <w:lvl w:ilvl="0" w:tplc="DC9CF158">
      <w:start w:val="1"/>
      <w:numFmt w:val="bullet"/>
      <w:lvlText w:val="•"/>
      <w:lvlJc w:val="left"/>
      <w:pPr>
        <w:ind w:left="720" w:hanging="360"/>
      </w:pPr>
    </w:lvl>
    <w:lvl w:ilvl="1" w:tplc="4AE48FAE">
      <w:numFmt w:val="decimal"/>
      <w:lvlText w:val=""/>
      <w:lvlJc w:val="left"/>
    </w:lvl>
    <w:lvl w:ilvl="2" w:tplc="AD54EA14">
      <w:numFmt w:val="decimal"/>
      <w:lvlText w:val=""/>
      <w:lvlJc w:val="left"/>
    </w:lvl>
    <w:lvl w:ilvl="3" w:tplc="A6906266">
      <w:numFmt w:val="decimal"/>
      <w:lvlText w:val=""/>
      <w:lvlJc w:val="left"/>
    </w:lvl>
    <w:lvl w:ilvl="4" w:tplc="77AEC282">
      <w:numFmt w:val="decimal"/>
      <w:lvlText w:val=""/>
      <w:lvlJc w:val="left"/>
    </w:lvl>
    <w:lvl w:ilvl="5" w:tplc="A00802E4">
      <w:numFmt w:val="decimal"/>
      <w:lvlText w:val=""/>
      <w:lvlJc w:val="left"/>
    </w:lvl>
    <w:lvl w:ilvl="6" w:tplc="5A7244F2">
      <w:numFmt w:val="decimal"/>
      <w:lvlText w:val=""/>
      <w:lvlJc w:val="left"/>
    </w:lvl>
    <w:lvl w:ilvl="7" w:tplc="44307284">
      <w:numFmt w:val="decimal"/>
      <w:lvlText w:val=""/>
      <w:lvlJc w:val="left"/>
    </w:lvl>
    <w:lvl w:ilvl="8" w:tplc="B26428EE">
      <w:numFmt w:val="decimal"/>
      <w:lvlText w:val=""/>
      <w:lvlJc w:val="left"/>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0A36057"/>
    <w:multiLevelType w:val="hybridMultilevel"/>
    <w:tmpl w:val="9410CA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6A31152"/>
    <w:multiLevelType w:val="hybridMultilevel"/>
    <w:tmpl w:val="4086C20A"/>
    <w:lvl w:ilvl="0" w:tplc="AC0279C0">
      <w:start w:val="1"/>
      <w:numFmt w:val="bullet"/>
      <w:lvlText w:val="●"/>
      <w:lvlJc w:val="left"/>
      <w:pPr>
        <w:ind w:left="720" w:hanging="360"/>
      </w:pPr>
    </w:lvl>
    <w:lvl w:ilvl="1" w:tplc="2F623D6E">
      <w:start w:val="1"/>
      <w:numFmt w:val="bullet"/>
      <w:lvlText w:val="○"/>
      <w:lvlJc w:val="left"/>
      <w:pPr>
        <w:ind w:left="1440" w:hanging="360"/>
      </w:pPr>
    </w:lvl>
    <w:lvl w:ilvl="2" w:tplc="F402AAD6">
      <w:start w:val="1"/>
      <w:numFmt w:val="bullet"/>
      <w:lvlText w:val="■"/>
      <w:lvlJc w:val="left"/>
      <w:pPr>
        <w:ind w:left="2160" w:hanging="360"/>
      </w:pPr>
    </w:lvl>
    <w:lvl w:ilvl="3" w:tplc="7668F8BE">
      <w:start w:val="1"/>
      <w:numFmt w:val="bullet"/>
      <w:lvlText w:val="●"/>
      <w:lvlJc w:val="left"/>
      <w:pPr>
        <w:ind w:left="2880" w:hanging="360"/>
      </w:pPr>
    </w:lvl>
    <w:lvl w:ilvl="4" w:tplc="597C7FF0">
      <w:start w:val="1"/>
      <w:numFmt w:val="bullet"/>
      <w:lvlText w:val="○"/>
      <w:lvlJc w:val="left"/>
      <w:pPr>
        <w:ind w:left="3600" w:hanging="360"/>
      </w:pPr>
    </w:lvl>
    <w:lvl w:ilvl="5" w:tplc="9640B3B6">
      <w:start w:val="1"/>
      <w:numFmt w:val="bullet"/>
      <w:lvlText w:val="■"/>
      <w:lvlJc w:val="left"/>
      <w:pPr>
        <w:ind w:left="4320" w:hanging="360"/>
      </w:pPr>
    </w:lvl>
    <w:lvl w:ilvl="6" w:tplc="EAF2C3AA">
      <w:start w:val="1"/>
      <w:numFmt w:val="bullet"/>
      <w:lvlText w:val="●"/>
      <w:lvlJc w:val="left"/>
      <w:pPr>
        <w:ind w:left="5040" w:hanging="360"/>
      </w:pPr>
    </w:lvl>
    <w:lvl w:ilvl="7" w:tplc="DA30DD78">
      <w:start w:val="1"/>
      <w:numFmt w:val="bullet"/>
      <w:lvlText w:val="●"/>
      <w:lvlJc w:val="left"/>
      <w:pPr>
        <w:ind w:left="5760" w:hanging="360"/>
      </w:pPr>
    </w:lvl>
    <w:lvl w:ilvl="8" w:tplc="E3B0612C">
      <w:start w:val="1"/>
      <w:numFmt w:val="bullet"/>
      <w:lvlText w:val="●"/>
      <w:lvlJc w:val="left"/>
      <w:pPr>
        <w:ind w:left="6480" w:hanging="360"/>
      </w:p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1B77CC9"/>
    <w:multiLevelType w:val="hybridMultilevel"/>
    <w:tmpl w:val="78F249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628042">
    <w:abstractNumId w:val="20"/>
    <w:lvlOverride w:ilvl="0">
      <w:startOverride w:val="1"/>
    </w:lvlOverride>
  </w:num>
  <w:num w:numId="2" w16cid:durableId="1707828554">
    <w:abstractNumId w:val="12"/>
    <w:lvlOverride w:ilvl="0">
      <w:startOverride w:val="1"/>
    </w:lvlOverride>
  </w:num>
  <w:num w:numId="3" w16cid:durableId="709954866">
    <w:abstractNumId w:val="12"/>
  </w:num>
  <w:num w:numId="4" w16cid:durableId="1701659089">
    <w:abstractNumId w:val="8"/>
  </w:num>
  <w:num w:numId="5" w16cid:durableId="1777090471">
    <w:abstractNumId w:val="26"/>
  </w:num>
  <w:num w:numId="6" w16cid:durableId="172691862">
    <w:abstractNumId w:val="17"/>
  </w:num>
  <w:num w:numId="7" w16cid:durableId="443305923">
    <w:abstractNumId w:val="11"/>
  </w:num>
  <w:num w:numId="8" w16cid:durableId="1685012706">
    <w:abstractNumId w:val="2"/>
  </w:num>
  <w:num w:numId="9" w16cid:durableId="850493201">
    <w:abstractNumId w:val="15"/>
  </w:num>
  <w:num w:numId="10" w16cid:durableId="1418014885">
    <w:abstractNumId w:val="27"/>
  </w:num>
  <w:num w:numId="11" w16cid:durableId="1351489909">
    <w:abstractNumId w:val="4"/>
  </w:num>
  <w:num w:numId="12" w16cid:durableId="996802858">
    <w:abstractNumId w:val="32"/>
  </w:num>
  <w:num w:numId="13"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34948035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604271145">
    <w:abstractNumId w:val="5"/>
  </w:num>
  <w:num w:numId="17" w16cid:durableId="465201546">
    <w:abstractNumId w:val="10"/>
  </w:num>
  <w:num w:numId="18" w16cid:durableId="801313199">
    <w:abstractNumId w:val="13"/>
  </w:num>
  <w:num w:numId="19" w16cid:durableId="1932622472">
    <w:abstractNumId w:val="30"/>
  </w:num>
  <w:num w:numId="20" w16cid:durableId="803698313">
    <w:abstractNumId w:val="28"/>
  </w:num>
  <w:num w:numId="21" w16cid:durableId="1870216879">
    <w:abstractNumId w:val="29"/>
  </w:num>
  <w:num w:numId="22" w16cid:durableId="100340676">
    <w:abstractNumId w:val="0"/>
  </w:num>
  <w:num w:numId="23" w16cid:durableId="1557625305">
    <w:abstractNumId w:val="7"/>
  </w:num>
  <w:num w:numId="24" w16cid:durableId="1281380168">
    <w:abstractNumId w:val="9"/>
  </w:num>
  <w:num w:numId="25" w16cid:durableId="1244143853">
    <w:abstractNumId w:val="16"/>
  </w:num>
  <w:num w:numId="26" w16cid:durableId="131824218">
    <w:abstractNumId w:val="19"/>
  </w:num>
  <w:num w:numId="27" w16cid:durableId="395248324">
    <w:abstractNumId w:val="31"/>
  </w:num>
  <w:num w:numId="28" w16cid:durableId="267927197">
    <w:abstractNumId w:val="6"/>
  </w:num>
  <w:num w:numId="29" w16cid:durableId="48654765">
    <w:abstractNumId w:val="21"/>
  </w:num>
  <w:num w:numId="30" w16cid:durableId="1337196786">
    <w:abstractNumId w:val="25"/>
  </w:num>
  <w:num w:numId="31" w16cid:durableId="1755130753">
    <w:abstractNumId w:val="1"/>
  </w:num>
  <w:num w:numId="32" w16cid:durableId="726926220">
    <w:abstractNumId w:val="14"/>
  </w:num>
  <w:num w:numId="33" w16cid:durableId="2083483834">
    <w:abstractNumId w:val="18"/>
  </w:num>
  <w:num w:numId="34" w16cid:durableId="2097245557">
    <w:abstractNumId w:val="33"/>
  </w:num>
  <w:num w:numId="35" w16cid:durableId="475149258">
    <w:abstractNumId w:val="24"/>
  </w:num>
  <w:num w:numId="36" w16cid:durableId="148504635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4BB4"/>
    <w:rsid w:val="0002774C"/>
    <w:rsid w:val="00041313"/>
    <w:rsid w:val="000418FB"/>
    <w:rsid w:val="00045608"/>
    <w:rsid w:val="00045F4A"/>
    <w:rsid w:val="0009068D"/>
    <w:rsid w:val="0009170F"/>
    <w:rsid w:val="000B02FE"/>
    <w:rsid w:val="000F0491"/>
    <w:rsid w:val="00104E0E"/>
    <w:rsid w:val="001403A4"/>
    <w:rsid w:val="001446B6"/>
    <w:rsid w:val="00161A90"/>
    <w:rsid w:val="001F7491"/>
    <w:rsid w:val="00205832"/>
    <w:rsid w:val="002445C7"/>
    <w:rsid w:val="00253D22"/>
    <w:rsid w:val="002571A6"/>
    <w:rsid w:val="00292B71"/>
    <w:rsid w:val="00303F22"/>
    <w:rsid w:val="0030490C"/>
    <w:rsid w:val="00312AC3"/>
    <w:rsid w:val="0034720E"/>
    <w:rsid w:val="00380AEB"/>
    <w:rsid w:val="00383FC9"/>
    <w:rsid w:val="003C091B"/>
    <w:rsid w:val="003F6F81"/>
    <w:rsid w:val="0041688E"/>
    <w:rsid w:val="004170B5"/>
    <w:rsid w:val="00436836"/>
    <w:rsid w:val="00451D8F"/>
    <w:rsid w:val="00453769"/>
    <w:rsid w:val="005167AD"/>
    <w:rsid w:val="0053464A"/>
    <w:rsid w:val="00542998"/>
    <w:rsid w:val="005728F7"/>
    <w:rsid w:val="00585384"/>
    <w:rsid w:val="005E4704"/>
    <w:rsid w:val="00613952"/>
    <w:rsid w:val="00635448"/>
    <w:rsid w:val="006554B9"/>
    <w:rsid w:val="00692017"/>
    <w:rsid w:val="006F0B2D"/>
    <w:rsid w:val="00741EDA"/>
    <w:rsid w:val="00791A98"/>
    <w:rsid w:val="007C4B1E"/>
    <w:rsid w:val="007E4B8D"/>
    <w:rsid w:val="007F00C4"/>
    <w:rsid w:val="008158A7"/>
    <w:rsid w:val="00837D49"/>
    <w:rsid w:val="00850469"/>
    <w:rsid w:val="008607CD"/>
    <w:rsid w:val="00861106"/>
    <w:rsid w:val="00862F58"/>
    <w:rsid w:val="008A4A4F"/>
    <w:rsid w:val="008C4ED1"/>
    <w:rsid w:val="008D5417"/>
    <w:rsid w:val="008F14C2"/>
    <w:rsid w:val="00902680"/>
    <w:rsid w:val="009073F8"/>
    <w:rsid w:val="009225D3"/>
    <w:rsid w:val="00960242"/>
    <w:rsid w:val="0099492E"/>
    <w:rsid w:val="00994B22"/>
    <w:rsid w:val="00A01B3E"/>
    <w:rsid w:val="00A15CEA"/>
    <w:rsid w:val="00A24795"/>
    <w:rsid w:val="00A35316"/>
    <w:rsid w:val="00A414A4"/>
    <w:rsid w:val="00AC23DC"/>
    <w:rsid w:val="00AD7946"/>
    <w:rsid w:val="00B1174F"/>
    <w:rsid w:val="00B74885"/>
    <w:rsid w:val="00BA74F8"/>
    <w:rsid w:val="00BB4BB4"/>
    <w:rsid w:val="00BC0492"/>
    <w:rsid w:val="00C25A1D"/>
    <w:rsid w:val="00C34F57"/>
    <w:rsid w:val="00C62169"/>
    <w:rsid w:val="00C74F1A"/>
    <w:rsid w:val="00C77D9A"/>
    <w:rsid w:val="00CD616E"/>
    <w:rsid w:val="00D06328"/>
    <w:rsid w:val="00D1126F"/>
    <w:rsid w:val="00D47AAA"/>
    <w:rsid w:val="00DA7D44"/>
    <w:rsid w:val="00DE1A6B"/>
    <w:rsid w:val="00E17B93"/>
    <w:rsid w:val="00E44E56"/>
    <w:rsid w:val="00EF0AED"/>
    <w:rsid w:val="00F27956"/>
    <w:rsid w:val="00F61B71"/>
    <w:rsid w:val="00F62EB9"/>
    <w:rsid w:val="00F86BF8"/>
    <w:rsid w:val="00FA174E"/>
    <w:rsid w:val="00FD50B2"/>
    <w:rsid w:val="00FF158F"/>
    <w:rsid w:val="00FF2E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21430"/>
  <w15:docId w15:val="{6AF7FBA1-E66C-42A1-9B4D-FFAFD1A25D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link w:val="Heading1Char"/>
    <w:uiPriority w:val="99"/>
    <w:qFormat/>
    <w:pPr>
      <w:spacing w:before="400" w:after="200"/>
      <w:outlineLvl w:val="0"/>
    </w:pPr>
    <w:rPr>
      <w:b/>
      <w:bCs/>
      <w:color w:val="000000"/>
      <w:sz w:val="28"/>
      <w:szCs w:val="28"/>
    </w:rPr>
  </w:style>
  <w:style w:type="paragraph" w:styleId="Heading2">
    <w:name w:val="heading 2"/>
    <w:uiPriority w:val="9"/>
    <w:unhideWhenUsed/>
    <w:qFormat/>
    <w:pPr>
      <w:spacing w:before="300" w:after="160"/>
      <w:outlineLvl w:val="1"/>
    </w:pPr>
    <w:rPr>
      <w:b/>
      <w:bCs/>
      <w:color w:val="000000"/>
      <w:sz w:val="26"/>
      <w:szCs w:val="26"/>
    </w:rPr>
  </w:style>
  <w:style w:type="paragraph" w:styleId="Heading3">
    <w:name w:val="heading 3"/>
    <w:uiPriority w:val="9"/>
    <w:unhideWhenUsed/>
    <w:qFormat/>
    <w:pPr>
      <w:spacing w:before="240" w:after="120"/>
      <w:outlineLvl w:val="2"/>
    </w:pPr>
    <w:rPr>
      <w:b/>
      <w:bCs/>
      <w:i/>
      <w:iCs/>
      <w:color w:val="000000"/>
    </w:rPr>
  </w:style>
  <w:style w:type="paragraph" w:styleId="Heading4">
    <w:name w:val="heading 4"/>
    <w:link w:val="Heading4Char"/>
    <w:uiPriority w:val="99"/>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uiPriority w:val="34"/>
    <w:qFormat/>
  </w:style>
  <w:style w:type="character" w:styleId="Hyperlink">
    <w:name w:val="Hyperlink"/>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862F58"/>
    <w:pPr>
      <w:tabs>
        <w:tab w:val="center" w:pos="4513"/>
        <w:tab w:val="right" w:pos="9026"/>
      </w:tabs>
    </w:pPr>
  </w:style>
  <w:style w:type="character" w:customStyle="1" w:styleId="HeaderChar">
    <w:name w:val="Header Char"/>
    <w:basedOn w:val="DefaultParagraphFont"/>
    <w:link w:val="Header"/>
    <w:uiPriority w:val="99"/>
    <w:rsid w:val="00862F58"/>
  </w:style>
  <w:style w:type="paragraph" w:styleId="Footer">
    <w:name w:val="footer"/>
    <w:basedOn w:val="Normal"/>
    <w:link w:val="FooterChar"/>
    <w:uiPriority w:val="99"/>
    <w:unhideWhenUsed/>
    <w:rsid w:val="00862F58"/>
    <w:pPr>
      <w:tabs>
        <w:tab w:val="center" w:pos="4513"/>
        <w:tab w:val="right" w:pos="9026"/>
      </w:tabs>
    </w:pPr>
  </w:style>
  <w:style w:type="character" w:customStyle="1" w:styleId="FooterChar">
    <w:name w:val="Footer Char"/>
    <w:basedOn w:val="DefaultParagraphFont"/>
    <w:link w:val="Footer"/>
    <w:uiPriority w:val="99"/>
    <w:rsid w:val="00862F58"/>
  </w:style>
  <w:style w:type="character" w:customStyle="1" w:styleId="Heading1Char">
    <w:name w:val="Heading 1 Char"/>
    <w:link w:val="Heading1"/>
    <w:uiPriority w:val="99"/>
    <w:rsid w:val="005728F7"/>
    <w:rPr>
      <w:b/>
      <w:bCs/>
      <w:color w:val="000000"/>
      <w:sz w:val="28"/>
      <w:szCs w:val="28"/>
    </w:rPr>
  </w:style>
  <w:style w:type="character" w:customStyle="1" w:styleId="Heading4Char">
    <w:name w:val="Heading 4 Char"/>
    <w:link w:val="Heading4"/>
    <w:uiPriority w:val="99"/>
    <w:rsid w:val="005728F7"/>
    <w:rPr>
      <w:i/>
      <w:iCs/>
      <w:color w:val="2E74B5"/>
    </w:rPr>
  </w:style>
  <w:style w:type="paragraph" w:styleId="BodyText2">
    <w:name w:val="Body Text 2"/>
    <w:basedOn w:val="Normal"/>
    <w:link w:val="BodyText2Char"/>
    <w:uiPriority w:val="99"/>
    <w:rsid w:val="005728F7"/>
    <w:pPr>
      <w:ind w:left="720" w:hanging="720"/>
    </w:pPr>
    <w:rPr>
      <w:b/>
      <w:bCs/>
      <w:sz w:val="22"/>
      <w:szCs w:val="22"/>
      <w:lang w:eastAsia="en-US"/>
    </w:rPr>
  </w:style>
  <w:style w:type="character" w:customStyle="1" w:styleId="BodyText2Char">
    <w:name w:val="Body Text 2 Char"/>
    <w:basedOn w:val="DefaultParagraphFont"/>
    <w:link w:val="BodyText2"/>
    <w:uiPriority w:val="99"/>
    <w:rsid w:val="005728F7"/>
    <w:rPr>
      <w:b/>
      <w:bCs/>
      <w:sz w:val="22"/>
      <w:szCs w:val="22"/>
      <w:lang w:eastAsia="en-US"/>
    </w:rPr>
  </w:style>
  <w:style w:type="paragraph" w:customStyle="1" w:styleId="deannah1">
    <w:name w:val="deannah1"/>
    <w:basedOn w:val="Normal"/>
    <w:uiPriority w:val="99"/>
    <w:rsid w:val="005728F7"/>
    <w:pPr>
      <w:keepNext/>
      <w:spacing w:after="240"/>
    </w:pPr>
    <w:rPr>
      <w:b/>
      <w:bCs/>
      <w:lang w:eastAsia="en-US"/>
    </w:rPr>
  </w:style>
  <w:style w:type="paragraph" w:styleId="BalloonText">
    <w:name w:val="Balloon Text"/>
    <w:basedOn w:val="Normal"/>
    <w:link w:val="BalloonTextChar"/>
    <w:uiPriority w:val="99"/>
    <w:semiHidden/>
    <w:rsid w:val="005728F7"/>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5728F7"/>
    <w:rPr>
      <w:rFonts w:ascii="Tahoma" w:hAnsi="Tahoma" w:cs="Tahoma"/>
      <w:sz w:val="16"/>
      <w:szCs w:val="16"/>
      <w:lang w:eastAsia="en-US"/>
    </w:rPr>
  </w:style>
  <w:style w:type="table" w:styleId="TableGrid">
    <w:name w:val="Table Grid"/>
    <w:basedOn w:val="TableNormal"/>
    <w:rsid w:val="005728F7"/>
    <w:rPr>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5728F7"/>
    <w:rPr>
      <w:color w:val="800080"/>
      <w:u w:val="single"/>
    </w:rPr>
  </w:style>
  <w:style w:type="paragraph" w:styleId="NormalWeb">
    <w:name w:val="Normal (Web)"/>
    <w:basedOn w:val="Normal"/>
    <w:uiPriority w:val="99"/>
    <w:rsid w:val="005728F7"/>
    <w:pPr>
      <w:spacing w:before="100" w:beforeAutospacing="1" w:after="100" w:afterAutospacing="1"/>
    </w:pPr>
  </w:style>
  <w:style w:type="character" w:customStyle="1" w:styleId="Hyperlink1">
    <w:name w:val="Hyperlink1"/>
    <w:uiPriority w:val="99"/>
    <w:rsid w:val="005728F7"/>
    <w:rPr>
      <w:color w:val="535353"/>
      <w:u w:val="single"/>
      <w:effect w:val="none"/>
    </w:rPr>
  </w:style>
  <w:style w:type="paragraph" w:customStyle="1" w:styleId="NormalWeb1">
    <w:name w:val="Normal (Web)1"/>
    <w:basedOn w:val="Normal"/>
    <w:uiPriority w:val="99"/>
    <w:rsid w:val="005728F7"/>
    <w:pPr>
      <w:spacing w:before="100" w:beforeAutospacing="1" w:after="300"/>
    </w:pPr>
  </w:style>
  <w:style w:type="character" w:styleId="PageNumber">
    <w:name w:val="page number"/>
    <w:basedOn w:val="DefaultParagraphFont"/>
    <w:uiPriority w:val="99"/>
    <w:rsid w:val="005728F7"/>
  </w:style>
  <w:style w:type="character" w:styleId="CommentReference">
    <w:name w:val="annotation reference"/>
    <w:uiPriority w:val="99"/>
    <w:semiHidden/>
    <w:unhideWhenUsed/>
    <w:rsid w:val="005728F7"/>
    <w:rPr>
      <w:sz w:val="16"/>
      <w:szCs w:val="16"/>
    </w:rPr>
  </w:style>
  <w:style w:type="paragraph" w:styleId="CommentText">
    <w:name w:val="annotation text"/>
    <w:basedOn w:val="Normal"/>
    <w:link w:val="CommentTextChar"/>
    <w:uiPriority w:val="99"/>
    <w:semiHidden/>
    <w:unhideWhenUsed/>
    <w:rsid w:val="005728F7"/>
    <w:rPr>
      <w:sz w:val="20"/>
      <w:szCs w:val="20"/>
      <w:lang w:eastAsia="en-US"/>
    </w:rPr>
  </w:style>
  <w:style w:type="character" w:customStyle="1" w:styleId="CommentTextChar">
    <w:name w:val="Comment Text Char"/>
    <w:basedOn w:val="DefaultParagraphFont"/>
    <w:link w:val="CommentText"/>
    <w:uiPriority w:val="99"/>
    <w:semiHidden/>
    <w:rsid w:val="005728F7"/>
    <w:rPr>
      <w:sz w:val="20"/>
      <w:szCs w:val="20"/>
      <w:lang w:eastAsia="en-US"/>
    </w:rPr>
  </w:style>
  <w:style w:type="paragraph" w:styleId="CommentSubject">
    <w:name w:val="annotation subject"/>
    <w:basedOn w:val="CommentText"/>
    <w:next w:val="CommentText"/>
    <w:link w:val="CommentSubjectChar"/>
    <w:uiPriority w:val="99"/>
    <w:semiHidden/>
    <w:unhideWhenUsed/>
    <w:rsid w:val="005728F7"/>
    <w:rPr>
      <w:b/>
      <w:bCs/>
    </w:rPr>
  </w:style>
  <w:style w:type="character" w:customStyle="1" w:styleId="CommentSubjectChar">
    <w:name w:val="Comment Subject Char"/>
    <w:basedOn w:val="CommentTextChar"/>
    <w:link w:val="CommentSubject"/>
    <w:uiPriority w:val="99"/>
    <w:semiHidden/>
    <w:rsid w:val="005728F7"/>
    <w:rPr>
      <w:b/>
      <w:bCs/>
      <w:sz w:val="20"/>
      <w:szCs w:val="20"/>
      <w:lang w:eastAsia="en-US"/>
    </w:rPr>
  </w:style>
  <w:style w:type="character" w:styleId="Strong">
    <w:name w:val="Strong"/>
    <w:uiPriority w:val="22"/>
    <w:qFormat/>
    <w:rsid w:val="005728F7"/>
    <w:rPr>
      <w:b/>
      <w:bCs/>
    </w:rPr>
  </w:style>
  <w:style w:type="character" w:styleId="UnresolvedMention">
    <w:name w:val="Unresolved Mention"/>
    <w:basedOn w:val="DefaultParagraphFont"/>
    <w:uiPriority w:val="99"/>
    <w:semiHidden/>
    <w:unhideWhenUsed/>
    <w:rsid w:val="005728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styles" Target="styles.xml"/><Relationship Id="rId16" Type="http://schemas.openxmlformats.org/officeDocument/2006/relationships/hyperlink" Target="https://mytsd.uwtsd.ac.uk"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pgresearch@uwtsd.ac.uk" TargetMode="External"/><Relationship Id="rId5" Type="http://schemas.openxmlformats.org/officeDocument/2006/relationships/footnotes" Target="footnotes.xml"/><Relationship Id="rId15" Type="http://schemas.openxmlformats.org/officeDocument/2006/relationships/hyperlink" Target="https://www.uwtsd.ac.uk/research/research-ethics/" TargetMode="External"/><Relationship Id="rId10" Type="http://schemas.openxmlformats.org/officeDocument/2006/relationships/hyperlink" Target="https://mytsd.uwtsd.ac.uk"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674</TotalTime>
  <Pages>56</Pages>
  <Words>18864</Words>
  <Characters>107531</Characters>
  <Application>Microsoft Office Word</Application>
  <DocSecurity>0</DocSecurity>
  <Lines>896</Lines>
  <Paragraphs>252</Paragraphs>
  <ScaleCrop>false</ScaleCrop>
  <Company/>
  <LinksUpToDate>false</LinksUpToDate>
  <CharactersWithSpaces>126143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Nanga Pedro (2247167)</cp:lastModifiedBy>
  <cp:revision>29</cp:revision>
  <dcterms:created xsi:type="dcterms:W3CDTF">2026-04-04T01:05:00Z</dcterms:created>
  <dcterms:modified xsi:type="dcterms:W3CDTF">2026-04-23T22:10:00Z</dcterms:modified>
</cp:coreProperties>
</file>