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4930A" w14:textId="0D999995" w:rsidR="000F1FDC" w:rsidRDefault="000F1FDC"/>
    <w:p w14:paraId="1936F5EB" w14:textId="77777777" w:rsidR="004D1530" w:rsidRPr="00360358" w:rsidRDefault="004D1530" w:rsidP="004D1530">
      <w:pPr>
        <w:spacing w:line="480" w:lineRule="auto"/>
        <w:jc w:val="center"/>
        <w:rPr>
          <w:b/>
          <w:bCs/>
        </w:rPr>
      </w:pPr>
      <w:r w:rsidRPr="00360358">
        <w:rPr>
          <w:b/>
          <w:bCs/>
        </w:rPr>
        <w:t xml:space="preserve">AI Acknowledgement </w:t>
      </w:r>
    </w:p>
    <w:p w14:paraId="6C8503AC" w14:textId="77777777" w:rsidR="004D1530" w:rsidRDefault="004D1530" w:rsidP="004D1530">
      <w:pPr>
        <w:spacing w:line="480" w:lineRule="auto"/>
        <w:jc w:val="center"/>
      </w:pPr>
      <w: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58A59556" w14:textId="77777777" w:rsidR="000F1FDC" w:rsidRDefault="000F1FDC">
      <w:r>
        <w:br w:type="page"/>
      </w:r>
    </w:p>
    <w:p w14:paraId="144DF416" w14:textId="77777777" w:rsidR="00A80021" w:rsidRDefault="00A80021"/>
    <w:tbl>
      <w:tblPr>
        <w:tblW w:w="0" w:type="auto"/>
        <w:tblLayout w:type="fixed"/>
        <w:tblLook w:val="0600" w:firstRow="0" w:lastRow="0" w:firstColumn="0" w:lastColumn="0" w:noHBand="1" w:noVBand="1"/>
      </w:tblPr>
      <w:tblGrid>
        <w:gridCol w:w="5529"/>
        <w:gridCol w:w="5261"/>
      </w:tblGrid>
      <w:tr w:rsidR="00A81248" w:rsidRPr="003A798E" w14:paraId="6ECB5E4E" w14:textId="77777777" w:rsidTr="00766C02">
        <w:tc>
          <w:tcPr>
            <w:tcW w:w="5529" w:type="dxa"/>
          </w:tcPr>
          <w:p w14:paraId="2B575429" w14:textId="1150E7AD" w:rsidR="00A81248" w:rsidRPr="003A798E" w:rsidRDefault="00A81248" w:rsidP="00A81248">
            <w:pPr>
              <w:pStyle w:val="GraphicAnchor"/>
            </w:pPr>
          </w:p>
        </w:tc>
        <w:tc>
          <w:tcPr>
            <w:tcW w:w="5261" w:type="dxa"/>
          </w:tcPr>
          <w:p w14:paraId="50447F10" w14:textId="77777777" w:rsidR="00A81248" w:rsidRPr="003A798E" w:rsidRDefault="00A81248" w:rsidP="00A81248">
            <w:pPr>
              <w:pStyle w:val="GraphicAnchor"/>
            </w:pPr>
          </w:p>
        </w:tc>
      </w:tr>
      <w:tr w:rsidR="00A81248" w:rsidRPr="003A798E" w14:paraId="4993751A" w14:textId="77777777" w:rsidTr="00766C02">
        <w:trPr>
          <w:trHeight w:val="2719"/>
        </w:trPr>
        <w:tc>
          <w:tcPr>
            <w:tcW w:w="5529" w:type="dxa"/>
          </w:tcPr>
          <w:p w14:paraId="0AEDB9D8" w14:textId="16CAC08E" w:rsidR="00A81248" w:rsidRPr="00766C02" w:rsidRDefault="00FF299E" w:rsidP="00C66528">
            <w:pPr>
              <w:pStyle w:val="Heading1"/>
              <w:rPr>
                <w:sz w:val="64"/>
                <w:szCs w:val="64"/>
              </w:rPr>
            </w:pPr>
            <w:r w:rsidRPr="00766C02">
              <w:rPr>
                <w:sz w:val="64"/>
                <w:szCs w:val="64"/>
              </w:rPr>
              <w:t>CASE REPORT</w:t>
            </w:r>
            <w:r w:rsidR="00615BBB">
              <w:rPr>
                <w:sz w:val="64"/>
                <w:szCs w:val="64"/>
              </w:rPr>
              <w:t xml:space="preserve">  </w:t>
            </w:r>
          </w:p>
        </w:tc>
        <w:tc>
          <w:tcPr>
            <w:tcW w:w="5261" w:type="dxa"/>
          </w:tcPr>
          <w:p w14:paraId="5CFF4F56" w14:textId="0F60C52D" w:rsidR="00A81248" w:rsidRPr="003A798E" w:rsidRDefault="00A81248"/>
        </w:tc>
      </w:tr>
      <w:tr w:rsidR="00FF299E" w:rsidRPr="003A798E" w14:paraId="2FE6D199" w14:textId="77777777" w:rsidTr="00766C02">
        <w:trPr>
          <w:trHeight w:val="5771"/>
        </w:trPr>
        <w:tc>
          <w:tcPr>
            <w:tcW w:w="5529" w:type="dxa"/>
            <w:vMerge w:val="restart"/>
          </w:tcPr>
          <w:p w14:paraId="39003EA3" w14:textId="072ED7B2" w:rsidR="00FF299E" w:rsidRPr="003A798E" w:rsidRDefault="00FF299E">
            <w:r w:rsidRPr="003A798E">
              <w:rPr>
                <w:noProof/>
                <w:lang w:eastAsia="en-AU"/>
              </w:rPr>
              <mc:AlternateContent>
                <mc:Choice Requires="wpg">
                  <w:drawing>
                    <wp:anchor distT="0" distB="0" distL="114300" distR="114300" simplePos="0" relativeHeight="251658241" behindDoc="1" locked="0" layoutInCell="1" allowOverlap="1" wp14:anchorId="5BECCFE1" wp14:editId="70EB73B7">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43587981" id="Group 1" o:spid="_x0000_s1026" alt="&quot;&quot;" style="position:absolute;margin-left:-35.1pt;margin-top:-176.6pt;width:612pt;height:791.7pt;z-index:-251653120;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261" w:type="dxa"/>
          </w:tcPr>
          <w:p w14:paraId="596FC509" w14:textId="438A7636" w:rsidR="00FF299E" w:rsidRPr="003A798E" w:rsidRDefault="00FF299E"/>
        </w:tc>
      </w:tr>
      <w:tr w:rsidR="00FF299E" w:rsidRPr="003A798E" w14:paraId="54D528D9" w14:textId="77777777" w:rsidTr="00766C02">
        <w:trPr>
          <w:trHeight w:val="4813"/>
        </w:trPr>
        <w:tc>
          <w:tcPr>
            <w:tcW w:w="5529" w:type="dxa"/>
            <w:vMerge/>
          </w:tcPr>
          <w:p w14:paraId="3CBFE97B" w14:textId="77777777" w:rsidR="00FF299E" w:rsidRPr="003A798E" w:rsidRDefault="00FF299E">
            <w:pPr>
              <w:rPr>
                <w:noProof/>
                <w:lang w:eastAsia="en-AU"/>
              </w:rPr>
            </w:pPr>
          </w:p>
        </w:tc>
        <w:tc>
          <w:tcPr>
            <w:tcW w:w="5261" w:type="dxa"/>
          </w:tcPr>
          <w:p w14:paraId="2DD39CC7" w14:textId="77777777" w:rsidR="00766C02" w:rsidRDefault="00766C02" w:rsidP="00FF299E">
            <w:pPr>
              <w:pStyle w:val="Heading2"/>
              <w:rPr>
                <w:sz w:val="28"/>
                <w:szCs w:val="18"/>
              </w:rPr>
            </w:pPr>
          </w:p>
          <w:p w14:paraId="63DFB666" w14:textId="77777777" w:rsidR="00766C02" w:rsidRDefault="00766C02" w:rsidP="00FF299E">
            <w:pPr>
              <w:pStyle w:val="Heading2"/>
              <w:rPr>
                <w:sz w:val="28"/>
                <w:szCs w:val="18"/>
              </w:rPr>
            </w:pPr>
          </w:p>
          <w:p w14:paraId="6604AB5F" w14:textId="77777777" w:rsidR="00766C02" w:rsidRDefault="00766C02" w:rsidP="00FF299E">
            <w:pPr>
              <w:pStyle w:val="Heading2"/>
              <w:rPr>
                <w:sz w:val="28"/>
                <w:szCs w:val="18"/>
              </w:rPr>
            </w:pPr>
          </w:p>
          <w:p w14:paraId="296CFA90" w14:textId="77777777" w:rsidR="00FF299E" w:rsidRPr="003A798E" w:rsidRDefault="00FF299E" w:rsidP="00F95970">
            <w:pPr>
              <w:pStyle w:val="Heading2"/>
            </w:pPr>
          </w:p>
        </w:tc>
      </w:tr>
    </w:tbl>
    <w:p w14:paraId="7FDB8637" w14:textId="14E5021D" w:rsidR="000C4ED1" w:rsidRPr="003A798E" w:rsidRDefault="000C4ED1"/>
    <w:tbl>
      <w:tblPr>
        <w:tblW w:w="10773" w:type="dxa"/>
        <w:shd w:val="clear" w:color="auto" w:fill="EDF0F4" w:themeFill="accent3"/>
        <w:tblLayout w:type="fixed"/>
        <w:tblCellMar>
          <w:left w:w="0" w:type="dxa"/>
          <w:right w:w="0" w:type="dxa"/>
        </w:tblCellMar>
        <w:tblLook w:val="0600" w:firstRow="0" w:lastRow="0" w:firstColumn="0" w:lastColumn="0" w:noHBand="1" w:noVBand="1"/>
      </w:tblPr>
      <w:tblGrid>
        <w:gridCol w:w="10773"/>
      </w:tblGrid>
      <w:tr w:rsidR="00766C02" w:rsidRPr="003A798E" w14:paraId="3B42F6A6" w14:textId="77777777" w:rsidTr="00FA38A4">
        <w:trPr>
          <w:trHeight w:val="5682"/>
        </w:trPr>
        <w:tc>
          <w:tcPr>
            <w:tcW w:w="10773" w:type="dxa"/>
            <w:shd w:val="clear" w:color="auto" w:fill="EDF0F4" w:themeFill="accent3"/>
          </w:tcPr>
          <w:p w14:paraId="2582ACBE" w14:textId="4198F51C" w:rsidR="00766C02" w:rsidRDefault="00766C02" w:rsidP="0007100B">
            <w:pPr>
              <w:pStyle w:val="Heading3"/>
            </w:pPr>
            <w:r>
              <w:lastRenderedPageBreak/>
              <w:t xml:space="preserve">BACKGROUND TO THE </w:t>
            </w:r>
            <w:r w:rsidR="00F95970">
              <w:t>RE</w:t>
            </w:r>
            <w:r>
              <w:t>PORT</w:t>
            </w:r>
            <w:r w:rsidR="00882F39">
              <w:t xml:space="preserve"> </w:t>
            </w:r>
          </w:p>
          <w:p w14:paraId="71A7147D" w14:textId="77777777" w:rsidR="00766C02" w:rsidRDefault="00766C02" w:rsidP="001205A1">
            <w:pPr>
              <w:pStyle w:val="Heading4"/>
            </w:pPr>
          </w:p>
          <w:p w14:paraId="31CA010A" w14:textId="1C08FB6A" w:rsidR="00882F39" w:rsidRDefault="002B1045" w:rsidP="00882F39">
            <w:r>
              <w:t xml:space="preserve">      </w:t>
            </w:r>
            <w:r w:rsidR="00882F39">
              <w:t xml:space="preserve">The </w:t>
            </w:r>
            <w:proofErr w:type="spellStart"/>
            <w:r w:rsidR="00882F39">
              <w:t>Glynafonshire</w:t>
            </w:r>
            <w:proofErr w:type="spellEnd"/>
            <w:r w:rsidR="00882F39">
              <w:t xml:space="preserve"> Health Board has put together a report about the reduction in handwashing practices being carried out by the district nurses. The health board has a strict handwashing policy that includes proper handwashing guidance and techniques that all district nurses must follow. These handwashing procedures are expected to be carried out before and after entering a patient’s property to avoid the spread of infections. The local health board provides district nurses with a training period in which their handwashing policy and detailed explanation of techniques are delivered. District nurses are required to complete and pass both a practical and written test to show their competency and understanding of the handwashing policy. However, the health board has now become aware that district nurses have not been consistently following the handwashing policy. This has included rushing, not following correct techniques and nurses not washing their hands both before and after visiting a patient’s home. Due to a lack of adherence and focus on handwashing it has resulted in eight patients developing a serious infection, one of which has led to </w:t>
            </w:r>
            <w:proofErr w:type="gramStart"/>
            <w:r w:rsidR="00882F39">
              <w:t>a fatality</w:t>
            </w:r>
            <w:proofErr w:type="gramEnd"/>
            <w:r w:rsidR="00882F39">
              <w:t xml:space="preserve">. </w:t>
            </w:r>
          </w:p>
          <w:p w14:paraId="2D969967" w14:textId="77777777" w:rsidR="00882F39" w:rsidRDefault="00882F39" w:rsidP="00882F39"/>
          <w:p w14:paraId="0587C3D0" w14:textId="77777777" w:rsidR="00882F39" w:rsidRPr="008F303C" w:rsidRDefault="00882F39" w:rsidP="00882F39">
            <w:r>
              <w:t xml:space="preserve">      The </w:t>
            </w:r>
            <w:proofErr w:type="spellStart"/>
            <w:r>
              <w:t>Glynafonshire</w:t>
            </w:r>
            <w:proofErr w:type="spellEnd"/>
            <w:r>
              <w:t xml:space="preserve"> Health Board has acknowledged that information presented by the district nurses has shown that due to staff shortages and an increase in patients’ workload, it has meant working hours have become longer in the months prior. These included nurses working back-to-back shifts on several occasions per week and needing to provide care to twice the number of patients they would usually. The health board has noted that all nurses have passed the practical and written tests and had credible experience in their roles. The health board is looking to enforce new strategies to prevent incidents occurring in the future even when there is an increase in workload. </w:t>
            </w:r>
          </w:p>
          <w:p w14:paraId="514E3B4F" w14:textId="32BEEE32" w:rsidR="00882F39" w:rsidRPr="00882F39" w:rsidRDefault="00882F39" w:rsidP="00882F39"/>
        </w:tc>
      </w:tr>
      <w:tr w:rsidR="00766C02" w:rsidRPr="003A798E" w14:paraId="7720E703" w14:textId="77777777" w:rsidTr="00FA38A4">
        <w:trPr>
          <w:trHeight w:val="7629"/>
        </w:trPr>
        <w:tc>
          <w:tcPr>
            <w:tcW w:w="10773" w:type="dxa"/>
            <w:shd w:val="clear" w:color="auto" w:fill="EDF0F4" w:themeFill="accent3"/>
          </w:tcPr>
          <w:p w14:paraId="5B2807DB" w14:textId="5159F6F9" w:rsidR="00766C02" w:rsidRDefault="00766C02" w:rsidP="00766C02">
            <w:pPr>
              <w:pStyle w:val="Heading3"/>
            </w:pPr>
            <w:r>
              <w:lastRenderedPageBreak/>
              <w:t>T</w:t>
            </w:r>
            <w:r w:rsidR="00882F39">
              <w:t xml:space="preserve">he Working Memory Model (WMM) by Baddeley &amp; Hitch </w:t>
            </w:r>
            <w:r w:rsidR="00337C65">
              <w:t xml:space="preserve">(1974) </w:t>
            </w:r>
            <w:r w:rsidR="006E681A">
              <w:t xml:space="preserve"> </w:t>
            </w:r>
            <w:r w:rsidR="00882F39">
              <w:t xml:space="preserve"> </w:t>
            </w:r>
          </w:p>
          <w:p w14:paraId="2AB1F855" w14:textId="77777777" w:rsidR="004E2D7D" w:rsidRDefault="004E2D7D" w:rsidP="004E2D7D"/>
          <w:p w14:paraId="0890A14F" w14:textId="5B5F2DEB" w:rsidR="004E2D7D" w:rsidRPr="0007100B" w:rsidRDefault="004E2D7D" w:rsidP="004E2D7D">
            <w:r>
              <w:t xml:space="preserve">      The Working Memory Model (WMM) was created by Baddeley and Hitch in 1974. They highlighted that short-term memory is used when </w:t>
            </w:r>
            <w:r w:rsidR="001560D2">
              <w:t>conducting</w:t>
            </w:r>
            <w:r>
              <w:t xml:space="preserve"> complex tasks. But these tasks </w:t>
            </w:r>
            <w:r w:rsidR="00790254">
              <w:t>require</w:t>
            </w:r>
            <w:r>
              <w:t xml:space="preserve"> storing information from earlier steps whilst we continue to later steps. This insight was that short-term memory is pivotal to the performance success in everyday activities even when they are not related to remembering. This led Baddeley and Hitch (1974) to change the </w:t>
            </w:r>
            <w:r w:rsidR="009B3EC6">
              <w:t>concept</w:t>
            </w:r>
            <w:r>
              <w:t xml:space="preserve"> of short-term memory to working memory. This refers to a bigger system including processes that hold mental representations temporarily to </w:t>
            </w:r>
            <w:r w:rsidRPr="0007100B">
              <w:t xml:space="preserve">be used in thought and actions. However, this model has been developed multiple times since (Eysenck &amp; Keane, 2020). </w:t>
            </w:r>
          </w:p>
          <w:p w14:paraId="2F8911AB" w14:textId="77777777" w:rsidR="004E2D7D" w:rsidRPr="0007100B" w:rsidRDefault="004E2D7D" w:rsidP="004E2D7D"/>
          <w:p w14:paraId="387788EA" w14:textId="6EC9BD11" w:rsidR="004E2D7D" w:rsidRPr="0007100B" w:rsidRDefault="004E2D7D" w:rsidP="004E2D7D">
            <w:r w:rsidRPr="0007100B">
              <w:t xml:space="preserve">      The Working Memory Model (WMM) was divided into four components: central executive, phonological loop, visuo-spatial sketchpad and episodic buffer. </w:t>
            </w:r>
            <w:r w:rsidR="00C3323A" w:rsidRPr="0007100B">
              <w:t>Specifically</w:t>
            </w:r>
            <w:r w:rsidR="00C878F0" w:rsidRPr="0007100B">
              <w:t>, t</w:t>
            </w:r>
            <w:r w:rsidRPr="0007100B">
              <w:t xml:space="preserve">he central executive </w:t>
            </w:r>
            <w:proofErr w:type="gramStart"/>
            <w:r w:rsidRPr="0007100B">
              <w:t>is considered to be</w:t>
            </w:r>
            <w:proofErr w:type="gramEnd"/>
            <w:r w:rsidRPr="0007100B">
              <w:t xml:space="preserve"> the most important element</w:t>
            </w:r>
            <w:r w:rsidR="00C3323A" w:rsidRPr="0007100B">
              <w:t>,</w:t>
            </w:r>
            <w:r w:rsidRPr="0007100B">
              <w:t xml:space="preserve"> with the phonological loop and visuo-spatial sketchpad thought to be dependent on it (Baddeley, 2003). The</w:t>
            </w:r>
            <w:r>
              <w:t xml:space="preserve"> phonological loop is seen to be responsible for the maintenance and storage of information whilst the visuospatial sketchpad focuses on the maintenance and storage of visual and spatial information. There was a later edition of the episodic buffer, which is thought to </w:t>
            </w:r>
            <w:r w:rsidRPr="0007100B">
              <w:t>be a limited capacity store that is responsible for multi-dimensional coding and binds information to create integrated episodes (</w:t>
            </w:r>
            <w:proofErr w:type="spellStart"/>
            <w:r w:rsidRPr="0007100B">
              <w:t>Repovs</w:t>
            </w:r>
            <w:proofErr w:type="spellEnd"/>
            <w:r w:rsidRPr="0007100B">
              <w:t xml:space="preserve"> &amp; Baddeley, 2006). </w:t>
            </w:r>
          </w:p>
          <w:p w14:paraId="5CCC50E6" w14:textId="77777777" w:rsidR="004E2D7D" w:rsidRPr="0007100B" w:rsidRDefault="004E2D7D" w:rsidP="004E2D7D"/>
          <w:p w14:paraId="254863DE" w14:textId="6B7A4DAB" w:rsidR="004E2D7D" w:rsidRPr="0007100B" w:rsidRDefault="004E2D7D" w:rsidP="004E2D7D">
            <w:r w:rsidRPr="0007100B">
              <w:t xml:space="preserve">      The central executive is described as an attentional control system. It is considered the most essential and flexible </w:t>
            </w:r>
            <w:r w:rsidR="00C03517" w:rsidRPr="0007100B">
              <w:t>element</w:t>
            </w:r>
            <w:r w:rsidRPr="0007100B">
              <w:t xml:space="preserve"> of working memory. It has a vital role in complex cognitive tasks such as multitasking and problem solving; however, it does not store information itself. Baddeley has highlighted that the central executive </w:t>
            </w:r>
            <w:proofErr w:type="gramStart"/>
            <w:r w:rsidRPr="0007100B">
              <w:t xml:space="preserve">is </w:t>
            </w:r>
            <w:r w:rsidR="00202549" w:rsidRPr="0007100B">
              <w:t>connected</w:t>
            </w:r>
            <w:r w:rsidRPr="0007100B">
              <w:t xml:space="preserve"> with</w:t>
            </w:r>
            <w:proofErr w:type="gramEnd"/>
            <w:r w:rsidRPr="0007100B">
              <w:t xml:space="preserve"> multiple executive functions, including attention</w:t>
            </w:r>
            <w:r w:rsidR="00D637D2" w:rsidRPr="0007100B">
              <w:t xml:space="preserve">, </w:t>
            </w:r>
            <w:r w:rsidRPr="0007100B">
              <w:t>concentration</w:t>
            </w:r>
            <w:r w:rsidR="00D637D2" w:rsidRPr="0007100B">
              <w:t xml:space="preserve"> or focusing</w:t>
            </w:r>
            <w:r w:rsidRPr="0007100B">
              <w:t xml:space="preserve">; </w:t>
            </w:r>
            <w:r w:rsidR="00C24446" w:rsidRPr="0007100B">
              <w:t>splitting</w:t>
            </w:r>
            <w:r w:rsidRPr="0007100B">
              <w:t xml:space="preserve"> attention between two </w:t>
            </w:r>
            <w:r w:rsidR="00C24446" w:rsidRPr="0007100B">
              <w:t xml:space="preserve">different </w:t>
            </w:r>
            <w:proofErr w:type="gramStart"/>
            <w:r w:rsidRPr="0007100B">
              <w:t>stimulus</w:t>
            </w:r>
            <w:proofErr w:type="gramEnd"/>
            <w:r w:rsidRPr="0007100B">
              <w:t xml:space="preserve">; </w:t>
            </w:r>
            <w:r w:rsidR="00C24446" w:rsidRPr="0007100B">
              <w:t>changing</w:t>
            </w:r>
            <w:r w:rsidRPr="0007100B">
              <w:t xml:space="preserve"> attention between tasks and </w:t>
            </w:r>
            <w:r w:rsidR="001704F2" w:rsidRPr="0007100B">
              <w:t>connecting</w:t>
            </w:r>
            <w:r w:rsidRPr="0007100B">
              <w:t xml:space="preserve"> with long-term memory (Eysenck &amp; Keane, 2020).   </w:t>
            </w:r>
          </w:p>
          <w:p w14:paraId="0228CCAD" w14:textId="77777777" w:rsidR="00890177" w:rsidRPr="0007100B" w:rsidRDefault="00890177" w:rsidP="004E2D7D"/>
          <w:p w14:paraId="43B6412D" w14:textId="303ED320" w:rsidR="00890177" w:rsidRPr="0007100B" w:rsidRDefault="00337C65" w:rsidP="00890177">
            <w:r>
              <w:t xml:space="preserve">      </w:t>
            </w:r>
            <w:r w:rsidR="00890177" w:rsidRPr="0007100B">
              <w:t xml:space="preserve">The phonological loop </w:t>
            </w:r>
            <w:r w:rsidR="002B3CDC" w:rsidRPr="0007100B">
              <w:t>includes</w:t>
            </w:r>
            <w:r w:rsidR="00890177" w:rsidRPr="0007100B">
              <w:t xml:space="preserve"> two elements, a phonological store which temporarily contains sound memory traces in phonological or acoustic form that fade in a matter of seconds and an articulatory rehearsal process essentially silent inner verbal speech (Baddeley, 1983). The aim of the rehearsal element is to take in and re-articulate the material held in the phonological store. This refreshes and maintains the memory trace. Spoken information comes into the phonological store automatically whereas material from other sensory inputs can only be represented after it has been converted into a phonological code, a transformation completed by the articulatory rehearsal process. As articulation happens naturally in real time, the capacity of the phonological store is limited by how many items can be rehearsed before their traces fade away (</w:t>
            </w:r>
            <w:proofErr w:type="spellStart"/>
            <w:r w:rsidR="00890177" w:rsidRPr="0007100B">
              <w:t>Repovs</w:t>
            </w:r>
            <w:proofErr w:type="spellEnd"/>
            <w:r w:rsidR="00890177" w:rsidRPr="0007100B">
              <w:t xml:space="preserve"> &amp; Baddeley, 2006). However, alternative explanations regarding the length of the word effecting recall struggle to account for the disappearance under articulatory suppression (Baddeley, 2000). </w:t>
            </w:r>
          </w:p>
          <w:p w14:paraId="41EF39C2" w14:textId="77777777" w:rsidR="00890177" w:rsidRPr="0007100B" w:rsidRDefault="00890177" w:rsidP="00890177"/>
          <w:p w14:paraId="11879C39" w14:textId="77777777" w:rsidR="00890177" w:rsidRPr="0007100B" w:rsidRDefault="00890177" w:rsidP="00890177"/>
          <w:p w14:paraId="1A80FAE5" w14:textId="2C7A30F6" w:rsidR="00890177" w:rsidRPr="0007100B" w:rsidRDefault="00890177" w:rsidP="00890177">
            <w:r w:rsidRPr="0007100B">
              <w:t xml:space="preserve">      Visuo-spatial sketchpad is responsible for the short-term manipulation and short-term storage of spatial movement and visual patterns. Visual processing involves retaining information about what objects look like whereas spatial processing focuses on where they are located (Eysenck &amp; Keane, 2020).</w:t>
            </w:r>
            <w:r>
              <w:t xml:space="preserve"> However, research with blind individuals showed that spatial processing did not depend on visual experience</w:t>
            </w:r>
            <w:r w:rsidRPr="0007100B">
              <w:t xml:space="preserve">. Schmidt et al. (2013) </w:t>
            </w:r>
            <w:r w:rsidR="001B1CC7" w:rsidRPr="0007100B">
              <w:t>found</w:t>
            </w:r>
            <w:r w:rsidRPr="0007100B">
              <w:t xml:space="preserve"> that blind participants could form spatial representations </w:t>
            </w:r>
            <w:r w:rsidR="001B1CC7" w:rsidRPr="0007100B">
              <w:t>nearly</w:t>
            </w:r>
            <w:r w:rsidRPr="0007100B">
              <w:t xml:space="preserve"> as accurately as sighted individuals. Thus, questioning whether visual and spatial information rely upon a single system or on separate subsystems. </w:t>
            </w:r>
            <w:proofErr w:type="spellStart"/>
            <w:r w:rsidRPr="0007100B">
              <w:t>Logie</w:t>
            </w:r>
            <w:proofErr w:type="spellEnd"/>
            <w:r w:rsidRPr="0007100B">
              <w:t xml:space="preserve"> (1995) suggested two </w:t>
            </w:r>
            <w:r w:rsidR="00562BE4" w:rsidRPr="0007100B">
              <w:t>elements</w:t>
            </w:r>
            <w:r w:rsidRPr="0007100B">
              <w:t xml:space="preserve">, the visual cache, which stores information regarding </w:t>
            </w:r>
            <w:proofErr w:type="spellStart"/>
            <w:r w:rsidRPr="0007100B">
              <w:t>colour</w:t>
            </w:r>
            <w:proofErr w:type="spellEnd"/>
            <w:r w:rsidRPr="0007100B">
              <w:t xml:space="preserve"> and form and the inner scribe </w:t>
            </w:r>
            <w:r w:rsidRPr="0007100B">
              <w:lastRenderedPageBreak/>
              <w:t xml:space="preserve">which focuses on movement and spatial information, which rehearses material held in the visual cache and transfers information to the central executive (Eysenck &amp; Keane, 2020). </w:t>
            </w:r>
          </w:p>
          <w:p w14:paraId="36C52201" w14:textId="77777777" w:rsidR="00890177" w:rsidRPr="0007100B" w:rsidRDefault="00890177" w:rsidP="004E2D7D"/>
          <w:p w14:paraId="1A797148" w14:textId="3FFB8F47" w:rsidR="00976457" w:rsidRDefault="00976457" w:rsidP="004E2D7D">
            <w:r w:rsidRPr="0007100B">
              <w:t xml:space="preserve">      Episodic buffer is understood to be a temporary, limited capacity system that integrates information from multiple sources. Working under the control of the central executive, which can bring its contents into conscious awareness to be used when required. The buffer is seen to be episodic due to its binding information across space and time, resembling episodic memory. The buffer acts as a collaborator between systems that use different representation codes, relying on a shared multidimensional approach. The central executive can access and shape the buffer’s contents by directing attention to perceptual input, other working memory components or long-term memory. The buffer represents the environment and enables the construction of new cognitive representations that support problem solving (Baddeley, 2000).</w:t>
            </w:r>
            <w:r>
              <w:t xml:space="preserve">  </w:t>
            </w:r>
          </w:p>
          <w:p w14:paraId="44D76B36" w14:textId="090F4A3D" w:rsidR="004E2D7D" w:rsidRPr="004E2D7D" w:rsidRDefault="004E2D7D" w:rsidP="004E2D7D"/>
        </w:tc>
      </w:tr>
    </w:tbl>
    <w:p w14:paraId="444B5C1F" w14:textId="77777777" w:rsidR="00FB65B8" w:rsidRPr="003A798E" w:rsidRDefault="00FB65B8" w:rsidP="00A24793"/>
    <w:p w14:paraId="1A19D8D2" w14:textId="174C0BC7" w:rsidR="00A24793" w:rsidRPr="003A798E" w:rsidRDefault="00A24793" w:rsidP="00A24793"/>
    <w:tbl>
      <w:tblPr>
        <w:tblW w:w="12616" w:type="dxa"/>
        <w:tblInd w:w="-1701" w:type="dxa"/>
        <w:shd w:val="clear" w:color="auto" w:fill="ECFBFB" w:themeFill="accent4"/>
        <w:tblLayout w:type="fixed"/>
        <w:tblLook w:val="0600" w:firstRow="0" w:lastRow="0" w:firstColumn="0" w:lastColumn="0" w:noHBand="1" w:noVBand="1"/>
      </w:tblPr>
      <w:tblGrid>
        <w:gridCol w:w="1701"/>
        <w:gridCol w:w="3828"/>
        <w:gridCol w:w="6945"/>
        <w:gridCol w:w="142"/>
      </w:tblGrid>
      <w:tr w:rsidR="00FA38A4" w:rsidRPr="003A798E" w14:paraId="627C58CB" w14:textId="77777777" w:rsidTr="00FA38A4">
        <w:trPr>
          <w:trHeight w:val="547"/>
        </w:trPr>
        <w:tc>
          <w:tcPr>
            <w:tcW w:w="1701" w:type="dxa"/>
            <w:shd w:val="clear" w:color="auto" w:fill="ECFBFB" w:themeFill="accent4"/>
          </w:tcPr>
          <w:p w14:paraId="6C9FB5AC" w14:textId="77777777" w:rsidR="00FA38A4" w:rsidRPr="003A798E" w:rsidRDefault="00FA38A4" w:rsidP="00A24793"/>
        </w:tc>
        <w:tc>
          <w:tcPr>
            <w:tcW w:w="3828" w:type="dxa"/>
            <w:shd w:val="clear" w:color="auto" w:fill="ECFBFB" w:themeFill="accent4"/>
          </w:tcPr>
          <w:p w14:paraId="460968F7" w14:textId="77777777" w:rsidR="00FA38A4" w:rsidRPr="003A798E" w:rsidRDefault="00FA38A4" w:rsidP="00A24793"/>
        </w:tc>
        <w:tc>
          <w:tcPr>
            <w:tcW w:w="7087" w:type="dxa"/>
            <w:gridSpan w:val="2"/>
            <w:shd w:val="clear" w:color="auto" w:fill="ECFBFB" w:themeFill="accent4"/>
          </w:tcPr>
          <w:p w14:paraId="720CB1B5" w14:textId="77777777" w:rsidR="00FA38A4" w:rsidRPr="003A798E" w:rsidRDefault="00FA38A4" w:rsidP="00A24793"/>
        </w:tc>
      </w:tr>
      <w:tr w:rsidR="00FA38A4" w:rsidRPr="003A798E" w14:paraId="495652A6" w14:textId="77777777" w:rsidTr="00FA38A4">
        <w:trPr>
          <w:trHeight w:val="9513"/>
        </w:trPr>
        <w:tc>
          <w:tcPr>
            <w:tcW w:w="1701" w:type="dxa"/>
            <w:shd w:val="clear" w:color="auto" w:fill="ECFBFB" w:themeFill="accent4"/>
          </w:tcPr>
          <w:p w14:paraId="57674860" w14:textId="77777777" w:rsidR="00FA38A4" w:rsidRPr="003A798E" w:rsidRDefault="00FA38A4"/>
        </w:tc>
        <w:tc>
          <w:tcPr>
            <w:tcW w:w="3828" w:type="dxa"/>
            <w:tcBorders>
              <w:bottom w:val="single" w:sz="18" w:space="0" w:color="00C1C7" w:themeColor="accent2"/>
            </w:tcBorders>
            <w:shd w:val="clear" w:color="auto" w:fill="ECFBFB" w:themeFill="accent4"/>
          </w:tcPr>
          <w:p w14:paraId="3050628B" w14:textId="08FFD756" w:rsidR="00FA38A4" w:rsidRPr="00F00899" w:rsidRDefault="00FA38A4" w:rsidP="00FC49AE">
            <w:pPr>
              <w:pStyle w:val="Heading5"/>
              <w:rPr>
                <w:sz w:val="36"/>
                <w:szCs w:val="10"/>
              </w:rPr>
            </w:pPr>
            <w:r w:rsidRPr="00F00899">
              <w:rPr>
                <w:sz w:val="36"/>
                <w:szCs w:val="10"/>
              </w:rPr>
              <w:t xml:space="preserve">HOW DOES THE THEORY RELATE TO THE </w:t>
            </w:r>
            <w:r w:rsidR="00605AF1">
              <w:rPr>
                <w:sz w:val="36"/>
                <w:szCs w:val="10"/>
              </w:rPr>
              <w:t>CASE STUDY</w:t>
            </w:r>
          </w:p>
        </w:tc>
        <w:tc>
          <w:tcPr>
            <w:tcW w:w="7087" w:type="dxa"/>
            <w:gridSpan w:val="2"/>
            <w:tcBorders>
              <w:bottom w:val="single" w:sz="18" w:space="0" w:color="00C1C7" w:themeColor="accent2"/>
            </w:tcBorders>
            <w:shd w:val="clear" w:color="auto" w:fill="ECFBFB" w:themeFill="accent4"/>
          </w:tcPr>
          <w:p w14:paraId="4C87B5C6" w14:textId="77777777" w:rsidR="0067687B" w:rsidRDefault="0067687B" w:rsidP="00766C02">
            <w:pPr>
              <w:rPr>
                <w:highlight w:val="yellow"/>
              </w:rPr>
            </w:pPr>
          </w:p>
          <w:p w14:paraId="7B602EE8" w14:textId="77777777" w:rsidR="00957DE7" w:rsidRPr="00C3671A" w:rsidRDefault="00957DE7" w:rsidP="00957DE7">
            <w:r>
              <w:t xml:space="preserve">      The central executive may become overwhelmed when district </w:t>
            </w:r>
            <w:r w:rsidRPr="00C3671A">
              <w:t xml:space="preserve">nurses are working under time pressure to treat extra patients due to an increased workload which can lead to ‘missed’ care such as hygiene upkeep (Ball et al., 2014). The nature of the job involves unexpected patient needs; documentation demands and has a high emotional demand. District nurses are likely to witness distress, safeguarding issues, and difficult family dynamics in their day-to-day job. When the central executive becomes overwhelmed it is more likely to </w:t>
            </w:r>
            <w:proofErr w:type="spellStart"/>
            <w:r w:rsidRPr="00C3671A">
              <w:t>prioritise</w:t>
            </w:r>
            <w:proofErr w:type="spellEnd"/>
            <w:r w:rsidRPr="00C3671A">
              <w:t xml:space="preserve"> important clinical tasks such as medication administration or wound care over routine but essential tasks like handwashing which becomes a secondary task when the cognitive load is increased (Neill, 2011).  </w:t>
            </w:r>
          </w:p>
          <w:p w14:paraId="33F461FC" w14:textId="77777777" w:rsidR="00957DE7" w:rsidRPr="00C3671A" w:rsidRDefault="00957DE7" w:rsidP="00957DE7"/>
          <w:p w14:paraId="415FC302" w14:textId="77777777" w:rsidR="00957DE7" w:rsidRDefault="00957DE7" w:rsidP="00957DE7">
            <w:r w:rsidRPr="00C3671A">
              <w:t xml:space="preserve">      District nurses are required to work in unpredictable environments. This could further explain the lack of handwashing due to no nearby sinks, poor lighting</w:t>
            </w:r>
            <w:proofErr w:type="gramStart"/>
            <w:r w:rsidRPr="00C3671A">
              <w:t>, cluttered</w:t>
            </w:r>
            <w:proofErr w:type="gramEnd"/>
            <w:r w:rsidRPr="00C3671A">
              <w:t xml:space="preserve"> and unsafe spaces. There may be pets or family members, or other distractions present that could </w:t>
            </w:r>
            <w:proofErr w:type="gramStart"/>
            <w:r w:rsidRPr="00C3671A">
              <w:t>distract</w:t>
            </w:r>
            <w:proofErr w:type="gramEnd"/>
            <w:r w:rsidRPr="00C3671A">
              <w:t xml:space="preserve"> from routine handwashing. The visuospatial sketchpad is responsible for constantly processing new room layouts and dangers. This contributes to the working memory leaving less capacity for remembering routine steps such as handwashing (</w:t>
            </w:r>
            <w:proofErr w:type="spellStart"/>
            <w:r w:rsidRPr="00C3671A">
              <w:t>Ezezika</w:t>
            </w:r>
            <w:proofErr w:type="spellEnd"/>
            <w:r w:rsidRPr="00C3671A">
              <w:t xml:space="preserve"> et al., 2023).</w:t>
            </w:r>
            <w:r>
              <w:t xml:space="preserve"> </w:t>
            </w:r>
          </w:p>
          <w:p w14:paraId="11C901FD" w14:textId="77777777" w:rsidR="00957DE7" w:rsidRDefault="00957DE7" w:rsidP="00957DE7"/>
          <w:p w14:paraId="675E0DB7" w14:textId="77777777" w:rsidR="00957DE7" w:rsidRPr="00C3671A" w:rsidRDefault="00957DE7" w:rsidP="00957DE7">
            <w:r>
              <w:t xml:space="preserve">      When district nurses enter a new home, they will be communicating with whoever is inside. The phonological loop oversees coping with patient conversations, questions from family members, remembering clinical procedures, rehearsing tasks, and responding to emotions. It is important for district nurses to be </w:t>
            </w:r>
            <w:r w:rsidRPr="00C3671A">
              <w:t>social to build positive relationships with patients and their families (McBride et al., 2024). When an individual’s working memory is extremely busy trying to remember and process these things, it is possible that steps like handwashing which require internal verbal cues may start to slip. However, in contrast to this, Maten-</w:t>
            </w:r>
            <w:proofErr w:type="spellStart"/>
            <w:r w:rsidRPr="00C3671A">
              <w:t>Speksnijder</w:t>
            </w:r>
            <w:proofErr w:type="spellEnd"/>
            <w:r w:rsidRPr="00C3671A">
              <w:t xml:space="preserve"> et al. (2016) reported that nurses showed little attention to the psychological, </w:t>
            </w:r>
            <w:proofErr w:type="spellStart"/>
            <w:r w:rsidRPr="00C3671A">
              <w:t>behavioural</w:t>
            </w:r>
            <w:proofErr w:type="spellEnd"/>
            <w:r w:rsidRPr="00C3671A">
              <w:t xml:space="preserve"> and social aspects of patients who were unwell. This could be due to high stress and workload impacting capacity. </w:t>
            </w:r>
          </w:p>
          <w:p w14:paraId="1E411846" w14:textId="77777777" w:rsidR="00957DE7" w:rsidRPr="00C3671A" w:rsidRDefault="00957DE7" w:rsidP="00957DE7"/>
          <w:p w14:paraId="7E1DEE22" w14:textId="318024F3" w:rsidR="0067687B" w:rsidRDefault="00C3671A" w:rsidP="0067687B">
            <w:r>
              <w:t xml:space="preserve">      </w:t>
            </w:r>
            <w:r w:rsidR="0067687B" w:rsidRPr="00C3671A">
              <w:t>The episodic buffer element of working memory brings information together to form step sequences. However, for district nurses this is likely to be disrupted often due to patients asking for help, malfunctioning equipment, spontaneous phone calls and potential safeguarding concerns. These interruptions break the ‘episode’ of care being given, and this makes it difficult for the rest of the steps in the sequence to go to plan such as handwashing (Laustsen &amp; Brahe, 2018).</w:t>
            </w:r>
            <w:r w:rsidR="0067687B">
              <w:t xml:space="preserve"> </w:t>
            </w:r>
          </w:p>
          <w:p w14:paraId="5D45797F" w14:textId="77777777" w:rsidR="0067687B" w:rsidRDefault="0067687B" w:rsidP="0067687B">
            <w:pPr>
              <w:jc w:val="both"/>
            </w:pPr>
          </w:p>
          <w:p w14:paraId="4D52F3BF" w14:textId="77777777" w:rsidR="0067687B" w:rsidRPr="00C3671A" w:rsidRDefault="0067687B" w:rsidP="0067687B">
            <w:pPr>
              <w:jc w:val="both"/>
              <w:rPr>
                <w:lang w:val="en-GB"/>
              </w:rPr>
            </w:pPr>
            <w:r>
              <w:lastRenderedPageBreak/>
              <w:t xml:space="preserve">      </w:t>
            </w:r>
            <w:r w:rsidRPr="00C3671A">
              <w:t xml:space="preserve">Baddeley et al. (1996) believed that an individual’s capacity to complete dual tasks (multi-task) is an executive process controlled by the frontal lobe. This is in relation to the central executive part of working memory. This was supported by findings which showed that individuals with frontal lobe damage showed dual-task deficits as well as </w:t>
            </w:r>
            <w:proofErr w:type="spellStart"/>
            <w:r w:rsidRPr="00C3671A">
              <w:t>behavioural</w:t>
            </w:r>
            <w:proofErr w:type="spellEnd"/>
            <w:r w:rsidRPr="00C3671A">
              <w:t xml:space="preserve"> issues. </w:t>
            </w:r>
          </w:p>
          <w:p w14:paraId="025DD4D6" w14:textId="77777777" w:rsidR="0067687B" w:rsidRPr="00C3671A" w:rsidRDefault="0067687B" w:rsidP="0067687B">
            <w:pPr>
              <w:jc w:val="both"/>
              <w:rPr>
                <w:lang w:val="en-GB"/>
              </w:rPr>
            </w:pPr>
          </w:p>
          <w:p w14:paraId="64BABF2D" w14:textId="77777777" w:rsidR="0067687B" w:rsidRDefault="0067687B" w:rsidP="0067687B">
            <w:pPr>
              <w:jc w:val="both"/>
              <w:rPr>
                <w:lang w:val="en-GB"/>
              </w:rPr>
            </w:pPr>
            <w:r w:rsidRPr="00C3671A">
              <w:rPr>
                <w:lang w:val="en-GB"/>
              </w:rPr>
              <w:t xml:space="preserve">      Maybin et al. (2016)</w:t>
            </w:r>
            <w:r>
              <w:rPr>
                <w:lang w:val="en-GB"/>
              </w:rPr>
              <w:t xml:space="preserve"> has highlighted the key barriers preventing district nurses from delivering ‘good care’ as; challenging work environments (unclean), unpredictable travel times, unpredictable appointment lengths, poor planning and communication. They have further acknowledged that there has been an increase in the amount of people requiring district nurses due to an ageing population. </w:t>
            </w:r>
          </w:p>
          <w:p w14:paraId="598C0222" w14:textId="77B9AC55" w:rsidR="00FA38A4" w:rsidRPr="003A798E" w:rsidRDefault="00FA38A4" w:rsidP="00A24793">
            <w:pPr>
              <w:pStyle w:val="Text"/>
            </w:pPr>
          </w:p>
        </w:tc>
      </w:tr>
      <w:tr w:rsidR="00FA38A4" w:rsidRPr="003A798E" w14:paraId="35DA261D" w14:textId="77777777" w:rsidTr="00FA38A4">
        <w:trPr>
          <w:trHeight w:val="3459"/>
        </w:trPr>
        <w:tc>
          <w:tcPr>
            <w:tcW w:w="1701" w:type="dxa"/>
            <w:shd w:val="clear" w:color="auto" w:fill="ECFBFB" w:themeFill="accent4"/>
          </w:tcPr>
          <w:p w14:paraId="0FAD7B75" w14:textId="77777777" w:rsidR="00FA38A4" w:rsidRPr="003A798E" w:rsidRDefault="00FA38A4"/>
        </w:tc>
        <w:tc>
          <w:tcPr>
            <w:tcW w:w="10915" w:type="dxa"/>
            <w:gridSpan w:val="3"/>
            <w:tcBorders>
              <w:top w:val="single" w:sz="18" w:space="0" w:color="00C1C7" w:themeColor="accent2"/>
              <w:bottom w:val="single" w:sz="18" w:space="0" w:color="00C1C7" w:themeColor="accent2"/>
            </w:tcBorders>
            <w:shd w:val="clear" w:color="auto" w:fill="ECFBFB" w:themeFill="accent4"/>
            <w:vAlign w:val="center"/>
          </w:tcPr>
          <w:p w14:paraId="0D65E01E" w14:textId="36936235" w:rsidR="00FA38A4" w:rsidRPr="003A798E" w:rsidRDefault="00FA38A4" w:rsidP="00A24793">
            <w:pPr>
              <w:pStyle w:val="Heading3"/>
              <w:rPr>
                <w:rStyle w:val="Emphasis"/>
              </w:rPr>
            </w:pPr>
          </w:p>
          <w:p w14:paraId="1853A39C" w14:textId="77777777" w:rsidR="00FA38A4" w:rsidRPr="003A798E" w:rsidRDefault="00FA38A4" w:rsidP="00A24793">
            <w:pPr>
              <w:pStyle w:val="Text"/>
            </w:pPr>
          </w:p>
          <w:p w14:paraId="5BB860CD" w14:textId="6B2427FD" w:rsidR="00FA38A4" w:rsidRPr="003A798E" w:rsidRDefault="00FA38A4" w:rsidP="00A24793">
            <w:pPr>
              <w:pStyle w:val="Text"/>
            </w:pPr>
          </w:p>
        </w:tc>
      </w:tr>
      <w:tr w:rsidR="00FA38A4" w:rsidRPr="003A798E" w14:paraId="13661A8A" w14:textId="77777777" w:rsidTr="00FA38A4">
        <w:tblPrEx>
          <w:shd w:val="clear" w:color="auto" w:fill="EDF0F4" w:themeFill="accent3"/>
          <w:tblCellMar>
            <w:left w:w="0" w:type="dxa"/>
            <w:right w:w="0" w:type="dxa"/>
          </w:tblCellMar>
        </w:tblPrEx>
        <w:trPr>
          <w:gridBefore w:val="1"/>
          <w:gridAfter w:val="1"/>
          <w:wBefore w:w="1701" w:type="dxa"/>
          <w:wAfter w:w="142" w:type="dxa"/>
          <w:trHeight w:val="4599"/>
        </w:trPr>
        <w:tc>
          <w:tcPr>
            <w:tcW w:w="10773" w:type="dxa"/>
            <w:gridSpan w:val="2"/>
            <w:shd w:val="clear" w:color="auto" w:fill="EDF0F4" w:themeFill="accent3"/>
          </w:tcPr>
          <w:p w14:paraId="29E70D47" w14:textId="6E2D2138" w:rsidR="00FA38A4" w:rsidRDefault="00FA38A4" w:rsidP="00C3671A">
            <w:pPr>
              <w:pStyle w:val="Heading3"/>
            </w:pPr>
            <w:r>
              <w:lastRenderedPageBreak/>
              <w:t xml:space="preserve">SUGGESTIONS FOR NEW PROCEDURES BASED ON THE THEORY </w:t>
            </w:r>
          </w:p>
          <w:p w14:paraId="0C862DB0" w14:textId="77777777" w:rsidR="00FA38A4" w:rsidRDefault="00FA38A4">
            <w:pPr>
              <w:pStyle w:val="Heading4"/>
            </w:pPr>
          </w:p>
          <w:p w14:paraId="12937A5A" w14:textId="7ACB8F70" w:rsidR="00DC3C71" w:rsidRPr="00C3671A" w:rsidRDefault="00B96E09" w:rsidP="00DC3C71">
            <w:r>
              <w:t xml:space="preserve">      </w:t>
            </w:r>
            <w:r w:rsidR="00DC3C71">
              <w:t xml:space="preserve">The internal episodic buffer is responsible for creating mental steps to follow in a sequence. However, the reliance on this could be reduced by using physical or digital prompts such as laminated pocket-cards or phone-based checklists, which include handwashing a key step. These alternative ways of prompting district nurses to remember to wash their hands would act as an external episodic </w:t>
            </w:r>
            <w:r w:rsidR="00DC3C71" w:rsidRPr="00C3671A">
              <w:t xml:space="preserve">buffer. Seferi et al. (2023) has shown this to be successful by implementing real-time reminders to act as external cues that encourage hospital staff to wash their hands. Their findings showed these reminders improved hand washing adherence and reduced cross-contamination. </w:t>
            </w:r>
          </w:p>
          <w:p w14:paraId="3EC99820" w14:textId="77777777" w:rsidR="00DC3C71" w:rsidRPr="00C3671A" w:rsidRDefault="00DC3C71" w:rsidP="00DC3C71"/>
          <w:p w14:paraId="56DDDDC3" w14:textId="32ACE207" w:rsidR="00DC3C71" w:rsidRPr="00C3671A" w:rsidRDefault="00DC3C71" w:rsidP="00DC3C71">
            <w:r w:rsidRPr="00C3671A">
              <w:t xml:space="preserve">      In attempt to reduce the pressure on individuals’ phonological loops being interrupted by talking, questions and emotions immediately upon entry to a new home, district nurses could be provided with a standardized script which includes a greeting and explanation of what is going to happen. This would reduce the need for internal rehearsal. For example, Haig et al. (2006) highlighted the success of using SBAR (Situation, Background, Assessment and Recommendation) as a standardized communication tool. Findings showed improved patient safety due to clear and accurate communication</w:t>
            </w:r>
            <w:r w:rsidR="2D443BB3" w:rsidRPr="00C3671A">
              <w:t xml:space="preserve"> based on the use of a script that could support the district nurses in their varied work settings</w:t>
            </w:r>
            <w:r w:rsidRPr="00C3671A">
              <w:t xml:space="preserve">. </w:t>
            </w:r>
          </w:p>
          <w:p w14:paraId="18916F63" w14:textId="77777777" w:rsidR="00DC3C71" w:rsidRPr="00C3671A" w:rsidRDefault="00DC3C71" w:rsidP="00DC3C71"/>
          <w:p w14:paraId="1E6AF1DF" w14:textId="66F99EA6" w:rsidR="00DC3C71" w:rsidRPr="00C3671A" w:rsidRDefault="00DC3C71" w:rsidP="00DC3C71">
            <w:r w:rsidRPr="00C3671A">
              <w:t xml:space="preserve">      Visuospatial sketchpads are responsible for processing new homes and rooms constantly adding to district nurses’ cognitive load. However, if district nurses made a conscious decision to place alcohol gel in the same place in every home they visit, for example, on a table this would create a visual anchor to ease the need to remember to wash their hands. Risko and Gilbert (2016) refer to this as cognitive offloading</w:t>
            </w:r>
            <w:r w:rsidR="180B56E7" w:rsidRPr="00C3671A">
              <w:t>, which is where</w:t>
            </w:r>
            <w:r w:rsidRPr="00C3671A">
              <w:t xml:space="preserve"> physical action </w:t>
            </w:r>
            <w:r w:rsidR="0365B59E" w:rsidRPr="00C3671A">
              <w:t>is used</w:t>
            </w:r>
            <w:r w:rsidRPr="00C3671A">
              <w:t xml:space="preserve"> to change </w:t>
            </w:r>
            <w:r w:rsidR="353CF547" w:rsidRPr="00C3671A">
              <w:t>the</w:t>
            </w:r>
            <w:r w:rsidRPr="00C3671A">
              <w:t xml:space="preserve"> information processing requirements of a task</w:t>
            </w:r>
            <w:r w:rsidR="60659ED7" w:rsidRPr="00C3671A">
              <w:t xml:space="preserve">. This then </w:t>
            </w:r>
            <w:r w:rsidRPr="00C3671A">
              <w:t>reduces cognitive demand, making it more likely for individuals</w:t>
            </w:r>
            <w:r w:rsidR="53205763" w:rsidRPr="00C3671A">
              <w:t>, in this case district nurses,</w:t>
            </w:r>
            <w:r w:rsidRPr="00C3671A">
              <w:t xml:space="preserve"> to remember important steps. </w:t>
            </w:r>
          </w:p>
          <w:p w14:paraId="07CDC7BD" w14:textId="77777777" w:rsidR="00DC3C71" w:rsidRPr="00C3671A" w:rsidRDefault="00DC3C71" w:rsidP="00DC3C71"/>
          <w:p w14:paraId="7C745B53" w14:textId="15ECE3D9" w:rsidR="00DC3C71" w:rsidRDefault="00DC3C71" w:rsidP="00DC3C71">
            <w:r w:rsidRPr="00C3671A">
              <w:t xml:space="preserve">      District nurses could implement a pause-reset-resume protocol where every time they are interrupted before they continue again, they must pause then remember the last step they completed and then resume where they were with hand hygiene first. Rivera-Rodriguez and Karsh’s (2010) review further showed that interruptions disrupt working </w:t>
            </w:r>
            <w:proofErr w:type="gramStart"/>
            <w:r w:rsidRPr="00C3671A">
              <w:t>memory</w:t>
            </w:r>
            <w:proofErr w:type="gramEnd"/>
            <w:r w:rsidRPr="00C3671A">
              <w:t xml:space="preserve"> and this increases the risk of</w:t>
            </w:r>
            <w:r>
              <w:t xml:space="preserve"> errors. Further supporting that </w:t>
            </w:r>
            <w:r w:rsidR="4E326F7F">
              <w:t xml:space="preserve">district </w:t>
            </w:r>
            <w:r>
              <w:t xml:space="preserve">nurses should reconstruct their last completed step before resuming to ensure safety. </w:t>
            </w:r>
          </w:p>
          <w:p w14:paraId="16E06BCD" w14:textId="77777777" w:rsidR="00DC3C71" w:rsidRDefault="00DC3C71" w:rsidP="00DC3C71"/>
          <w:p w14:paraId="3A9459A3" w14:textId="2018F5C3" w:rsidR="00DC3C71" w:rsidRDefault="00DC3C71" w:rsidP="00DC3C71">
            <w:r>
              <w:t xml:space="preserve">      With technology improving, a digital mandatory hand hygiene tick box could be used to prompt remembering. This could be used on arrival, before procedures and after and upon leaving. Further relieving the episodic buffer and all-round working memory</w:t>
            </w:r>
            <w:r w:rsidR="2C4DAC6C">
              <w:t xml:space="preserve"> of the district nurses</w:t>
            </w:r>
            <w:r>
              <w:t xml:space="preserve">. </w:t>
            </w:r>
          </w:p>
          <w:p w14:paraId="303C466A" w14:textId="77777777" w:rsidR="00DC3C71" w:rsidRPr="00DC3C71" w:rsidRDefault="00DC3C71" w:rsidP="00DC3C71"/>
        </w:tc>
      </w:tr>
      <w:tr w:rsidR="00FA38A4" w:rsidRPr="003A798E" w14:paraId="0B43E723" w14:textId="77777777" w:rsidTr="00FA38A4">
        <w:tblPrEx>
          <w:shd w:val="clear" w:color="auto" w:fill="EDF0F4" w:themeFill="accent3"/>
          <w:tblCellMar>
            <w:left w:w="0" w:type="dxa"/>
            <w:right w:w="0" w:type="dxa"/>
          </w:tblCellMar>
        </w:tblPrEx>
        <w:trPr>
          <w:gridBefore w:val="1"/>
          <w:gridAfter w:val="1"/>
          <w:wBefore w:w="1701" w:type="dxa"/>
          <w:wAfter w:w="142" w:type="dxa"/>
          <w:trHeight w:val="8879"/>
        </w:trPr>
        <w:tc>
          <w:tcPr>
            <w:tcW w:w="10773" w:type="dxa"/>
            <w:gridSpan w:val="2"/>
            <w:shd w:val="clear" w:color="auto" w:fill="EDF0F4" w:themeFill="accent3"/>
          </w:tcPr>
          <w:p w14:paraId="02959F81" w14:textId="1ECA5172" w:rsidR="00AE7749" w:rsidRDefault="0098239A" w:rsidP="00337C65">
            <w:pPr>
              <w:pStyle w:val="Heading3"/>
            </w:pPr>
            <w:r>
              <w:lastRenderedPageBreak/>
              <w:t>EVALUATION AND CRITIQUE OF</w:t>
            </w:r>
            <w:r w:rsidR="00FA38A4">
              <w:t xml:space="preserve"> THEORY</w:t>
            </w:r>
          </w:p>
          <w:p w14:paraId="7F09C506" w14:textId="77777777" w:rsidR="00AE7749" w:rsidRDefault="00AE7749" w:rsidP="00AE7749">
            <w:pPr>
              <w:rPr>
                <w:color w:val="00C1C7" w:themeColor="accent2"/>
              </w:rPr>
            </w:pPr>
          </w:p>
          <w:p w14:paraId="25D8B209" w14:textId="4BDE972C" w:rsidR="00AE7749" w:rsidRPr="00510D20" w:rsidRDefault="00AE7749" w:rsidP="00AE7749">
            <w:r>
              <w:t xml:space="preserve">      Research by </w:t>
            </w:r>
            <w:r w:rsidRPr="00C3671A">
              <w:t>Baddeley et al. (1998)</w:t>
            </w:r>
            <w:r>
              <w:t xml:space="preserve"> demonstrated how the phonological loop plays a role in the development of reading and how difficulties within this system are evident in some children with dyslexia. This further contributes to understanding how </w:t>
            </w:r>
            <w:r w:rsidR="7776C027">
              <w:t xml:space="preserve">dyslexic </w:t>
            </w:r>
            <w:r>
              <w:t>individual</w:t>
            </w:r>
            <w:r w:rsidR="736AEC93">
              <w:t>s’</w:t>
            </w:r>
            <w:r>
              <w:t xml:space="preserve"> working memory may differ. There is no information in the case study provided about whether any of the district nurses are neurodiverse. However, if they were this could have contributed to their misremembering of handwashing</w:t>
            </w:r>
            <w:r w:rsidR="497873D8">
              <w:t xml:space="preserve"> as there are many links between neurodiversity and working memory</w:t>
            </w:r>
            <w:r w:rsidR="009E51F8">
              <w:t xml:space="preserve"> (Swanson &amp; Siegel, 2001). </w:t>
            </w:r>
          </w:p>
          <w:p w14:paraId="70996EA3" w14:textId="77777777" w:rsidR="00AE7749" w:rsidRDefault="00AE7749" w:rsidP="00AE7749">
            <w:pPr>
              <w:rPr>
                <w:color w:val="00C1C7" w:themeColor="accent2"/>
              </w:rPr>
            </w:pPr>
          </w:p>
          <w:p w14:paraId="49365B1A" w14:textId="50101746" w:rsidR="00AE7749" w:rsidRDefault="00AE7749" w:rsidP="00AE7749">
            <w:r>
              <w:t xml:space="preserve">      </w:t>
            </w:r>
            <w:r w:rsidR="3ACB6482">
              <w:t>S</w:t>
            </w:r>
            <w:r>
              <w:t xml:space="preserve">pecific areas of the WMM such as the phonological loop and visuo-spatial sketchpad have been </w:t>
            </w:r>
            <w:proofErr w:type="spellStart"/>
            <w:r>
              <w:t>criticised</w:t>
            </w:r>
            <w:proofErr w:type="spellEnd"/>
            <w:r>
              <w:t xml:space="preserve"> for the lack of certainty surrounding them. The phonological loop, which is the most studied part of working memory, only represents a small and limited area of working memory. It has been shown to be useful for rapid, low-attention and sequential storage but can easily be disrupted.</w:t>
            </w:r>
            <w:r w:rsidR="008819F1">
              <w:t xml:space="preserve"> District nurses</w:t>
            </w:r>
            <w:r w:rsidR="001A17AD">
              <w:t xml:space="preserve"> have</w:t>
            </w:r>
            <w:r w:rsidR="00495E12">
              <w:t xml:space="preserve"> </w:t>
            </w:r>
            <w:r w:rsidR="00A27934">
              <w:t>quick</w:t>
            </w:r>
            <w:r w:rsidR="00495E12">
              <w:t xml:space="preserve"> and </w:t>
            </w:r>
            <w:r w:rsidR="00A27934">
              <w:t>high-attention</w:t>
            </w:r>
            <w:r w:rsidR="00495E12">
              <w:t xml:space="preserve"> tasks that are</w:t>
            </w:r>
            <w:r w:rsidR="001A17AD">
              <w:t xml:space="preserve"> </w:t>
            </w:r>
            <w:r w:rsidR="00495E12">
              <w:t>surrounded by distractions</w:t>
            </w:r>
            <w:r w:rsidR="003870EE">
              <w:t xml:space="preserve"> </w:t>
            </w:r>
            <w:r w:rsidR="001A17AD">
              <w:t>such as family members and pets</w:t>
            </w:r>
            <w:r w:rsidR="00200208">
              <w:t xml:space="preserve">, </w:t>
            </w:r>
            <w:r w:rsidR="003870EE">
              <w:t xml:space="preserve">adding to </w:t>
            </w:r>
            <w:r w:rsidR="003870EE" w:rsidRPr="00C3671A">
              <w:t>their working memory load</w:t>
            </w:r>
            <w:r w:rsidR="00495E12" w:rsidRPr="00C3671A">
              <w:t xml:space="preserve">. </w:t>
            </w:r>
            <w:r w:rsidRPr="00C3671A">
              <w:t xml:space="preserve">Baddeley (2012) has described the phonological loop as small but not essential but extremely helpful. However, its importance has been </w:t>
            </w:r>
            <w:r w:rsidR="00B2358A" w:rsidRPr="00C3671A">
              <w:t xml:space="preserve">said to be </w:t>
            </w:r>
            <w:r w:rsidRPr="00C3671A">
              <w:t>overestimated as it is a simple construction working in a much more complex system of working memory. The visuo-spatial sketchpad is understood to be where rehearsal takes place</w:t>
            </w:r>
            <w:r w:rsidR="003870EE" w:rsidRPr="00C3671A">
              <w:t xml:space="preserve">. District nurses complete a lot of generic and </w:t>
            </w:r>
            <w:r w:rsidR="00003DAE" w:rsidRPr="00C3671A">
              <w:t>repetitive</w:t>
            </w:r>
            <w:r w:rsidR="003870EE" w:rsidRPr="00C3671A">
              <w:t xml:space="preserve"> tasks </w:t>
            </w:r>
            <w:r w:rsidR="00003DAE" w:rsidRPr="00C3671A">
              <w:t xml:space="preserve">like handwashing </w:t>
            </w:r>
            <w:r w:rsidR="003870EE" w:rsidRPr="00C3671A">
              <w:t xml:space="preserve">which is good for their rehearsal </w:t>
            </w:r>
            <w:r w:rsidR="00B24673" w:rsidRPr="00C3671A">
              <w:t>process,</w:t>
            </w:r>
            <w:r w:rsidR="00AE7DB1" w:rsidRPr="00C3671A">
              <w:t xml:space="preserve"> but </w:t>
            </w:r>
            <w:r w:rsidR="00A40EC1" w:rsidRPr="00C3671A">
              <w:t>there are also a lot of distractions</w:t>
            </w:r>
            <w:r w:rsidR="00200208" w:rsidRPr="00C3671A">
              <w:t xml:space="preserve"> which could cause them to miss </w:t>
            </w:r>
            <w:r w:rsidR="0017720C" w:rsidRPr="00C3671A">
              <w:t>low-attention tasks</w:t>
            </w:r>
            <w:r w:rsidR="00A40EC1" w:rsidRPr="00C3671A">
              <w:t>.</w:t>
            </w:r>
            <w:r w:rsidRPr="00C3671A">
              <w:t xml:space="preserve"> However, Baddeley (2012) has</w:t>
            </w:r>
            <w:r>
              <w:t xml:space="preserve"> suggested that </w:t>
            </w:r>
            <w:r w:rsidR="4E7B7080">
              <w:t>the visuo- spatial sketchpad</w:t>
            </w:r>
            <w:r>
              <w:t xml:space="preserve"> remains unclear due to their being a temporary visual store which is separate to the spatial manipulation and rehearsal system. This demonstrates that there is </w:t>
            </w:r>
            <w:r w:rsidR="000B61EB">
              <w:t>n</w:t>
            </w:r>
            <w:r w:rsidR="00467DCB">
              <w:t>ot a</w:t>
            </w:r>
            <w:r>
              <w:t xml:space="preserve"> full understanding of </w:t>
            </w:r>
            <w:r w:rsidR="701CFD9B">
              <w:t>how</w:t>
            </w:r>
            <w:r>
              <w:t xml:space="preserve"> this element of working memory works entirely. </w:t>
            </w:r>
          </w:p>
          <w:p w14:paraId="4551BFE6" w14:textId="77777777" w:rsidR="00AE7749" w:rsidRDefault="00AE7749" w:rsidP="00AE7749"/>
          <w:p w14:paraId="6C3BB105" w14:textId="7CBCF11C" w:rsidR="00AE7749" w:rsidRDefault="00AE7749" w:rsidP="00AE7749">
            <w:r>
              <w:t xml:space="preserve">      A critique of the WMM is focused on the lack of clarity surrounding the central executive.</w:t>
            </w:r>
            <w:r w:rsidR="006838F3">
              <w:t xml:space="preserve"> </w:t>
            </w:r>
            <w:r w:rsidRPr="00C3671A">
              <w:t>Baddeley (2003)</w:t>
            </w:r>
            <w:r>
              <w:t xml:space="preserve"> </w:t>
            </w:r>
            <w:r w:rsidR="40E8FE43">
              <w:t xml:space="preserve">has commented that </w:t>
            </w:r>
            <w:r w:rsidR="00F55ED8">
              <w:t>the central executive</w:t>
            </w:r>
            <w:r w:rsidR="40E8FE43">
              <w:t xml:space="preserve"> is the area that is most difficult to understand because </w:t>
            </w:r>
            <w:r w:rsidR="295B4747">
              <w:t>i</w:t>
            </w:r>
            <w:r>
              <w:t xml:space="preserve">t is unclear and </w:t>
            </w:r>
            <w:r w:rsidR="7CCC9F26">
              <w:t xml:space="preserve">only broadly </w:t>
            </w:r>
            <w:r>
              <w:t>defined as insufficient attention</w:t>
            </w:r>
            <w:r w:rsidR="00B24673">
              <w:t xml:space="preserve">. </w:t>
            </w:r>
            <w:r w:rsidR="00FD2742">
              <w:t xml:space="preserve">Engle (2002) </w:t>
            </w:r>
            <w:r w:rsidR="00810011">
              <w:t xml:space="preserve">further supported and </w:t>
            </w:r>
            <w:r w:rsidR="00FD2742">
              <w:t xml:space="preserve">argued that the central executive is too broad and unclear. </w:t>
            </w:r>
            <w:r w:rsidR="00B24673">
              <w:t xml:space="preserve">This shows a </w:t>
            </w:r>
            <w:r>
              <w:t xml:space="preserve">clear misunderstanding and lack of explanation as to whether the central executive is one system or consists of multiple smaller systems. </w:t>
            </w:r>
            <w:proofErr w:type="spellStart"/>
            <w:r w:rsidR="00FD2742">
              <w:t>Logie</w:t>
            </w:r>
            <w:proofErr w:type="spellEnd"/>
            <w:r w:rsidR="00FD2742">
              <w:t xml:space="preserve"> (2011) further argued </w:t>
            </w:r>
            <w:r w:rsidR="002D5863">
              <w:t xml:space="preserve">that the central executive is not a single system but rather a collection of processes. </w:t>
            </w:r>
            <w:r w:rsidR="7605658F">
              <w:t>However, it is still considered the most important part of working memory because of its role in attention and focus</w:t>
            </w:r>
            <w:r w:rsidR="002D5863">
              <w:t xml:space="preserve"> (Baddeley, 2003)</w:t>
            </w:r>
            <w:r w:rsidR="7605658F">
              <w:t xml:space="preserve">. </w:t>
            </w:r>
          </w:p>
          <w:p w14:paraId="7DDB0658" w14:textId="77777777" w:rsidR="00C529B8" w:rsidRDefault="00C529B8" w:rsidP="00AE7749"/>
          <w:p w14:paraId="532E25F9" w14:textId="184CA331" w:rsidR="00C529B8" w:rsidRDefault="004E65BD" w:rsidP="00AE7749">
            <w:r>
              <w:t xml:space="preserve">      </w:t>
            </w:r>
            <w:r w:rsidR="00E975E0">
              <w:t>T</w:t>
            </w:r>
            <w:r>
              <w:t xml:space="preserve">he WMM has evolved over time, it originally started as a three-component model </w:t>
            </w:r>
            <w:r w:rsidR="00005352">
              <w:t xml:space="preserve">in 1974. In 2000 there was the addition of the episodic buffer which allowed for a better explanation </w:t>
            </w:r>
            <w:r w:rsidR="00821908">
              <w:t xml:space="preserve">for the combination of verbal, visual and long-term memory. This addition addressed the limitations of the previous model showing progression. This </w:t>
            </w:r>
            <w:r w:rsidR="004F0AC9">
              <w:t>shows how the model is evolving</w:t>
            </w:r>
            <w:r w:rsidR="005A6BC3">
              <w:t xml:space="preserve"> (Baddeley, 2000). </w:t>
            </w:r>
          </w:p>
          <w:p w14:paraId="4902FE2F" w14:textId="77777777" w:rsidR="00AE7749" w:rsidRDefault="00AE7749" w:rsidP="00AE7749"/>
          <w:p w14:paraId="2459DB14" w14:textId="5F842594" w:rsidR="00AE7749" w:rsidRDefault="00AE7749" w:rsidP="0098239A">
            <w:r>
              <w:t xml:space="preserve">      </w:t>
            </w:r>
            <w:r w:rsidR="31367BBA">
              <w:t>T</w:t>
            </w:r>
            <w:r>
              <w:t xml:space="preserve">his model is useful in this case report due to it looking at individual components of working memory. This has allowed understanding to be gained about how these components could have been affected, leading to the district nurses forgetting to wash their hands. </w:t>
            </w:r>
          </w:p>
          <w:p w14:paraId="0FA0CCDB" w14:textId="77777777" w:rsidR="00AE7749" w:rsidRDefault="00AE7749" w:rsidP="0098239A"/>
          <w:p w14:paraId="4D165FC9" w14:textId="77777777" w:rsidR="00AE7749" w:rsidRDefault="00AE7749" w:rsidP="0098239A"/>
          <w:p w14:paraId="46395980" w14:textId="77777777" w:rsidR="00AE7749" w:rsidRDefault="00AE7749" w:rsidP="0098239A"/>
          <w:p w14:paraId="7B9E843C" w14:textId="77777777" w:rsidR="00FA38A4" w:rsidRPr="003A798E" w:rsidRDefault="00FA38A4">
            <w:pPr>
              <w:jc w:val="right"/>
            </w:pPr>
          </w:p>
        </w:tc>
      </w:tr>
    </w:tbl>
    <w:p w14:paraId="0CF4EDF2" w14:textId="77777777" w:rsidR="00A24793" w:rsidRPr="003A798E" w:rsidRDefault="00A24793"/>
    <w:tbl>
      <w:tblPr>
        <w:tblW w:w="10508" w:type="dxa"/>
        <w:shd w:val="clear" w:color="auto" w:fill="00C1C7" w:themeFill="accent2"/>
        <w:tblLayout w:type="fixed"/>
        <w:tblLook w:val="0600" w:firstRow="0" w:lastRow="0" w:firstColumn="0" w:lastColumn="0" w:noHBand="1" w:noVBand="1"/>
      </w:tblPr>
      <w:tblGrid>
        <w:gridCol w:w="851"/>
        <w:gridCol w:w="8690"/>
        <w:gridCol w:w="967"/>
      </w:tblGrid>
      <w:tr w:rsidR="0031055C" w:rsidRPr="003A798E" w14:paraId="24F1484D" w14:textId="77777777" w:rsidTr="0098239A">
        <w:trPr>
          <w:trHeight w:val="373"/>
        </w:trPr>
        <w:tc>
          <w:tcPr>
            <w:tcW w:w="851" w:type="dxa"/>
            <w:vMerge w:val="restart"/>
            <w:shd w:val="clear" w:color="auto" w:fill="00C1C7" w:themeFill="accent2"/>
          </w:tcPr>
          <w:p w14:paraId="2B59145D" w14:textId="77777777" w:rsidR="0031055C" w:rsidRPr="003A798E" w:rsidRDefault="0031055C" w:rsidP="0031055C">
            <w:pPr>
              <w:pStyle w:val="GraphicAnchor"/>
            </w:pPr>
          </w:p>
        </w:tc>
        <w:tc>
          <w:tcPr>
            <w:tcW w:w="8690" w:type="dxa"/>
            <w:tcBorders>
              <w:bottom w:val="single" w:sz="36" w:space="0" w:color="123869" w:themeColor="accent1"/>
            </w:tcBorders>
            <w:shd w:val="clear" w:color="auto" w:fill="00C1C7" w:themeFill="accent2"/>
          </w:tcPr>
          <w:p w14:paraId="136EF726" w14:textId="77777777" w:rsidR="0031055C" w:rsidRPr="003A798E" w:rsidRDefault="0031055C" w:rsidP="0031055C"/>
        </w:tc>
        <w:tc>
          <w:tcPr>
            <w:tcW w:w="967" w:type="dxa"/>
            <w:vMerge w:val="restart"/>
            <w:shd w:val="clear" w:color="auto" w:fill="00C1C7" w:themeFill="accent2"/>
          </w:tcPr>
          <w:p w14:paraId="230C2B99" w14:textId="77777777" w:rsidR="0031055C" w:rsidRPr="003A798E" w:rsidRDefault="0031055C"/>
        </w:tc>
      </w:tr>
      <w:tr w:rsidR="0031055C" w:rsidRPr="003A798E" w14:paraId="248C2EAF" w14:textId="77777777" w:rsidTr="0098239A">
        <w:trPr>
          <w:trHeight w:val="3502"/>
        </w:trPr>
        <w:tc>
          <w:tcPr>
            <w:tcW w:w="851" w:type="dxa"/>
            <w:vMerge/>
            <w:shd w:val="clear" w:color="auto" w:fill="00C1C7" w:themeFill="accent2"/>
          </w:tcPr>
          <w:p w14:paraId="576F82E5" w14:textId="77777777" w:rsidR="0031055C" w:rsidRPr="003A798E" w:rsidRDefault="0031055C"/>
        </w:tc>
        <w:tc>
          <w:tcPr>
            <w:tcW w:w="8690" w:type="dxa"/>
            <w:tcBorders>
              <w:top w:val="single" w:sz="36" w:space="0" w:color="123869" w:themeColor="accent1"/>
              <w:bottom w:val="single" w:sz="36" w:space="0" w:color="123869" w:themeColor="accent1"/>
            </w:tcBorders>
            <w:shd w:val="clear" w:color="auto" w:fill="FFFFFF" w:themeFill="background1"/>
            <w:vAlign w:val="center"/>
          </w:tcPr>
          <w:p w14:paraId="6BFD6B9F" w14:textId="27387AFE" w:rsidR="0031055C" w:rsidRPr="0098239A" w:rsidRDefault="0098239A" w:rsidP="00A24793">
            <w:pPr>
              <w:pStyle w:val="Quote"/>
              <w:rPr>
                <w:sz w:val="72"/>
                <w:szCs w:val="22"/>
              </w:rPr>
            </w:pPr>
            <w:r w:rsidRPr="0098239A">
              <w:rPr>
                <w:sz w:val="72"/>
                <w:szCs w:val="22"/>
              </w:rPr>
              <w:t>CONCLUSION AND RECOMMENDATIONS</w:t>
            </w:r>
          </w:p>
        </w:tc>
        <w:tc>
          <w:tcPr>
            <w:tcW w:w="967" w:type="dxa"/>
            <w:vMerge/>
            <w:shd w:val="clear" w:color="auto" w:fill="00C1C7" w:themeFill="accent2"/>
          </w:tcPr>
          <w:p w14:paraId="7416AA32" w14:textId="77777777" w:rsidR="0031055C" w:rsidRPr="003A798E" w:rsidRDefault="0031055C"/>
        </w:tc>
      </w:tr>
      <w:tr w:rsidR="0031055C" w:rsidRPr="003A798E" w14:paraId="5680728F" w14:textId="77777777" w:rsidTr="0098239A">
        <w:trPr>
          <w:trHeight w:val="9648"/>
        </w:trPr>
        <w:tc>
          <w:tcPr>
            <w:tcW w:w="851" w:type="dxa"/>
            <w:vMerge/>
            <w:shd w:val="clear" w:color="auto" w:fill="00C1C7" w:themeFill="accent2"/>
          </w:tcPr>
          <w:p w14:paraId="30E7C66B" w14:textId="77777777" w:rsidR="0031055C" w:rsidRPr="003A798E" w:rsidRDefault="0031055C"/>
        </w:tc>
        <w:tc>
          <w:tcPr>
            <w:tcW w:w="8690" w:type="dxa"/>
            <w:tcBorders>
              <w:top w:val="single" w:sz="36" w:space="0" w:color="123869" w:themeColor="accent1"/>
            </w:tcBorders>
            <w:shd w:val="clear" w:color="auto" w:fill="00C1C7" w:themeFill="accent2"/>
          </w:tcPr>
          <w:p w14:paraId="7D0B1BDE" w14:textId="77777777" w:rsidR="00BE7B67" w:rsidRDefault="00BE7B67" w:rsidP="0098239A"/>
          <w:p w14:paraId="544D4B0F" w14:textId="1808E007" w:rsidR="00BE7B67" w:rsidRDefault="00BE7B67" w:rsidP="00BE7B67">
            <w:r>
              <w:t xml:space="preserve">     This report has attempted to provide a potential explanation to why district nurses are not adhering to the handwashing policy by using the working memory model (WMM). This report has looked at how the central executive, phonological loop, visuo-spatial sketchpad and episodic buffer can potentially be affected by overworking, time pressures, unpredictable environments and stressful experiences. However, by using the working memory model further new procedures to help district nurses remember to wash their hands have been highlighted. This includes ideas such as digital reminders and visual cues to ensure future handwashing is adhered to keep everyone safe. </w:t>
            </w:r>
          </w:p>
          <w:p w14:paraId="5CDE3969" w14:textId="77777777" w:rsidR="00BE7B67" w:rsidRDefault="00BE7B67" w:rsidP="0098239A"/>
          <w:p w14:paraId="46B3BE5A" w14:textId="77777777" w:rsidR="0031055C" w:rsidRPr="003A798E" w:rsidRDefault="0031055C" w:rsidP="0031055C"/>
        </w:tc>
        <w:tc>
          <w:tcPr>
            <w:tcW w:w="967" w:type="dxa"/>
            <w:vMerge/>
            <w:shd w:val="clear" w:color="auto" w:fill="00C1C7" w:themeFill="accent2"/>
          </w:tcPr>
          <w:p w14:paraId="789A6779" w14:textId="77777777" w:rsidR="0031055C" w:rsidRPr="003A798E" w:rsidRDefault="0031055C"/>
        </w:tc>
      </w:tr>
    </w:tbl>
    <w:p w14:paraId="7CD2BC04" w14:textId="77777777" w:rsidR="0098239A" w:rsidRDefault="0098239A"/>
    <w:p w14:paraId="05D15742" w14:textId="02D89DFB" w:rsidR="006B2F4E" w:rsidRPr="00752D71" w:rsidRDefault="00AA7AFC" w:rsidP="00752D71">
      <w:pPr>
        <w:pStyle w:val="Heading2"/>
        <w:jc w:val="center"/>
        <w:rPr>
          <w:noProof/>
          <w:lang w:eastAsia="en-AU"/>
        </w:rPr>
      </w:pPr>
      <w:r w:rsidRPr="003A798E">
        <w:rPr>
          <w:noProof/>
          <w:lang w:eastAsia="en-AU"/>
        </w:rPr>
        <w:lastRenderedPageBreak/>
        <mc:AlternateContent>
          <mc:Choice Requires="wps">
            <w:drawing>
              <wp:anchor distT="0" distB="0" distL="114300" distR="114300" simplePos="0" relativeHeight="251658240" behindDoc="1" locked="0" layoutInCell="1" allowOverlap="1" wp14:anchorId="6598AA6A" wp14:editId="156EBA2F">
                <wp:simplePos x="0" y="0"/>
                <wp:positionH relativeFrom="column">
                  <wp:posOffset>-6552566</wp:posOffset>
                </wp:positionH>
                <wp:positionV relativeFrom="paragraph">
                  <wp:posOffset>-2665412</wp:posOffset>
                </wp:positionV>
                <wp:extent cx="7771130" cy="11210307"/>
                <wp:effectExtent l="0" t="0" r="1270" b="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11210307"/>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V relativeFrom="margin">
                  <wp14:pctHeight>0</wp14:pctHeight>
                </wp14:sizeRelV>
              </wp:anchor>
            </w:drawing>
          </mc:Choice>
          <mc:Fallback xmlns:arto="http://schemas.microsoft.com/office/word/2006/arto">
            <w:pict>
              <v:shape w14:anchorId="59942F05" id="Shape" o:spid="_x0000_s1026" alt="&quot;&quot;" style="position:absolute;margin-left:-515.95pt;margin-top:-209.85pt;width:611.9pt;height:882.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" path="m,14678r,6922l21600,3032,21600,,17075,,,14678xe" fillcolor="#123869 [3204]" stroked="f" strokeweight="1pt">
                <v:stroke miterlimit="4" joinstyle="miter"/>
                <v:path arrowok="t" o:extrusionok="f" o:connecttype="custom" o:connectlocs="3885565,5605154;3885565,5605154;3885565,5605154;3885565,5605154" o:connectangles="0,90,180,270"/>
              </v:shape>
            </w:pict>
          </mc:Fallback>
        </mc:AlternateContent>
      </w:r>
      <w:r w:rsidR="0098239A">
        <w:rPr>
          <w:noProof/>
          <w:lang w:eastAsia="en-AU"/>
        </w:rPr>
        <w:t>REFERENCE LIST</w:t>
      </w:r>
    </w:p>
    <w:p w14:paraId="5E834F62" w14:textId="77777777" w:rsidR="00752D71" w:rsidRDefault="00752D71" w:rsidP="006B2F4E">
      <w:pPr>
        <w:jc w:val="center"/>
        <w:rPr>
          <w:b/>
          <w:i/>
        </w:rPr>
      </w:pPr>
    </w:p>
    <w:p w14:paraId="1687CBC3" w14:textId="77777777" w:rsidR="00752D71" w:rsidRDefault="00752D71" w:rsidP="00752D71">
      <w:pPr>
        <w:ind w:left="720" w:hanging="720"/>
        <w:rPr>
          <w:bCs/>
          <w:iCs/>
          <w:color w:val="000000" w:themeColor="text1"/>
        </w:rPr>
      </w:pPr>
      <w:r>
        <w:rPr>
          <w:bCs/>
          <w:iCs/>
        </w:rPr>
        <w:t xml:space="preserve">Baddeley, A. (2000). The episodic buffer: a new component of working memory? </w:t>
      </w:r>
      <w:r w:rsidRPr="00EE5D28">
        <w:rPr>
          <w:bCs/>
          <w:i/>
        </w:rPr>
        <w:t>Trends in Cognitive Sciences, 4</w:t>
      </w:r>
      <w:r>
        <w:rPr>
          <w:bCs/>
          <w:iCs/>
        </w:rPr>
        <w:t xml:space="preserve"> (11). </w:t>
      </w:r>
      <w:hyperlink r:id="rId9" w:tgtFrame="_blank" w:tooltip="Persistent link using digital object identifier" w:history="1">
        <w:r w:rsidRPr="00EE5D28">
          <w:rPr>
            <w:rStyle w:val="Hyperlink"/>
            <w:bCs/>
            <w:iCs/>
            <w:color w:val="000000" w:themeColor="text1"/>
          </w:rPr>
          <w:t>https://doi.org/10.1016/S1364-6613(00)01538-2</w:t>
        </w:r>
      </w:hyperlink>
      <w:r w:rsidRPr="00EE5D28">
        <w:rPr>
          <w:bCs/>
          <w:iCs/>
          <w:color w:val="000000" w:themeColor="text1"/>
        </w:rPr>
        <w:t xml:space="preserve"> </w:t>
      </w:r>
    </w:p>
    <w:p w14:paraId="72A0B26E" w14:textId="77777777" w:rsidR="00752D71" w:rsidRDefault="00752D71" w:rsidP="00752D71">
      <w:pPr>
        <w:ind w:left="720" w:hanging="720"/>
        <w:rPr>
          <w:bCs/>
          <w:iCs/>
        </w:rPr>
      </w:pPr>
      <w:r>
        <w:rPr>
          <w:bCs/>
          <w:iCs/>
        </w:rPr>
        <w:t xml:space="preserve">Baddeley, A. (1998). The phonological loop as a language learning device. </w:t>
      </w:r>
      <w:r w:rsidRPr="00565C33">
        <w:rPr>
          <w:bCs/>
          <w:i/>
        </w:rPr>
        <w:t>Psychological Review, 105</w:t>
      </w:r>
      <w:r>
        <w:rPr>
          <w:bCs/>
          <w:iCs/>
        </w:rPr>
        <w:t xml:space="preserve"> (1). </w:t>
      </w:r>
      <w:hyperlink r:id="rId10" w:tgtFrame="_blank" w:history="1">
        <w:r w:rsidRPr="00565C33">
          <w:rPr>
            <w:rStyle w:val="Hyperlink"/>
            <w:bCs/>
            <w:iCs/>
            <w:color w:val="auto"/>
          </w:rPr>
          <w:t>https://doi.org/10.1037/0033-295X.105.1.158</w:t>
        </w:r>
      </w:hyperlink>
      <w:r w:rsidRPr="00565C33">
        <w:rPr>
          <w:bCs/>
          <w:iCs/>
        </w:rPr>
        <w:t xml:space="preserve"> </w:t>
      </w:r>
    </w:p>
    <w:p w14:paraId="19EA27D0" w14:textId="77777777" w:rsidR="00752D71" w:rsidRDefault="00752D71" w:rsidP="00752D71">
      <w:pPr>
        <w:ind w:left="720" w:hanging="720"/>
        <w:rPr>
          <w:bCs/>
          <w:iCs/>
          <w:color w:val="000000" w:themeColor="text1"/>
        </w:rPr>
      </w:pPr>
      <w:r>
        <w:rPr>
          <w:bCs/>
          <w:iCs/>
        </w:rPr>
        <w:t xml:space="preserve">Baddeley, A. (2003). Working memory and language: an overview. </w:t>
      </w:r>
      <w:r w:rsidRPr="00307F1E">
        <w:rPr>
          <w:bCs/>
          <w:i/>
        </w:rPr>
        <w:t>Journal of Communication Disorders, 36</w:t>
      </w:r>
      <w:r>
        <w:rPr>
          <w:bCs/>
          <w:iCs/>
        </w:rPr>
        <w:t xml:space="preserve"> (3</w:t>
      </w:r>
      <w:r w:rsidRPr="005A313E">
        <w:rPr>
          <w:bCs/>
          <w:iCs/>
          <w:color w:val="000000" w:themeColor="text1"/>
        </w:rPr>
        <w:t xml:space="preserve">). </w:t>
      </w:r>
      <w:hyperlink r:id="rId11" w:tgtFrame="_blank" w:tooltip="Persistent link using digital object identifier" w:history="1">
        <w:r w:rsidRPr="005A313E">
          <w:rPr>
            <w:rStyle w:val="Hyperlink"/>
            <w:bCs/>
            <w:iCs/>
            <w:color w:val="000000" w:themeColor="text1"/>
          </w:rPr>
          <w:t>https://doi.org/10.1016/S0021-9924(03)00019-4</w:t>
        </w:r>
      </w:hyperlink>
      <w:r w:rsidRPr="005A313E">
        <w:rPr>
          <w:bCs/>
          <w:iCs/>
          <w:color w:val="000000" w:themeColor="text1"/>
        </w:rPr>
        <w:t xml:space="preserve"> </w:t>
      </w:r>
    </w:p>
    <w:p w14:paraId="47062829" w14:textId="77777777" w:rsidR="00752D71" w:rsidRDefault="00752D71" w:rsidP="00752D71">
      <w:pPr>
        <w:ind w:left="720" w:hanging="720"/>
        <w:rPr>
          <w:bCs/>
          <w:iCs/>
          <w:color w:val="000000" w:themeColor="text1"/>
        </w:rPr>
      </w:pPr>
      <w:r>
        <w:rPr>
          <w:bCs/>
          <w:iCs/>
          <w:color w:val="000000" w:themeColor="text1"/>
        </w:rPr>
        <w:t xml:space="preserve">Baddeley, A. (2003). Working Memory: Looking back and looking forward. </w:t>
      </w:r>
      <w:r w:rsidRPr="00CF08C4">
        <w:rPr>
          <w:bCs/>
          <w:i/>
          <w:color w:val="000000" w:themeColor="text1"/>
        </w:rPr>
        <w:t>Nature Reviews Neuroscience, 4</w:t>
      </w:r>
      <w:r>
        <w:rPr>
          <w:bCs/>
          <w:iCs/>
          <w:color w:val="000000" w:themeColor="text1"/>
        </w:rPr>
        <w:t xml:space="preserve">. </w:t>
      </w:r>
      <w:hyperlink r:id="rId12" w:history="1">
        <w:r w:rsidRPr="00CF08C4">
          <w:rPr>
            <w:rStyle w:val="Hyperlink"/>
            <w:bCs/>
            <w:iCs/>
            <w:color w:val="auto"/>
          </w:rPr>
          <w:t>https://doi.org/10.1038/nrn1201</w:t>
        </w:r>
      </w:hyperlink>
      <w:r w:rsidRPr="00CF08C4">
        <w:rPr>
          <w:bCs/>
          <w:iCs/>
        </w:rPr>
        <w:t xml:space="preserve"> </w:t>
      </w:r>
    </w:p>
    <w:p w14:paraId="523F7F51" w14:textId="77777777" w:rsidR="00752D71" w:rsidRPr="00B32302" w:rsidRDefault="00752D71" w:rsidP="00752D71">
      <w:pPr>
        <w:ind w:left="720" w:hanging="720"/>
        <w:rPr>
          <w:bCs/>
          <w:iCs/>
        </w:rPr>
      </w:pPr>
      <w:r>
        <w:rPr>
          <w:bCs/>
          <w:iCs/>
          <w:color w:val="000000" w:themeColor="text1"/>
        </w:rPr>
        <w:t xml:space="preserve">Baddeley, A. (2012). Working Memory: Theories, Models and Controversies. </w:t>
      </w:r>
      <w:r w:rsidRPr="00B32302">
        <w:rPr>
          <w:bCs/>
          <w:i/>
          <w:color w:val="000000" w:themeColor="text1"/>
        </w:rPr>
        <w:t>Annual Review of Psychology, 63</w:t>
      </w:r>
      <w:r>
        <w:rPr>
          <w:bCs/>
          <w:iCs/>
          <w:color w:val="000000" w:themeColor="text1"/>
        </w:rPr>
        <w:t xml:space="preserve">. </w:t>
      </w:r>
      <w:hyperlink r:id="rId13" w:tgtFrame="_blank" w:tooltip="DOI" w:history="1">
        <w:r w:rsidRPr="00B32302">
          <w:rPr>
            <w:rStyle w:val="Hyperlink"/>
            <w:bCs/>
            <w:iCs/>
            <w:color w:val="auto"/>
          </w:rPr>
          <w:t>https://doi.org/10.1146/annurev-psych-120710-100422</w:t>
        </w:r>
      </w:hyperlink>
      <w:r w:rsidRPr="00B32302">
        <w:rPr>
          <w:bCs/>
          <w:iCs/>
        </w:rPr>
        <w:t xml:space="preserve"> </w:t>
      </w:r>
    </w:p>
    <w:p w14:paraId="690418C5" w14:textId="77777777" w:rsidR="00752D71" w:rsidRDefault="00752D71" w:rsidP="00752D71">
      <w:pPr>
        <w:ind w:left="720" w:hanging="720"/>
        <w:rPr>
          <w:bCs/>
          <w:iCs/>
          <w:color w:val="000000" w:themeColor="text1"/>
        </w:rPr>
      </w:pPr>
      <w:r>
        <w:rPr>
          <w:bCs/>
          <w:iCs/>
        </w:rPr>
        <w:t xml:space="preserve">Baddeley, A. D. (1983). Working Memory. </w:t>
      </w:r>
      <w:r w:rsidRPr="00B05ADE">
        <w:rPr>
          <w:bCs/>
          <w:i/>
        </w:rPr>
        <w:t>Philosophical Transactions of the Royal Society of London Biological Sciences, 302</w:t>
      </w:r>
      <w:r>
        <w:rPr>
          <w:bCs/>
          <w:iCs/>
        </w:rPr>
        <w:t xml:space="preserve"> (1110). </w:t>
      </w:r>
      <w:hyperlink r:id="rId14" w:tgtFrame="_blank" w:history="1">
        <w:r w:rsidRPr="00B05ADE">
          <w:rPr>
            <w:rStyle w:val="Hyperlink"/>
            <w:bCs/>
            <w:iCs/>
            <w:color w:val="000000" w:themeColor="text1"/>
          </w:rPr>
          <w:t>https://doi.org/10.1098/rstb.1983.0057</w:t>
        </w:r>
      </w:hyperlink>
      <w:r w:rsidRPr="00B05ADE">
        <w:rPr>
          <w:bCs/>
          <w:iCs/>
          <w:color w:val="000000" w:themeColor="text1"/>
        </w:rPr>
        <w:t xml:space="preserve"> </w:t>
      </w:r>
    </w:p>
    <w:p w14:paraId="5D372F4E" w14:textId="77777777" w:rsidR="00752D71" w:rsidRPr="00B52F48" w:rsidRDefault="00752D71" w:rsidP="00752D71">
      <w:pPr>
        <w:ind w:left="720" w:hanging="720"/>
        <w:rPr>
          <w:bCs/>
          <w:iCs/>
          <w:color w:val="000000" w:themeColor="text1"/>
          <w:lang w:val="en-GB"/>
        </w:rPr>
      </w:pPr>
      <w:r>
        <w:rPr>
          <w:bCs/>
          <w:iCs/>
        </w:rPr>
        <w:t>Baddeley, A.</w:t>
      </w:r>
      <w:r>
        <w:rPr>
          <w:bCs/>
          <w:iCs/>
          <w:color w:val="000000" w:themeColor="text1"/>
        </w:rPr>
        <w:t xml:space="preserve">, Salsa, S. D. (1996). Working Memory and Executive Control. </w:t>
      </w:r>
      <w:r w:rsidRPr="00B52F48">
        <w:rPr>
          <w:bCs/>
          <w:i/>
          <w:color w:val="000000" w:themeColor="text1"/>
        </w:rPr>
        <w:t>Philosophical Transactions: Biological Sciences, 351</w:t>
      </w:r>
      <w:r>
        <w:rPr>
          <w:bCs/>
          <w:iCs/>
          <w:color w:val="000000" w:themeColor="text1"/>
        </w:rPr>
        <w:t xml:space="preserve"> (1346). </w:t>
      </w:r>
      <w:hyperlink r:id="rId15" w:history="1">
        <w:r w:rsidRPr="00B52F48">
          <w:rPr>
            <w:rStyle w:val="Hyperlink"/>
            <w:bCs/>
            <w:iCs/>
            <w:color w:val="auto"/>
            <w:lang w:val="en-GB"/>
          </w:rPr>
          <w:t>https://www.jstor.org/stable/3069185</w:t>
        </w:r>
      </w:hyperlink>
      <w:r w:rsidRPr="00B52F48">
        <w:rPr>
          <w:bCs/>
          <w:iCs/>
          <w:lang w:val="en-GB"/>
        </w:rPr>
        <w:t xml:space="preserve"> </w:t>
      </w:r>
    </w:p>
    <w:p w14:paraId="291EB933" w14:textId="77777777" w:rsidR="00752D71" w:rsidRDefault="00752D71" w:rsidP="00752D71">
      <w:pPr>
        <w:ind w:left="720" w:hanging="720"/>
      </w:pPr>
      <w:r>
        <w:rPr>
          <w:bCs/>
          <w:iCs/>
        </w:rPr>
        <w:t xml:space="preserve">Ball, J. E., Murrells, T., Rafferty, A. M., Morrow, E., &amp; Griffiths, P. (2014). ‘Care left undone’ during nursing shifts: associations with workload and perceived quality of care. </w:t>
      </w:r>
      <w:r w:rsidRPr="00D52972">
        <w:rPr>
          <w:bCs/>
          <w:i/>
        </w:rPr>
        <w:t xml:space="preserve">BMJ Quality and Safety, 23 </w:t>
      </w:r>
      <w:r>
        <w:rPr>
          <w:bCs/>
          <w:iCs/>
        </w:rPr>
        <w:t xml:space="preserve">(2). </w:t>
      </w:r>
      <w:proofErr w:type="spellStart"/>
      <w:r>
        <w:rPr>
          <w:bCs/>
          <w:iCs/>
        </w:rPr>
        <w:t>doi</w:t>
      </w:r>
      <w:proofErr w:type="spellEnd"/>
      <w:r w:rsidRPr="006D7A65">
        <w:rPr>
          <w:bCs/>
          <w:iCs/>
        </w:rPr>
        <w:t>: </w:t>
      </w:r>
      <w:hyperlink r:id="rId16" w:tgtFrame="_blank" w:history="1">
        <w:r w:rsidRPr="006D7A65">
          <w:rPr>
            <w:rStyle w:val="Hyperlink"/>
            <w:bCs/>
            <w:iCs/>
            <w:color w:val="auto"/>
          </w:rPr>
          <w:t>10.1136/bmjqs-2012-001767</w:t>
        </w:r>
      </w:hyperlink>
    </w:p>
    <w:p w14:paraId="2F0032A8" w14:textId="7A1ACCA5" w:rsidR="009F7533" w:rsidRPr="00C27A01" w:rsidRDefault="009F7533" w:rsidP="00752D71">
      <w:pPr>
        <w:ind w:left="720" w:hanging="720"/>
      </w:pPr>
      <w:r w:rsidRPr="009F7533">
        <w:t>Engle, R. W. (2002). Working memory capacity as executive attention. </w:t>
      </w:r>
      <w:r w:rsidRPr="009F7533">
        <w:rPr>
          <w:i/>
          <w:iCs/>
        </w:rPr>
        <w:t>Current Directions in Psychological Science, 11</w:t>
      </w:r>
      <w:r w:rsidRPr="009F7533">
        <w:t>(1), 19–23. </w:t>
      </w:r>
      <w:hyperlink r:id="rId17" w:tgtFrame="_blank" w:history="1">
        <w:r w:rsidRPr="009F7533">
          <w:rPr>
            <w:rStyle w:val="Hyperlink"/>
          </w:rPr>
          <w:t>https://doi.org/10.1111/1467-8721.00160</w:t>
        </w:r>
      </w:hyperlink>
      <w:r>
        <w:t xml:space="preserve"> </w:t>
      </w:r>
    </w:p>
    <w:p w14:paraId="1AB3A8A7" w14:textId="77777777" w:rsidR="00752D71" w:rsidRDefault="00752D71" w:rsidP="00752D71">
      <w:pPr>
        <w:ind w:left="720" w:hanging="720"/>
        <w:rPr>
          <w:bCs/>
          <w:iCs/>
        </w:rPr>
      </w:pPr>
      <w:r>
        <w:rPr>
          <w:bCs/>
          <w:iCs/>
        </w:rPr>
        <w:t xml:space="preserve">Eysenck, M. W., &amp; Keane, M. T. (2020). </w:t>
      </w:r>
      <w:r w:rsidRPr="002565AC">
        <w:rPr>
          <w:bCs/>
          <w:i/>
        </w:rPr>
        <w:t>Cognitive Psychology: A Student’s Handbook</w:t>
      </w:r>
      <w:r>
        <w:rPr>
          <w:bCs/>
          <w:iCs/>
        </w:rPr>
        <w:t xml:space="preserve"> (Eighth Ed.). Taylor &amp; Francis Group. </w:t>
      </w:r>
    </w:p>
    <w:p w14:paraId="7959E150" w14:textId="77777777" w:rsidR="00752D71" w:rsidRDefault="00752D71" w:rsidP="00752D71">
      <w:pPr>
        <w:ind w:left="720" w:hanging="720"/>
        <w:rPr>
          <w:bCs/>
          <w:iCs/>
        </w:rPr>
      </w:pPr>
      <w:r>
        <w:rPr>
          <w:bCs/>
          <w:iCs/>
        </w:rPr>
        <w:t xml:space="preserve">Ezezika, O., Heng, J., Fatima, K., Mohamed, A., &amp; Barrett, K. (2023). What are the barriers and </w:t>
      </w:r>
      <w:proofErr w:type="spellStart"/>
      <w:r>
        <w:rPr>
          <w:bCs/>
          <w:iCs/>
        </w:rPr>
        <w:t>faciliatators</w:t>
      </w:r>
      <w:proofErr w:type="spellEnd"/>
      <w:r>
        <w:rPr>
          <w:bCs/>
          <w:iCs/>
        </w:rPr>
        <w:t xml:space="preserve"> to community handwashing with water and soap? A systematic review. </w:t>
      </w:r>
      <w:r w:rsidRPr="00226A10">
        <w:rPr>
          <w:bCs/>
          <w:i/>
        </w:rPr>
        <w:t xml:space="preserve">PLOS Global Public Health, 3 </w:t>
      </w:r>
      <w:r>
        <w:rPr>
          <w:bCs/>
          <w:iCs/>
        </w:rPr>
        <w:t xml:space="preserve">(4). </w:t>
      </w:r>
      <w:proofErr w:type="spellStart"/>
      <w:r w:rsidRPr="00226A10">
        <w:rPr>
          <w:bCs/>
          <w:iCs/>
        </w:rPr>
        <w:t>doi</w:t>
      </w:r>
      <w:proofErr w:type="spellEnd"/>
      <w:r w:rsidRPr="00226A10">
        <w:rPr>
          <w:bCs/>
          <w:iCs/>
        </w:rPr>
        <w:t>: </w:t>
      </w:r>
      <w:hyperlink r:id="rId18" w:tgtFrame="_blank" w:history="1">
        <w:r w:rsidRPr="00226A10">
          <w:rPr>
            <w:rStyle w:val="Hyperlink"/>
            <w:bCs/>
            <w:iCs/>
            <w:color w:val="auto"/>
          </w:rPr>
          <w:t>10.1371/journal.pgph.0001720</w:t>
        </w:r>
      </w:hyperlink>
      <w:r w:rsidRPr="00226A10">
        <w:rPr>
          <w:bCs/>
          <w:iCs/>
        </w:rPr>
        <w:t xml:space="preserve"> </w:t>
      </w:r>
    </w:p>
    <w:p w14:paraId="0825A151" w14:textId="77777777" w:rsidR="00752D71" w:rsidRPr="00D15B7E" w:rsidRDefault="00752D71" w:rsidP="00752D71">
      <w:pPr>
        <w:ind w:left="720" w:hanging="720"/>
        <w:rPr>
          <w:bCs/>
          <w:iCs/>
          <w:color w:val="000000" w:themeColor="text1"/>
        </w:rPr>
      </w:pPr>
      <w:r>
        <w:rPr>
          <w:bCs/>
          <w:iCs/>
        </w:rPr>
        <w:t xml:space="preserve">Haig, K. M., Sutton, S., &amp; Whittington, J. (2006). SBAR: A Shared Mental Model for Improving Communication Between Clinicians. </w:t>
      </w:r>
      <w:r w:rsidRPr="00D15B7E">
        <w:rPr>
          <w:bCs/>
          <w:i/>
        </w:rPr>
        <w:t>The Joint Commission Journal on Quality and Patient Safety, 32</w:t>
      </w:r>
      <w:r>
        <w:rPr>
          <w:bCs/>
          <w:iCs/>
        </w:rPr>
        <w:t xml:space="preserve"> (3). </w:t>
      </w:r>
      <w:hyperlink r:id="rId19" w:tgtFrame="_blank" w:tooltip="Persistent link using digital object identifier" w:history="1">
        <w:r w:rsidRPr="00D15B7E">
          <w:rPr>
            <w:rStyle w:val="Hyperlink"/>
            <w:bCs/>
            <w:iCs/>
            <w:color w:val="000000" w:themeColor="text1"/>
          </w:rPr>
          <w:t>https://doi.org/10.1016/S1553-7250(06)32022-3</w:t>
        </w:r>
      </w:hyperlink>
      <w:r w:rsidRPr="00D15B7E">
        <w:rPr>
          <w:bCs/>
          <w:iCs/>
          <w:color w:val="000000" w:themeColor="text1"/>
        </w:rPr>
        <w:t xml:space="preserve"> </w:t>
      </w:r>
    </w:p>
    <w:p w14:paraId="26AA5F98" w14:textId="77777777" w:rsidR="00752D71" w:rsidRDefault="00752D71" w:rsidP="00752D71">
      <w:pPr>
        <w:ind w:left="720" w:hanging="720"/>
        <w:rPr>
          <w:bCs/>
          <w:iCs/>
        </w:rPr>
      </w:pPr>
      <w:r>
        <w:rPr>
          <w:bCs/>
          <w:iCs/>
        </w:rPr>
        <w:t xml:space="preserve">Laustsen, S., &amp; Brahe, L. (2018). Coping with interruptions in clinical nursing – a qualitative study. </w:t>
      </w:r>
      <w:r w:rsidRPr="00C634DE">
        <w:rPr>
          <w:bCs/>
          <w:i/>
        </w:rPr>
        <w:t>Journal of Clinical Nursing, 27</w:t>
      </w:r>
      <w:r>
        <w:rPr>
          <w:bCs/>
          <w:iCs/>
        </w:rPr>
        <w:t xml:space="preserve"> (7-8). </w:t>
      </w:r>
      <w:hyperlink r:id="rId20" w:history="1">
        <w:r w:rsidRPr="00C634DE">
          <w:rPr>
            <w:rStyle w:val="Hyperlink"/>
            <w:bCs/>
            <w:iCs/>
            <w:color w:val="auto"/>
          </w:rPr>
          <w:t>https://doi.org/10.1111/jocn.14288</w:t>
        </w:r>
      </w:hyperlink>
      <w:r w:rsidRPr="00C634DE">
        <w:rPr>
          <w:bCs/>
          <w:iCs/>
        </w:rPr>
        <w:t xml:space="preserve"> </w:t>
      </w:r>
    </w:p>
    <w:p w14:paraId="2C615C92" w14:textId="7921B011" w:rsidR="0086710C" w:rsidRDefault="0086710C" w:rsidP="00752D71">
      <w:pPr>
        <w:ind w:left="720" w:hanging="720"/>
        <w:rPr>
          <w:bCs/>
          <w:iCs/>
        </w:rPr>
      </w:pPr>
      <w:proofErr w:type="spellStart"/>
      <w:r w:rsidRPr="0086710C">
        <w:rPr>
          <w:bCs/>
          <w:iCs/>
        </w:rPr>
        <w:t>Logie</w:t>
      </w:r>
      <w:proofErr w:type="spellEnd"/>
      <w:r w:rsidRPr="0086710C">
        <w:rPr>
          <w:bCs/>
          <w:iCs/>
        </w:rPr>
        <w:t>, R. H. (1995). </w:t>
      </w:r>
      <w:r w:rsidRPr="0086710C">
        <w:rPr>
          <w:bCs/>
          <w:i/>
          <w:iCs/>
        </w:rPr>
        <w:t>Visuo-spatial working memory.</w:t>
      </w:r>
      <w:r w:rsidRPr="0086710C">
        <w:rPr>
          <w:bCs/>
          <w:iCs/>
        </w:rPr>
        <w:t> Lawrence Erlbaum Associates, Inc.</w:t>
      </w:r>
    </w:p>
    <w:p w14:paraId="0730F9B7" w14:textId="7994785D" w:rsidR="005D41CD" w:rsidRPr="00C634DE" w:rsidRDefault="005D41CD" w:rsidP="00752D71">
      <w:pPr>
        <w:ind w:left="720" w:hanging="720"/>
        <w:rPr>
          <w:bCs/>
          <w:iCs/>
        </w:rPr>
      </w:pPr>
      <w:proofErr w:type="spellStart"/>
      <w:r w:rsidRPr="005D41CD">
        <w:rPr>
          <w:bCs/>
          <w:iCs/>
        </w:rPr>
        <w:t>Logie</w:t>
      </w:r>
      <w:proofErr w:type="spellEnd"/>
      <w:r w:rsidRPr="005D41CD">
        <w:rPr>
          <w:bCs/>
          <w:iCs/>
        </w:rPr>
        <w:t>, R. H. (2011). The functional organization and capacity limits of working memory. </w:t>
      </w:r>
      <w:r w:rsidRPr="005D41CD">
        <w:rPr>
          <w:bCs/>
          <w:i/>
          <w:iCs/>
        </w:rPr>
        <w:t>Current Directions in Psychological Science, 20</w:t>
      </w:r>
      <w:r w:rsidRPr="005D41CD">
        <w:rPr>
          <w:bCs/>
          <w:iCs/>
        </w:rPr>
        <w:t>(4), 240–245. </w:t>
      </w:r>
      <w:hyperlink r:id="rId21" w:tgtFrame="_blank" w:history="1">
        <w:r w:rsidRPr="005D41CD">
          <w:rPr>
            <w:rStyle w:val="Hyperlink"/>
            <w:bCs/>
            <w:iCs/>
          </w:rPr>
          <w:t>https://doi.org/10.1177/0963721411415340</w:t>
        </w:r>
      </w:hyperlink>
    </w:p>
    <w:p w14:paraId="7122026A" w14:textId="77777777" w:rsidR="00752D71" w:rsidRPr="00983D07" w:rsidRDefault="00752D71" w:rsidP="00752D71">
      <w:pPr>
        <w:ind w:left="720" w:hanging="720"/>
        <w:rPr>
          <w:bCs/>
          <w:iCs/>
          <w:color w:val="000000" w:themeColor="text1"/>
          <w:lang w:val="en-GB"/>
        </w:rPr>
      </w:pPr>
      <w:proofErr w:type="spellStart"/>
      <w:r w:rsidRPr="00C634DE">
        <w:rPr>
          <w:bCs/>
          <w:iCs/>
        </w:rPr>
        <w:t>Repovs</w:t>
      </w:r>
      <w:proofErr w:type="spellEnd"/>
      <w:r w:rsidRPr="00C634DE">
        <w:rPr>
          <w:bCs/>
          <w:iCs/>
        </w:rPr>
        <w:t>, G. &amp; Baddeley, A. (2006). The multi-</w:t>
      </w:r>
      <w:r>
        <w:rPr>
          <w:bCs/>
          <w:iCs/>
        </w:rPr>
        <w:t xml:space="preserve">component model of working memory: Explorations in experimental cognitive psychology. </w:t>
      </w:r>
      <w:r w:rsidRPr="00983D07">
        <w:rPr>
          <w:bCs/>
          <w:i/>
          <w:lang w:val="en-GB"/>
        </w:rPr>
        <w:t>Neuroscience, 139</w:t>
      </w:r>
      <w:r w:rsidRPr="00983D07">
        <w:rPr>
          <w:bCs/>
          <w:iCs/>
          <w:lang w:val="en-GB"/>
        </w:rPr>
        <w:t xml:space="preserve"> (1). </w:t>
      </w:r>
      <w:hyperlink r:id="rId22" w:tgtFrame="_blank" w:tooltip="Persistent link using digital object identifier" w:history="1">
        <w:r w:rsidRPr="00983D07">
          <w:rPr>
            <w:rStyle w:val="Hyperlink"/>
            <w:bCs/>
            <w:iCs/>
            <w:color w:val="000000" w:themeColor="text1"/>
            <w:lang w:val="en-GB"/>
          </w:rPr>
          <w:t>https://doi.org/10.1016/j.neuroscience.2005.12.061</w:t>
        </w:r>
      </w:hyperlink>
      <w:r w:rsidRPr="00983D07">
        <w:rPr>
          <w:bCs/>
          <w:iCs/>
          <w:color w:val="000000" w:themeColor="text1"/>
          <w:lang w:val="en-GB"/>
        </w:rPr>
        <w:t xml:space="preserve"> </w:t>
      </w:r>
    </w:p>
    <w:p w14:paraId="40C37F30" w14:textId="77777777" w:rsidR="00752D71" w:rsidRDefault="00752D71" w:rsidP="00752D71">
      <w:pPr>
        <w:ind w:left="720" w:hanging="720"/>
        <w:rPr>
          <w:bCs/>
          <w:iCs/>
          <w:color w:val="000000" w:themeColor="text1"/>
          <w:lang w:val="en-GB"/>
        </w:rPr>
      </w:pPr>
      <w:r w:rsidRPr="00BE2B55">
        <w:rPr>
          <w:bCs/>
          <w:iCs/>
          <w:color w:val="000000" w:themeColor="text1"/>
          <w:lang w:val="en-GB"/>
        </w:rPr>
        <w:t>Risko, E. F., &amp; Gilbert, S</w:t>
      </w:r>
      <w:r>
        <w:rPr>
          <w:bCs/>
          <w:iCs/>
          <w:color w:val="000000" w:themeColor="text1"/>
          <w:lang w:val="en-GB"/>
        </w:rPr>
        <w:t>. (2016). Cognitive Offloading. Trends in Cognitive Sciences. doi</w:t>
      </w:r>
      <w:r w:rsidRPr="00F577B2">
        <w:rPr>
          <w:bCs/>
          <w:iCs/>
          <w:color w:val="000000" w:themeColor="text1"/>
          <w:lang w:val="en-GB"/>
        </w:rPr>
        <w:t>:</w:t>
      </w:r>
      <w:hyperlink r:id="rId23" w:history="1">
        <w:r w:rsidRPr="00F577B2">
          <w:rPr>
            <w:rStyle w:val="Hyperlink"/>
            <w:bCs/>
            <w:iCs/>
            <w:color w:val="000000" w:themeColor="text1"/>
            <w:lang w:val="en-GB"/>
          </w:rPr>
          <w:t>10.1016/j.tics.2016.07.002</w:t>
        </w:r>
      </w:hyperlink>
      <w:r>
        <w:rPr>
          <w:bCs/>
          <w:iCs/>
          <w:color w:val="000000" w:themeColor="text1"/>
          <w:lang w:val="en-GB"/>
        </w:rPr>
        <w:t xml:space="preserve"> </w:t>
      </w:r>
    </w:p>
    <w:p w14:paraId="26F336D2" w14:textId="77777777" w:rsidR="00752D71" w:rsidRPr="00AA040D" w:rsidRDefault="00752D71" w:rsidP="00752D71">
      <w:pPr>
        <w:ind w:left="720" w:hanging="720"/>
        <w:rPr>
          <w:bCs/>
          <w:iCs/>
          <w:color w:val="000000" w:themeColor="text1"/>
          <w:lang w:val="en-GB"/>
        </w:rPr>
      </w:pPr>
      <w:r w:rsidRPr="00983D07">
        <w:rPr>
          <w:bCs/>
          <w:iCs/>
          <w:color w:val="000000" w:themeColor="text1"/>
          <w:lang w:val="en-GB"/>
        </w:rPr>
        <w:t xml:space="preserve">Rivera-Rodriguez, A. J., &amp; Karsh, B. T. (2010). </w:t>
      </w:r>
      <w:r w:rsidRPr="00AA040D">
        <w:rPr>
          <w:bCs/>
          <w:iCs/>
          <w:color w:val="000000" w:themeColor="text1"/>
          <w:lang w:val="en-GB"/>
        </w:rPr>
        <w:t>Interruptions and distraction in h</w:t>
      </w:r>
      <w:r>
        <w:rPr>
          <w:bCs/>
          <w:iCs/>
          <w:color w:val="000000" w:themeColor="text1"/>
          <w:lang w:val="en-GB"/>
        </w:rPr>
        <w:t xml:space="preserve">ealthcare: review and reappraisal. </w:t>
      </w:r>
      <w:r w:rsidRPr="00DF3FE0">
        <w:rPr>
          <w:bCs/>
          <w:i/>
          <w:color w:val="000000" w:themeColor="text1"/>
          <w:lang w:val="en-GB"/>
        </w:rPr>
        <w:t>BMJ Quality and Safety, 19</w:t>
      </w:r>
      <w:r>
        <w:rPr>
          <w:bCs/>
          <w:iCs/>
          <w:color w:val="000000" w:themeColor="text1"/>
          <w:lang w:val="en-GB"/>
        </w:rPr>
        <w:t xml:space="preserve"> (4). </w:t>
      </w:r>
    </w:p>
    <w:p w14:paraId="5B8ADCB8" w14:textId="77777777" w:rsidR="00752D71" w:rsidRDefault="00752D71" w:rsidP="00752D71">
      <w:pPr>
        <w:ind w:left="720" w:hanging="720"/>
        <w:rPr>
          <w:bCs/>
          <w:iCs/>
          <w:color w:val="000000" w:themeColor="text1"/>
          <w:lang w:val="en-GB"/>
        </w:rPr>
      </w:pPr>
      <w:r w:rsidRPr="0089632F">
        <w:rPr>
          <w:bCs/>
          <w:iCs/>
          <w:color w:val="000000" w:themeColor="text1"/>
          <w:lang w:val="en-GB"/>
        </w:rPr>
        <w:t xml:space="preserve">Maybin, J., Charles, A., &amp; Honeyman, M. (2016). </w:t>
      </w:r>
      <w:r w:rsidRPr="00C712F1">
        <w:rPr>
          <w:bCs/>
          <w:i/>
          <w:color w:val="000000" w:themeColor="text1"/>
          <w:lang w:val="en-GB"/>
        </w:rPr>
        <w:t>Understanding quality in district nursing services learning from patients, carers and staff.</w:t>
      </w:r>
      <w:r>
        <w:rPr>
          <w:bCs/>
          <w:iCs/>
          <w:color w:val="000000" w:themeColor="text1"/>
          <w:lang w:val="en-GB"/>
        </w:rPr>
        <w:t xml:space="preserve"> The King’s Fund. </w:t>
      </w:r>
    </w:p>
    <w:p w14:paraId="79427527" w14:textId="77777777" w:rsidR="00752D71" w:rsidRDefault="00752D71" w:rsidP="00752D71">
      <w:pPr>
        <w:ind w:left="720" w:hanging="720"/>
        <w:rPr>
          <w:bCs/>
          <w:iCs/>
          <w:lang w:val="en-GB"/>
        </w:rPr>
      </w:pPr>
      <w:r>
        <w:rPr>
          <w:bCs/>
          <w:iCs/>
          <w:color w:val="000000" w:themeColor="text1"/>
          <w:lang w:val="en-GB"/>
        </w:rPr>
        <w:t>Maten-</w:t>
      </w:r>
      <w:proofErr w:type="spellStart"/>
      <w:r>
        <w:rPr>
          <w:bCs/>
          <w:iCs/>
          <w:color w:val="000000" w:themeColor="text1"/>
          <w:lang w:val="en-GB"/>
        </w:rPr>
        <w:t>Speksnijder</w:t>
      </w:r>
      <w:proofErr w:type="spellEnd"/>
      <w:r>
        <w:rPr>
          <w:bCs/>
          <w:iCs/>
          <w:color w:val="000000" w:themeColor="text1"/>
          <w:lang w:val="en-GB"/>
        </w:rPr>
        <w:t xml:space="preserve">, A., </w:t>
      </w:r>
      <w:proofErr w:type="spellStart"/>
      <w:r>
        <w:rPr>
          <w:bCs/>
          <w:iCs/>
          <w:color w:val="000000" w:themeColor="text1"/>
          <w:lang w:val="en-GB"/>
        </w:rPr>
        <w:t>Dwarswaard</w:t>
      </w:r>
      <w:proofErr w:type="spellEnd"/>
      <w:r>
        <w:rPr>
          <w:bCs/>
          <w:iCs/>
          <w:color w:val="000000" w:themeColor="text1"/>
          <w:lang w:val="en-GB"/>
        </w:rPr>
        <w:t xml:space="preserve">, J., Meurs, P. L. &amp; Staa, A. V. (2016). Rhetoric or reality? What nurse practitioners do to provide self-management support in outpatient clinics: an ethnographic study. </w:t>
      </w:r>
      <w:r w:rsidRPr="00AD45C7">
        <w:rPr>
          <w:bCs/>
          <w:i/>
          <w:color w:val="000000" w:themeColor="text1"/>
          <w:lang w:val="en-GB"/>
        </w:rPr>
        <w:t>Journal of Clinical Nursing, 25</w:t>
      </w:r>
      <w:r>
        <w:rPr>
          <w:bCs/>
          <w:iCs/>
          <w:color w:val="000000" w:themeColor="text1"/>
          <w:lang w:val="en-GB"/>
        </w:rPr>
        <w:t xml:space="preserve"> (21-22). </w:t>
      </w:r>
      <w:hyperlink r:id="rId24" w:history="1">
        <w:r w:rsidRPr="00AD45C7">
          <w:rPr>
            <w:rStyle w:val="Hyperlink"/>
            <w:bCs/>
            <w:iCs/>
            <w:color w:val="auto"/>
          </w:rPr>
          <w:t>https://doi.org/10.1111/jocn.13345</w:t>
        </w:r>
      </w:hyperlink>
      <w:r w:rsidRPr="00AD45C7">
        <w:rPr>
          <w:bCs/>
          <w:iCs/>
          <w:lang w:val="en-GB"/>
        </w:rPr>
        <w:t xml:space="preserve"> </w:t>
      </w:r>
    </w:p>
    <w:p w14:paraId="0595521B" w14:textId="77777777" w:rsidR="00752D71" w:rsidRPr="004C42AA" w:rsidRDefault="00752D71" w:rsidP="00752D71">
      <w:pPr>
        <w:ind w:left="720" w:hanging="720"/>
        <w:rPr>
          <w:bCs/>
          <w:iCs/>
          <w:lang w:val="en-GB"/>
        </w:rPr>
      </w:pPr>
      <w:r>
        <w:rPr>
          <w:bCs/>
          <w:iCs/>
          <w:lang w:val="en-GB"/>
        </w:rPr>
        <w:t xml:space="preserve">McBride, M., Kilgore, C., &amp; </w:t>
      </w:r>
      <w:proofErr w:type="spellStart"/>
      <w:r>
        <w:rPr>
          <w:bCs/>
          <w:iCs/>
          <w:lang w:val="en-GB"/>
        </w:rPr>
        <w:t>Gunowa</w:t>
      </w:r>
      <w:proofErr w:type="spellEnd"/>
      <w:r>
        <w:rPr>
          <w:bCs/>
          <w:iCs/>
          <w:lang w:val="en-GB"/>
        </w:rPr>
        <w:t xml:space="preserve">, N. O. (2024). The role of community and district nurses. </w:t>
      </w:r>
      <w:r w:rsidRPr="004C42AA">
        <w:rPr>
          <w:bCs/>
          <w:i/>
          <w:lang w:val="en-GB"/>
        </w:rPr>
        <w:t>Clinic in Integrated Care, 27</w:t>
      </w:r>
      <w:r>
        <w:rPr>
          <w:bCs/>
          <w:iCs/>
          <w:lang w:val="en-GB"/>
        </w:rPr>
        <w:t xml:space="preserve">. </w:t>
      </w:r>
      <w:hyperlink r:id="rId25" w:tgtFrame="_blank" w:tooltip="Persistent link using digital object identifier" w:history="1">
        <w:r w:rsidRPr="004C42AA">
          <w:rPr>
            <w:rStyle w:val="Hyperlink"/>
            <w:bCs/>
            <w:iCs/>
            <w:color w:val="auto"/>
          </w:rPr>
          <w:t>https://doi.org/10.1016/j.intcar.2024.100231</w:t>
        </w:r>
      </w:hyperlink>
      <w:r w:rsidRPr="004C42AA">
        <w:rPr>
          <w:bCs/>
          <w:iCs/>
          <w:lang w:val="en-GB"/>
        </w:rPr>
        <w:t xml:space="preserve"> </w:t>
      </w:r>
    </w:p>
    <w:p w14:paraId="4C7B8FE1" w14:textId="77777777" w:rsidR="00752D71" w:rsidRPr="00797856" w:rsidRDefault="00752D71" w:rsidP="00752D71">
      <w:pPr>
        <w:ind w:left="720" w:hanging="720"/>
        <w:rPr>
          <w:bCs/>
          <w:iCs/>
          <w:color w:val="000000" w:themeColor="text1"/>
          <w:lang w:val="en-GB"/>
        </w:rPr>
      </w:pPr>
      <w:r w:rsidRPr="004C42AA">
        <w:rPr>
          <w:bCs/>
          <w:iCs/>
          <w:lang w:val="en-GB"/>
        </w:rPr>
        <w:lastRenderedPageBreak/>
        <w:t>Neill, D. (2011). Nursing Workload and the Changing Health Care Environment</w:t>
      </w:r>
      <w:r>
        <w:rPr>
          <w:bCs/>
          <w:iCs/>
          <w:color w:val="000000" w:themeColor="text1"/>
          <w:lang w:val="en-GB"/>
        </w:rPr>
        <w:t>: A Review of the Literature</w:t>
      </w:r>
      <w:r w:rsidRPr="00D87F83">
        <w:rPr>
          <w:bCs/>
          <w:i/>
          <w:color w:val="000000" w:themeColor="text1"/>
          <w:lang w:val="en-GB"/>
        </w:rPr>
        <w:t>. Administrative Issues Journal Education Practice and Research, 1</w:t>
      </w:r>
      <w:r>
        <w:rPr>
          <w:bCs/>
          <w:iCs/>
          <w:color w:val="000000" w:themeColor="text1"/>
          <w:lang w:val="en-GB"/>
        </w:rPr>
        <w:t xml:space="preserve"> (2). </w:t>
      </w:r>
      <w:r w:rsidRPr="00D87F83">
        <w:rPr>
          <w:bCs/>
          <w:iCs/>
        </w:rPr>
        <w:t>doi:</w:t>
      </w:r>
      <w:hyperlink r:id="rId26" w:tgtFrame="_blank" w:history="1">
        <w:r w:rsidRPr="00D87F83">
          <w:rPr>
            <w:rStyle w:val="Hyperlink"/>
            <w:bCs/>
            <w:iCs/>
            <w:color w:val="auto"/>
          </w:rPr>
          <w:t>10.5929/2011.1.2.11</w:t>
        </w:r>
      </w:hyperlink>
    </w:p>
    <w:p w14:paraId="3B4B7BD0" w14:textId="77777777" w:rsidR="00752D71" w:rsidRPr="00983D07" w:rsidRDefault="00752D71" w:rsidP="00752D71">
      <w:pPr>
        <w:ind w:left="720" w:hanging="720"/>
        <w:rPr>
          <w:bCs/>
          <w:iCs/>
          <w:color w:val="000000" w:themeColor="text1"/>
          <w:lang w:val="en-GB"/>
        </w:rPr>
      </w:pPr>
      <w:r w:rsidRPr="00797856">
        <w:rPr>
          <w:bCs/>
          <w:iCs/>
          <w:color w:val="000000" w:themeColor="text1"/>
          <w:lang w:val="en-GB"/>
        </w:rPr>
        <w:t xml:space="preserve">Schmidt, S., Tinti, C., Fantino, M., Mammarella, I. C., &amp; </w:t>
      </w:r>
      <w:proofErr w:type="spellStart"/>
      <w:r w:rsidRPr="00797856">
        <w:rPr>
          <w:bCs/>
          <w:iCs/>
          <w:color w:val="000000" w:themeColor="text1"/>
          <w:lang w:val="en-GB"/>
        </w:rPr>
        <w:t>Cornoldi</w:t>
      </w:r>
      <w:proofErr w:type="spellEnd"/>
      <w:r w:rsidRPr="00797856">
        <w:rPr>
          <w:bCs/>
          <w:iCs/>
          <w:color w:val="000000" w:themeColor="text1"/>
          <w:lang w:val="en-GB"/>
        </w:rPr>
        <w:t xml:space="preserve">, C. (2013). </w:t>
      </w:r>
      <w:r w:rsidRPr="00023DAD">
        <w:rPr>
          <w:bCs/>
          <w:iCs/>
          <w:color w:val="000000" w:themeColor="text1"/>
          <w:lang w:val="en-GB"/>
        </w:rPr>
        <w:t>Spatial rep</w:t>
      </w:r>
      <w:r>
        <w:rPr>
          <w:bCs/>
          <w:iCs/>
          <w:color w:val="000000" w:themeColor="text1"/>
          <w:lang w:val="en-GB"/>
        </w:rPr>
        <w:t xml:space="preserve">resentations in blind people: The role of strategies and mobility skills. </w:t>
      </w:r>
      <w:r w:rsidRPr="00983D07">
        <w:rPr>
          <w:bCs/>
          <w:i/>
          <w:color w:val="000000" w:themeColor="text1"/>
          <w:lang w:val="en-GB"/>
        </w:rPr>
        <w:t xml:space="preserve">Acta </w:t>
      </w:r>
      <w:proofErr w:type="spellStart"/>
      <w:r w:rsidRPr="00983D07">
        <w:rPr>
          <w:bCs/>
          <w:i/>
          <w:color w:val="000000" w:themeColor="text1"/>
          <w:lang w:val="en-GB"/>
        </w:rPr>
        <w:t>Psychologica</w:t>
      </w:r>
      <w:proofErr w:type="spellEnd"/>
      <w:r w:rsidRPr="00983D07">
        <w:rPr>
          <w:bCs/>
          <w:i/>
          <w:color w:val="000000" w:themeColor="text1"/>
          <w:lang w:val="en-GB"/>
        </w:rPr>
        <w:t>, 142</w:t>
      </w:r>
      <w:r w:rsidRPr="00983D07">
        <w:rPr>
          <w:bCs/>
          <w:iCs/>
          <w:color w:val="000000" w:themeColor="text1"/>
          <w:lang w:val="en-GB"/>
        </w:rPr>
        <w:t xml:space="preserve"> (1). </w:t>
      </w:r>
      <w:hyperlink r:id="rId27" w:tgtFrame="_blank" w:tooltip="Persistent link using digital object identifier" w:history="1">
        <w:r w:rsidRPr="00983D07">
          <w:rPr>
            <w:rStyle w:val="Hyperlink"/>
            <w:bCs/>
            <w:iCs/>
            <w:color w:val="000000" w:themeColor="text1"/>
            <w:lang w:val="en-GB"/>
          </w:rPr>
          <w:t>https://doi.org/10.1016/j.actpsy.2012.11.010</w:t>
        </w:r>
      </w:hyperlink>
      <w:r w:rsidRPr="00983D07">
        <w:rPr>
          <w:bCs/>
          <w:iCs/>
          <w:color w:val="000000" w:themeColor="text1"/>
          <w:lang w:val="en-GB"/>
        </w:rPr>
        <w:t xml:space="preserve"> </w:t>
      </w:r>
    </w:p>
    <w:p w14:paraId="59D9A291" w14:textId="19F70D94" w:rsidR="00752D71" w:rsidRDefault="00752D71" w:rsidP="00752D71">
      <w:pPr>
        <w:ind w:left="720" w:hanging="720"/>
        <w:rPr>
          <w:bCs/>
          <w:iCs/>
          <w:color w:val="000000" w:themeColor="text1"/>
        </w:rPr>
      </w:pPr>
      <w:r w:rsidRPr="00A84AF4">
        <w:rPr>
          <w:bCs/>
          <w:iCs/>
          <w:color w:val="000000" w:themeColor="text1"/>
          <w:lang w:val="en-GB"/>
        </w:rPr>
        <w:t xml:space="preserve">Seferi, A., </w:t>
      </w:r>
      <w:proofErr w:type="spellStart"/>
      <w:r w:rsidRPr="00A84AF4">
        <w:rPr>
          <w:bCs/>
          <w:iCs/>
          <w:color w:val="000000" w:themeColor="text1"/>
          <w:lang w:val="en-GB"/>
        </w:rPr>
        <w:t>Parginos</w:t>
      </w:r>
      <w:proofErr w:type="spellEnd"/>
      <w:r w:rsidRPr="00A84AF4">
        <w:rPr>
          <w:bCs/>
          <w:iCs/>
          <w:color w:val="000000" w:themeColor="text1"/>
          <w:lang w:val="en-GB"/>
        </w:rPr>
        <w:t xml:space="preserve">, K., Jean, W., Calero, C., Fogel, J., Modeste, S., Scott, B. A., Daly-Walsh, M., Yap, W., Kaur, M., Brady, T., &amp; Madaline, T. </w:t>
      </w:r>
      <w:r>
        <w:rPr>
          <w:bCs/>
          <w:iCs/>
          <w:color w:val="000000" w:themeColor="text1"/>
          <w:lang w:val="en-GB"/>
        </w:rPr>
        <w:t xml:space="preserve">(2023). Hand </w:t>
      </w:r>
      <w:proofErr w:type="spellStart"/>
      <w:r>
        <w:rPr>
          <w:bCs/>
          <w:iCs/>
          <w:color w:val="000000" w:themeColor="text1"/>
          <w:lang w:val="en-GB"/>
        </w:rPr>
        <w:t>hygeien</w:t>
      </w:r>
      <w:proofErr w:type="spellEnd"/>
      <w:r>
        <w:rPr>
          <w:bCs/>
          <w:iCs/>
          <w:color w:val="000000" w:themeColor="text1"/>
          <w:lang w:val="en-GB"/>
        </w:rPr>
        <w:t xml:space="preserve"> behaviour change: a review and pilot study of an automated hand hygiene reminder system implementation in a public hospital. </w:t>
      </w:r>
      <w:r w:rsidRPr="00BF1A4E">
        <w:rPr>
          <w:bCs/>
          <w:i/>
          <w:color w:val="000000" w:themeColor="text1"/>
          <w:lang w:val="en-GB"/>
        </w:rPr>
        <w:t>Antimicrobial Stewardship and Healthcare Epidemiology, 3</w:t>
      </w:r>
      <w:r>
        <w:rPr>
          <w:bCs/>
          <w:iCs/>
          <w:color w:val="000000" w:themeColor="text1"/>
          <w:lang w:val="en-GB"/>
        </w:rPr>
        <w:t xml:space="preserve"> (1). </w:t>
      </w:r>
      <w:r w:rsidRPr="00BF1A4E">
        <w:rPr>
          <w:bCs/>
          <w:iCs/>
          <w:color w:val="000000" w:themeColor="text1"/>
        </w:rPr>
        <w:t>doi:10.1017/ash.2023.195</w:t>
      </w:r>
      <w:r>
        <w:rPr>
          <w:bCs/>
          <w:iCs/>
          <w:color w:val="000000" w:themeColor="text1"/>
        </w:rPr>
        <w:t xml:space="preserve"> </w:t>
      </w:r>
    </w:p>
    <w:p w14:paraId="0DAC3502" w14:textId="4EE69D3C" w:rsidR="00C8021C" w:rsidRPr="00C8021C" w:rsidRDefault="00C8021C" w:rsidP="00752D71">
      <w:pPr>
        <w:ind w:left="720" w:hanging="720"/>
        <w:rPr>
          <w:iCs/>
          <w:color w:val="000000" w:themeColor="text1"/>
          <w:lang w:val="en-GB"/>
        </w:rPr>
      </w:pPr>
      <w:r w:rsidRPr="00204651">
        <w:rPr>
          <w:iCs/>
          <w:color w:val="000000" w:themeColor="text1"/>
          <w:lang w:val="en-GB"/>
        </w:rPr>
        <w:t xml:space="preserve">Swanson, H. L., &amp; Siegel, L. (2001). </w:t>
      </w:r>
      <w:r w:rsidRPr="00C8021C">
        <w:rPr>
          <w:iCs/>
          <w:color w:val="000000" w:themeColor="text1"/>
        </w:rPr>
        <w:t xml:space="preserve">Learning disabilities as a working memory deficit. </w:t>
      </w:r>
      <w:r w:rsidRPr="00C8021C">
        <w:rPr>
          <w:i/>
          <w:iCs/>
          <w:color w:val="000000" w:themeColor="text1"/>
        </w:rPr>
        <w:t>Issues in Education: Contributions from Educational Psychology</w:t>
      </w:r>
      <w:r w:rsidRPr="00C8021C">
        <w:rPr>
          <w:iCs/>
          <w:color w:val="000000" w:themeColor="text1"/>
        </w:rPr>
        <w:t>, 7(1), 1–48.</w:t>
      </w:r>
    </w:p>
    <w:p w14:paraId="25786357" w14:textId="77777777" w:rsidR="00752D71" w:rsidRPr="00667F9C" w:rsidRDefault="00752D71" w:rsidP="006B2F4E">
      <w:pPr>
        <w:jc w:val="center"/>
        <w:rPr>
          <w:b/>
          <w:i/>
        </w:rPr>
      </w:pPr>
    </w:p>
    <w:p w14:paraId="18B7BD7B" w14:textId="09AF56A6" w:rsidR="00A81248" w:rsidRPr="003A798E" w:rsidRDefault="0098239A" w:rsidP="0098239A">
      <w:pPr>
        <w:pStyle w:val="Heading2"/>
        <w:jc w:val="center"/>
      </w:pPr>
      <w:r w:rsidRPr="003A798E">
        <w:rPr>
          <w:noProof/>
          <w:lang w:eastAsia="en-AU"/>
        </w:rPr>
        <w:t xml:space="preserve"> </w:t>
      </w:r>
    </w:p>
    <w:sectPr w:rsidR="00A81248" w:rsidRPr="003A798E" w:rsidSect="00A24793">
      <w:footerReference w:type="even" r:id="rId28"/>
      <w:footerReference w:type="default" r:id="rId29"/>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D8AB1" w14:textId="77777777" w:rsidR="00907461" w:rsidRDefault="00907461" w:rsidP="001205A1">
      <w:r>
        <w:separator/>
      </w:r>
    </w:p>
  </w:endnote>
  <w:endnote w:type="continuationSeparator" w:id="0">
    <w:p w14:paraId="47C7434D" w14:textId="77777777" w:rsidR="00907461" w:rsidRDefault="00907461"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Hei">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97884697"/>
      <w:docPartObj>
        <w:docPartGallery w:val="Page Numbers (Bottom of Page)"/>
        <w:docPartUnique/>
      </w:docPartObj>
    </w:sdtPr>
    <w:sdtEndPr>
      <w:rPr>
        <w:rStyle w:val="PageNumber"/>
      </w:rPr>
    </w:sdtEndPr>
    <w:sdtContent>
      <w:p w14:paraId="198F700F" w14:textId="77777777" w:rsidR="001205A1" w:rsidRDefault="00120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7B0740">
          <w:rPr>
            <w:rStyle w:val="PageNumber"/>
            <w:noProof/>
          </w:rPr>
          <w:t>2</w:t>
        </w:r>
        <w:r>
          <w:rPr>
            <w:rStyle w:val="PageNumber"/>
          </w:rPr>
          <w:fldChar w:fldCharType="end"/>
        </w:r>
      </w:p>
    </w:sdtContent>
  </w:sdt>
  <w:p w14:paraId="2ECA9D28"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1358343"/>
      <w:docPartObj>
        <w:docPartGallery w:val="Page Numbers (Bottom of Page)"/>
        <w:docPartUnique/>
      </w:docPartObj>
    </w:sdtPr>
    <w:sdtEndPr>
      <w:rPr>
        <w:rStyle w:val="PageNumber"/>
      </w:rPr>
    </w:sdtEndPr>
    <w:sdtContent>
      <w:p w14:paraId="31DC9860" w14:textId="77777777" w:rsidR="001205A1" w:rsidRDefault="001205A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66528">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1205A1" w14:paraId="21EEB6C5" w14:textId="77777777" w:rsidTr="005F4F46">
      <w:tc>
        <w:tcPr>
          <w:tcW w:w="5395" w:type="dxa"/>
        </w:tcPr>
        <w:p w14:paraId="76CE729D" w14:textId="63E679B3" w:rsidR="001205A1" w:rsidRPr="001205A1" w:rsidRDefault="000A2B5E" w:rsidP="00C66528">
          <w:pPr>
            <w:pStyle w:val="Footer"/>
          </w:pPr>
          <w:r>
            <w:rPr>
              <w:color w:val="7F7F7F" w:themeColor="text1" w:themeTint="80"/>
            </w:rPr>
            <w:t>CASE REPORT</w:t>
          </w:r>
        </w:p>
      </w:tc>
      <w:tc>
        <w:tcPr>
          <w:tcW w:w="5395" w:type="dxa"/>
        </w:tcPr>
        <w:p w14:paraId="690FE5C5" w14:textId="77777777" w:rsidR="001205A1" w:rsidRPr="001205A1" w:rsidRDefault="001205A1" w:rsidP="001205A1">
          <w:pPr>
            <w:pStyle w:val="Footer"/>
          </w:pPr>
          <w:r w:rsidRPr="001205A1">
            <w:t xml:space="preserve">   </w:t>
          </w:r>
        </w:p>
      </w:tc>
    </w:tr>
  </w:tbl>
  <w:p w14:paraId="5DE6753D" w14:textId="77777777" w:rsidR="001205A1" w:rsidRDefault="001205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F61AD" w14:textId="77777777" w:rsidR="00907461" w:rsidRDefault="00907461" w:rsidP="001205A1">
      <w:r>
        <w:separator/>
      </w:r>
    </w:p>
  </w:footnote>
  <w:footnote w:type="continuationSeparator" w:id="0">
    <w:p w14:paraId="469C3F7C" w14:textId="77777777" w:rsidR="00907461" w:rsidRDefault="00907461" w:rsidP="001205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F9A"/>
    <w:rsid w:val="00001B3D"/>
    <w:rsid w:val="0000389E"/>
    <w:rsid w:val="00003DAE"/>
    <w:rsid w:val="00005352"/>
    <w:rsid w:val="00006BF4"/>
    <w:rsid w:val="000307FB"/>
    <w:rsid w:val="00032F87"/>
    <w:rsid w:val="00040949"/>
    <w:rsid w:val="00045405"/>
    <w:rsid w:val="00045C96"/>
    <w:rsid w:val="00054138"/>
    <w:rsid w:val="00056CAF"/>
    <w:rsid w:val="000575B3"/>
    <w:rsid w:val="0007100B"/>
    <w:rsid w:val="00074C3B"/>
    <w:rsid w:val="00075880"/>
    <w:rsid w:val="00082105"/>
    <w:rsid w:val="00083B0D"/>
    <w:rsid w:val="00084938"/>
    <w:rsid w:val="00086243"/>
    <w:rsid w:val="000863A6"/>
    <w:rsid w:val="000A0AB8"/>
    <w:rsid w:val="000A2B5E"/>
    <w:rsid w:val="000A494E"/>
    <w:rsid w:val="000A4CD7"/>
    <w:rsid w:val="000A79EF"/>
    <w:rsid w:val="000B0A4E"/>
    <w:rsid w:val="000B28FA"/>
    <w:rsid w:val="000B545E"/>
    <w:rsid w:val="000B61EB"/>
    <w:rsid w:val="000C1FC0"/>
    <w:rsid w:val="000C3187"/>
    <w:rsid w:val="000C3483"/>
    <w:rsid w:val="000C4ED1"/>
    <w:rsid w:val="000C7261"/>
    <w:rsid w:val="000D2CDB"/>
    <w:rsid w:val="000D5641"/>
    <w:rsid w:val="000E131D"/>
    <w:rsid w:val="000E3F16"/>
    <w:rsid w:val="000E52F4"/>
    <w:rsid w:val="000F0CE7"/>
    <w:rsid w:val="000F1FDC"/>
    <w:rsid w:val="000F27CA"/>
    <w:rsid w:val="000F56D0"/>
    <w:rsid w:val="00100E70"/>
    <w:rsid w:val="00112F53"/>
    <w:rsid w:val="001153B5"/>
    <w:rsid w:val="0011787B"/>
    <w:rsid w:val="001205A1"/>
    <w:rsid w:val="00130644"/>
    <w:rsid w:val="001306A3"/>
    <w:rsid w:val="001316B2"/>
    <w:rsid w:val="00142120"/>
    <w:rsid w:val="00142431"/>
    <w:rsid w:val="00146FCD"/>
    <w:rsid w:val="001560D2"/>
    <w:rsid w:val="001573D7"/>
    <w:rsid w:val="0016759F"/>
    <w:rsid w:val="001704F2"/>
    <w:rsid w:val="00175670"/>
    <w:rsid w:val="0017720C"/>
    <w:rsid w:val="0018012A"/>
    <w:rsid w:val="00182901"/>
    <w:rsid w:val="00187F49"/>
    <w:rsid w:val="00190FA9"/>
    <w:rsid w:val="001A0CD2"/>
    <w:rsid w:val="001A17AD"/>
    <w:rsid w:val="001A2959"/>
    <w:rsid w:val="001A2A51"/>
    <w:rsid w:val="001A5D89"/>
    <w:rsid w:val="001B1CC7"/>
    <w:rsid w:val="001B563C"/>
    <w:rsid w:val="001C32DA"/>
    <w:rsid w:val="001D1FCF"/>
    <w:rsid w:val="001D42B9"/>
    <w:rsid w:val="001D5CCA"/>
    <w:rsid w:val="001D6B36"/>
    <w:rsid w:val="001E3333"/>
    <w:rsid w:val="001F05F6"/>
    <w:rsid w:val="001F41BF"/>
    <w:rsid w:val="001F77E5"/>
    <w:rsid w:val="00200208"/>
    <w:rsid w:val="00200F9A"/>
    <w:rsid w:val="00202549"/>
    <w:rsid w:val="0020381E"/>
    <w:rsid w:val="00203C20"/>
    <w:rsid w:val="00204651"/>
    <w:rsid w:val="00211AF9"/>
    <w:rsid w:val="00211C03"/>
    <w:rsid w:val="0021490B"/>
    <w:rsid w:val="002150D8"/>
    <w:rsid w:val="0021635E"/>
    <w:rsid w:val="00226A4A"/>
    <w:rsid w:val="00234DCA"/>
    <w:rsid w:val="002470E1"/>
    <w:rsid w:val="00247890"/>
    <w:rsid w:val="00256048"/>
    <w:rsid w:val="00272C02"/>
    <w:rsid w:val="00272D84"/>
    <w:rsid w:val="00280350"/>
    <w:rsid w:val="002803FF"/>
    <w:rsid w:val="002876E8"/>
    <w:rsid w:val="002877E8"/>
    <w:rsid w:val="00287CB1"/>
    <w:rsid w:val="002A5F05"/>
    <w:rsid w:val="002B1045"/>
    <w:rsid w:val="002B3CDC"/>
    <w:rsid w:val="002B3E11"/>
    <w:rsid w:val="002B4E7B"/>
    <w:rsid w:val="002D5863"/>
    <w:rsid w:val="002D6DB8"/>
    <w:rsid w:val="002E0F48"/>
    <w:rsid w:val="002E2481"/>
    <w:rsid w:val="002E5063"/>
    <w:rsid w:val="002E660A"/>
    <w:rsid w:val="002E7C4E"/>
    <w:rsid w:val="002F1217"/>
    <w:rsid w:val="002F1CC7"/>
    <w:rsid w:val="00305176"/>
    <w:rsid w:val="0031055C"/>
    <w:rsid w:val="003122E2"/>
    <w:rsid w:val="00316AFC"/>
    <w:rsid w:val="00321579"/>
    <w:rsid w:val="003228D7"/>
    <w:rsid w:val="0032444A"/>
    <w:rsid w:val="00327AA2"/>
    <w:rsid w:val="00333453"/>
    <w:rsid w:val="00335EAF"/>
    <w:rsid w:val="00337C65"/>
    <w:rsid w:val="0034143E"/>
    <w:rsid w:val="00344F20"/>
    <w:rsid w:val="00351E58"/>
    <w:rsid w:val="003532E4"/>
    <w:rsid w:val="00356039"/>
    <w:rsid w:val="00361A61"/>
    <w:rsid w:val="00361F5C"/>
    <w:rsid w:val="00364525"/>
    <w:rsid w:val="00371EE1"/>
    <w:rsid w:val="00376DF0"/>
    <w:rsid w:val="003870C2"/>
    <w:rsid w:val="003870EE"/>
    <w:rsid w:val="00387389"/>
    <w:rsid w:val="003941C6"/>
    <w:rsid w:val="00395289"/>
    <w:rsid w:val="003A75E1"/>
    <w:rsid w:val="003A798E"/>
    <w:rsid w:val="003B7FE5"/>
    <w:rsid w:val="003C1CC2"/>
    <w:rsid w:val="003C4603"/>
    <w:rsid w:val="003E6049"/>
    <w:rsid w:val="003F132D"/>
    <w:rsid w:val="003F5B71"/>
    <w:rsid w:val="00402D9C"/>
    <w:rsid w:val="0040472C"/>
    <w:rsid w:val="0041027A"/>
    <w:rsid w:val="00412217"/>
    <w:rsid w:val="00422530"/>
    <w:rsid w:val="00425A99"/>
    <w:rsid w:val="0043676E"/>
    <w:rsid w:val="00450684"/>
    <w:rsid w:val="0045084B"/>
    <w:rsid w:val="004529B1"/>
    <w:rsid w:val="0045768D"/>
    <w:rsid w:val="00467DCB"/>
    <w:rsid w:val="004701F2"/>
    <w:rsid w:val="00475C45"/>
    <w:rsid w:val="00487B8C"/>
    <w:rsid w:val="00487FC1"/>
    <w:rsid w:val="004917B1"/>
    <w:rsid w:val="00494BC7"/>
    <w:rsid w:val="00495E12"/>
    <w:rsid w:val="0049645C"/>
    <w:rsid w:val="004A09D1"/>
    <w:rsid w:val="004A12A4"/>
    <w:rsid w:val="004A21AF"/>
    <w:rsid w:val="004A29F6"/>
    <w:rsid w:val="004A5893"/>
    <w:rsid w:val="004B41F8"/>
    <w:rsid w:val="004C28A1"/>
    <w:rsid w:val="004C3718"/>
    <w:rsid w:val="004C6742"/>
    <w:rsid w:val="004D10C6"/>
    <w:rsid w:val="004D1530"/>
    <w:rsid w:val="004D7E06"/>
    <w:rsid w:val="004D7E52"/>
    <w:rsid w:val="004E2630"/>
    <w:rsid w:val="004E2D7D"/>
    <w:rsid w:val="004E65BD"/>
    <w:rsid w:val="004F0AC9"/>
    <w:rsid w:val="004F0B9F"/>
    <w:rsid w:val="00512784"/>
    <w:rsid w:val="00515C7E"/>
    <w:rsid w:val="005228C0"/>
    <w:rsid w:val="005252BC"/>
    <w:rsid w:val="005255FB"/>
    <w:rsid w:val="00525CEC"/>
    <w:rsid w:val="00532567"/>
    <w:rsid w:val="00534CE7"/>
    <w:rsid w:val="005404EA"/>
    <w:rsid w:val="00540AEE"/>
    <w:rsid w:val="005416CD"/>
    <w:rsid w:val="00542E22"/>
    <w:rsid w:val="00547FCF"/>
    <w:rsid w:val="00562BE4"/>
    <w:rsid w:val="005646F7"/>
    <w:rsid w:val="005647EB"/>
    <w:rsid w:val="00567BF0"/>
    <w:rsid w:val="005801ED"/>
    <w:rsid w:val="005825D6"/>
    <w:rsid w:val="0058493F"/>
    <w:rsid w:val="00594888"/>
    <w:rsid w:val="005A6BC3"/>
    <w:rsid w:val="005A72E9"/>
    <w:rsid w:val="005B14D7"/>
    <w:rsid w:val="005B5D35"/>
    <w:rsid w:val="005B753E"/>
    <w:rsid w:val="005C5C8B"/>
    <w:rsid w:val="005D0519"/>
    <w:rsid w:val="005D41CD"/>
    <w:rsid w:val="005D6C62"/>
    <w:rsid w:val="005E0C7F"/>
    <w:rsid w:val="005E27C4"/>
    <w:rsid w:val="005E6B25"/>
    <w:rsid w:val="005F102B"/>
    <w:rsid w:val="005F4F46"/>
    <w:rsid w:val="005F780F"/>
    <w:rsid w:val="00602EF0"/>
    <w:rsid w:val="00605AF1"/>
    <w:rsid w:val="0060736D"/>
    <w:rsid w:val="00610122"/>
    <w:rsid w:val="006110D5"/>
    <w:rsid w:val="00615BBB"/>
    <w:rsid w:val="0062246F"/>
    <w:rsid w:val="0062629B"/>
    <w:rsid w:val="006277E0"/>
    <w:rsid w:val="00630D7D"/>
    <w:rsid w:val="00636D71"/>
    <w:rsid w:val="00654528"/>
    <w:rsid w:val="006606E2"/>
    <w:rsid w:val="00672B6D"/>
    <w:rsid w:val="0067687B"/>
    <w:rsid w:val="006838F3"/>
    <w:rsid w:val="00686613"/>
    <w:rsid w:val="00691496"/>
    <w:rsid w:val="0069154F"/>
    <w:rsid w:val="00691D21"/>
    <w:rsid w:val="00691FD6"/>
    <w:rsid w:val="00695A86"/>
    <w:rsid w:val="006A1152"/>
    <w:rsid w:val="006A269E"/>
    <w:rsid w:val="006B2EA5"/>
    <w:rsid w:val="006B2F4E"/>
    <w:rsid w:val="006B7872"/>
    <w:rsid w:val="006C0922"/>
    <w:rsid w:val="006C60E6"/>
    <w:rsid w:val="006D5706"/>
    <w:rsid w:val="006D639E"/>
    <w:rsid w:val="006E1C5E"/>
    <w:rsid w:val="006E681A"/>
    <w:rsid w:val="006F1187"/>
    <w:rsid w:val="006F73B8"/>
    <w:rsid w:val="007064C8"/>
    <w:rsid w:val="00707CDC"/>
    <w:rsid w:val="00714F6A"/>
    <w:rsid w:val="00722C9E"/>
    <w:rsid w:val="007250E7"/>
    <w:rsid w:val="00725613"/>
    <w:rsid w:val="00725CAD"/>
    <w:rsid w:val="00731FB5"/>
    <w:rsid w:val="0073257B"/>
    <w:rsid w:val="00743CEC"/>
    <w:rsid w:val="00752D71"/>
    <w:rsid w:val="0075666C"/>
    <w:rsid w:val="00760897"/>
    <w:rsid w:val="00766C02"/>
    <w:rsid w:val="007706F3"/>
    <w:rsid w:val="00780792"/>
    <w:rsid w:val="007861B7"/>
    <w:rsid w:val="00786787"/>
    <w:rsid w:val="00790254"/>
    <w:rsid w:val="00796449"/>
    <w:rsid w:val="007A2043"/>
    <w:rsid w:val="007A206E"/>
    <w:rsid w:val="007B0740"/>
    <w:rsid w:val="007B2C92"/>
    <w:rsid w:val="007C1BAB"/>
    <w:rsid w:val="007C7B6A"/>
    <w:rsid w:val="007D0589"/>
    <w:rsid w:val="007D4536"/>
    <w:rsid w:val="007D4DD9"/>
    <w:rsid w:val="007E22B8"/>
    <w:rsid w:val="007E2A0D"/>
    <w:rsid w:val="007E7A8E"/>
    <w:rsid w:val="007F0B98"/>
    <w:rsid w:val="007F246C"/>
    <w:rsid w:val="007F6B31"/>
    <w:rsid w:val="007F6F5B"/>
    <w:rsid w:val="00802451"/>
    <w:rsid w:val="00804E46"/>
    <w:rsid w:val="00806740"/>
    <w:rsid w:val="00810011"/>
    <w:rsid w:val="008205EF"/>
    <w:rsid w:val="00821908"/>
    <w:rsid w:val="00837E3F"/>
    <w:rsid w:val="0084147C"/>
    <w:rsid w:val="00847332"/>
    <w:rsid w:val="008562BC"/>
    <w:rsid w:val="00861295"/>
    <w:rsid w:val="008644A2"/>
    <w:rsid w:val="0086710C"/>
    <w:rsid w:val="00870898"/>
    <w:rsid w:val="00870E44"/>
    <w:rsid w:val="00871889"/>
    <w:rsid w:val="008803A1"/>
    <w:rsid w:val="008819F1"/>
    <w:rsid w:val="00882F39"/>
    <w:rsid w:val="00890177"/>
    <w:rsid w:val="00893AE1"/>
    <w:rsid w:val="0089505B"/>
    <w:rsid w:val="008A1998"/>
    <w:rsid w:val="008A2B67"/>
    <w:rsid w:val="008A2BF5"/>
    <w:rsid w:val="008A6B14"/>
    <w:rsid w:val="008C1A8D"/>
    <w:rsid w:val="008C1CD2"/>
    <w:rsid w:val="008C75D3"/>
    <w:rsid w:val="008D3370"/>
    <w:rsid w:val="008E36F5"/>
    <w:rsid w:val="008F50B9"/>
    <w:rsid w:val="00907461"/>
    <w:rsid w:val="00913380"/>
    <w:rsid w:val="00913FBB"/>
    <w:rsid w:val="00915509"/>
    <w:rsid w:val="00920463"/>
    <w:rsid w:val="00922C6B"/>
    <w:rsid w:val="00925E14"/>
    <w:rsid w:val="00943F51"/>
    <w:rsid w:val="009456F4"/>
    <w:rsid w:val="009557BD"/>
    <w:rsid w:val="009567B9"/>
    <w:rsid w:val="00956C50"/>
    <w:rsid w:val="00957DE7"/>
    <w:rsid w:val="00960DDA"/>
    <w:rsid w:val="00970B2C"/>
    <w:rsid w:val="00976457"/>
    <w:rsid w:val="009771D8"/>
    <w:rsid w:val="0097736C"/>
    <w:rsid w:val="0098239A"/>
    <w:rsid w:val="00983499"/>
    <w:rsid w:val="009838DE"/>
    <w:rsid w:val="00984656"/>
    <w:rsid w:val="009851B5"/>
    <w:rsid w:val="0098AFBD"/>
    <w:rsid w:val="009945A7"/>
    <w:rsid w:val="00995DF7"/>
    <w:rsid w:val="009A2351"/>
    <w:rsid w:val="009A46CD"/>
    <w:rsid w:val="009A5199"/>
    <w:rsid w:val="009A5320"/>
    <w:rsid w:val="009A63C8"/>
    <w:rsid w:val="009A6B4E"/>
    <w:rsid w:val="009A7ACF"/>
    <w:rsid w:val="009B0137"/>
    <w:rsid w:val="009B3EC6"/>
    <w:rsid w:val="009B4344"/>
    <w:rsid w:val="009B4E64"/>
    <w:rsid w:val="009B4F9A"/>
    <w:rsid w:val="009B64AC"/>
    <w:rsid w:val="009C0F2D"/>
    <w:rsid w:val="009D6549"/>
    <w:rsid w:val="009D6C0E"/>
    <w:rsid w:val="009E51F8"/>
    <w:rsid w:val="009E71C9"/>
    <w:rsid w:val="009F7533"/>
    <w:rsid w:val="00A01075"/>
    <w:rsid w:val="00A043C8"/>
    <w:rsid w:val="00A0444E"/>
    <w:rsid w:val="00A052CB"/>
    <w:rsid w:val="00A1240A"/>
    <w:rsid w:val="00A15CF7"/>
    <w:rsid w:val="00A1687C"/>
    <w:rsid w:val="00A16CE4"/>
    <w:rsid w:val="00A20E58"/>
    <w:rsid w:val="00A229A1"/>
    <w:rsid w:val="00A24793"/>
    <w:rsid w:val="00A27934"/>
    <w:rsid w:val="00A40EC1"/>
    <w:rsid w:val="00A41811"/>
    <w:rsid w:val="00A418B0"/>
    <w:rsid w:val="00A468A1"/>
    <w:rsid w:val="00A52EDF"/>
    <w:rsid w:val="00A557E3"/>
    <w:rsid w:val="00A56000"/>
    <w:rsid w:val="00A65495"/>
    <w:rsid w:val="00A65506"/>
    <w:rsid w:val="00A7544A"/>
    <w:rsid w:val="00A75521"/>
    <w:rsid w:val="00A7747D"/>
    <w:rsid w:val="00A77F25"/>
    <w:rsid w:val="00A80021"/>
    <w:rsid w:val="00A81248"/>
    <w:rsid w:val="00A81C53"/>
    <w:rsid w:val="00A86913"/>
    <w:rsid w:val="00A86BA7"/>
    <w:rsid w:val="00A956F9"/>
    <w:rsid w:val="00A95982"/>
    <w:rsid w:val="00A96BED"/>
    <w:rsid w:val="00AA2141"/>
    <w:rsid w:val="00AA65B1"/>
    <w:rsid w:val="00AA7AFC"/>
    <w:rsid w:val="00AB1151"/>
    <w:rsid w:val="00AB19E0"/>
    <w:rsid w:val="00AB2219"/>
    <w:rsid w:val="00AB5EDF"/>
    <w:rsid w:val="00AB6F55"/>
    <w:rsid w:val="00AB7530"/>
    <w:rsid w:val="00AC1D6C"/>
    <w:rsid w:val="00AD4E00"/>
    <w:rsid w:val="00AD4F3F"/>
    <w:rsid w:val="00AD6656"/>
    <w:rsid w:val="00AE0BFF"/>
    <w:rsid w:val="00AE3F64"/>
    <w:rsid w:val="00AE4BED"/>
    <w:rsid w:val="00AE7749"/>
    <w:rsid w:val="00AE7DB1"/>
    <w:rsid w:val="00B0026C"/>
    <w:rsid w:val="00B02636"/>
    <w:rsid w:val="00B11BBC"/>
    <w:rsid w:val="00B12EFE"/>
    <w:rsid w:val="00B17C6C"/>
    <w:rsid w:val="00B220EC"/>
    <w:rsid w:val="00B2358A"/>
    <w:rsid w:val="00B24673"/>
    <w:rsid w:val="00B26D3E"/>
    <w:rsid w:val="00B364E7"/>
    <w:rsid w:val="00B402AA"/>
    <w:rsid w:val="00B42A40"/>
    <w:rsid w:val="00B440B4"/>
    <w:rsid w:val="00B445E2"/>
    <w:rsid w:val="00B44A35"/>
    <w:rsid w:val="00B646D5"/>
    <w:rsid w:val="00B659D1"/>
    <w:rsid w:val="00B66A8B"/>
    <w:rsid w:val="00B66CAC"/>
    <w:rsid w:val="00B70E64"/>
    <w:rsid w:val="00B71B0A"/>
    <w:rsid w:val="00B82468"/>
    <w:rsid w:val="00B85CEF"/>
    <w:rsid w:val="00B92A63"/>
    <w:rsid w:val="00B94FB5"/>
    <w:rsid w:val="00B9595C"/>
    <w:rsid w:val="00B96E09"/>
    <w:rsid w:val="00BC11A2"/>
    <w:rsid w:val="00BD0760"/>
    <w:rsid w:val="00BD3FA7"/>
    <w:rsid w:val="00BD49A9"/>
    <w:rsid w:val="00BD751F"/>
    <w:rsid w:val="00BE0A06"/>
    <w:rsid w:val="00BE400E"/>
    <w:rsid w:val="00BE429B"/>
    <w:rsid w:val="00BE490A"/>
    <w:rsid w:val="00BE7B67"/>
    <w:rsid w:val="00C03517"/>
    <w:rsid w:val="00C05B7B"/>
    <w:rsid w:val="00C06539"/>
    <w:rsid w:val="00C1095D"/>
    <w:rsid w:val="00C123F6"/>
    <w:rsid w:val="00C24446"/>
    <w:rsid w:val="00C3323A"/>
    <w:rsid w:val="00C3671A"/>
    <w:rsid w:val="00C44195"/>
    <w:rsid w:val="00C526B8"/>
    <w:rsid w:val="00C529B8"/>
    <w:rsid w:val="00C52CAA"/>
    <w:rsid w:val="00C549CA"/>
    <w:rsid w:val="00C554DB"/>
    <w:rsid w:val="00C6127E"/>
    <w:rsid w:val="00C623F4"/>
    <w:rsid w:val="00C66528"/>
    <w:rsid w:val="00C70A46"/>
    <w:rsid w:val="00C71988"/>
    <w:rsid w:val="00C745BE"/>
    <w:rsid w:val="00C760F0"/>
    <w:rsid w:val="00C8021C"/>
    <w:rsid w:val="00C8097E"/>
    <w:rsid w:val="00C82097"/>
    <w:rsid w:val="00C83DFA"/>
    <w:rsid w:val="00C84E87"/>
    <w:rsid w:val="00C86981"/>
    <w:rsid w:val="00C878F0"/>
    <w:rsid w:val="00C90E5F"/>
    <w:rsid w:val="00C915F0"/>
    <w:rsid w:val="00C94D65"/>
    <w:rsid w:val="00C95C4D"/>
    <w:rsid w:val="00CA483C"/>
    <w:rsid w:val="00CB37C4"/>
    <w:rsid w:val="00CB60F3"/>
    <w:rsid w:val="00CD0327"/>
    <w:rsid w:val="00CD3BD1"/>
    <w:rsid w:val="00CE503F"/>
    <w:rsid w:val="00CE532D"/>
    <w:rsid w:val="00CE5558"/>
    <w:rsid w:val="00CF1545"/>
    <w:rsid w:val="00CF621D"/>
    <w:rsid w:val="00CF7EB1"/>
    <w:rsid w:val="00D073B3"/>
    <w:rsid w:val="00D137C2"/>
    <w:rsid w:val="00D15166"/>
    <w:rsid w:val="00D231C1"/>
    <w:rsid w:val="00D31988"/>
    <w:rsid w:val="00D32AF7"/>
    <w:rsid w:val="00D3737C"/>
    <w:rsid w:val="00D44524"/>
    <w:rsid w:val="00D5537F"/>
    <w:rsid w:val="00D60B67"/>
    <w:rsid w:val="00D62251"/>
    <w:rsid w:val="00D637D2"/>
    <w:rsid w:val="00D6492E"/>
    <w:rsid w:val="00D661A8"/>
    <w:rsid w:val="00D720ED"/>
    <w:rsid w:val="00D75A45"/>
    <w:rsid w:val="00D83510"/>
    <w:rsid w:val="00D856BD"/>
    <w:rsid w:val="00D874B5"/>
    <w:rsid w:val="00D93769"/>
    <w:rsid w:val="00D94FD5"/>
    <w:rsid w:val="00DA1116"/>
    <w:rsid w:val="00DB290E"/>
    <w:rsid w:val="00DB2FE1"/>
    <w:rsid w:val="00DB4B17"/>
    <w:rsid w:val="00DB6E6C"/>
    <w:rsid w:val="00DC3C71"/>
    <w:rsid w:val="00DC4089"/>
    <w:rsid w:val="00DD0D8A"/>
    <w:rsid w:val="00DD2A0A"/>
    <w:rsid w:val="00DD3AA5"/>
    <w:rsid w:val="00DD504C"/>
    <w:rsid w:val="00DD5A27"/>
    <w:rsid w:val="00DD6B1C"/>
    <w:rsid w:val="00DF0640"/>
    <w:rsid w:val="00DF0A54"/>
    <w:rsid w:val="00DF6BA2"/>
    <w:rsid w:val="00E003E4"/>
    <w:rsid w:val="00E03267"/>
    <w:rsid w:val="00E12ABB"/>
    <w:rsid w:val="00E17F46"/>
    <w:rsid w:val="00E21A80"/>
    <w:rsid w:val="00E228AD"/>
    <w:rsid w:val="00E30C98"/>
    <w:rsid w:val="00E35145"/>
    <w:rsid w:val="00E4170B"/>
    <w:rsid w:val="00E5658F"/>
    <w:rsid w:val="00E620EF"/>
    <w:rsid w:val="00E72051"/>
    <w:rsid w:val="00E74D53"/>
    <w:rsid w:val="00E82B86"/>
    <w:rsid w:val="00E904C6"/>
    <w:rsid w:val="00E90514"/>
    <w:rsid w:val="00E93089"/>
    <w:rsid w:val="00E97590"/>
    <w:rsid w:val="00E975E0"/>
    <w:rsid w:val="00E9773C"/>
    <w:rsid w:val="00EA1D53"/>
    <w:rsid w:val="00EA512D"/>
    <w:rsid w:val="00EA5518"/>
    <w:rsid w:val="00EB0F48"/>
    <w:rsid w:val="00EB351B"/>
    <w:rsid w:val="00EB3A34"/>
    <w:rsid w:val="00EC2561"/>
    <w:rsid w:val="00EC411E"/>
    <w:rsid w:val="00ED2DC4"/>
    <w:rsid w:val="00EE66B6"/>
    <w:rsid w:val="00EE6FDD"/>
    <w:rsid w:val="00F00899"/>
    <w:rsid w:val="00F0217D"/>
    <w:rsid w:val="00F0434A"/>
    <w:rsid w:val="00F115BF"/>
    <w:rsid w:val="00F14223"/>
    <w:rsid w:val="00F14C39"/>
    <w:rsid w:val="00F21281"/>
    <w:rsid w:val="00F259E9"/>
    <w:rsid w:val="00F316BE"/>
    <w:rsid w:val="00F35F27"/>
    <w:rsid w:val="00F405EC"/>
    <w:rsid w:val="00F518C3"/>
    <w:rsid w:val="00F5498F"/>
    <w:rsid w:val="00F55ED8"/>
    <w:rsid w:val="00F577B1"/>
    <w:rsid w:val="00F65DBC"/>
    <w:rsid w:val="00F66335"/>
    <w:rsid w:val="00F72E3E"/>
    <w:rsid w:val="00F7669D"/>
    <w:rsid w:val="00F82144"/>
    <w:rsid w:val="00F90ACC"/>
    <w:rsid w:val="00F95970"/>
    <w:rsid w:val="00F96B57"/>
    <w:rsid w:val="00FA36E4"/>
    <w:rsid w:val="00FA38A4"/>
    <w:rsid w:val="00FA77AC"/>
    <w:rsid w:val="00FB250A"/>
    <w:rsid w:val="00FB59D3"/>
    <w:rsid w:val="00FB65B8"/>
    <w:rsid w:val="00FC49AE"/>
    <w:rsid w:val="00FC4D0B"/>
    <w:rsid w:val="00FC7996"/>
    <w:rsid w:val="00FD167B"/>
    <w:rsid w:val="00FD2742"/>
    <w:rsid w:val="00FD2FC3"/>
    <w:rsid w:val="00FD6A5F"/>
    <w:rsid w:val="00FE5032"/>
    <w:rsid w:val="00FF02DB"/>
    <w:rsid w:val="00FF232F"/>
    <w:rsid w:val="00FF299E"/>
    <w:rsid w:val="00FF7935"/>
    <w:rsid w:val="010C7FC8"/>
    <w:rsid w:val="0365B59E"/>
    <w:rsid w:val="04687277"/>
    <w:rsid w:val="05F93CEC"/>
    <w:rsid w:val="0627016B"/>
    <w:rsid w:val="07513C6B"/>
    <w:rsid w:val="0831BAF1"/>
    <w:rsid w:val="0861581F"/>
    <w:rsid w:val="0928F79D"/>
    <w:rsid w:val="0999DDA7"/>
    <w:rsid w:val="0B2F5791"/>
    <w:rsid w:val="0B604090"/>
    <w:rsid w:val="0C0BE049"/>
    <w:rsid w:val="0D0D1768"/>
    <w:rsid w:val="0F12BD40"/>
    <w:rsid w:val="0F7CDA04"/>
    <w:rsid w:val="1331168E"/>
    <w:rsid w:val="1571EA08"/>
    <w:rsid w:val="180B56E7"/>
    <w:rsid w:val="186D0B56"/>
    <w:rsid w:val="19818B4F"/>
    <w:rsid w:val="1B1F231C"/>
    <w:rsid w:val="1C9C480E"/>
    <w:rsid w:val="1E65E345"/>
    <w:rsid w:val="20264F54"/>
    <w:rsid w:val="214B5303"/>
    <w:rsid w:val="21B1A897"/>
    <w:rsid w:val="23225B42"/>
    <w:rsid w:val="233E9AC2"/>
    <w:rsid w:val="245B9589"/>
    <w:rsid w:val="249F1E1B"/>
    <w:rsid w:val="254B68CC"/>
    <w:rsid w:val="2783A0DE"/>
    <w:rsid w:val="28A16A4C"/>
    <w:rsid w:val="295B4747"/>
    <w:rsid w:val="2B27215B"/>
    <w:rsid w:val="2B903D50"/>
    <w:rsid w:val="2BCC5B2E"/>
    <w:rsid w:val="2C4DAC6C"/>
    <w:rsid w:val="2D443BB3"/>
    <w:rsid w:val="2D627C3E"/>
    <w:rsid w:val="2DB46FE1"/>
    <w:rsid w:val="2E4D6451"/>
    <w:rsid w:val="2E7F9B3F"/>
    <w:rsid w:val="2ECF837F"/>
    <w:rsid w:val="31367BBA"/>
    <w:rsid w:val="31A877CE"/>
    <w:rsid w:val="3366984C"/>
    <w:rsid w:val="353CF547"/>
    <w:rsid w:val="357FB574"/>
    <w:rsid w:val="35A2EAC8"/>
    <w:rsid w:val="37BCF7F6"/>
    <w:rsid w:val="37D5C07B"/>
    <w:rsid w:val="3966F6BB"/>
    <w:rsid w:val="39B6D80D"/>
    <w:rsid w:val="39F5BE57"/>
    <w:rsid w:val="3ACB6482"/>
    <w:rsid w:val="3BB6A0DE"/>
    <w:rsid w:val="3E847F03"/>
    <w:rsid w:val="3F22A240"/>
    <w:rsid w:val="3F7428C4"/>
    <w:rsid w:val="3F8EA9DA"/>
    <w:rsid w:val="40E8FE43"/>
    <w:rsid w:val="4116C7A7"/>
    <w:rsid w:val="422E1EE2"/>
    <w:rsid w:val="42B92E27"/>
    <w:rsid w:val="446B5CE2"/>
    <w:rsid w:val="45173C9C"/>
    <w:rsid w:val="4595A100"/>
    <w:rsid w:val="45B4CA7A"/>
    <w:rsid w:val="46FCCD44"/>
    <w:rsid w:val="471FD4ED"/>
    <w:rsid w:val="48A05596"/>
    <w:rsid w:val="48C3B570"/>
    <w:rsid w:val="48C8866D"/>
    <w:rsid w:val="497873D8"/>
    <w:rsid w:val="4D7ED3FE"/>
    <w:rsid w:val="4DB0E8A5"/>
    <w:rsid w:val="4E151772"/>
    <w:rsid w:val="4E326F7F"/>
    <w:rsid w:val="4E7B7080"/>
    <w:rsid w:val="4EB6C1C1"/>
    <w:rsid w:val="4F0E618A"/>
    <w:rsid w:val="4F77419E"/>
    <w:rsid w:val="53205763"/>
    <w:rsid w:val="540DD881"/>
    <w:rsid w:val="564C8EC8"/>
    <w:rsid w:val="56847C2B"/>
    <w:rsid w:val="578393FB"/>
    <w:rsid w:val="58AE5E89"/>
    <w:rsid w:val="593502EA"/>
    <w:rsid w:val="59EA9B2B"/>
    <w:rsid w:val="5A4265E3"/>
    <w:rsid w:val="5B26A5E4"/>
    <w:rsid w:val="5CEB9849"/>
    <w:rsid w:val="5D2DE07E"/>
    <w:rsid w:val="5E2F5DAB"/>
    <w:rsid w:val="5E96AF80"/>
    <w:rsid w:val="60659ED7"/>
    <w:rsid w:val="6128058A"/>
    <w:rsid w:val="61C2CB6B"/>
    <w:rsid w:val="62159168"/>
    <w:rsid w:val="64045142"/>
    <w:rsid w:val="64DB34D3"/>
    <w:rsid w:val="66B5137A"/>
    <w:rsid w:val="67F3CC69"/>
    <w:rsid w:val="687E2C44"/>
    <w:rsid w:val="6974C516"/>
    <w:rsid w:val="69A3BFE1"/>
    <w:rsid w:val="6B7A8009"/>
    <w:rsid w:val="6BB3FD33"/>
    <w:rsid w:val="6BDFF451"/>
    <w:rsid w:val="6D50E0F5"/>
    <w:rsid w:val="6D7C8D69"/>
    <w:rsid w:val="6E40A5B1"/>
    <w:rsid w:val="701CFD9B"/>
    <w:rsid w:val="70D88873"/>
    <w:rsid w:val="70EBD111"/>
    <w:rsid w:val="7196E325"/>
    <w:rsid w:val="736AEC93"/>
    <w:rsid w:val="73DA044C"/>
    <w:rsid w:val="7605658F"/>
    <w:rsid w:val="76B14E94"/>
    <w:rsid w:val="7776C027"/>
    <w:rsid w:val="786CB6ED"/>
    <w:rsid w:val="7B0CEE38"/>
    <w:rsid w:val="7CA0FDF9"/>
    <w:rsid w:val="7CCC9F26"/>
    <w:rsid w:val="7CD2D615"/>
    <w:rsid w:val="7D6E6B0A"/>
    <w:rsid w:val="7E9ABAE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9D5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styleId="Hyperlink">
    <w:name w:val="Hyperlink"/>
    <w:basedOn w:val="DefaultParagraphFont"/>
    <w:uiPriority w:val="99"/>
    <w:semiHidden/>
    <w:rsid w:val="00752D71"/>
    <w:rPr>
      <w:color w:val="0000FF" w:themeColor="hyperlink"/>
      <w:u w:val="single"/>
    </w:rPr>
  </w:style>
  <w:style w:type="character" w:styleId="FollowedHyperlink">
    <w:name w:val="FollowedHyperlink"/>
    <w:basedOn w:val="DefaultParagraphFont"/>
    <w:uiPriority w:val="99"/>
    <w:semiHidden/>
    <w:rsid w:val="00D661A8"/>
    <w:rPr>
      <w:color w:val="FF00FF" w:themeColor="followedHyperlink"/>
      <w:u w:val="single"/>
    </w:rPr>
  </w:style>
  <w:style w:type="character" w:styleId="UnresolvedMention">
    <w:name w:val="Unresolved Mention"/>
    <w:basedOn w:val="DefaultParagraphFont"/>
    <w:uiPriority w:val="99"/>
    <w:semiHidden/>
    <w:unhideWhenUsed/>
    <w:rsid w:val="009F75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146/annurev-psych-120710-100422" TargetMode="External"/><Relationship Id="rId18" Type="http://schemas.openxmlformats.org/officeDocument/2006/relationships/hyperlink" Target="https://doi.org/10.1371/journal.pgph.0001720" TargetMode="External"/><Relationship Id="rId26" Type="http://schemas.openxmlformats.org/officeDocument/2006/relationships/hyperlink" Target="https://doi.org/10.5929/2011.1.2.11" TargetMode="External"/><Relationship Id="rId3" Type="http://schemas.openxmlformats.org/officeDocument/2006/relationships/customXml" Target="../customXml/item3.xml"/><Relationship Id="rId21" Type="http://schemas.openxmlformats.org/officeDocument/2006/relationships/hyperlink" Target="https://psycnet.apa.org/doi/10.1177/0963721411415340" TargetMode="External"/><Relationship Id="rId7" Type="http://schemas.openxmlformats.org/officeDocument/2006/relationships/footnotes" Target="footnotes.xml"/><Relationship Id="rId12" Type="http://schemas.openxmlformats.org/officeDocument/2006/relationships/hyperlink" Target="https://doi.org/10.1038/nrn1201" TargetMode="External"/><Relationship Id="rId17" Type="http://schemas.openxmlformats.org/officeDocument/2006/relationships/hyperlink" Target="https://psycnet.apa.org/doi/10.1111/1467-8721.00160" TargetMode="External"/><Relationship Id="rId25" Type="http://schemas.openxmlformats.org/officeDocument/2006/relationships/hyperlink" Target="https://doi.org/10.1016/j.intcar.2024.100231" TargetMode="External"/><Relationship Id="rId2" Type="http://schemas.openxmlformats.org/officeDocument/2006/relationships/customXml" Target="../customXml/item2.xml"/><Relationship Id="rId16" Type="http://schemas.openxmlformats.org/officeDocument/2006/relationships/hyperlink" Target="https://doi.org/10.1136/bmjqs-2012-001767" TargetMode="External"/><Relationship Id="rId20" Type="http://schemas.openxmlformats.org/officeDocument/2006/relationships/hyperlink" Target="https://doi.org/10.1111/jocn.14288"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S0021-9924(03)00019-4" TargetMode="External"/><Relationship Id="rId24" Type="http://schemas.openxmlformats.org/officeDocument/2006/relationships/hyperlink" Target="https://doi.org/10.1111/jocn.13345" TargetMode="External"/><Relationship Id="rId5" Type="http://schemas.openxmlformats.org/officeDocument/2006/relationships/settings" Target="settings.xml"/><Relationship Id="rId15" Type="http://schemas.openxmlformats.org/officeDocument/2006/relationships/hyperlink" Target="https://www.jstor.org/stable/3069185" TargetMode="External"/><Relationship Id="rId23" Type="http://schemas.openxmlformats.org/officeDocument/2006/relationships/hyperlink" Target="https://doi.org/10.1016/j.tics.2016.07.002" TargetMode="External"/><Relationship Id="rId28" Type="http://schemas.openxmlformats.org/officeDocument/2006/relationships/footer" Target="footer1.xml"/><Relationship Id="rId10" Type="http://schemas.openxmlformats.org/officeDocument/2006/relationships/hyperlink" Target="https://psycnet.apa.org/doi/10.1037/0033-295X.105.1.158" TargetMode="External"/><Relationship Id="rId19" Type="http://schemas.openxmlformats.org/officeDocument/2006/relationships/hyperlink" Target="https://doi.org/10.1016/S1553-7250(06)32022-3"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doi.org/10.1016/S1364-6613(00)01538-2" TargetMode="External"/><Relationship Id="rId14" Type="http://schemas.openxmlformats.org/officeDocument/2006/relationships/hyperlink" Target="https://doi.org/10.1098/rstb.1983.0057" TargetMode="External"/><Relationship Id="rId22" Type="http://schemas.openxmlformats.org/officeDocument/2006/relationships/hyperlink" Target="https://doi.org/10.1016/j.neuroscience.2005.12.061" TargetMode="External"/><Relationship Id="rId27" Type="http://schemas.openxmlformats.org/officeDocument/2006/relationships/hyperlink" Target="https://doi.org/10.1016/j.actpsy.2012.11.010"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du-kw\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12</Pages>
  <Words>3590</Words>
  <Characters>20463</Characters>
  <Application>Microsoft Office Word</Application>
  <DocSecurity>0</DocSecurity>
  <Lines>170</Lines>
  <Paragraphs>48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 LIST /</vt:lpstr>
    </vt:vector>
  </TitlesOfParts>
  <Company/>
  <LinksUpToDate>false</LinksUpToDate>
  <CharactersWithSpaces>24005</CharactersWithSpaces>
  <SharedDoc>false</SharedDoc>
  <HLinks>
    <vt:vector size="102" baseType="variant">
      <vt:variant>
        <vt:i4>4849746</vt:i4>
      </vt:variant>
      <vt:variant>
        <vt:i4>48</vt:i4>
      </vt:variant>
      <vt:variant>
        <vt:i4>0</vt:i4>
      </vt:variant>
      <vt:variant>
        <vt:i4>5</vt:i4>
      </vt:variant>
      <vt:variant>
        <vt:lpwstr>https://doi.org/10.1016/j.actpsy.2012.11.010</vt:lpwstr>
      </vt:variant>
      <vt:variant>
        <vt:lpwstr/>
      </vt:variant>
      <vt:variant>
        <vt:i4>2490487</vt:i4>
      </vt:variant>
      <vt:variant>
        <vt:i4>45</vt:i4>
      </vt:variant>
      <vt:variant>
        <vt:i4>0</vt:i4>
      </vt:variant>
      <vt:variant>
        <vt:i4>5</vt:i4>
      </vt:variant>
      <vt:variant>
        <vt:lpwstr>https://doi.org/10.5929/2011.1.2.11</vt:lpwstr>
      </vt:variant>
      <vt:variant>
        <vt:lpwstr/>
      </vt:variant>
      <vt:variant>
        <vt:i4>6160466</vt:i4>
      </vt:variant>
      <vt:variant>
        <vt:i4>42</vt:i4>
      </vt:variant>
      <vt:variant>
        <vt:i4>0</vt:i4>
      </vt:variant>
      <vt:variant>
        <vt:i4>5</vt:i4>
      </vt:variant>
      <vt:variant>
        <vt:lpwstr>https://doi.org/10.1016/j.intcar.2024.100231</vt:lpwstr>
      </vt:variant>
      <vt:variant>
        <vt:lpwstr/>
      </vt:variant>
      <vt:variant>
        <vt:i4>2359418</vt:i4>
      </vt:variant>
      <vt:variant>
        <vt:i4>39</vt:i4>
      </vt:variant>
      <vt:variant>
        <vt:i4>0</vt:i4>
      </vt:variant>
      <vt:variant>
        <vt:i4>5</vt:i4>
      </vt:variant>
      <vt:variant>
        <vt:lpwstr>https://doi.org/10.1111/jocn.13345</vt:lpwstr>
      </vt:variant>
      <vt:variant>
        <vt:lpwstr/>
      </vt:variant>
      <vt:variant>
        <vt:i4>4063271</vt:i4>
      </vt:variant>
      <vt:variant>
        <vt:i4>36</vt:i4>
      </vt:variant>
      <vt:variant>
        <vt:i4>0</vt:i4>
      </vt:variant>
      <vt:variant>
        <vt:i4>5</vt:i4>
      </vt:variant>
      <vt:variant>
        <vt:lpwstr>https://doi.org/10.1016/j.tics.2016.07.002</vt:lpwstr>
      </vt:variant>
      <vt:variant>
        <vt:lpwstr/>
      </vt:variant>
      <vt:variant>
        <vt:i4>2424869</vt:i4>
      </vt:variant>
      <vt:variant>
        <vt:i4>33</vt:i4>
      </vt:variant>
      <vt:variant>
        <vt:i4>0</vt:i4>
      </vt:variant>
      <vt:variant>
        <vt:i4>5</vt:i4>
      </vt:variant>
      <vt:variant>
        <vt:lpwstr>https://doi.org/10.1016/j.neuroscience.2005.12.061</vt:lpwstr>
      </vt:variant>
      <vt:variant>
        <vt:lpwstr/>
      </vt:variant>
      <vt:variant>
        <vt:i4>2621553</vt:i4>
      </vt:variant>
      <vt:variant>
        <vt:i4>30</vt:i4>
      </vt:variant>
      <vt:variant>
        <vt:i4>0</vt:i4>
      </vt:variant>
      <vt:variant>
        <vt:i4>5</vt:i4>
      </vt:variant>
      <vt:variant>
        <vt:lpwstr>https://doi.org/10.1111/jocn.14288</vt:lpwstr>
      </vt:variant>
      <vt:variant>
        <vt:lpwstr/>
      </vt:variant>
      <vt:variant>
        <vt:i4>851972</vt:i4>
      </vt:variant>
      <vt:variant>
        <vt:i4>27</vt:i4>
      </vt:variant>
      <vt:variant>
        <vt:i4>0</vt:i4>
      </vt:variant>
      <vt:variant>
        <vt:i4>5</vt:i4>
      </vt:variant>
      <vt:variant>
        <vt:lpwstr>https://doi.org/10.1016/S1553-7250(06)32022-3</vt:lpwstr>
      </vt:variant>
      <vt:variant>
        <vt:lpwstr/>
      </vt:variant>
      <vt:variant>
        <vt:i4>5111896</vt:i4>
      </vt:variant>
      <vt:variant>
        <vt:i4>24</vt:i4>
      </vt:variant>
      <vt:variant>
        <vt:i4>0</vt:i4>
      </vt:variant>
      <vt:variant>
        <vt:i4>5</vt:i4>
      </vt:variant>
      <vt:variant>
        <vt:lpwstr>https://doi.org/10.1371/journal.pgph.0001720</vt:lpwstr>
      </vt:variant>
      <vt:variant>
        <vt:lpwstr/>
      </vt:variant>
      <vt:variant>
        <vt:i4>1310735</vt:i4>
      </vt:variant>
      <vt:variant>
        <vt:i4>21</vt:i4>
      </vt:variant>
      <vt:variant>
        <vt:i4>0</vt:i4>
      </vt:variant>
      <vt:variant>
        <vt:i4>5</vt:i4>
      </vt:variant>
      <vt:variant>
        <vt:lpwstr>https://doi.org/10.1136/bmjqs-2012-001767</vt:lpwstr>
      </vt:variant>
      <vt:variant>
        <vt:lpwstr/>
      </vt:variant>
      <vt:variant>
        <vt:i4>5570628</vt:i4>
      </vt:variant>
      <vt:variant>
        <vt:i4>18</vt:i4>
      </vt:variant>
      <vt:variant>
        <vt:i4>0</vt:i4>
      </vt:variant>
      <vt:variant>
        <vt:i4>5</vt:i4>
      </vt:variant>
      <vt:variant>
        <vt:lpwstr>https://www.jstor.org/stable/3069185</vt:lpwstr>
      </vt:variant>
      <vt:variant>
        <vt:lpwstr/>
      </vt:variant>
      <vt:variant>
        <vt:i4>2818165</vt:i4>
      </vt:variant>
      <vt:variant>
        <vt:i4>15</vt:i4>
      </vt:variant>
      <vt:variant>
        <vt:i4>0</vt:i4>
      </vt:variant>
      <vt:variant>
        <vt:i4>5</vt:i4>
      </vt:variant>
      <vt:variant>
        <vt:lpwstr>https://doi.org/10.1098/rstb.1983.0057</vt:lpwstr>
      </vt:variant>
      <vt:variant>
        <vt:lpwstr/>
      </vt:variant>
      <vt:variant>
        <vt:i4>8323118</vt:i4>
      </vt:variant>
      <vt:variant>
        <vt:i4>12</vt:i4>
      </vt:variant>
      <vt:variant>
        <vt:i4>0</vt:i4>
      </vt:variant>
      <vt:variant>
        <vt:i4>5</vt:i4>
      </vt:variant>
      <vt:variant>
        <vt:lpwstr>https://doi.org/10.1146/annurev-psych-120710-100422</vt:lpwstr>
      </vt:variant>
      <vt:variant>
        <vt:lpwstr/>
      </vt:variant>
      <vt:variant>
        <vt:i4>6488160</vt:i4>
      </vt:variant>
      <vt:variant>
        <vt:i4>9</vt:i4>
      </vt:variant>
      <vt:variant>
        <vt:i4>0</vt:i4>
      </vt:variant>
      <vt:variant>
        <vt:i4>5</vt:i4>
      </vt:variant>
      <vt:variant>
        <vt:lpwstr>https://doi.org/10.1038/nrn1201</vt:lpwstr>
      </vt:variant>
      <vt:variant>
        <vt:lpwstr/>
      </vt:variant>
      <vt:variant>
        <vt:i4>327687</vt:i4>
      </vt:variant>
      <vt:variant>
        <vt:i4>6</vt:i4>
      </vt:variant>
      <vt:variant>
        <vt:i4>0</vt:i4>
      </vt:variant>
      <vt:variant>
        <vt:i4>5</vt:i4>
      </vt:variant>
      <vt:variant>
        <vt:lpwstr>https://doi.org/10.1016/S0021-9924(03)00019-4</vt:lpwstr>
      </vt:variant>
      <vt:variant>
        <vt:lpwstr/>
      </vt:variant>
      <vt:variant>
        <vt:i4>3866661</vt:i4>
      </vt:variant>
      <vt:variant>
        <vt:i4>3</vt:i4>
      </vt:variant>
      <vt:variant>
        <vt:i4>0</vt:i4>
      </vt:variant>
      <vt:variant>
        <vt:i4>5</vt:i4>
      </vt:variant>
      <vt:variant>
        <vt:lpwstr>https://psycnet.apa.org/doi/10.1037/0033-295X.105.1.158</vt:lpwstr>
      </vt:variant>
      <vt:variant>
        <vt:lpwstr/>
      </vt:variant>
      <vt:variant>
        <vt:i4>720906</vt:i4>
      </vt:variant>
      <vt:variant>
        <vt:i4>0</vt:i4>
      </vt:variant>
      <vt:variant>
        <vt:i4>0</vt:i4>
      </vt:variant>
      <vt:variant>
        <vt:i4>5</vt:i4>
      </vt:variant>
      <vt:variant>
        <vt:lpwstr>https://doi.org/10.1016/S1364-6613(00)01538-2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2026-04-21T01:44:00Z</dcterms:created>
  <dcterms:modified xsi:type="dcterms:W3CDTF">2026-04-23T14:28:00Z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