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notes+xml" PartName="/word/footnot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ackground w:color="073763"/>
  <w:body>
    <w:p w:rsidR="00000000" w:rsidDel="00000000" w:rsidP="00000000" w:rsidRDefault="00000000" w:rsidRPr="00000000" w14:paraId="00000000">
      <w:pPr>
        <w:contextualSpacing w:val="0"/>
        <w:jc w:val="center"/>
        <w:rPr>
          <w:b w:val="1"/>
          <w:sz w:val="48"/>
          <w:szCs w:val="48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1">
      <w:pPr>
        <w:pStyle w:val="Subtitle"/>
        <w:contextualSpacing w:val="0"/>
        <w:rPr>
          <w:b w:val="1"/>
          <w:sz w:val="36"/>
          <w:szCs w:val="36"/>
          <w:u w:val="single"/>
        </w:rPr>
      </w:pPr>
      <w:r w:rsidDel="00000000" w:rsidR="00000000" w:rsidRPr="00000000">
        <w:rPr>
          <w:b w:val="1"/>
          <w:sz w:val="36"/>
          <w:szCs w:val="36"/>
          <w:u w:val="single"/>
          <w:rtl w:val="0"/>
        </w:rPr>
        <w:t xml:space="preserve">Hadza Honey Gathering</w:t>
      </w:r>
    </w:p>
    <w:p w:rsidR="00000000" w:rsidDel="00000000" w:rsidP="00000000" w:rsidRDefault="00000000" w:rsidRPr="00000000" w14:paraId="00000002">
      <w:pPr>
        <w:contextualSpacing w:val="0"/>
        <w:rPr>
          <w:b w:val="1"/>
          <w:color w:val="00ff00"/>
          <w:sz w:val="36"/>
          <w:szCs w:val="36"/>
        </w:rPr>
      </w:pPr>
      <w:r w:rsidDel="00000000" w:rsidR="00000000" w:rsidRPr="00000000">
        <w:rPr>
          <w:b w:val="1"/>
          <w:color w:val="00ff00"/>
          <w:sz w:val="36"/>
          <w:szCs w:val="36"/>
          <w:rtl w:val="0"/>
        </w:rPr>
        <w:t xml:space="preserve">The follow-up study completed by Marlowe et al in 2014 was centred on the collection of honey by the Hadza, and how that could be used as a model for collection techniques of hominids in the Pleistocene.</w:t>
      </w:r>
      <w:r w:rsidDel="00000000" w:rsidR="00000000" w:rsidRPr="00000000">
        <w:rPr>
          <w:b w:val="1"/>
          <w:color w:val="00ff00"/>
          <w:sz w:val="36"/>
          <w:szCs w:val="36"/>
          <w:vertAlign w:val="superscript"/>
        </w:rPr>
        <w:footnoteReference w:customMarkFollows="0" w:id="0"/>
      </w:r>
      <w:r w:rsidDel="00000000" w:rsidR="00000000" w:rsidRPr="00000000">
        <w:rPr>
          <w:b w:val="1"/>
          <w:color w:val="00ff00"/>
          <w:sz w:val="36"/>
          <w:szCs w:val="36"/>
          <w:rtl w:val="0"/>
        </w:rPr>
        <w:t xml:space="preserve"> The Hadza used a combination of axes and smoke to drive the bees away from the nest so that they could collect the honey.</w:t>
      </w:r>
      <w:r w:rsidDel="00000000" w:rsidR="00000000" w:rsidRPr="00000000">
        <w:rPr>
          <w:b w:val="1"/>
          <w:color w:val="00ff00"/>
          <w:sz w:val="36"/>
          <w:szCs w:val="36"/>
          <w:vertAlign w:val="superscript"/>
        </w:rPr>
        <w:footnoteReference w:customMarkFollows="0" w:id="1"/>
      </w:r>
      <w:r w:rsidDel="00000000" w:rsidR="00000000" w:rsidRPr="00000000">
        <w:rPr>
          <w:b w:val="1"/>
          <w:color w:val="00ff00"/>
          <w:sz w:val="36"/>
          <w:szCs w:val="36"/>
          <w:rtl w:val="0"/>
        </w:rPr>
        <w:t xml:space="preserve"> Marlowe et al used these observations to theories that early hominid foragers would have used similar, though cruder methods of also retrieving honey.</w:t>
      </w:r>
      <w:r w:rsidDel="00000000" w:rsidR="00000000" w:rsidRPr="00000000">
        <w:rPr>
          <w:b w:val="1"/>
          <w:color w:val="00ff00"/>
          <w:sz w:val="36"/>
          <w:szCs w:val="36"/>
          <w:vertAlign w:val="superscript"/>
        </w:rPr>
        <w:footnoteReference w:customMarkFollows="0" w:id="2"/>
      </w:r>
      <w:r w:rsidDel="00000000" w:rsidR="00000000" w:rsidRPr="00000000">
        <w:rPr>
          <w:b w:val="1"/>
          <w:color w:val="00ff00"/>
          <w:sz w:val="36"/>
          <w:szCs w:val="36"/>
          <w:rtl w:val="0"/>
        </w:rPr>
        <w:t xml:space="preserve"> As honey is such a rich provider or calories and is particularly sweet and flavourful, it became a favourite food of the Hadza, as well as other contemporary hunter-gatherer societies.</w:t>
      </w:r>
      <w:r w:rsidDel="00000000" w:rsidR="00000000" w:rsidRPr="00000000">
        <w:rPr>
          <w:b w:val="1"/>
          <w:color w:val="00ff00"/>
          <w:sz w:val="36"/>
          <w:szCs w:val="36"/>
          <w:vertAlign w:val="superscript"/>
        </w:rPr>
        <w:footnoteReference w:customMarkFollows="0" w:id="3"/>
      </w:r>
      <w:r w:rsidDel="00000000" w:rsidR="00000000" w:rsidRPr="00000000">
        <w:rPr>
          <w:b w:val="1"/>
          <w:color w:val="00ff00"/>
          <w:sz w:val="36"/>
          <w:szCs w:val="36"/>
          <w:rtl w:val="0"/>
        </w:rPr>
        <w:t xml:space="preserve"> Marlowe et al used the fact that this food was so commonly consumed by contemporary hunter-gatherers that it was likely to have also been a favourite of early man.</w:t>
      </w:r>
      <w:r w:rsidDel="00000000" w:rsidR="00000000" w:rsidRPr="00000000">
        <w:rPr>
          <w:b w:val="1"/>
          <w:color w:val="00ff00"/>
          <w:sz w:val="36"/>
          <w:szCs w:val="36"/>
          <w:vertAlign w:val="superscript"/>
        </w:rPr>
        <w:footnoteReference w:customMarkFollows="0" w:id="4"/>
      </w:r>
      <w:r w:rsidDel="00000000" w:rsidR="00000000" w:rsidRPr="00000000">
        <w:rPr>
          <w:b w:val="1"/>
          <w:color w:val="00ff00"/>
          <w:sz w:val="36"/>
          <w:szCs w:val="36"/>
          <w:rtl w:val="0"/>
        </w:rPr>
        <w:t xml:space="preserve"> Though the arguments made by Marlowe et al are based more on modern observations that any archaeological data, it makes for an interesting theory, and may well provide a solution for the question of how prehistoric man may have evolved through the use of tools and fire to gain access to a highly nutritional food.</w:t>
      </w:r>
      <w:r w:rsidDel="00000000" w:rsidR="00000000" w:rsidRPr="00000000">
        <w:rPr>
          <w:b w:val="1"/>
          <w:color w:val="00ff00"/>
          <w:sz w:val="36"/>
          <w:szCs w:val="36"/>
          <w:vertAlign w:val="superscript"/>
        </w:rPr>
        <w:footnoteReference w:customMarkFollows="0" w:id="5"/>
      </w:r>
      <w:r w:rsidDel="00000000" w:rsidR="00000000" w:rsidRPr="00000000">
        <w:rPr>
          <w:b w:val="1"/>
          <w:color w:val="00ff00"/>
          <w:sz w:val="36"/>
          <w:szCs w:val="36"/>
          <w:rtl w:val="0"/>
        </w:rPr>
        <w:t xml:space="preserve"> This is not the most valuable example of how relevant ethnographic analogy can be, though it does provide a promising theory regarding human evolution and how contemporary hunter-gatherers can be used as a model.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contextualSpacing w:val="0"/>
        <w:rPr>
          <w:b w:val="1"/>
          <w:color w:val="00ff00"/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contextualSpacing w:val="0"/>
        <w:rPr>
          <w:b w:val="1"/>
          <w:color w:val="00ff00"/>
          <w:sz w:val="36"/>
          <w:szCs w:val="36"/>
        </w:rPr>
      </w:pPr>
      <w:r w:rsidDel="00000000" w:rsidR="00000000" w:rsidRPr="00000000">
        <w:rPr>
          <w:rtl w:val="0"/>
        </w:rPr>
      </w:r>
    </w:p>
    <w:sectPr>
      <w:headerReference r:id="rId7" w:type="default"/>
      <w:pgSz w:h="16838" w:w="11906"/>
      <w:pgMar w:bottom="1440.0000000000002" w:top="1440.0000000000002" w:left="1440.0000000000002" w:right="1440.0000000000002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</w:fonts>
</file>

<file path=word/footnotes.xml><?xml version="1.0" encoding="utf-8"?>
<w:footnot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otnote w:id="0">
    <w:p w:rsidR="00000000" w:rsidDel="00000000" w:rsidP="00000000" w:rsidRDefault="00000000" w:rsidRPr="00000000" w14:paraId="00000006">
      <w:pPr>
        <w:spacing w:after="0" w:line="240" w:lineRule="auto"/>
        <w:contextualSpacing w:val="0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Marlowe et al 2014:119</w:t>
      </w:r>
    </w:p>
  </w:footnote>
  <w:footnote w:id="1">
    <w:p w:rsidR="00000000" w:rsidDel="00000000" w:rsidP="00000000" w:rsidRDefault="00000000" w:rsidRPr="00000000" w14:paraId="00000007">
      <w:pPr>
        <w:spacing w:after="0" w:line="240" w:lineRule="auto"/>
        <w:contextualSpacing w:val="0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Marlowe et al 2014: 128</w:t>
      </w:r>
    </w:p>
  </w:footnote>
  <w:footnote w:id="2">
    <w:p w:rsidR="00000000" w:rsidDel="00000000" w:rsidP="00000000" w:rsidRDefault="00000000" w:rsidRPr="00000000" w14:paraId="00000008">
      <w:pPr>
        <w:spacing w:after="0" w:line="240" w:lineRule="auto"/>
        <w:contextualSpacing w:val="0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Marlowe et al 2014:128</w:t>
      </w:r>
    </w:p>
  </w:footnote>
  <w:footnote w:id="3">
    <w:p w:rsidR="00000000" w:rsidDel="00000000" w:rsidP="00000000" w:rsidRDefault="00000000" w:rsidRPr="00000000" w14:paraId="00000009">
      <w:pPr>
        <w:spacing w:after="0" w:line="240" w:lineRule="auto"/>
        <w:contextualSpacing w:val="0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Marlowe et al 2014:127</w:t>
      </w:r>
    </w:p>
  </w:footnote>
  <w:footnote w:id="4">
    <w:p w:rsidR="00000000" w:rsidDel="00000000" w:rsidP="00000000" w:rsidRDefault="00000000" w:rsidRPr="00000000" w14:paraId="0000000A">
      <w:pPr>
        <w:spacing w:after="0" w:line="240" w:lineRule="auto"/>
        <w:contextualSpacing w:val="0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Marlowe et al 2014:127</w:t>
      </w:r>
    </w:p>
  </w:footnote>
  <w:footnote w:id="5">
    <w:p w:rsidR="00000000" w:rsidDel="00000000" w:rsidP="00000000" w:rsidRDefault="00000000" w:rsidRPr="00000000" w14:paraId="0000000B">
      <w:pPr>
        <w:spacing w:after="0" w:line="240" w:lineRule="auto"/>
        <w:contextualSpacing w:val="0"/>
        <w:rPr>
          <w:sz w:val="20"/>
          <w:szCs w:val="20"/>
        </w:rPr>
      </w:pPr>
      <w:r w:rsidDel="00000000" w:rsidR="00000000" w:rsidRPr="00000000">
        <w:rPr>
          <w:rStyle w:val="FootnoteReference"/>
          <w:vertAlign w:val="superscript"/>
        </w:rPr>
        <w:footnoteRef/>
      </w:r>
      <w:r w:rsidDel="00000000" w:rsidR="00000000" w:rsidRPr="00000000">
        <w:rPr>
          <w:sz w:val="20"/>
          <w:szCs w:val="20"/>
          <w:rtl w:val="0"/>
        </w:rPr>
        <w:t xml:space="preserve"> Marlowe et al 2014:128</w:t>
      </w:r>
    </w:p>
  </w:footnote>
</w:footnote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05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pos="4513"/>
        <w:tab w:val="right" w:pos="9026"/>
      </w:tabs>
      <w:spacing w:after="0" w:before="0" w:line="240" w:lineRule="auto"/>
      <w:ind w:left="0" w:right="0" w:firstLine="0"/>
      <w:contextualSpacing w:val="0"/>
      <w:jc w:val="left"/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Calibri" w:cs="Calibri" w:eastAsia="Calibri" w:hAnsi="Calibri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rtl w:val="0"/>
      </w:rPr>
      <w:t xml:space="preserve">Daniel Robert Fairfield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isplayBackgroundShape w:val="1"/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160" w:line="259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/>
    <w:rPr>
      <w:color w:val="5a5a5a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footnotes" Target="footnotes.xml"/><Relationship Id="rId5" Type="http://schemas.openxmlformats.org/officeDocument/2006/relationships/numbering" Target="numbering.xml"/><Relationship Id="rId6" Type="http://schemas.openxmlformats.org/officeDocument/2006/relationships/styles" Target="styles.xml"/><Relationship Id="rId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