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Georgia" w:cs="Georgia" w:eastAsia="Georgia" w:hAnsi="Georgia"/>
          <w:color w:val="000000"/>
          <w:sz w:val="21"/>
          <w:szCs w:val="21"/>
          <w:vertAlign w:val="baseline"/>
        </w:rPr>
      </w:pPr>
      <w:r w:rsidDel="00000000" w:rsidR="00000000" w:rsidRPr="00000000">
        <w:rPr>
          <w:rFonts w:ascii="Georgia" w:cs="Georgia" w:eastAsia="Georgia" w:hAnsi="Georgia"/>
          <w:color w:val="000000"/>
          <w:sz w:val="21"/>
          <w:szCs w:val="21"/>
          <w:vertAlign w:val="baseline"/>
        </w:rPr>
        <w:drawing>
          <wp:inline distB="0" distT="0" distL="114300" distR="114300">
            <wp:extent cx="1908175" cy="635635"/>
            <wp:effectExtent b="0" l="0" r="0" t="0"/>
            <wp:docPr id="102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Georgia" w:cs="Georgia" w:eastAsia="Georgia" w:hAnsi="Georgia"/>
          <w:color w:val="000000"/>
          <w:sz w:val="21"/>
          <w:szCs w:val="21"/>
          <w:vertAlign w:val="baseline"/>
        </w:rPr>
      </w:pPr>
      <w:r w:rsidDel="00000000" w:rsidR="00000000" w:rsidRPr="00000000">
        <w:rPr>
          <w:rtl w:val="0"/>
        </w:rPr>
      </w:r>
    </w:p>
    <w:p w:rsidR="00000000" w:rsidDel="00000000" w:rsidP="00000000" w:rsidRDefault="00000000" w:rsidRPr="00000000" w14:paraId="00000003">
      <w:pPr>
        <w:rPr>
          <w:rFonts w:ascii="Georgia" w:cs="Georgia" w:eastAsia="Georgia" w:hAnsi="Georgia"/>
          <w:color w:val="000000"/>
          <w:sz w:val="21"/>
          <w:szCs w:val="21"/>
          <w:vertAlign w:val="baseline"/>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0"/>
          <w:bCs w:val="0"/>
          <w:color w:val="000000"/>
          <w:sz w:val="28"/>
          <w:szCs w:val="28"/>
          <w:vertAlign w:val="baseline"/>
        </w:rPr>
      </w:pPr>
      <w:r w:rsidDel="00000000" w:rsidR="00000000" w:rsidRPr="00000000">
        <w:rPr>
          <w:rFonts w:ascii="Arial" w:cs="Arial" w:eastAsia="Arial" w:hAnsi="Arial"/>
          <w:b w:val="1"/>
          <w:bCs w:val="1"/>
          <w:color w:val="000000"/>
          <w:sz w:val="28"/>
          <w:szCs w:val="28"/>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jc w:val="center"/>
        <w:rPr>
          <w:rFonts w:ascii="Arial" w:cs="Arial" w:eastAsia="Arial" w:hAnsi="Arial"/>
          <w:b w:val="0"/>
          <w:bCs w:val="0"/>
          <w:color w:val="000000"/>
          <w:sz w:val="28"/>
          <w:szCs w:val="28"/>
          <w:vertAlign w:val="baseline"/>
        </w:rPr>
      </w:pPr>
      <w:r w:rsidDel="00000000" w:rsidR="00000000" w:rsidRPr="00000000">
        <w:rPr>
          <w:rFonts w:ascii="Arial" w:cs="Arial" w:eastAsia="Arial" w:hAnsi="Arial"/>
          <w:b w:val="1"/>
          <w:bCs w:val="1"/>
          <w:color w:val="000000"/>
          <w:sz w:val="28"/>
          <w:szCs w:val="28"/>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pStyle w:val="Heading3"/>
        <w:pBdr>
          <w:top w:color="000000" w:space="0" w:sz="0" w:val="none"/>
        </w:pBdr>
        <w:spacing w:after="0" w:before="0" w:line="240" w:lineRule="auto"/>
        <w:ind w:left="720" w:firstLine="0"/>
        <w:jc w:val="center"/>
        <w:rPr>
          <w:rFonts w:ascii="Tahoma" w:cs="Tahoma" w:eastAsia="Tahoma" w:hAnsi="Tahoma"/>
          <w:b w:val="1"/>
          <w:bCs w:val="1"/>
          <w:sz w:val="20"/>
          <w:szCs w:val="20"/>
          <w:vertAlign w:val="baseline"/>
        </w:rPr>
      </w:pPr>
      <w:r w:rsidDel="00000000" w:rsidR="00000000" w:rsidRPr="00000000">
        <w:rPr>
          <w:rFonts w:ascii="Tahoma" w:cs="Tahoma" w:eastAsia="Tahoma" w:hAnsi="Tahoma"/>
          <w:b w:val="1"/>
          <w:bCs w:val="1"/>
          <w:sz w:val="20"/>
          <w:szCs w:val="20"/>
          <w:vertAlign w:val="baseline"/>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pBdr>
          <w:top w:color="000000" w:space="0" w:sz="0" w:val="none"/>
        </w:pBdr>
        <w:spacing w:after="0" w:before="0" w:line="240" w:lineRule="auto"/>
        <w:ind w:left="720" w:firstLine="0"/>
        <w:jc w:val="center"/>
        <w:rPr>
          <w:rFonts w:ascii="Trebuchet MS" w:cs="Trebuchet MS" w:eastAsia="Trebuchet MS" w:hAnsi="Trebuchet MS"/>
          <w:b w:val="0"/>
          <w:bCs w:val="0"/>
          <w:sz w:val="20"/>
          <w:szCs w:val="20"/>
          <w:vertAlign w:val="baseline"/>
        </w:rPr>
      </w:pPr>
      <w:r w:rsidDel="00000000" w:rsidR="00000000" w:rsidRPr="00000000">
        <w:rPr>
          <w:rtl w:val="0"/>
        </w:rPr>
      </w:r>
    </w:p>
    <w:tbl>
      <w:tblPr>
        <w:tblStyle w:val="Table1"/>
        <w:tblW w:w="8856.0" w:type="dxa"/>
        <w:jc w:val="center"/>
        <w:tblLayout w:type="fixed"/>
        <w:tblLook w:val="0000"/>
      </w:tblPr>
      <w:tblGrid>
        <w:gridCol w:w="4788"/>
        <w:gridCol w:w="423"/>
        <w:gridCol w:w="1557"/>
        <w:gridCol w:w="285"/>
        <w:gridCol w:w="1803"/>
        <w:tblGridChange w:id="0">
          <w:tblGrid>
            <w:gridCol w:w="4788"/>
            <w:gridCol w:w="423"/>
            <w:gridCol w:w="1557"/>
            <w:gridCol w:w="285"/>
            <w:gridCol w:w="1803"/>
          </w:tblGrid>
        </w:tblGridChange>
      </w:tblGrid>
      <w:tr>
        <w:trPr>
          <w:cantSplit w:val="1"/>
          <w:trHeight w:val="454"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09">
            <w:pPr>
              <w:ind w:right="34"/>
              <w:rPr>
                <w:vertAlign w:val="baseline"/>
              </w:rPr>
            </w:pPr>
            <w:r w:rsidDel="00000000" w:rsidR="00000000" w:rsidRPr="00000000">
              <w:rPr>
                <w:rFonts w:ascii="Arial" w:cs="Arial" w:eastAsia="Arial" w:hAnsi="Arial"/>
                <w:b w:val="1"/>
                <w:bCs w:val="1"/>
                <w:color w:val="000000"/>
                <w:sz w:val="22"/>
                <w:szCs w:val="22"/>
                <w:vertAlign w:val="baseline"/>
                <w:rtl w:val="0"/>
              </w:rPr>
              <w:t xml:space="preserve">For completion by the student</w:t>
            </w:r>
            <w:r w:rsidDel="00000000" w:rsidR="00000000" w:rsidRPr="00000000">
              <w:rPr>
                <w:rFonts w:ascii="Arial" w:cs="Arial" w:eastAsia="Arial" w:hAnsi="Arial"/>
                <w:color w:val="000000"/>
                <w:sz w:val="22"/>
                <w:szCs w:val="22"/>
                <w:vertAlign w:val="baseline"/>
                <w:rtl w:val="0"/>
              </w:rPr>
              <w:t xml:space="preserve">:</w:t>
            </w:r>
            <w:r w:rsidDel="00000000" w:rsidR="00000000" w:rsidRPr="00000000">
              <w:rPr>
                <w:rtl w:val="0"/>
              </w:rPr>
            </w:r>
          </w:p>
        </w:tc>
      </w:tr>
      <w:tr>
        <w:trPr>
          <w:cantSplit w:val="1"/>
          <w:trHeight w:val="558"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0E">
            <w:pPr>
              <w:ind w:right="34"/>
              <w:rPr>
                <w:vertAlign w:val="baseline"/>
              </w:rPr>
            </w:pPr>
            <w:r w:rsidDel="00000000" w:rsidR="00000000" w:rsidRPr="00000000">
              <w:rPr>
                <w:rFonts w:ascii="Arial" w:cs="Arial" w:eastAsia="Arial" w:hAnsi="Arial"/>
                <w:color w:val="000000"/>
                <w:sz w:val="22"/>
                <w:szCs w:val="22"/>
                <w:vertAlign w:val="baseline"/>
                <w:rtl w:val="0"/>
              </w:rPr>
              <w:t xml:space="preserve">Student Name: Julie Ellison</w:t>
            </w:r>
            <w:r w:rsidDel="00000000" w:rsidR="00000000" w:rsidRPr="00000000">
              <w:rPr>
                <w:rtl w:val="0"/>
              </w:rPr>
            </w:r>
          </w:p>
        </w:tc>
      </w:tr>
      <w:tr>
        <w:trPr>
          <w:cantSplit w:val="1"/>
          <w:trHeight w:val="1443" w:hRule="atLeast"/>
          <w:tblHeader w:val="0"/>
        </w:trPr>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13">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Module code:  </w:t>
            </w:r>
            <w:r w:rsidDel="00000000" w:rsidR="00000000" w:rsidRPr="00000000">
              <w:rPr>
                <w:rFonts w:ascii="Arial" w:cs="Arial" w:eastAsia="Arial" w:hAnsi="Arial"/>
                <w:b w:val="1"/>
                <w:bCs w:val="1"/>
                <w:sz w:val="22"/>
                <w:szCs w:val="22"/>
                <w:rtl w:val="0"/>
              </w:rPr>
              <w:t xml:space="preserve">HPCA7023</w:t>
            </w:r>
            <w:r w:rsidDel="00000000" w:rsidR="00000000" w:rsidRPr="00000000">
              <w:rPr>
                <w:rtl w:val="0"/>
              </w:rPr>
            </w:r>
          </w:p>
          <w:p w:rsidR="00000000" w:rsidDel="00000000" w:rsidP="00000000" w:rsidRDefault="00000000" w:rsidRPr="00000000" w14:paraId="00000014">
            <w:pPr>
              <w:ind w:right="34"/>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15">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Module title:  Ecology and Spirituality</w:t>
            </w:r>
          </w:p>
          <w:p w:rsidR="00000000" w:rsidDel="00000000" w:rsidP="00000000" w:rsidRDefault="00000000" w:rsidRPr="00000000" w14:paraId="00000016">
            <w:pPr>
              <w:ind w:right="34"/>
              <w:rP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17">
            <w:pPr>
              <w:ind w:right="34"/>
              <w:rPr>
                <w:vertAlign w:val="baseline"/>
              </w:rPr>
            </w:pPr>
            <w:r w:rsidDel="00000000" w:rsidR="00000000" w:rsidRPr="00000000">
              <w:rPr>
                <w:rFonts w:ascii="Arial" w:cs="Arial" w:eastAsia="Arial" w:hAnsi="Arial"/>
                <w:color w:val="000000"/>
                <w:sz w:val="22"/>
                <w:szCs w:val="22"/>
                <w:vertAlign w:val="baseline"/>
                <w:rtl w:val="0"/>
              </w:rPr>
              <w:t xml:space="preserve">Student ID number: </w:t>
            </w:r>
            <w:r w:rsidDel="00000000" w:rsidR="00000000" w:rsidRPr="00000000">
              <w:rPr>
                <w:rFonts w:ascii="Calibri" w:cs="Calibri" w:eastAsia="Calibri" w:hAnsi="Calibri"/>
                <w:highlight w:val="white"/>
                <w:rtl w:val="0"/>
              </w:rPr>
              <w:t xml:space="preserve">2519161</w:t>
            </w:r>
            <w:r w:rsidDel="00000000" w:rsidR="00000000" w:rsidRPr="00000000">
              <w:rPr>
                <w:rFonts w:ascii="Arial" w:cs="Arial" w:eastAsia="Arial" w:hAnsi="Arial"/>
                <w:color w:val="000000"/>
                <w:sz w:val="22"/>
                <w:szCs w:val="22"/>
                <w:vertAlign w:val="baseline"/>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1A">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Educational support needs:</w:t>
            </w:r>
          </w:p>
          <w:p w:rsidR="00000000" w:rsidDel="00000000" w:rsidP="00000000" w:rsidRDefault="00000000" w:rsidRPr="00000000" w14:paraId="0000001B">
            <w:pPr>
              <w:ind w:right="34"/>
              <w:rPr>
                <w:vertAlign w:val="baseline"/>
              </w:rPr>
            </w:pPr>
            <w:r w:rsidDel="00000000" w:rsidR="00000000" w:rsidRPr="00000000">
              <w:rPr>
                <w:rFonts w:ascii="Arial" w:cs="Arial" w:eastAsia="Arial" w:hAnsi="Arial"/>
                <w:color w:val="000000"/>
                <w:sz w:val="22"/>
                <w:szCs w:val="22"/>
                <w:vertAlign w:val="baseline"/>
                <w:rtl w:val="0"/>
              </w:rPr>
              <w:t xml:space="preserve">Yes</w:t>
            </w:r>
            <w:r w:rsidDel="00000000" w:rsidR="00000000" w:rsidRPr="00000000">
              <w:rPr>
                <w:rtl w:val="0"/>
              </w:rPr>
            </w:r>
          </w:p>
        </w:tc>
      </w:tr>
      <w:tr>
        <w:trPr>
          <w:cantSplit w:val="1"/>
          <w:trHeight w:val="979"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114.0" w:type="dxa"/>
            </w:tcMar>
            <w:vAlign w:val="top"/>
          </w:tcPr>
          <w:p w:rsidR="00000000" w:rsidDel="00000000" w:rsidP="00000000" w:rsidRDefault="00000000" w:rsidRPr="00000000" w14:paraId="0000001C">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Module tutor:  Dr Jack Hunter</w:t>
            </w:r>
          </w:p>
          <w:p w:rsidR="00000000" w:rsidDel="00000000" w:rsidP="00000000" w:rsidRDefault="00000000" w:rsidRPr="00000000" w14:paraId="0000001D">
            <w:pPr>
              <w:ind w:right="34"/>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1E">
            <w:pPr>
              <w:ind w:right="34"/>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1F">
            <w:pPr>
              <w:ind w:right="34"/>
              <w:rPr>
                <w:vertAlign w:val="baseline"/>
              </w:rPr>
            </w:pPr>
            <w:r w:rsidDel="00000000" w:rsidR="00000000" w:rsidRPr="00000000">
              <w:rPr>
                <w:rFonts w:ascii="Arial" w:cs="Arial" w:eastAsia="Arial" w:hAnsi="Arial"/>
                <w:color w:val="000000"/>
                <w:sz w:val="22"/>
                <w:szCs w:val="22"/>
                <w:vertAlign w:val="baseline"/>
                <w:rtl w:val="0"/>
              </w:rPr>
              <w:t xml:space="preserve">Assignment due date: 20 November 2025</w:t>
            </w:r>
            <w:r w:rsidDel="00000000" w:rsidR="00000000" w:rsidRPr="00000000">
              <w:rPr>
                <w:rtl w:val="0"/>
              </w:rPr>
            </w:r>
          </w:p>
        </w:tc>
      </w:tr>
      <w:tr>
        <w:trPr>
          <w:cantSplit w:val="1"/>
          <w:trHeight w:val="818"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If your module has multiple submissions please indicate which piece of work this is.</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superscript"/>
                <w:rtl w:val="0"/>
              </w:rPr>
              <w:t xml:space="preserve">st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tc>
      </w:tr>
      <w:tr>
        <w:trPr>
          <w:cantSplit w:val="1"/>
          <w:trHeight w:val="1537" w:hRule="atLeast"/>
          <w:tblHeader w:val="0"/>
        </w:trPr>
        <w:tc>
          <w:tcPr>
            <w:gridSpan w:val="5"/>
            <w:tcBorders>
              <w:top w:color="000000" w:space="0" w:sz="4" w:val="single"/>
              <w:left w:color="000000" w:space="0" w:sz="4" w:val="single"/>
              <w:bottom w:color="000000" w:space="0" w:sz="4" w:val="single"/>
              <w:right w:color="000000" w:space="0" w:sz="4" w:val="single"/>
            </w:tcBorders>
            <w:shd w:fill="d9d9d9" w:val="clear"/>
            <w:tcMar>
              <w:top w:w="80.0" w:type="dxa"/>
              <w:left w:w="80.0" w:type="dxa"/>
              <w:bottom w:w="80.0" w:type="dxa"/>
              <w:right w:w="114.0" w:type="dxa"/>
            </w:tcMar>
            <w:vAlign w:val="top"/>
          </w:tcPr>
          <w:p w:rsidR="00000000" w:rsidDel="00000000" w:rsidP="00000000" w:rsidRDefault="00000000" w:rsidRPr="00000000" w14:paraId="0000002B">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I confirm that this is my original work and that I have adhered to the University policy on plagiarism.</w:t>
            </w:r>
          </w:p>
          <w:p w:rsidR="00000000" w:rsidDel="00000000" w:rsidP="00000000" w:rsidRDefault="00000000" w:rsidRPr="00000000" w14:paraId="0000002C">
            <w:pPr>
              <w:ind w:right="34"/>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Signed (type your name in) J Ellison</w:t>
            </w:r>
          </w:p>
          <w:p w:rsidR="00000000" w:rsidDel="00000000" w:rsidP="00000000" w:rsidRDefault="00000000" w:rsidRPr="00000000" w14:paraId="0000002D">
            <w:pPr>
              <w:ind w:right="34"/>
              <w:rPr>
                <w:rFonts w:ascii="Calibri" w:cs="Calibri" w:eastAsia="Calibri" w:hAnsi="Calibri"/>
                <w:b w:val="0"/>
                <w:bCs w:val="0"/>
                <w:color w:val="000000"/>
                <w:sz w:val="44"/>
                <w:szCs w:val="44"/>
                <w:vertAlign w:val="baseline"/>
              </w:rPr>
            </w:pPr>
            <w:r w:rsidDel="00000000" w:rsidR="00000000" w:rsidRPr="00000000">
              <w:rPr>
                <w:rFonts w:ascii="Calibri" w:cs="Calibri" w:eastAsia="Calibri" w:hAnsi="Calibri"/>
                <w:b w:val="1"/>
                <w:bCs w:val="1"/>
                <w:color w:val="000000"/>
                <w:vertAlign w:val="baseline"/>
                <w:rtl w:val="0"/>
              </w:rPr>
              <w:t xml:space="preserve">Email submission: if you are submitting this form via email, please tick this box </w:t>
            </w:r>
            <w:r w:rsidDel="00000000" w:rsidR="00000000" w:rsidRPr="00000000">
              <w:rPr>
                <w:rFonts w:ascii="Calibri" w:cs="Calibri" w:eastAsia="Calibri" w:hAnsi="Calibri"/>
                <w:b w:val="1"/>
                <w:bCs w:val="1"/>
                <w:color w:val="000000"/>
                <w:sz w:val="44"/>
                <w:szCs w:val="44"/>
                <w:vertAlign w:val="baseline"/>
                <w:rtl w:val="0"/>
              </w:rPr>
              <w:t xml:space="preserve">□</w:t>
            </w:r>
            <w:r w:rsidDel="00000000" w:rsidR="00000000" w:rsidRPr="00000000">
              <w:rPr>
                <w:rtl w:val="0"/>
              </w:rPr>
            </w:r>
          </w:p>
          <w:p w:rsidR="00000000" w:rsidDel="00000000" w:rsidP="00000000" w:rsidRDefault="00000000" w:rsidRPr="00000000" w14:paraId="0000002E">
            <w:pPr>
              <w:ind w:right="34"/>
              <w:rPr>
                <w:vertAlign w:val="baseline"/>
              </w:rPr>
            </w:pPr>
            <w:r w:rsidDel="00000000" w:rsidR="00000000" w:rsidRPr="00000000">
              <w:rPr>
                <w:rFonts w:ascii="Calibri" w:cs="Calibri" w:eastAsia="Calibri" w:hAnsi="Calibri"/>
                <w:b w:val="1"/>
                <w:bCs w:val="1"/>
                <w:color w:val="000000"/>
                <w:vertAlign w:val="baseline"/>
                <w:rtl w:val="0"/>
              </w:rPr>
              <w:t xml:space="preserve">(as a substitute for your signature) to confirm that you agree to the above declaration.</w:t>
            </w:r>
            <w:r w:rsidDel="00000000" w:rsidR="00000000" w:rsidRPr="00000000">
              <w:rPr>
                <w:rtl w:val="0"/>
              </w:rPr>
            </w:r>
          </w:p>
        </w:tc>
      </w:tr>
      <w:tr>
        <w:trPr>
          <w:cantSplit w:val="1"/>
          <w:trHeight w:val="3812"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Assignment Mark</w:t>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none"/>
                <w:shd w:fill="auto" w:val="clear"/>
                <w:vertAlign w:val="baseline"/>
                <w:rtl w:val="0"/>
              </w:rPr>
              <w:t xml:space="preserve">Final Mark</w:t>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WILL BE GIVEN ON TURNITIN</w:t>
            </w:r>
          </w:p>
          <w:p w:rsidR="00000000" w:rsidDel="00000000" w:rsidP="00000000" w:rsidRDefault="00000000" w:rsidRPr="00000000" w14:paraId="00000038">
            <w:pPr>
              <w:ind w:left="142" w:right="34" w:firstLine="0"/>
              <w:rPr>
                <w:rFonts w:ascii="Arial" w:cs="Arial" w:eastAsia="Arial" w:hAnsi="Arial"/>
                <w:b w:val="0"/>
                <w:bCs w:val="0"/>
                <w:color w:val="000000"/>
                <w:sz w:val="22"/>
                <w:szCs w:val="22"/>
                <w:vertAlign w:val="baseline"/>
              </w:rPr>
            </w:pPr>
            <w:r w:rsidDel="00000000" w:rsidR="00000000" w:rsidRPr="00000000">
              <w:rPr>
                <w:rtl w:val="0"/>
              </w:rPr>
            </w:r>
          </w:p>
          <w:p w:rsidR="00000000" w:rsidDel="00000000" w:rsidP="00000000" w:rsidRDefault="00000000" w:rsidRPr="00000000" w14:paraId="00000039">
            <w:pPr>
              <w:ind w:left="142" w:right="34" w:firstLine="0"/>
              <w:rPr>
                <w:rFonts w:ascii="Arial" w:cs="Arial" w:eastAsia="Arial" w:hAnsi="Arial"/>
                <w:color w:val="000000"/>
                <w:sz w:val="22"/>
                <w:szCs w:val="22"/>
                <w:vertAlign w:val="baseline"/>
              </w:rPr>
            </w:pPr>
            <w:r w:rsidDel="00000000" w:rsidR="00000000" w:rsidRPr="00000000">
              <w:rPr>
                <w:rFonts w:ascii="Arial" w:cs="Arial" w:eastAsia="Arial" w:hAnsi="Arial"/>
                <w:b w:val="1"/>
                <w:bCs w:val="1"/>
                <w:color w:val="000000"/>
                <w:sz w:val="22"/>
                <w:szCs w:val="22"/>
                <w:vertAlign w:val="baseline"/>
                <w:rtl w:val="0"/>
              </w:rPr>
              <w:t xml:space="preserve">NB.</w:t>
            </w:r>
            <w:r w:rsidDel="00000000" w:rsidR="00000000" w:rsidRPr="00000000">
              <w:rPr>
                <w:rFonts w:ascii="Arial" w:cs="Arial" w:eastAsia="Arial" w:hAnsi="Arial"/>
                <w:color w:val="000000"/>
                <w:sz w:val="22"/>
                <w:szCs w:val="22"/>
                <w:vertAlign w:val="baseline"/>
                <w:rtl w:val="0"/>
              </w:rPr>
              <w:t xml:space="preserve">  All marks are provisional until confirmed by the Final Examination Board.</w:t>
            </w:r>
          </w:p>
          <w:p w:rsidR="00000000" w:rsidDel="00000000" w:rsidP="00000000" w:rsidRDefault="00000000" w:rsidRPr="00000000" w14:paraId="0000003A">
            <w:pPr>
              <w:rPr>
                <w:rFonts w:ascii="Arial" w:cs="Arial" w:eastAsia="Arial" w:hAnsi="Arial"/>
                <w:b w:val="0"/>
                <w:bCs w:val="0"/>
                <w:color w:val="000000"/>
                <w:sz w:val="22"/>
                <w:szCs w:val="22"/>
                <w:vertAlign w:val="baseline"/>
              </w:rPr>
            </w:pPr>
            <w:r w:rsidDel="00000000" w:rsidR="00000000" w:rsidRPr="00000000">
              <w:rPr>
                <w:rtl w:val="0"/>
              </w:rPr>
            </w:r>
          </w:p>
          <w:p w:rsidR="00000000" w:rsidDel="00000000" w:rsidP="00000000" w:rsidRDefault="00000000" w:rsidRPr="00000000" w14:paraId="0000003B">
            <w:pPr>
              <w:rPr>
                <w:rFonts w:ascii="Arial" w:cs="Arial" w:eastAsia="Arial" w:hAnsi="Arial"/>
                <w:b w:val="0"/>
                <w:bCs w:val="0"/>
                <w:color w:val="000000"/>
                <w:sz w:val="22"/>
                <w:szCs w:val="22"/>
                <w:vertAlign w:val="baseline"/>
              </w:rPr>
            </w:pPr>
            <w:r w:rsidDel="00000000" w:rsidR="00000000" w:rsidRPr="00000000">
              <w:rPr>
                <w:rFonts w:ascii="Arial" w:cs="Arial" w:eastAsia="Arial" w:hAnsi="Arial"/>
                <w:b w:val="1"/>
                <w:bCs w:val="1"/>
                <w:color w:val="000000"/>
                <w:sz w:val="22"/>
                <w:szCs w:val="22"/>
                <w:vertAlign w:val="baseline"/>
                <w:rtl w:val="0"/>
              </w:rPr>
              <w:t xml:space="preserve">PLEASE NOTE: ALL COMMENTS WILL BE POSTED ON TURNITIN</w:t>
            </w:r>
            <w:r w:rsidDel="00000000" w:rsidR="00000000" w:rsidRPr="00000000">
              <w:rPr>
                <w:rtl w:val="0"/>
              </w:rPr>
            </w:r>
          </w:p>
          <w:p w:rsidR="00000000" w:rsidDel="00000000" w:rsidP="00000000" w:rsidRDefault="00000000" w:rsidRPr="00000000" w14:paraId="0000003C">
            <w:pPr>
              <w:rPr>
                <w:rFonts w:ascii="Arial" w:cs="Arial" w:eastAsia="Arial" w:hAnsi="Arial"/>
                <w:b w:val="0"/>
                <w:bCs w:val="0"/>
                <w:color w:val="000000"/>
                <w:sz w:val="22"/>
                <w:szCs w:val="22"/>
                <w:vertAlign w:val="baseline"/>
              </w:rPr>
            </w:pPr>
            <w:r w:rsidDel="00000000" w:rsidR="00000000" w:rsidRPr="00000000">
              <w:rPr>
                <w:rtl w:val="0"/>
              </w:rPr>
            </w:r>
          </w:p>
          <w:p w:rsidR="00000000" w:rsidDel="00000000" w:rsidP="00000000" w:rsidRDefault="00000000" w:rsidRPr="00000000" w14:paraId="0000003D">
            <w:pPr>
              <w:rPr>
                <w:rFonts w:ascii="Arial" w:cs="Arial" w:eastAsia="Arial" w:hAnsi="Arial"/>
                <w:b w:val="0"/>
                <w:bCs w:val="0"/>
                <w:color w:val="000000"/>
                <w:sz w:val="22"/>
                <w:szCs w:val="22"/>
                <w:vertAlign w:val="baseline"/>
              </w:rPr>
            </w:pPr>
            <w:r w:rsidDel="00000000" w:rsidR="00000000" w:rsidRPr="00000000">
              <w:rPr>
                <w:rtl w:val="0"/>
              </w:rPr>
            </w:r>
          </w:p>
          <w:p w:rsidR="00000000" w:rsidDel="00000000" w:rsidP="00000000" w:rsidRDefault="00000000" w:rsidRPr="00000000" w14:paraId="0000003E">
            <w:pPr>
              <w:rPr>
                <w:rFonts w:ascii="Arial" w:cs="Arial" w:eastAsia="Arial" w:hAnsi="Arial"/>
                <w:b w:val="0"/>
                <w:bCs w:val="0"/>
                <w:color w:val="000000"/>
                <w:sz w:val="22"/>
                <w:szCs w:val="22"/>
                <w:vertAlign w:val="baseline"/>
              </w:rPr>
            </w:pPr>
            <w:r w:rsidDel="00000000" w:rsidR="00000000" w:rsidRPr="00000000">
              <w:rPr>
                <w:rFonts w:ascii="Arial" w:cs="Arial" w:eastAsia="Arial" w:hAnsi="Arial"/>
                <w:b w:val="1"/>
                <w:bCs w:val="1"/>
                <w:color w:val="000000"/>
                <w:sz w:val="22"/>
                <w:szCs w:val="22"/>
                <w:vertAlign w:val="baseline"/>
                <w:rtl w:val="0"/>
              </w:rPr>
              <w:t xml:space="preserve">For completion by Marker 1 :</w:t>
            </w:r>
            <w:r w:rsidDel="00000000" w:rsidR="00000000" w:rsidRPr="00000000">
              <w:rPr>
                <w:rtl w:val="0"/>
              </w:rPr>
            </w:r>
          </w:p>
          <w:p w:rsidR="00000000" w:rsidDel="00000000" w:rsidP="00000000" w:rsidRDefault="00000000" w:rsidRPr="00000000" w14:paraId="0000003F">
            <w:pPr>
              <w:spacing w:after="100" w:before="100" w:lineRule="auto"/>
              <w:rPr>
                <w:vertAlign w:val="baseline"/>
              </w:rPr>
            </w:pPr>
            <w:r w:rsidDel="00000000" w:rsidR="00000000" w:rsidRPr="00000000">
              <w:rPr>
                <w:rFonts w:ascii="Arial" w:cs="Arial" w:eastAsia="Arial" w:hAnsi="Arial"/>
                <w:color w:val="000000"/>
                <w:sz w:val="22"/>
                <w:szCs w:val="22"/>
                <w:vertAlign w:val="baseline"/>
                <w:rtl w:val="0"/>
              </w:rPr>
              <w:t xml:space="preserve">Comments:</w:t>
            </w:r>
            <w:r w:rsidDel="00000000" w:rsidR="00000000" w:rsidRPr="00000000">
              <w:rPr>
                <w:rtl w:val="0"/>
              </w:rPr>
            </w:r>
          </w:p>
        </w:tc>
      </w:tr>
      <w:tr>
        <w:trPr>
          <w:cantSplit w:val="1"/>
          <w:trHeight w:val="332" w:hRule="atLeast"/>
          <w:tblHeader w:val="0"/>
        </w:trPr>
        <w:tc>
          <w:tcPr>
            <w:gridSpan w:val="3"/>
            <w:tcBorders>
              <w:top w:color="000000" w:space="0" w:sz="4" w:val="single"/>
              <w:left w:color="000000" w:space="0" w:sz="4" w:val="single"/>
              <w:bottom w:color="000000" w:space="0" w:sz="4" w:val="single"/>
              <w:right w:color="000000" w:space="0" w:sz="4" w:val="single"/>
            </w:tcBorders>
            <w:tcMar>
              <w:top w:w="80.0" w:type="dxa"/>
              <w:left w:w="222.0" w:type="dxa"/>
              <w:bottom w:w="80.0" w:type="dxa"/>
              <w:right w:w="114.0" w:type="dxa"/>
            </w:tcMar>
            <w:vAlign w:val="top"/>
          </w:tcPr>
          <w:p w:rsidR="00000000" w:rsidDel="00000000" w:rsidP="00000000" w:rsidRDefault="00000000" w:rsidRPr="00000000" w14:paraId="00000044">
            <w:pPr>
              <w:spacing w:after="100" w:before="100" w:lineRule="auto"/>
              <w:ind w:left="142" w:right="34" w:firstLine="0"/>
              <w:rPr>
                <w:vertAlign w:val="baseline"/>
              </w:rPr>
            </w:pPr>
            <w:r w:rsidDel="00000000" w:rsidR="00000000" w:rsidRPr="00000000">
              <w:rPr>
                <w:rFonts w:ascii="Arial" w:cs="Arial" w:eastAsia="Arial" w:hAnsi="Arial"/>
                <w:color w:val="000000"/>
                <w:sz w:val="22"/>
                <w:szCs w:val="22"/>
                <w:vertAlign w:val="baseline"/>
                <w:rtl w:val="0"/>
              </w:rPr>
              <w:t xml:space="preserve">Marker’s signature: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222.0" w:type="dxa"/>
              <w:bottom w:w="80.0" w:type="dxa"/>
              <w:right w:w="114.0" w:type="dxa"/>
            </w:tcMar>
            <w:vAlign w:val="top"/>
          </w:tcPr>
          <w:p w:rsidR="00000000" w:rsidDel="00000000" w:rsidP="00000000" w:rsidRDefault="00000000" w:rsidRPr="00000000" w14:paraId="00000047">
            <w:pPr>
              <w:spacing w:after="100" w:before="100" w:lineRule="auto"/>
              <w:ind w:left="142" w:right="34" w:firstLine="0"/>
              <w:rPr>
                <w:vertAlign w:val="baseline"/>
              </w:rPr>
            </w:pPr>
            <w:r w:rsidDel="00000000" w:rsidR="00000000" w:rsidRPr="00000000">
              <w:rPr>
                <w:rFonts w:ascii="Arial" w:cs="Arial" w:eastAsia="Arial" w:hAnsi="Arial"/>
                <w:color w:val="000000"/>
                <w:sz w:val="22"/>
                <w:szCs w:val="22"/>
                <w:vertAlign w:val="baseline"/>
                <w:rtl w:val="0"/>
              </w:rPr>
              <w:t xml:space="preserve">Date:</w:t>
            </w:r>
            <w:r w:rsidDel="00000000" w:rsidR="00000000" w:rsidRPr="00000000">
              <w:rPr>
                <w:rtl w:val="0"/>
              </w:rPr>
            </w:r>
          </w:p>
        </w:tc>
      </w:tr>
      <w:tr>
        <w:trPr>
          <w:cantSplit w:val="1"/>
          <w:trHeight w:val="1683"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49">
            <w:pPr>
              <w:rPr>
                <w:rFonts w:ascii="Arial" w:cs="Arial" w:eastAsia="Arial" w:hAnsi="Arial"/>
                <w:i w:val="0"/>
                <w:iCs w:val="0"/>
                <w:color w:val="000000"/>
                <w:sz w:val="22"/>
                <w:szCs w:val="22"/>
                <w:vertAlign w:val="baseline"/>
              </w:rPr>
            </w:pPr>
            <w:r w:rsidDel="00000000" w:rsidR="00000000" w:rsidRPr="00000000">
              <w:rPr>
                <w:rtl w:val="0"/>
              </w:rPr>
            </w:r>
          </w:p>
          <w:p w:rsidR="00000000" w:rsidDel="00000000" w:rsidP="00000000" w:rsidRDefault="00000000" w:rsidRPr="00000000" w14:paraId="0000004A">
            <w:pPr>
              <w:rPr>
                <w:rFonts w:ascii="Arial" w:cs="Arial" w:eastAsia="Arial" w:hAnsi="Arial"/>
                <w:b w:val="0"/>
                <w:bCs w:val="0"/>
                <w:color w:val="000000"/>
                <w:sz w:val="22"/>
                <w:szCs w:val="22"/>
                <w:vertAlign w:val="baseline"/>
              </w:rPr>
            </w:pPr>
            <w:r w:rsidDel="00000000" w:rsidR="00000000" w:rsidRPr="00000000">
              <w:rPr>
                <w:rFonts w:ascii="Arial" w:cs="Arial" w:eastAsia="Arial" w:hAnsi="Arial"/>
                <w:b w:val="1"/>
                <w:bCs w:val="1"/>
                <w:color w:val="000000"/>
                <w:sz w:val="22"/>
                <w:szCs w:val="22"/>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4B">
            <w:pPr>
              <w:rPr>
                <w:rFonts w:ascii="Arial" w:cs="Arial" w:eastAsia="Arial" w:hAnsi="Arial"/>
                <w:b w:val="0"/>
                <w:bCs w:val="0"/>
                <w:color w:val="000000"/>
                <w:sz w:val="22"/>
                <w:szCs w:val="22"/>
                <w:vertAlign w:val="baseline"/>
              </w:rPr>
            </w:pPr>
            <w:r w:rsidDel="00000000" w:rsidR="00000000" w:rsidRPr="00000000">
              <w:rPr>
                <w:rtl w:val="0"/>
              </w:rPr>
            </w:r>
          </w:p>
          <w:p w:rsidR="00000000" w:rsidDel="00000000" w:rsidP="00000000" w:rsidRDefault="00000000" w:rsidRPr="00000000" w14:paraId="0000004C">
            <w:pPr>
              <w:rPr>
                <w:rFonts w:ascii="Arial" w:cs="Arial" w:eastAsia="Arial" w:hAnsi="Arial"/>
                <w:color w:val="000000"/>
                <w:sz w:val="22"/>
                <w:szCs w:val="22"/>
                <w:vertAlign w:val="baseline"/>
              </w:rPr>
            </w:pPr>
            <w:r w:rsidDel="00000000" w:rsidR="00000000" w:rsidRPr="00000000">
              <w:rPr>
                <w:rFonts w:ascii="Arial" w:cs="Arial" w:eastAsia="Arial" w:hAnsi="Arial"/>
                <w:color w:val="000000"/>
                <w:sz w:val="22"/>
                <w:szCs w:val="22"/>
                <w:vertAlign w:val="baseline"/>
                <w:rtl w:val="0"/>
              </w:rPr>
              <w:t xml:space="preserve">Comments:</w:t>
            </w:r>
          </w:p>
          <w:p w:rsidR="00000000" w:rsidDel="00000000" w:rsidP="00000000" w:rsidRDefault="00000000" w:rsidRPr="00000000" w14:paraId="0000004D">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4E">
            <w:pPr>
              <w:rPr>
                <w:vertAlign w:val="baseline"/>
              </w:rPr>
            </w:pPr>
            <w:r w:rsidDel="00000000" w:rsidR="00000000" w:rsidRPr="00000000">
              <w:rPr>
                <w:rtl w:val="0"/>
              </w:rPr>
            </w:r>
          </w:p>
        </w:tc>
      </w:tr>
      <w:tr>
        <w:trPr>
          <w:cantSplit w:val="1"/>
          <w:trHeight w:val="560" w:hRule="atLeast"/>
          <w:tblHeader w:val="0"/>
        </w:trPr>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53">
            <w:pPr>
              <w:rPr>
                <w:vertAlign w:val="baseline"/>
              </w:rPr>
            </w:pPr>
            <w:r w:rsidDel="00000000" w:rsidR="00000000" w:rsidRPr="00000000">
              <w:rPr>
                <w:rFonts w:ascii="Arial" w:cs="Arial" w:eastAsia="Arial" w:hAnsi="Arial"/>
                <w:color w:val="000000"/>
                <w:sz w:val="22"/>
                <w:szCs w:val="22"/>
                <w:vertAlign w:val="baseline"/>
                <w:rtl w:val="0"/>
              </w:rPr>
              <w:t xml:space="preserve">Marker’s Signature: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55">
            <w:pPr>
              <w:rPr>
                <w:vertAlign w:val="baseline"/>
              </w:rPr>
            </w:pPr>
            <w:r w:rsidDel="00000000" w:rsidR="00000000" w:rsidRPr="00000000">
              <w:rPr>
                <w:rFonts w:ascii="Arial" w:cs="Arial" w:eastAsia="Arial" w:hAnsi="Arial"/>
                <w:color w:val="000000"/>
                <w:sz w:val="22"/>
                <w:szCs w:val="22"/>
                <w:vertAlign w:val="baseline"/>
                <w:rtl w:val="0"/>
              </w:rPr>
              <w:t xml:space="preserve">Date:</w:t>
            </w:r>
            <w:r w:rsidDel="00000000" w:rsidR="00000000" w:rsidRPr="00000000">
              <w:rPr>
                <w:rtl w:val="0"/>
              </w:rPr>
            </w:r>
          </w:p>
        </w:tc>
      </w:tr>
      <w:tr>
        <w:trPr>
          <w:cantSplit w:val="1"/>
          <w:trHeight w:val="2643"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AGREED INTERNAL MARK (where necessary):</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Comment on process of arriving at agreed mark:</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Helvetica Neue" w:cs="Helvetica Neue" w:eastAsia="Helvetica Neue" w:hAnsi="Helvetica Neue"/>
                <w:b w:val="0"/>
                <w:bCs w:val="0"/>
                <w:i w:val="0"/>
                <w:iCs w:val="0"/>
                <w:smallCaps w:val="0"/>
                <w:strike w:val="0"/>
                <w:color w:val="000000"/>
                <w:sz w:val="24"/>
                <w:szCs w:val="24"/>
                <w:u w:val="none"/>
                <w:shd w:fill="auto" w:val="clear"/>
                <w:vertAlign w:val="baseline"/>
              </w:rPr>
            </w:pPr>
            <w:r w:rsidDel="00000000" w:rsidR="00000000" w:rsidRPr="00000000">
              <w:rPr>
                <w:rtl w:val="0"/>
              </w:rPr>
            </w:r>
          </w:p>
        </w:tc>
      </w:tr>
      <w:tr>
        <w:trPr>
          <w:cantSplit w:val="1"/>
          <w:trHeight w:val="1923" w:hRule="atLeast"/>
          <w:tblHeader w:val="0"/>
        </w:trPr>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67">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68">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69">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6A">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6B">
            <w:pPr>
              <w:rPr>
                <w:rFonts w:ascii="Arial" w:cs="Arial" w:eastAsia="Arial" w:hAnsi="Arial"/>
                <w:color w:val="000000"/>
                <w:sz w:val="22"/>
                <w:szCs w:val="22"/>
                <w:vertAlign w:val="baseline"/>
              </w:rPr>
            </w:pPr>
            <w:r w:rsidDel="00000000" w:rsidR="00000000" w:rsidRPr="00000000">
              <w:rPr>
                <w:rtl w:val="0"/>
              </w:rPr>
            </w:r>
          </w:p>
          <w:p w:rsidR="00000000" w:rsidDel="00000000" w:rsidP="00000000" w:rsidRDefault="00000000" w:rsidRPr="00000000" w14:paraId="0000006C">
            <w:pPr>
              <w:rPr>
                <w:vertAlign w:val="baseline"/>
              </w:rPr>
            </w:pPr>
            <w:r w:rsidDel="00000000" w:rsidR="00000000" w:rsidRPr="00000000">
              <w:rPr>
                <w:rtl w:val="0"/>
              </w:rPr>
            </w:r>
          </w:p>
        </w:tc>
      </w:tr>
      <w:tr>
        <w:trPr>
          <w:cantSplit w:val="1"/>
          <w:trHeight w:val="560" w:hRule="atLeast"/>
          <w:tblHeader w:val="0"/>
        </w:trPr>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Helvetica Neue" w:cs="Helvetica Neue" w:eastAsia="Helvetica Neue" w:hAnsi="Helvetica Neue"/>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External Examiner’s Signature: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top"/>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Helvetica Neue" w:cs="Helvetica Neue" w:eastAsia="Helvetica Neue" w:hAnsi="Helvetica Neue"/>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Date:</w:t>
            </w:r>
            <w:r w:rsidDel="00000000" w:rsidR="00000000" w:rsidRPr="00000000">
              <w:rPr>
                <w:rtl w:val="0"/>
              </w:rPr>
            </w:r>
          </w:p>
        </w:tc>
      </w:tr>
    </w:tbl>
    <w:p w:rsidR="00000000" w:rsidDel="00000000" w:rsidP="00000000" w:rsidRDefault="00000000" w:rsidRPr="00000000" w14:paraId="00000076">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77">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78">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79">
      <w:pPr>
        <w:pStyle w:val="Heading3"/>
        <w:widowControl w:val="0"/>
        <w:pBdr>
          <w:top w:color="000000" w:space="0" w:sz="0" w:val="none"/>
        </w:pBdr>
        <w:spacing w:after="0" w:before="0" w:line="240" w:lineRule="auto"/>
        <w:jc w:val="center"/>
        <w:rPr>
          <w:rFonts w:ascii="Trebuchet MS" w:cs="Trebuchet MS" w:eastAsia="Trebuchet MS" w:hAnsi="Trebuchet MS"/>
          <w:sz w:val="20"/>
          <w:szCs w:val="20"/>
        </w:rPr>
      </w:pPr>
      <w:r w:rsidDel="00000000" w:rsidR="00000000" w:rsidRPr="00000000">
        <w:rPr>
          <w:rtl w:val="0"/>
        </w:rPr>
      </w:r>
    </w:p>
    <w:p w:rsidR="00000000" w:rsidDel="00000000" w:rsidP="00000000" w:rsidRDefault="00000000" w:rsidRPr="00000000" w14:paraId="0000007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Julie Ellison HPCA7023 Assignment 1</w:t>
      </w:r>
    </w:p>
    <w:p w:rsidR="00000000" w:rsidDel="00000000" w:rsidP="00000000" w:rsidRDefault="00000000" w:rsidRPr="00000000" w14:paraId="0000007B">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w:t>
      </w:r>
    </w:p>
    <w:p w:rsidR="00000000" w:rsidDel="00000000" w:rsidP="00000000" w:rsidRDefault="00000000" w:rsidRPr="00000000" w14:paraId="0000007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essay compares and contrasts Kelly D. Alley’s </w:t>
      </w:r>
      <w:r w:rsidDel="00000000" w:rsidR="00000000" w:rsidRPr="00000000">
        <w:rPr>
          <w:rFonts w:ascii="Arial" w:cs="Arial" w:eastAsia="Arial" w:hAnsi="Arial"/>
          <w:i w:val="1"/>
          <w:iCs w:val="1"/>
          <w:sz w:val="22"/>
          <w:szCs w:val="22"/>
          <w:rtl w:val="0"/>
        </w:rPr>
        <w:t xml:space="preserve">River Goddesses, Personhood and Rights of Nature: Implications for Spiritual Ecology</w:t>
      </w:r>
      <w:r w:rsidDel="00000000" w:rsidR="00000000" w:rsidRPr="00000000">
        <w:rPr>
          <w:rFonts w:ascii="Arial" w:cs="Arial" w:eastAsia="Arial" w:hAnsi="Arial"/>
          <w:sz w:val="22"/>
          <w:szCs w:val="22"/>
          <w:vertAlign w:val="superscript"/>
        </w:rPr>
        <w:footnoteReference w:customMarkFollows="0" w:id="0"/>
      </w:r>
      <w:r w:rsidDel="00000000" w:rsidR="00000000" w:rsidRPr="00000000">
        <w:rPr>
          <w:rFonts w:ascii="Arial" w:cs="Arial" w:eastAsia="Arial" w:hAnsi="Arial"/>
          <w:sz w:val="22"/>
          <w:szCs w:val="22"/>
          <w:rtl w:val="0"/>
        </w:rPr>
        <w:t xml:space="preserve"> with Deborah Bird Rose’s </w:t>
      </w:r>
      <w:r w:rsidDel="00000000" w:rsidR="00000000" w:rsidRPr="00000000">
        <w:rPr>
          <w:rFonts w:ascii="Arial" w:cs="Arial" w:eastAsia="Arial" w:hAnsi="Arial"/>
          <w:i w:val="1"/>
          <w:iCs w:val="1"/>
          <w:sz w:val="22"/>
          <w:szCs w:val="22"/>
          <w:rtl w:val="0"/>
        </w:rPr>
        <w:t xml:space="preserve">An Indigenous Philosophical Ecology: Situating the Human</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22"/>
          <w:szCs w:val="22"/>
          <w:vertAlign w:val="superscript"/>
        </w:rPr>
        <w:footnoteReference w:customMarkFollows="0" w:id="1"/>
      </w:r>
      <w:r w:rsidDel="00000000" w:rsidR="00000000" w:rsidRPr="00000000">
        <w:rPr>
          <w:rFonts w:ascii="Arial" w:cs="Arial" w:eastAsia="Arial" w:hAnsi="Arial"/>
          <w:sz w:val="22"/>
          <w:szCs w:val="22"/>
          <w:rtl w:val="0"/>
        </w:rPr>
        <w:t xml:space="preserve"> Drawing on recent developments in the anthropology of the more-than-human and related debates in philosophical and spiritual ecology. The essay looks at how each author thinks about the link between people and the environment and how their ideas shed light on the philosophical, political, and moral issues at play in ecological thinking. In doing so, the essay argues that, while both texts challenge Western anthropocentrism, they differ significantly in their theoretical foundations and the kinds of ecological renewal they imagine: Alley contextualises spiritual ecology within legal and political frameworks, while Rose proposes an Indigenous relational ontology based on interspecies reciprocity.</w:t>
      </w:r>
    </w:p>
    <w:p w:rsidR="00000000" w:rsidDel="00000000" w:rsidP="00000000" w:rsidRDefault="00000000" w:rsidRPr="00000000" w14:paraId="0000007F">
      <w:pPr>
        <w:spacing w:line="276" w:lineRule="auto"/>
        <w:rPr>
          <w:rFonts w:ascii="Arial" w:cs="Arial" w:eastAsia="Arial" w:hAnsi="Arial"/>
          <w:b w:val="1"/>
          <w:bCs w:val="1"/>
          <w:color w:val="1c1d1e"/>
          <w:sz w:val="22"/>
          <w:szCs w:val="22"/>
          <w:highlight w:val="white"/>
        </w:rPr>
      </w:pPr>
      <w:r w:rsidDel="00000000" w:rsidR="00000000" w:rsidRPr="00000000">
        <w:rPr>
          <w:rtl w:val="0"/>
        </w:rPr>
      </w:r>
    </w:p>
    <w:p w:rsidR="00000000" w:rsidDel="00000000" w:rsidP="00000000" w:rsidRDefault="00000000" w:rsidRPr="00000000" w14:paraId="00000080">
      <w:pPr>
        <w:spacing w:line="276" w:lineRule="auto"/>
        <w:rPr>
          <w:rFonts w:ascii="Arial" w:cs="Arial" w:eastAsia="Arial" w:hAnsi="Arial"/>
          <w:b w:val="1"/>
          <w:bCs w:val="1"/>
          <w:color w:val="1c1d1e"/>
          <w:sz w:val="22"/>
          <w:szCs w:val="22"/>
          <w:highlight w:val="white"/>
        </w:rPr>
      </w:pPr>
      <w:r w:rsidDel="00000000" w:rsidR="00000000" w:rsidRPr="00000000">
        <w:rPr>
          <w:rFonts w:ascii="Arial" w:cs="Arial" w:eastAsia="Arial" w:hAnsi="Arial"/>
          <w:b w:val="1"/>
          <w:bCs w:val="1"/>
          <w:color w:val="1c1d1e"/>
          <w:sz w:val="22"/>
          <w:szCs w:val="22"/>
          <w:highlight w:val="white"/>
          <w:rtl w:val="0"/>
        </w:rPr>
        <w:t xml:space="preserve">Context</w:t>
      </w:r>
    </w:p>
    <w:p w:rsidR="00000000" w:rsidDel="00000000" w:rsidP="00000000" w:rsidRDefault="00000000" w:rsidRPr="00000000" w14:paraId="00000081">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Both Alley and Rose are anthropologists; their work is part of a growing trend in contemporary anthropology to look at how people interact with the more-than-human world. This emerging orientation is often associated with the "new anthropology" or ontological turn, referring to the application of ontological frameworks in anthropology which resulted in an explicit concern with the way humans communicate and interact with the more-than-human world. As </w:t>
      </w:r>
      <w:r w:rsidDel="00000000" w:rsidR="00000000" w:rsidRPr="00000000">
        <w:rPr>
          <w:rFonts w:ascii="Arial" w:cs="Arial" w:eastAsia="Arial" w:hAnsi="Arial"/>
          <w:color w:val="222222"/>
          <w:sz w:val="22"/>
          <w:szCs w:val="22"/>
          <w:highlight w:val="white"/>
          <w:rtl w:val="0"/>
        </w:rPr>
        <w:t xml:space="preserve">Heywood points out, proponents of the ontological turn adopt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222222"/>
          <w:sz w:val="22"/>
          <w:szCs w:val="22"/>
          <w:highlight w:val="white"/>
          <w:rtl w:val="0"/>
        </w:rPr>
        <w:t xml:space="preserve">a radical methodological openness to difference of all kinds, be it what we would call cultural and epistemological or natural and, indeed, ontological.”</w:t>
      </w:r>
      <w:r w:rsidDel="00000000" w:rsidR="00000000" w:rsidRPr="00000000">
        <w:rPr>
          <w:rFonts w:ascii="Arial" w:cs="Arial" w:eastAsia="Arial" w:hAnsi="Arial"/>
          <w:color w:val="222222"/>
          <w:sz w:val="22"/>
          <w:szCs w:val="22"/>
          <w:highlight w:val="white"/>
          <w:vertAlign w:val="superscript"/>
        </w:rPr>
        <w:footnoteReference w:customMarkFollows="0" w:id="2"/>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sz w:val="22"/>
          <w:szCs w:val="22"/>
          <w:rtl w:val="0"/>
        </w:rPr>
        <w:t xml:space="preserve">This change broadens the discipline to encompass ontologies, where humans are merely one type of participant among many others in creating social and ecological existence.</w:t>
      </w:r>
    </w:p>
    <w:p w:rsidR="00000000" w:rsidDel="00000000" w:rsidP="00000000" w:rsidRDefault="00000000" w:rsidRPr="00000000" w14:paraId="00000082">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this context, both authors challenge the Western anthropocentric dichotomy between nature and humanity, instead highlighting the moral, spiritual, and relational dimensions through which individuals perceive themselves as components of an ecological self. The ecological self is a concept first articulated by Arne Naess and developed by environmental philosopher David Abram. It describes a way of being that is based on relationships and interdependence and sees the lines between people and their environment as open and co-forming. “Taking wider identification seriously, Næss argued, means that humans should care for the extended ecological Self because each person is more than just his or her body”</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capturing the expansive, relational character of ecological identity.</w:t>
      </w:r>
    </w:p>
    <w:p w:rsidR="00000000" w:rsidDel="00000000" w:rsidP="00000000" w:rsidRDefault="00000000" w:rsidRPr="00000000" w14:paraId="00000083">
      <w:pPr>
        <w:spacing w:after="240" w:before="240" w:line="276" w:lineRule="auto"/>
        <w:rPr>
          <w:rFonts w:ascii="Arial" w:cs="Arial" w:eastAsia="Arial" w:hAnsi="Arial"/>
          <w:color w:val="1c1d1e"/>
          <w:sz w:val="22"/>
          <w:szCs w:val="22"/>
          <w:highlight w:val="white"/>
        </w:rPr>
      </w:pPr>
      <w:r w:rsidDel="00000000" w:rsidR="00000000" w:rsidRPr="00000000">
        <w:rPr>
          <w:rFonts w:ascii="Arial" w:cs="Arial" w:eastAsia="Arial" w:hAnsi="Arial"/>
          <w:sz w:val="22"/>
          <w:szCs w:val="22"/>
          <w:rtl w:val="0"/>
        </w:rPr>
        <w:t xml:space="preserve">As Val Plumwood argues in her critique of rationalist culture, that ecological renewal requires not only innovative policies but also new ways of seeing, thinking, and relating, “and situates human life outside and above an inferiorised and manipulable nature”</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a shift that supports both the relational ontology discussed by Rose and spiritual ecology in Alley’s analysis.</w:t>
      </w:r>
      <w:r w:rsidDel="00000000" w:rsidR="00000000" w:rsidRPr="00000000">
        <w:rPr>
          <w:rtl w:val="0"/>
        </w:rPr>
      </w:r>
    </w:p>
    <w:p w:rsidR="00000000" w:rsidDel="00000000" w:rsidP="00000000" w:rsidRDefault="00000000" w:rsidRPr="00000000" w14:paraId="00000084">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Alley is an American anthropologist whose work spans over three decades researching water, culture, and environmental governance in India. She links spiritual ecology and applied anthropology by examining the influence of religious beliefs around the Ganga and Yamuna rivers on environmental activism and policy. In her paper, Alley examines two landmark 2017 rulings by the High Court of Uttarakhand, which declared the Ganga and Yamuna Rivers to be “juristic persons” with legal rights</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Through this case, she considers how spiritual and legal logic unite and how the personhood of Hindu deities, historically recognised in colonial law, merged with the modern ‘Rights of Nature’ movement</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Alley also exposes the fragility of these changes, as swift overturning of the decisions highlights the tensions between spiritual reverence, political ideology, and practical enforcement. As she notes, “the legal framing of the rivers as persons became entangled with wider political agendas, including Hindutva narratives that both draw upon and instrumentalize sacred geographies.”</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Her work remains relevant as nations, including the UK, experiment with legal recognition for rivers and other ecosystems.</w:t>
      </w:r>
    </w:p>
    <w:p w:rsidR="00000000" w:rsidDel="00000000" w:rsidP="00000000" w:rsidRDefault="00000000" w:rsidRPr="00000000" w14:paraId="00000085">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paper featured in the open-access online journal </w:t>
      </w:r>
      <w:r w:rsidDel="00000000" w:rsidR="00000000" w:rsidRPr="00000000">
        <w:rPr>
          <w:rFonts w:ascii="Arial" w:cs="Arial" w:eastAsia="Arial" w:hAnsi="Arial"/>
          <w:i w:val="1"/>
          <w:iCs w:val="1"/>
          <w:sz w:val="22"/>
          <w:szCs w:val="22"/>
          <w:rtl w:val="0"/>
        </w:rPr>
        <w:t xml:space="preserve">Religions</w:t>
      </w:r>
      <w:r w:rsidDel="00000000" w:rsidR="00000000" w:rsidRPr="00000000">
        <w:rPr>
          <w:rFonts w:ascii="Arial" w:cs="Arial" w:eastAsia="Arial" w:hAnsi="Arial"/>
          <w:sz w:val="22"/>
          <w:szCs w:val="22"/>
          <w:rtl w:val="0"/>
        </w:rPr>
        <w:t xml:space="preserve">, intended primarily for academic readers, researchers, and students in religious studies, theology, and related disciplines such as philosophy, anthropology, sociology, and cultural studies</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 The journal welcomes interdisciplinary viewpoints and aims to enhance the accessibility of research; however, its articles are predominantly academic, targeting readers interested in scholarly discourse rather than the general reader. </w:t>
      </w:r>
    </w:p>
    <w:p w:rsidR="00000000" w:rsidDel="00000000" w:rsidP="00000000" w:rsidRDefault="00000000" w:rsidRPr="00000000" w14:paraId="00000086">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Rose (1946–2018) was an Australian anthropologist and leading voice in the environmental humanities. Her career, rooted in decades of collaboration with Aboriginal communities in northern Australia, gave rise to a relational philosophy that sees all beings (human and non-human) as interconnected through practices of care, attention, and responsibility. Rose's fieldwork emphasises Indigenous ecological knowledge, expressed not in abstract principles but in real-life relationships between different species. As one Aboriginal elder explained, “Cicadas sing turtle fat,”</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a concise expression of how ecological patterns can be understood through close, rather than detached, observation. This relational ontology is different from most Western frameworks, which Rose critiques for their reliance on human exceptionalism. Here, her work intersects with Plumwood’s analysis of Western dualisms, described as “the West’s long-term hegemonic anthropocentrism, a philosophical ecology that separates humans from the natural world in the most extreme ways.”</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Which Plubwood describes as hyperseparation “the West’s effort to make extreme differentiation between human beings and other living things”</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a division that obstructs the kinds of reciprocity and responsiveness that are important to Indigenous ecological worlds. Together, Rose’s Indigenous engagement and Plumwood’s philosophical critique converge on a shared project. As Rose states in her abstract, her paper “takes up the challenge offered by Plumwood: that anthropology can contribute to the work of re-situating the human”,</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grounding this re-situating not in vague theories but in ecological connections of Indigenous people.</w:t>
      </w:r>
    </w:p>
    <w:p w:rsidR="00000000" w:rsidDel="00000000" w:rsidP="00000000" w:rsidRDefault="00000000" w:rsidRPr="00000000" w14:paraId="00000087">
      <w:pPr>
        <w:spacing w:after="240" w:before="240" w:line="276" w:lineRule="auto"/>
        <w:rPr>
          <w:rFonts w:ascii="Arial" w:cs="Arial" w:eastAsia="Arial" w:hAnsi="Arial"/>
          <w:color w:val="ff00ff"/>
          <w:sz w:val="22"/>
          <w:szCs w:val="22"/>
          <w:highlight w:val="yellow"/>
        </w:rPr>
      </w:pPr>
      <w:r w:rsidDel="00000000" w:rsidR="00000000" w:rsidRPr="00000000">
        <w:rPr>
          <w:rFonts w:ascii="Arial" w:cs="Arial" w:eastAsia="Arial" w:hAnsi="Arial"/>
          <w:sz w:val="22"/>
          <w:szCs w:val="22"/>
          <w:rtl w:val="0"/>
        </w:rPr>
        <w:t xml:space="preserve">The paper was published in </w:t>
      </w:r>
      <w:r w:rsidDel="00000000" w:rsidR="00000000" w:rsidRPr="00000000">
        <w:rPr>
          <w:rFonts w:ascii="Arial" w:cs="Arial" w:eastAsia="Arial" w:hAnsi="Arial"/>
          <w:i w:val="1"/>
          <w:iCs w:val="1"/>
          <w:sz w:val="22"/>
          <w:szCs w:val="22"/>
          <w:rtl w:val="0"/>
        </w:rPr>
        <w:t xml:space="preserve">The Australian Journal of Anthropology</w:t>
      </w:r>
      <w:r w:rsidDel="00000000" w:rsidR="00000000" w:rsidRPr="00000000">
        <w:rPr>
          <w:rFonts w:ascii="Arial" w:cs="Arial" w:eastAsia="Arial" w:hAnsi="Arial"/>
          <w:sz w:val="22"/>
          <w:szCs w:val="22"/>
          <w:rtl w:val="0"/>
        </w:rPr>
        <w:t xml:space="preserve">, directed at an academic audience, with a focus on ethnographic fieldwork and theoretical analysis in the Asia-Pacific.</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The papers demand an understanding of anthropological theory and methods rather than targeting the general reader. </w:t>
      </w:r>
      <w:r w:rsidDel="00000000" w:rsidR="00000000" w:rsidRPr="00000000">
        <w:rPr>
          <w:rtl w:val="0"/>
        </w:rPr>
      </w:r>
    </w:p>
    <w:p w:rsidR="00000000" w:rsidDel="00000000" w:rsidP="00000000" w:rsidRDefault="00000000" w:rsidRPr="00000000" w14:paraId="00000088">
      <w:pPr>
        <w:spacing w:line="276" w:lineRule="auto"/>
        <w:rPr>
          <w:rFonts w:ascii="Arial" w:cs="Arial" w:eastAsia="Arial" w:hAnsi="Arial"/>
          <w:color w:val="1c1d1e"/>
          <w:sz w:val="21"/>
          <w:szCs w:val="21"/>
          <w:highlight w:val="white"/>
        </w:rPr>
      </w:pPr>
      <w:r w:rsidDel="00000000" w:rsidR="00000000" w:rsidRPr="00000000">
        <w:rPr>
          <w:rtl w:val="0"/>
        </w:rPr>
      </w:r>
    </w:p>
    <w:p w:rsidR="00000000" w:rsidDel="00000000" w:rsidP="00000000" w:rsidRDefault="00000000" w:rsidRPr="00000000" w14:paraId="00000089">
      <w:pPr>
        <w:spacing w:line="276" w:lineRule="auto"/>
        <w:rPr>
          <w:rFonts w:ascii="Arial" w:cs="Arial" w:eastAsia="Arial" w:hAnsi="Arial"/>
          <w:color w:val="1c1d1e"/>
          <w:sz w:val="21"/>
          <w:szCs w:val="21"/>
          <w:highlight w:val="white"/>
        </w:rPr>
      </w:pPr>
      <w:r w:rsidDel="00000000" w:rsidR="00000000" w:rsidRPr="00000000">
        <w:rPr>
          <w:rFonts w:ascii="Arial" w:cs="Arial" w:eastAsia="Arial" w:hAnsi="Arial"/>
          <w:b w:val="1"/>
          <w:bCs w:val="1"/>
          <w:color w:val="1c1d1e"/>
          <w:sz w:val="22"/>
          <w:szCs w:val="22"/>
          <w:highlight w:val="white"/>
          <w:rtl w:val="0"/>
        </w:rPr>
        <w:t xml:space="preserve">Summary</w:t>
      </w:r>
      <w:r w:rsidDel="00000000" w:rsidR="00000000" w:rsidRPr="00000000">
        <w:rPr>
          <w:rtl w:val="0"/>
        </w:rPr>
      </w:r>
    </w:p>
    <w:p w:rsidR="00000000" w:rsidDel="00000000" w:rsidP="00000000" w:rsidRDefault="00000000" w:rsidRPr="00000000" w14:paraId="0000008A">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w:t>
      </w:r>
      <w:r w:rsidDel="00000000" w:rsidR="00000000" w:rsidRPr="00000000">
        <w:rPr>
          <w:rFonts w:ascii="Arial" w:cs="Arial" w:eastAsia="Arial" w:hAnsi="Arial"/>
          <w:i w:val="1"/>
          <w:iCs w:val="1"/>
          <w:sz w:val="22"/>
          <w:szCs w:val="22"/>
          <w:rtl w:val="0"/>
        </w:rPr>
        <w:t xml:space="preserve">River Goddesses, Personhood and Rights of Nature</w:t>
      </w:r>
      <w:r w:rsidDel="00000000" w:rsidR="00000000" w:rsidRPr="00000000">
        <w:rPr>
          <w:rFonts w:ascii="Arial" w:cs="Arial" w:eastAsia="Arial" w:hAnsi="Arial"/>
          <w:sz w:val="22"/>
          <w:szCs w:val="22"/>
          <w:rtl w:val="0"/>
        </w:rPr>
        <w:t xml:space="preserve"> (2019), Alley examines the potential effects of ‘rights of nature’ legislation on spiritual ecology. She characterises spiritual ecology as “an international movement that highlights cases where religious and/or spiritual values and practices are interwoven with concerns and activities involving environmental or ecological protection or advocacy”.</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Alley examines two cases in India that “designated the rivers Ganga and Yamuna and their tributaries and glaciers as juristic persons” (</w:t>
      </w:r>
      <w:r w:rsidDel="00000000" w:rsidR="00000000" w:rsidRPr="00000000">
        <w:rPr>
          <w:rFonts w:ascii="Arial" w:cs="Arial" w:eastAsia="Arial" w:hAnsi="Arial"/>
          <w:i w:val="1"/>
          <w:iCs w:val="1"/>
          <w:sz w:val="22"/>
          <w:szCs w:val="22"/>
          <w:rtl w:val="0"/>
        </w:rPr>
        <w:t xml:space="preserve">Mohd Salim v. State of Uttarakhand and others</w:t>
      </w:r>
      <w:r w:rsidDel="00000000" w:rsidR="00000000" w:rsidRPr="00000000">
        <w:rPr>
          <w:rFonts w:ascii="Arial" w:cs="Arial" w:eastAsia="Arial" w:hAnsi="Arial"/>
          <w:sz w:val="22"/>
          <w:szCs w:val="22"/>
          <w:rtl w:val="0"/>
        </w:rPr>
        <w:t xml:space="preserve"> and </w:t>
      </w:r>
      <w:r w:rsidDel="00000000" w:rsidR="00000000" w:rsidRPr="00000000">
        <w:rPr>
          <w:rFonts w:ascii="Arial" w:cs="Arial" w:eastAsia="Arial" w:hAnsi="Arial"/>
          <w:i w:val="1"/>
          <w:iCs w:val="1"/>
          <w:sz w:val="22"/>
          <w:szCs w:val="22"/>
          <w:rtl w:val="0"/>
        </w:rPr>
        <w:t xml:space="preserve">Lalit Miglani v. State of Uttarakhand and others</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She considers whether designating the rivers as juristic persons can support conservation and enforce an ‘ecocentric approach’</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She asks, “How are these specific legal initiatives related to spiritual ecology or how do these principles become entwined with religion, spirituality and ecology in India? Do legal pronouncements such as these help devotees of rivers to revitalize them? Do the pronouncements strengthen existing cleanup activities or punitive orders against polluters? And since these judgements operate in a political context of government administration, do they help to forward other political or ideological goals apart from river conservation and cleanup?”</w:t>
      </w:r>
      <w:r w:rsidDel="00000000" w:rsidR="00000000" w:rsidRPr="00000000">
        <w:rPr>
          <w:rFonts w:ascii="Arial" w:cs="Arial" w:eastAsia="Arial" w:hAnsi="Arial"/>
          <w:sz w:val="22"/>
          <w:szCs w:val="22"/>
          <w:vertAlign w:val="superscript"/>
        </w:rPr>
        <w:footnoteReference w:customMarkFollows="0" w:id="17"/>
      </w:r>
      <w:r w:rsidDel="00000000" w:rsidR="00000000" w:rsidRPr="00000000">
        <w:rPr>
          <w:rtl w:val="0"/>
        </w:rPr>
      </w:r>
    </w:p>
    <w:p w:rsidR="00000000" w:rsidDel="00000000" w:rsidP="00000000" w:rsidRDefault="00000000" w:rsidRPr="00000000" w14:paraId="0000008B">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contrast, Rose’s paper examines how Indigenous ecological knowledge contributes to a philosophical framework for ecology, integrating concepts from both the humanities and the sciences to address the relationship between humans and the natural environment. From a scientific perspective, she builds upon the work of Julie Cruikshank, who suggests that more focus should be given to “local knowledge as expertise that could contribute to theoretical perspectives”</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noting “that traditional ecological knowledge (TEK) tends towards classifying knowledge as data, and towards incorporating data into existing Western paradigms.”</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8C">
      <w:pPr>
        <w:spacing w:after="240" w:before="24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Inspired by Plumwood’s environmental humanities, Rose takes up this challenge by emphasising that dialogical and story-based knowledge is central to Indigenous ecological philosophy. She notes that Plumbwood suggests that anthropology can work with the environmental humanities to foster new knowledge by studying nature through the lenses of agency and communication. She notes that Plumwood identifies two primary objectives for Western science and philosophy: “The first is to re-situate the human in ecological terms, and the second is to re-situate the non-human in ethical terms.”</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Rose’s analysis focuses on the first objective, “positioning the human within an Indigenous philosophical ecology”</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8E">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Drawing from research conducted in Australia’s Northern Territory Rose asks, "Can Indigenous ecological knowledge contribute to major debates in Western science and philosophy?" She suggests that these debates revolve around how humans perceive their place and responsibility in this world</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8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spacing w:line="276" w:lineRule="auto"/>
        <w:rPr>
          <w:rFonts w:ascii="Calibri" w:cs="Calibri" w:eastAsia="Calibri" w:hAnsi="Calibri"/>
          <w:color w:val="0000ff"/>
          <w:sz w:val="28"/>
          <w:szCs w:val="28"/>
        </w:rPr>
      </w:pPr>
      <w:r w:rsidDel="00000000" w:rsidR="00000000" w:rsidRPr="00000000">
        <w:rPr>
          <w:rFonts w:ascii="Arial" w:cs="Arial" w:eastAsia="Arial" w:hAnsi="Arial"/>
          <w:b w:val="1"/>
          <w:bCs w:val="1"/>
          <w:sz w:val="28"/>
          <w:szCs w:val="28"/>
          <w:rtl w:val="0"/>
        </w:rPr>
        <w:t xml:space="preserve">Analysis</w:t>
      </w:r>
      <w:r w:rsidDel="00000000" w:rsidR="00000000" w:rsidRPr="00000000">
        <w:rPr>
          <w:rtl w:val="0"/>
        </w:rPr>
      </w:r>
    </w:p>
    <w:p w:rsidR="00000000" w:rsidDel="00000000" w:rsidP="00000000" w:rsidRDefault="00000000" w:rsidRPr="00000000" w14:paraId="0000009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92">
      <w:pPr>
        <w:pStyle w:val="Heading3"/>
        <w:keepNext w:val="0"/>
        <w:numPr>
          <w:ilvl w:val="0"/>
          <w:numId w:val="1"/>
        </w:numPr>
        <w:pBdr>
          <w:top w:color="000000" w:space="0" w:sz="0" w:val="none"/>
        </w:pBdr>
        <w:spacing w:after="80" w:before="280" w:line="276" w:lineRule="auto"/>
        <w:ind w:left="720" w:hanging="360"/>
        <w:rPr>
          <w:rFonts w:ascii="Arial" w:cs="Arial" w:eastAsia="Arial" w:hAnsi="Arial"/>
          <w:b w:val="1"/>
          <w:bCs w:val="1"/>
        </w:rPr>
      </w:pPr>
      <w:bookmarkStart w:colFirst="0" w:colLast="0" w:name="_heading=h.toxi9z817nkg" w:id="0"/>
      <w:bookmarkEnd w:id="0"/>
      <w:r w:rsidDel="00000000" w:rsidR="00000000" w:rsidRPr="00000000">
        <w:rPr>
          <w:rFonts w:ascii="Arial" w:cs="Arial" w:eastAsia="Arial" w:hAnsi="Arial"/>
          <w:b w:val="1"/>
          <w:bCs w:val="1"/>
          <w:sz w:val="24"/>
          <w:szCs w:val="24"/>
          <w:rtl w:val="0"/>
        </w:rPr>
        <w:t xml:space="preserve">Theoretical and methodological approaches</w:t>
      </w:r>
    </w:p>
    <w:p w:rsidR="00000000" w:rsidDel="00000000" w:rsidP="00000000" w:rsidRDefault="00000000" w:rsidRPr="00000000" w14:paraId="00000093">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Both Alley and Rose look at ecological issues through different but complementary theoretical and methodological frameworks. These frameworks significantly influence their understanding of fundamental concepts like personhood, ontology, and relationality. Alley talks about how religious ideas are used in modern political and legal systems; she uses both anthropological and legal-ethnographic methodologies to highlight the mobilisation of religious ideas within contemporary political and juridical systems. Alley notes that courts and political actors selectively incorporate the religious narratives of sacred rivers into contemporary legal and administrative processes.</w:t>
      </w:r>
      <w:r w:rsidDel="00000000" w:rsidR="00000000" w:rsidRPr="00000000">
        <w:rPr>
          <w:rFonts w:ascii="Arial" w:cs="Arial" w:eastAsia="Arial" w:hAnsi="Arial"/>
          <w:sz w:val="22"/>
          <w:szCs w:val="22"/>
          <w:vertAlign w:val="superscript"/>
        </w:rPr>
        <w:footnoteReference w:customMarkFollows="0" w:id="23"/>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4">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Through discursive and institutional ethnography, she looks at how different groups, such as the government, courts, religious leaders and followers, produce competing interpretations of sacred rivers. As Alley notes, in the Uttarakhand rulings, “More importantly for these rights of nature cases, the public interest tradition has also allowed Judges to use suo motu powers to bring a case forward without a petitioner,”</w:t>
      </w:r>
      <w:r w:rsidDel="00000000" w:rsidR="00000000" w:rsidRPr="00000000">
        <w:rPr>
          <w:rFonts w:ascii="Arial" w:cs="Arial" w:eastAsia="Arial" w:hAnsi="Arial"/>
          <w:sz w:val="22"/>
          <w:szCs w:val="22"/>
          <w:vertAlign w:val="superscript"/>
        </w:rPr>
        <w:footnoteReference w:customMarkFollows="0" w:id="24"/>
      </w:r>
      <w:r w:rsidDel="00000000" w:rsidR="00000000" w:rsidRPr="00000000">
        <w:rPr>
          <w:rFonts w:ascii="Arial" w:cs="Arial" w:eastAsia="Arial" w:hAnsi="Arial"/>
          <w:sz w:val="22"/>
          <w:szCs w:val="22"/>
          <w:rtl w:val="0"/>
        </w:rPr>
        <w:t xml:space="preserve"> so the judge’s “world-view, convictions and abilities”</w:t>
      </w:r>
      <w:r w:rsidDel="00000000" w:rsidR="00000000" w:rsidRPr="00000000">
        <w:rPr>
          <w:rFonts w:ascii="Arial" w:cs="Arial" w:eastAsia="Arial" w:hAnsi="Arial"/>
          <w:sz w:val="22"/>
          <w:szCs w:val="22"/>
          <w:vertAlign w:val="superscript"/>
        </w:rPr>
        <w:footnoteReference w:customMarkFollows="0" w:id="25"/>
      </w:r>
      <w:r w:rsidDel="00000000" w:rsidR="00000000" w:rsidRPr="00000000">
        <w:rPr>
          <w:rFonts w:ascii="Arial" w:cs="Arial" w:eastAsia="Arial" w:hAnsi="Arial"/>
          <w:sz w:val="22"/>
          <w:szCs w:val="22"/>
          <w:rtl w:val="0"/>
        </w:rPr>
        <w:t xml:space="preserve"> shaped the trajectory of the case, thus showing how legal discourses and institutional agency transform sacred geographies into juridical subjects. This approach views concepts like ‘personhood’ and ‘sacred nature’ as made by society and politics, not set by nature.</w:t>
      </w:r>
    </w:p>
    <w:p w:rsidR="00000000" w:rsidDel="00000000" w:rsidP="00000000" w:rsidRDefault="00000000" w:rsidRPr="00000000" w14:paraId="00000095">
      <w:pPr>
        <w:spacing w:after="240" w:before="240"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Rose, by contrast, adopts a phenomenological and ontological methodology grounded in Indigenous epistemologies and the environmental humanities. Her philosophy is that "the human", "nature", and "kinship" are lived experiences, not just ideas. As she writes: “The underlying proposition is that the life of most living things is for others as well as for itself.”</w:t>
      </w:r>
      <w:r w:rsidDel="00000000" w:rsidR="00000000" w:rsidRPr="00000000">
        <w:rPr>
          <w:rFonts w:ascii="Arial" w:cs="Arial" w:eastAsia="Arial" w:hAnsi="Arial"/>
          <w:sz w:val="22"/>
          <w:szCs w:val="22"/>
          <w:vertAlign w:val="superscript"/>
        </w:rPr>
        <w:footnoteReference w:customMarkFollows="0" w:id="26"/>
      </w:r>
      <w:r w:rsidDel="00000000" w:rsidR="00000000" w:rsidRPr="00000000">
        <w:rPr>
          <w:rFonts w:ascii="Arial" w:cs="Arial" w:eastAsia="Arial" w:hAnsi="Arial"/>
          <w:sz w:val="22"/>
          <w:szCs w:val="22"/>
          <w:rtl w:val="0"/>
        </w:rPr>
        <w:t xml:space="preserve"> This relational stance leads her to treat Indigenous knowledge not as data to be extracted but as a philosophical system in its own right, since “the overall effect of mapping benefits is to shift the analytic focus away from the concepts of resources and hierarchical food chains and toward multiplicities of species and benefits interacting in entangled systems of relationships.”</w:t>
      </w:r>
      <w:r w:rsidDel="00000000" w:rsidR="00000000" w:rsidRPr="00000000">
        <w:rPr>
          <w:rFonts w:ascii="Arial" w:cs="Arial" w:eastAsia="Arial" w:hAnsi="Arial"/>
          <w:sz w:val="22"/>
          <w:szCs w:val="22"/>
          <w:vertAlign w:val="superscript"/>
        </w:rPr>
        <w:footnoteReference w:customMarkFollows="0" w:id="27"/>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96">
      <w:pPr>
        <w:numPr>
          <w:ilvl w:val="0"/>
          <w:numId w:val="1"/>
        </w:numPr>
        <w:spacing w:after="240" w:before="240" w:line="276"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of writing styles</w:t>
      </w:r>
    </w:p>
    <w:p w:rsidR="00000000" w:rsidDel="00000000" w:rsidP="00000000" w:rsidRDefault="00000000" w:rsidRPr="00000000" w14:paraId="00000097">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Alley and Rose employ distinct writing styles, each shaped by their disciplinary commitments and intended readerships. Alley has studied ethnography and legal anthropology, so her writing is clear, well organised, and based on facts. Her case builds in a clear and logical way. For example, she provides a step-by-step explanation of the Uttarakhand rulings, making sure that important terms like "juristic person" are understood in the right context. She keeps an analytical tone that puts clarity over rhetorical flourishes even when talking about how faith, law, and politics affect each other in complicated ways.</w:t>
      </w:r>
    </w:p>
    <w:p w:rsidR="00000000" w:rsidDel="00000000" w:rsidP="00000000" w:rsidRDefault="00000000" w:rsidRPr="00000000" w14:paraId="00000098">
      <w:pPr>
        <w:spacing w:after="240" w:before="240"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Rose's writing, conversely, is more poetic, philosophical, and story-driven. frequently uses expressive language to weave together ethnographic insights from her research with Aboriginal communities and broader metaphysical concepts. This is particularly evident when she translates Indigenous ecological knowledge into philosophical principles. When she writes on mutual benefits, she describes them as "an ecosystem that flourishes through looped and tangled benefits."</w:t>
      </w:r>
      <w:r w:rsidDel="00000000" w:rsidR="00000000" w:rsidRPr="00000000">
        <w:rPr>
          <w:rFonts w:ascii="Arial" w:cs="Arial" w:eastAsia="Arial" w:hAnsi="Arial"/>
          <w:sz w:val="22"/>
          <w:szCs w:val="22"/>
          <w:vertAlign w:val="superscript"/>
        </w:rPr>
        <w:footnoteReference w:customMarkFollows="0" w:id="28"/>
      </w:r>
      <w:r w:rsidDel="00000000" w:rsidR="00000000" w:rsidRPr="00000000">
        <w:rPr>
          <w:rFonts w:ascii="Arial" w:cs="Arial" w:eastAsia="Arial" w:hAnsi="Arial"/>
          <w:sz w:val="22"/>
          <w:szCs w:val="22"/>
          <w:rtl w:val="0"/>
        </w:rPr>
        <w:t xml:space="preserve"> This phrase combines the ethnographic observation of interconnected uses for plants and animals with the metaphysical idea of a recursive, non-linear system. This style is intellectually rich, but it demands intellectual attention. Rose believes that relational ontology is the right way to approach things, so her writing is not just description but part of a larger ethical project. </w:t>
      </w:r>
      <w:r w:rsidDel="00000000" w:rsidR="00000000" w:rsidRPr="00000000">
        <w:rPr>
          <w:rtl w:val="0"/>
        </w:rPr>
      </w:r>
    </w:p>
    <w:p w:rsidR="00000000" w:rsidDel="00000000" w:rsidP="00000000" w:rsidRDefault="00000000" w:rsidRPr="00000000" w14:paraId="00000099">
      <w:pPr>
        <w:numPr>
          <w:ilvl w:val="0"/>
          <w:numId w:val="1"/>
        </w:numPr>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Evidence</w:t>
      </w:r>
    </w:p>
    <w:p w:rsidR="00000000" w:rsidDel="00000000" w:rsidP="00000000" w:rsidRDefault="00000000" w:rsidRPr="00000000" w14:paraId="0000009A">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Alley and Rose use different types of primary sources because their studies have different goals and methods. Alley relies heavily on legal documents, court rulings, policy statements, and public declarations from political actors and state officials involved in the Ganga and Yamuna personhood cases. These institutional sources are central to her research; alongside these sources, Alley employs ethnographic observations and media analysis to demonstrate the strategic use of religious narratives in political and legal systems. Alley cites her primary sources to show how rights-of-nature laws are both symbolic and limiting in how they work. Her claim that such frameworks can be appropriated by nationalist agendas is supported when she observes that political actors draw upon sacred imagery for support. “Given that the Indian Prime Minister has made the Namami Gange (Clean Ganga) project and large religious bathing festivals such as the Kumbh Mela into programs and events for galvanizing votes and party support”</w:t>
      </w:r>
      <w:r w:rsidDel="00000000" w:rsidR="00000000" w:rsidRPr="00000000">
        <w:rPr>
          <w:rFonts w:ascii="Arial" w:cs="Arial" w:eastAsia="Arial" w:hAnsi="Arial"/>
          <w:sz w:val="22"/>
          <w:szCs w:val="22"/>
          <w:vertAlign w:val="superscript"/>
        </w:rPr>
        <w:footnoteReference w:customMarkFollows="0" w:id="29"/>
      </w:r>
      <w:r w:rsidDel="00000000" w:rsidR="00000000" w:rsidRPr="00000000">
        <w:rPr>
          <w:rFonts w:ascii="Arial" w:cs="Arial" w:eastAsia="Arial" w:hAnsi="Arial"/>
          <w:sz w:val="22"/>
          <w:szCs w:val="22"/>
          <w:rtl w:val="0"/>
        </w:rPr>
        <w:t xml:space="preserve"> she demonstrates an existing pattern of political actors using sacred river imagery for political reinforcement.</w:t>
      </w:r>
    </w:p>
    <w:p w:rsidR="00000000" w:rsidDel="00000000" w:rsidP="00000000" w:rsidRDefault="00000000" w:rsidRPr="00000000" w14:paraId="0000009B">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Meanwhile, Rose draws upon her extensive ethnographic experience with Aboriginal communities in northern Australia. Her principal sources comprise oral histories, dialogues with Indigenous elders, and observations of cultural practices, rooted in decades of fieldwork. She stresses that her proof is relational and dialogical, so her materials constitute both ethnographic data and philosophical evidence. They explain Indigenous metaphysics through kinship obligations, multispecies responsibility, and understanding based on story. Instead of using written records, Rose uses place-based accounts, like the stories told by Yarralin speakers; her references prioritise Indigenous authority and establish her position in relation to the communities whose knowledge she shares.</w:t>
      </w:r>
    </w:p>
    <w:p w:rsidR="00000000" w:rsidDel="00000000" w:rsidP="00000000" w:rsidRDefault="00000000" w:rsidRPr="00000000" w14:paraId="0000009C">
      <w:pPr>
        <w:numPr>
          <w:ilvl w:val="0"/>
          <w:numId w:val="1"/>
        </w:numPr>
        <w:spacing w:after="240" w:before="240" w:line="276"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Critical Evaluation</w:t>
      </w:r>
    </w:p>
    <w:p w:rsidR="00000000" w:rsidDel="00000000" w:rsidP="00000000" w:rsidRDefault="00000000" w:rsidRPr="00000000" w14:paraId="0000009D">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Alley’s paper exposes a crucial tension within spiritual ecology by showing how spiritual action fits into India’s complicated political landscape. Alley shows that spiritual frameworks can become highly entangled with nationalist and capitalist goals, even though spiritual ecology often praises the re-sacralisation of nature as a way to heal the environment. Her research into the political party’s use of Hindu spiritual discourse (particularly its crafting of a Hinduvita, or “Hindulite”, environmental ethos) shows how religious symbolism can be used to strengthen political legitimacy rather than ecological transformation. The overturning of the decision that granted personhood to the Ganga and Yamuna rivers demonstrates the weakness of these efforts. It appears that spiritual or legal recognition alone can’t overcome the structural dominance of political and economic priorities.</w:t>
      </w:r>
    </w:p>
    <w:p w:rsidR="00000000" w:rsidDel="00000000" w:rsidP="00000000" w:rsidRDefault="00000000" w:rsidRPr="00000000" w14:paraId="0000009E">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Bron Taylor when discussing the Greening of Religion hypothesis, states, the “quest to understand the role of religion in environment behaviors is daunting—all the more so when considering also those individuals and groups who have quasi-or implicitly religious experiences, percep-tions, and practices.”</w:t>
      </w:r>
      <w:r w:rsidDel="00000000" w:rsidR="00000000" w:rsidRPr="00000000">
        <w:rPr>
          <w:rFonts w:ascii="Arial" w:cs="Arial" w:eastAsia="Arial" w:hAnsi="Arial"/>
          <w:sz w:val="22"/>
          <w:szCs w:val="22"/>
          <w:vertAlign w:val="superscript"/>
        </w:rPr>
        <w:footnoteReference w:customMarkFollows="0" w:id="30"/>
      </w:r>
      <w:r w:rsidDel="00000000" w:rsidR="00000000" w:rsidRPr="00000000">
        <w:rPr>
          <w:rFonts w:ascii="Arial" w:cs="Arial" w:eastAsia="Arial" w:hAnsi="Arial"/>
          <w:sz w:val="22"/>
          <w:szCs w:val="22"/>
          <w:rtl w:val="0"/>
        </w:rPr>
        <w:t xml:space="preserve"> He suggests that “ these sorts of claims should not be accepted as accurate without attention and analysis of all relevant and available evidence"</w:t>
      </w:r>
      <w:r w:rsidDel="00000000" w:rsidR="00000000" w:rsidRPr="00000000">
        <w:rPr>
          <w:rFonts w:ascii="Arial" w:cs="Arial" w:eastAsia="Arial" w:hAnsi="Arial"/>
          <w:sz w:val="22"/>
          <w:szCs w:val="22"/>
          <w:vertAlign w:val="superscript"/>
        </w:rPr>
        <w:footnoteReference w:customMarkFollows="0" w:id="31"/>
      </w:r>
      <w:r w:rsidDel="00000000" w:rsidR="00000000" w:rsidRPr="00000000">
        <w:rPr>
          <w:rFonts w:ascii="Arial" w:cs="Arial" w:eastAsia="Arial" w:hAnsi="Arial"/>
          <w:sz w:val="22"/>
          <w:szCs w:val="22"/>
          <w:rtl w:val="0"/>
        </w:rPr>
        <w:t xml:space="preserve"> Alley’s findings show exactly why this kind of close examination is needed: when spiritual ecology relies on idealised notions of divine nature, it risks diminishing cultural practices and taking politics out of environmental protection. The Indian case illustrates how spiritual narratives, if not linked to structural critique, can inadvertently reinforce ecologically harmful systems. Taylor quotes theologian James Nash “whose analysis of scripture led him to the conclusion that there was no biblical warrant for biodiversity conservation”</w:t>
      </w:r>
      <w:r w:rsidDel="00000000" w:rsidR="00000000" w:rsidRPr="00000000">
        <w:rPr>
          <w:rFonts w:ascii="Arial" w:cs="Arial" w:eastAsia="Arial" w:hAnsi="Arial"/>
          <w:sz w:val="22"/>
          <w:szCs w:val="22"/>
          <w:vertAlign w:val="superscript"/>
        </w:rPr>
        <w:footnoteReference w:customMarkFollows="0" w:id="32"/>
      </w:r>
      <w:r w:rsidDel="00000000" w:rsidR="00000000" w:rsidRPr="00000000">
        <w:rPr>
          <w:rFonts w:ascii="Arial" w:cs="Arial" w:eastAsia="Arial" w:hAnsi="Arial"/>
          <w:sz w:val="22"/>
          <w:szCs w:val="22"/>
          <w:rtl w:val="0"/>
        </w:rPr>
        <w:t xml:space="preserve">. This suggests that spiritual ecology, while offering symbolic and affective power, cannot by itself generate deeper ethical and ontological shifts. Taylor notes, “For these Christians, who are usually theologically conservative, environmental concerns are at best a distraction from proper religious priorities and at worst, spiritually dangerous idolatry in which people succumb to worshiping the creation rather than the creator.”</w:t>
      </w:r>
      <w:r w:rsidDel="00000000" w:rsidR="00000000" w:rsidRPr="00000000">
        <w:rPr>
          <w:rFonts w:ascii="Arial" w:cs="Arial" w:eastAsia="Arial" w:hAnsi="Arial"/>
          <w:sz w:val="22"/>
          <w:szCs w:val="22"/>
          <w:vertAlign w:val="superscript"/>
        </w:rPr>
        <w:footnoteReference w:customMarkFollows="0" w:id="33"/>
      </w:r>
      <w:r w:rsidDel="00000000" w:rsidR="00000000" w:rsidRPr="00000000">
        <w:rPr>
          <w:rtl w:val="0"/>
        </w:rPr>
      </w:r>
    </w:p>
    <w:p w:rsidR="00000000" w:rsidDel="00000000" w:rsidP="00000000" w:rsidRDefault="00000000" w:rsidRPr="00000000" w14:paraId="0000009F">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Rose offers a significant contribution to philosophical ecology by grounding ecological thought in Indigenous ontologies of interconnection and reciprocity. Her description of totemism as a “broader metaphysics of ecological beneficial connectivity”</w:t>
      </w:r>
      <w:r w:rsidDel="00000000" w:rsidR="00000000" w:rsidRPr="00000000">
        <w:rPr>
          <w:rFonts w:ascii="Arial" w:cs="Arial" w:eastAsia="Arial" w:hAnsi="Arial"/>
          <w:sz w:val="22"/>
          <w:szCs w:val="22"/>
          <w:vertAlign w:val="superscript"/>
        </w:rPr>
        <w:footnoteReference w:customMarkFollows="0" w:id="34"/>
      </w:r>
      <w:r w:rsidDel="00000000" w:rsidR="00000000" w:rsidRPr="00000000">
        <w:rPr>
          <w:rFonts w:ascii="Arial" w:cs="Arial" w:eastAsia="Arial" w:hAnsi="Arial"/>
          <w:sz w:val="22"/>
          <w:szCs w:val="22"/>
          <w:rtl w:val="0"/>
        </w:rPr>
        <w:t xml:space="preserve"> repositions ontology not as abstract theory but as a lived, relational practice. By presenting Aboriginal systems in which humans and non-human beings are bound through “plural bonds of mutual life-giving,”</w:t>
      </w:r>
      <w:r w:rsidDel="00000000" w:rsidR="00000000" w:rsidRPr="00000000">
        <w:rPr>
          <w:rFonts w:ascii="Arial" w:cs="Arial" w:eastAsia="Arial" w:hAnsi="Arial"/>
          <w:sz w:val="22"/>
          <w:szCs w:val="22"/>
          <w:vertAlign w:val="superscript"/>
        </w:rPr>
        <w:footnoteReference w:customMarkFollows="0" w:id="35"/>
      </w:r>
      <w:r w:rsidDel="00000000" w:rsidR="00000000" w:rsidRPr="00000000">
        <w:rPr>
          <w:rFonts w:ascii="Arial" w:cs="Arial" w:eastAsia="Arial" w:hAnsi="Arial"/>
          <w:sz w:val="22"/>
          <w:szCs w:val="22"/>
          <w:rtl w:val="0"/>
        </w:rPr>
        <w:t xml:space="preserve"> Rose demonstrates that Indigenous philosophies already enact the relational worldview that many Western ecological thinkers (such as Arne Næss) aspire to when they describe an expanded ecological self. In Rose’s account, metaphysics is not a set of propositions but a mode of participation in a shared moral and ecological world.</w:t>
      </w:r>
    </w:p>
    <w:p w:rsidR="00000000" w:rsidDel="00000000" w:rsidP="00000000" w:rsidRDefault="00000000" w:rsidRPr="00000000" w14:paraId="000000A0">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same time, Rose’s work illuminates a tension within Western philosophical ecology: its tendency to universalise the language of relationality while remaining detached from the embodied, place-based practices that sustain it. Zoe Todd identifies the risks when she reflects on the translation of Indigenous ontologies into Western theoretical categories and warns us about reproducing colonial hierarchies of thought: “Each one of us is embedded in systems that uphold the exploitation and dispossession of Indigenous peoples,”</w:t>
      </w:r>
      <w:r w:rsidDel="00000000" w:rsidR="00000000" w:rsidRPr="00000000">
        <w:rPr>
          <w:rFonts w:ascii="Arial" w:cs="Arial" w:eastAsia="Arial" w:hAnsi="Arial"/>
          <w:sz w:val="22"/>
          <w:szCs w:val="22"/>
          <w:vertAlign w:val="superscript"/>
        </w:rPr>
        <w:footnoteReference w:customMarkFollows="0" w:id="36"/>
      </w:r>
      <w:r w:rsidDel="00000000" w:rsidR="00000000" w:rsidRPr="00000000">
        <w:rPr>
          <w:rFonts w:ascii="Arial" w:cs="Arial" w:eastAsia="Arial" w:hAnsi="Arial"/>
          <w:sz w:val="22"/>
          <w:szCs w:val="22"/>
          <w:rtl w:val="0"/>
        </w:rPr>
        <w:t xml:space="preserve"> turning relational, lived worlds into abstract conceptual frameworks. Rose’s work avoids these risks precisely because it is grounded in long-term ethnographic relationships.</w:t>
      </w:r>
    </w:p>
    <w:p w:rsidR="00000000" w:rsidDel="00000000" w:rsidP="00000000" w:rsidRDefault="00000000" w:rsidRPr="00000000" w14:paraId="000000A1">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Taken together, the works of Alley and Rose reveal both the promise and the complexity of integrating spiritual or philosophical frameworks into ecological thought. Alley’s analysis of river personhood in India shows how spiritual ecology, when mediated through legal and political systems, becomes vulnerable to co-option by nationalist and economic agendas. As she observes, political actors often deploy sacred narratives “to reinforce state legitimacy rather than to secure ecological protection.”</w:t>
      </w:r>
      <w:r w:rsidDel="00000000" w:rsidR="00000000" w:rsidRPr="00000000">
        <w:rPr>
          <w:rFonts w:ascii="Arial" w:cs="Arial" w:eastAsia="Arial" w:hAnsi="Arial"/>
          <w:sz w:val="22"/>
          <w:szCs w:val="22"/>
          <w:vertAlign w:val="superscript"/>
        </w:rPr>
        <w:footnoteReference w:customMarkFollows="0" w:id="37"/>
      </w:r>
      <w:r w:rsidDel="00000000" w:rsidR="00000000" w:rsidRPr="00000000">
        <w:rPr>
          <w:rFonts w:ascii="Arial" w:cs="Arial" w:eastAsia="Arial" w:hAnsi="Arial"/>
          <w:sz w:val="22"/>
          <w:szCs w:val="22"/>
          <w:rtl w:val="0"/>
        </w:rPr>
        <w:t xml:space="preserve"> This underscores the structural limitations of sacralising nature within state institutions, as echoed in Bron Taylor’s warning that hopes for religious environmentalism must be subject to “careful, rigorous, ongoing, critical scrutiny.”</w:t>
      </w:r>
      <w:r w:rsidDel="00000000" w:rsidR="00000000" w:rsidRPr="00000000">
        <w:rPr>
          <w:rFonts w:ascii="Arial" w:cs="Arial" w:eastAsia="Arial" w:hAnsi="Arial"/>
          <w:sz w:val="22"/>
          <w:szCs w:val="22"/>
          <w:vertAlign w:val="superscript"/>
        </w:rPr>
        <w:footnoteReference w:customMarkFollows="0" w:id="38"/>
      </w:r>
      <w:r w:rsidDel="00000000" w:rsidR="00000000" w:rsidRPr="00000000">
        <w:rPr>
          <w:rtl w:val="0"/>
        </w:rPr>
      </w:r>
    </w:p>
    <w:p w:rsidR="00000000" w:rsidDel="00000000" w:rsidP="00000000" w:rsidRDefault="00000000" w:rsidRPr="00000000" w14:paraId="000000A2">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contrast, Rose’s Indigenous philosophical ecology turns toward the ontological foundations of human–nature relations. Her account of totemism as a “metaphysics of pattern, benefit, and connection”</w:t>
      </w:r>
      <w:r w:rsidDel="00000000" w:rsidR="00000000" w:rsidRPr="00000000">
        <w:rPr>
          <w:rFonts w:ascii="Arial" w:cs="Arial" w:eastAsia="Arial" w:hAnsi="Arial"/>
          <w:sz w:val="22"/>
          <w:szCs w:val="22"/>
          <w:vertAlign w:val="superscript"/>
        </w:rPr>
        <w:footnoteReference w:customMarkFollows="0" w:id="39"/>
      </w:r>
      <w:r w:rsidDel="00000000" w:rsidR="00000000" w:rsidRPr="00000000">
        <w:rPr>
          <w:rFonts w:ascii="Arial" w:cs="Arial" w:eastAsia="Arial" w:hAnsi="Arial"/>
          <w:sz w:val="22"/>
          <w:szCs w:val="22"/>
          <w:rtl w:val="0"/>
        </w:rPr>
        <w:t xml:space="preserve"> offers an alternative grounded not in institutional recognition but in interspecies kinship and reciprocity. Where Alley’s case exposes the fragility of spiritual ecology when confronted with political power, Rose’s work demonstrates the depth and resilience of ecological worldviews that are lived rather than legislated. Her focus on responsive relationships illustrates how embodied practices, not abstract principles, give rise to ecological ethics. Rose's careful translation also shows how fragile cross-cultural work can be. This is in line with Zoe Todd's warning that Western frameworks can create colonial hierarchies of thought if Indigenous worlds are seen as theoretical models.</w:t>
      </w:r>
    </w:p>
    <w:p w:rsidR="00000000" w:rsidDel="00000000" w:rsidP="00000000" w:rsidRDefault="00000000" w:rsidRPr="00000000" w14:paraId="000000A3">
      <w:pPr>
        <w:spacing w:after="240" w:before="24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Conclusion</w:t>
      </w:r>
    </w:p>
    <w:p w:rsidR="00000000" w:rsidDel="00000000" w:rsidP="00000000" w:rsidRDefault="00000000" w:rsidRPr="00000000" w14:paraId="000000A4">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Together, Alley and Rose highlight a central challenge for ecological thought: navigating the sacred and relational without falling into idealism, essentialism, or appropriation. They show, in different ways, that ecological renewal demands more than spiritual imaginaries or legal reforms; rather, it necessitates rethinking of how being, belonging, and responsibility are configured across cultures and systems.</w:t>
      </w:r>
    </w:p>
    <w:p w:rsidR="00000000" w:rsidDel="00000000" w:rsidP="00000000" w:rsidRDefault="00000000" w:rsidRPr="00000000" w14:paraId="000000A5">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contributions of Alley and Rose illuminate two distinct but convergent pathways through which contemporary anthropology is reimagining human–environment relations, aligning with the broader shift toward the anthropology of the more-than-human and the emergence of the ecological self. Alley’s work reveals how the ecological self becomes entangled within political and juridical structures, shaped by the very institutions that mediate attempts to re-sacralise nature. Rose, meanwhile, presents a vision of the ecological self rooted in relational ontology to the more-than-human world. Together, their work exemplifies the ontological turn by challenging Western separations between nature and culture and foregrounding modes of being in which humans are constituted through more-than-human relationships.</w:t>
      </w:r>
    </w:p>
    <w:p w:rsidR="00000000" w:rsidDel="00000000" w:rsidP="00000000" w:rsidRDefault="00000000" w:rsidRPr="00000000" w14:paraId="000000A6">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this sense, the essay returns to the argument set forth in the introduction: ecological renewal requires not only new laws or spiritual frameworks but also a reconceptualisation of human existence itself. The ecological self that emerges from this comparison is political as well as spiritual, relational as well as ontological, a self capable of inhabiting the “network of relationships”</w:t>
      </w:r>
      <w:r w:rsidDel="00000000" w:rsidR="00000000" w:rsidRPr="00000000">
        <w:rPr>
          <w:rFonts w:ascii="Arial" w:cs="Arial" w:eastAsia="Arial" w:hAnsi="Arial"/>
          <w:sz w:val="22"/>
          <w:szCs w:val="22"/>
          <w:vertAlign w:val="superscript"/>
        </w:rPr>
        <w:footnoteReference w:customMarkFollows="0" w:id="40"/>
      </w:r>
      <w:r w:rsidDel="00000000" w:rsidR="00000000" w:rsidRPr="00000000">
        <w:rPr>
          <w:rFonts w:ascii="Arial" w:cs="Arial" w:eastAsia="Arial" w:hAnsi="Arial"/>
          <w:sz w:val="22"/>
          <w:szCs w:val="22"/>
          <w:rtl w:val="0"/>
        </w:rPr>
        <w:t xml:space="preserve"> while remaining alert to the structural forces that shape, limit, and sometimes undermine ecological possibility.</w:t>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spacing w:after="240" w:before="24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A9">
      <w:pPr>
        <w:rPr>
          <w:rFonts w:ascii="Arial" w:cs="Arial" w:eastAsia="Arial" w:hAnsi="Arial"/>
          <w:sz w:val="20"/>
          <w:szCs w:val="20"/>
        </w:rPr>
      </w:pPr>
      <w:r w:rsidDel="00000000" w:rsidR="00000000" w:rsidRPr="00000000">
        <w:rPr>
          <w:rFonts w:ascii="Arial" w:cs="Arial" w:eastAsia="Arial" w:hAnsi="Arial"/>
          <w:sz w:val="20"/>
          <w:szCs w:val="20"/>
          <w:rtl w:val="0"/>
        </w:rPr>
        <w:t xml:space="preserve">Alley, Kelly D., ‘River Goddesses, Personhood and Rights of Nature: Implications for Spiritual Ecology’, </w:t>
      </w:r>
      <w:r w:rsidDel="00000000" w:rsidR="00000000" w:rsidRPr="00000000">
        <w:rPr>
          <w:rFonts w:ascii="Arial" w:cs="Arial" w:eastAsia="Arial" w:hAnsi="Arial"/>
          <w:i w:val="1"/>
          <w:iCs w:val="1"/>
          <w:sz w:val="20"/>
          <w:szCs w:val="20"/>
          <w:rtl w:val="0"/>
        </w:rPr>
        <w:t xml:space="preserve">Religions</w:t>
      </w:r>
      <w:r w:rsidDel="00000000" w:rsidR="00000000" w:rsidRPr="00000000">
        <w:rPr>
          <w:rFonts w:ascii="Arial" w:cs="Arial" w:eastAsia="Arial" w:hAnsi="Arial"/>
          <w:sz w:val="20"/>
          <w:szCs w:val="20"/>
          <w:rtl w:val="0"/>
        </w:rPr>
        <w:t xml:space="preserve">, 6.1 (2015), 1–16.</w:t>
      </w:r>
    </w:p>
    <w:p w:rsidR="00000000" w:rsidDel="00000000" w:rsidP="00000000" w:rsidRDefault="00000000" w:rsidRPr="00000000" w14:paraId="000000AA">
      <w:pPr>
        <w:rPr>
          <w:rFonts w:ascii="Arial" w:cs="Arial" w:eastAsia="Arial" w:hAnsi="Arial"/>
          <w:sz w:val="20"/>
          <w:szCs w:val="20"/>
        </w:rPr>
      </w:pPr>
      <w:r w:rsidDel="00000000" w:rsidR="00000000" w:rsidRPr="00000000">
        <w:rPr>
          <w:rFonts w:ascii="Arial" w:cs="Arial" w:eastAsia="Arial" w:hAnsi="Arial"/>
          <w:sz w:val="20"/>
          <w:szCs w:val="20"/>
          <w:rtl w:val="0"/>
        </w:rPr>
        <w:t xml:space="preserve">Brennan, Andrew. (2013). Deep Ecology. 10.1002/9781444367072.wbiee615.</w:t>
      </w:r>
    </w:p>
    <w:p w:rsidR="00000000" w:rsidDel="00000000" w:rsidP="00000000" w:rsidRDefault="00000000" w:rsidRPr="00000000" w14:paraId="000000AB">
      <w:pPr>
        <w:rPr>
          <w:rFonts w:ascii="Arial" w:cs="Arial" w:eastAsia="Arial" w:hAnsi="Arial"/>
          <w:sz w:val="20"/>
          <w:szCs w:val="20"/>
        </w:rPr>
      </w:pPr>
      <w:r w:rsidDel="00000000" w:rsidR="00000000" w:rsidRPr="00000000">
        <w:rPr>
          <w:rFonts w:ascii="Arial" w:cs="Arial" w:eastAsia="Arial" w:hAnsi="Arial"/>
          <w:sz w:val="20"/>
          <w:szCs w:val="20"/>
          <w:highlight w:val="white"/>
          <w:rtl w:val="0"/>
        </w:rPr>
        <w:t xml:space="preserve">Heywood, Paolo. (2017) 2023. “Ontological turn, the”. In </w:t>
      </w:r>
      <w:r w:rsidDel="00000000" w:rsidR="00000000" w:rsidRPr="00000000">
        <w:rPr>
          <w:rFonts w:ascii="Arial" w:cs="Arial" w:eastAsia="Arial" w:hAnsi="Arial"/>
          <w:i w:val="1"/>
          <w:iCs w:val="1"/>
          <w:sz w:val="20"/>
          <w:szCs w:val="20"/>
          <w:highlight w:val="white"/>
          <w:rtl w:val="0"/>
        </w:rPr>
        <w:t xml:space="preserve">The Open Encyclopedia of Anthropology</w:t>
      </w:r>
      <w:r w:rsidDel="00000000" w:rsidR="00000000" w:rsidRPr="00000000">
        <w:rPr>
          <w:rFonts w:ascii="Arial" w:cs="Arial" w:eastAsia="Arial" w:hAnsi="Arial"/>
          <w:sz w:val="20"/>
          <w:szCs w:val="20"/>
          <w:highlight w:val="white"/>
          <w:rtl w:val="0"/>
        </w:rPr>
        <w:t xml:space="preserve">, edited by Felix Stein. Facsimile of the first edition in </w:t>
      </w:r>
      <w:r w:rsidDel="00000000" w:rsidR="00000000" w:rsidRPr="00000000">
        <w:rPr>
          <w:rFonts w:ascii="Arial" w:cs="Arial" w:eastAsia="Arial" w:hAnsi="Arial"/>
          <w:i w:val="1"/>
          <w:iCs w:val="1"/>
          <w:sz w:val="20"/>
          <w:szCs w:val="20"/>
          <w:highlight w:val="white"/>
          <w:rtl w:val="0"/>
        </w:rPr>
        <w:t xml:space="preserve">The Cambridge Encyclopedia of Anthropology</w:t>
      </w:r>
      <w:r w:rsidDel="00000000" w:rsidR="00000000" w:rsidRPr="00000000">
        <w:rPr>
          <w:rFonts w:ascii="Arial" w:cs="Arial" w:eastAsia="Arial" w:hAnsi="Arial"/>
          <w:sz w:val="20"/>
          <w:szCs w:val="20"/>
          <w:highlight w:val="white"/>
          <w:rtl w:val="0"/>
        </w:rPr>
        <w:t xml:space="preserve">. Online: </w:t>
      </w:r>
      <w:hyperlink r:id="rId9">
        <w:r w:rsidDel="00000000" w:rsidR="00000000" w:rsidRPr="00000000">
          <w:rPr>
            <w:rFonts w:ascii="Arial" w:cs="Arial" w:eastAsia="Arial" w:hAnsi="Arial"/>
            <w:sz w:val="20"/>
            <w:szCs w:val="20"/>
            <w:highlight w:val="white"/>
            <w:rtl w:val="0"/>
          </w:rPr>
          <w:t xml:space="preserve">http://doi.org/10.29164/17ontology</w:t>
        </w:r>
      </w:hyperlink>
      <w:r w:rsidDel="00000000" w:rsidR="00000000" w:rsidRPr="00000000">
        <w:rPr>
          <w:rtl w:val="0"/>
        </w:rPr>
      </w:r>
    </w:p>
    <w:p w:rsidR="00000000" w:rsidDel="00000000" w:rsidP="00000000" w:rsidRDefault="00000000" w:rsidRPr="00000000" w14:paraId="000000AC">
      <w:pPr>
        <w:rPr>
          <w:rFonts w:ascii="Arial" w:cs="Arial" w:eastAsia="Arial" w:hAnsi="Arial"/>
          <w:sz w:val="20"/>
          <w:szCs w:val="20"/>
        </w:rPr>
      </w:pPr>
      <w:r w:rsidDel="00000000" w:rsidR="00000000" w:rsidRPr="00000000">
        <w:rPr>
          <w:rFonts w:ascii="Arial" w:cs="Arial" w:eastAsia="Arial" w:hAnsi="Arial"/>
          <w:sz w:val="20"/>
          <w:szCs w:val="20"/>
          <w:rtl w:val="0"/>
        </w:rPr>
        <w:t xml:space="preserve">Plumwood, Val, </w:t>
      </w:r>
      <w:r w:rsidDel="00000000" w:rsidR="00000000" w:rsidRPr="00000000">
        <w:rPr>
          <w:rFonts w:ascii="Arial" w:cs="Arial" w:eastAsia="Arial" w:hAnsi="Arial"/>
          <w:i w:val="1"/>
          <w:iCs w:val="1"/>
          <w:sz w:val="20"/>
          <w:szCs w:val="20"/>
          <w:rtl w:val="0"/>
        </w:rPr>
        <w:t xml:space="preserve">Environmental Culture: The Ecological Crisis of Reason</w:t>
      </w:r>
      <w:r w:rsidDel="00000000" w:rsidR="00000000" w:rsidRPr="00000000">
        <w:rPr>
          <w:rFonts w:ascii="Arial" w:cs="Arial" w:eastAsia="Arial" w:hAnsi="Arial"/>
          <w:sz w:val="20"/>
          <w:szCs w:val="20"/>
          <w:rtl w:val="0"/>
        </w:rPr>
        <w:t xml:space="preserve"> (London: Routledge, 2002)</w:t>
      </w:r>
    </w:p>
    <w:p w:rsidR="00000000" w:rsidDel="00000000" w:rsidP="00000000" w:rsidRDefault="00000000" w:rsidRPr="00000000" w14:paraId="000000AD">
      <w:pPr>
        <w:rPr>
          <w:rFonts w:ascii="Arial" w:cs="Arial" w:eastAsia="Arial" w:hAnsi="Arial"/>
          <w:sz w:val="20"/>
          <w:szCs w:val="20"/>
        </w:rPr>
      </w:pPr>
      <w:r w:rsidDel="00000000" w:rsidR="00000000" w:rsidRPr="00000000">
        <w:rPr>
          <w:rFonts w:ascii="Arial" w:cs="Arial" w:eastAsia="Arial" w:hAnsi="Arial"/>
          <w:i w:val="1"/>
          <w:iCs w:val="1"/>
          <w:sz w:val="20"/>
          <w:szCs w:val="20"/>
          <w:rtl w:val="0"/>
        </w:rPr>
        <w:t xml:space="preserve">Religions</w:t>
      </w:r>
      <w:r w:rsidDel="00000000" w:rsidR="00000000" w:rsidRPr="00000000">
        <w:rPr>
          <w:rFonts w:ascii="Arial" w:cs="Arial" w:eastAsia="Arial" w:hAnsi="Arial"/>
          <w:sz w:val="20"/>
          <w:szCs w:val="20"/>
          <w:rtl w:val="0"/>
        </w:rPr>
        <w:t xml:space="preserve">, 15 November 2025.</w:t>
      </w:r>
    </w:p>
    <w:p w:rsidR="00000000" w:rsidDel="00000000" w:rsidP="00000000" w:rsidRDefault="00000000" w:rsidRPr="00000000" w14:paraId="000000AE">
      <w:pPr>
        <w:rPr>
          <w:rFonts w:ascii="Arial" w:cs="Arial" w:eastAsia="Arial" w:hAnsi="Arial"/>
          <w:sz w:val="20"/>
          <w:szCs w:val="20"/>
        </w:rPr>
      </w:pPr>
      <w:r w:rsidDel="00000000" w:rsidR="00000000" w:rsidRPr="00000000">
        <w:rPr>
          <w:rFonts w:ascii="Arial" w:cs="Arial" w:eastAsia="Arial" w:hAnsi="Arial"/>
          <w:sz w:val="20"/>
          <w:szCs w:val="20"/>
          <w:rtl w:val="0"/>
        </w:rPr>
        <w:t xml:space="preserve">Rose, Deborah Bird, ‘An Indigenous Philosophical Ecology: Situating the Human’, </w:t>
      </w:r>
      <w:r w:rsidDel="00000000" w:rsidR="00000000" w:rsidRPr="00000000">
        <w:rPr>
          <w:rFonts w:ascii="Arial" w:cs="Arial" w:eastAsia="Arial" w:hAnsi="Arial"/>
          <w:i w:val="1"/>
          <w:iCs w:val="1"/>
          <w:sz w:val="20"/>
          <w:szCs w:val="20"/>
          <w:rtl w:val="0"/>
        </w:rPr>
        <w:t xml:space="preserve">The Australian Journal of Anthropology</w:t>
      </w:r>
      <w:r w:rsidDel="00000000" w:rsidR="00000000" w:rsidRPr="00000000">
        <w:rPr>
          <w:rFonts w:ascii="Arial" w:cs="Arial" w:eastAsia="Arial" w:hAnsi="Arial"/>
          <w:sz w:val="20"/>
          <w:szCs w:val="20"/>
          <w:rtl w:val="0"/>
        </w:rPr>
        <w:t xml:space="preserve">, 16.3 (2005), 294–305.</w:t>
      </w:r>
    </w:p>
    <w:p w:rsidR="00000000" w:rsidDel="00000000" w:rsidP="00000000" w:rsidRDefault="00000000" w:rsidRPr="00000000" w14:paraId="000000AF">
      <w:pPr>
        <w:rPr>
          <w:rFonts w:ascii="Arial" w:cs="Arial" w:eastAsia="Arial" w:hAnsi="Arial"/>
          <w:sz w:val="20"/>
          <w:szCs w:val="20"/>
        </w:rPr>
      </w:pPr>
      <w:r w:rsidDel="00000000" w:rsidR="00000000" w:rsidRPr="00000000">
        <w:rPr>
          <w:rFonts w:ascii="Arial" w:cs="Arial" w:eastAsia="Arial" w:hAnsi="Arial"/>
          <w:i w:val="1"/>
          <w:iCs w:val="1"/>
          <w:sz w:val="20"/>
          <w:szCs w:val="20"/>
          <w:rtl w:val="0"/>
        </w:rPr>
        <w:t xml:space="preserve">Religions</w:t>
      </w:r>
      <w:r w:rsidDel="00000000" w:rsidR="00000000" w:rsidRPr="00000000">
        <w:rPr>
          <w:rFonts w:ascii="Arial" w:cs="Arial" w:eastAsia="Arial" w:hAnsi="Arial"/>
          <w:sz w:val="20"/>
          <w:szCs w:val="20"/>
          <w:rtl w:val="0"/>
        </w:rPr>
        <w:t xml:space="preserve">, 15 November 2025.</w:t>
      </w:r>
    </w:p>
    <w:p w:rsidR="00000000" w:rsidDel="00000000" w:rsidP="00000000" w:rsidRDefault="00000000" w:rsidRPr="00000000" w14:paraId="000000B0">
      <w:pPr>
        <w:rPr>
          <w:rFonts w:ascii="Arial" w:cs="Arial" w:eastAsia="Arial" w:hAnsi="Arial"/>
          <w:sz w:val="20"/>
          <w:szCs w:val="20"/>
        </w:rPr>
      </w:pPr>
      <w:r w:rsidDel="00000000" w:rsidR="00000000" w:rsidRPr="00000000">
        <w:rPr>
          <w:rFonts w:ascii="Arial" w:cs="Arial" w:eastAsia="Arial" w:hAnsi="Arial"/>
          <w:sz w:val="20"/>
          <w:szCs w:val="20"/>
          <w:rtl w:val="0"/>
        </w:rPr>
        <w:t xml:space="preserve">Taylor, Bron, ‘The Greening of Religion Hypothesis (Part One)’, </w:t>
      </w:r>
      <w:r w:rsidDel="00000000" w:rsidR="00000000" w:rsidRPr="00000000">
        <w:rPr>
          <w:rFonts w:ascii="Arial" w:cs="Arial" w:eastAsia="Arial" w:hAnsi="Arial"/>
          <w:i w:val="1"/>
          <w:iCs w:val="1"/>
          <w:sz w:val="20"/>
          <w:szCs w:val="20"/>
          <w:rtl w:val="0"/>
        </w:rPr>
        <w:t xml:space="preserve">Journal for the Study of Religion, Nature and Culture</w:t>
      </w:r>
      <w:r w:rsidDel="00000000" w:rsidR="00000000" w:rsidRPr="00000000">
        <w:rPr>
          <w:rFonts w:ascii="Arial" w:cs="Arial" w:eastAsia="Arial" w:hAnsi="Arial"/>
          <w:sz w:val="20"/>
          <w:szCs w:val="20"/>
          <w:rtl w:val="0"/>
        </w:rPr>
        <w:t xml:space="preserve">, 10.3 (2016), 268–305 (p. 297).</w:t>
      </w:r>
    </w:p>
    <w:p w:rsidR="00000000" w:rsidDel="00000000" w:rsidP="00000000" w:rsidRDefault="00000000" w:rsidRPr="00000000" w14:paraId="000000B1">
      <w:pPr>
        <w:rPr>
          <w:rFonts w:ascii="Arial" w:cs="Arial" w:eastAsia="Arial" w:hAnsi="Arial"/>
          <w:sz w:val="20"/>
          <w:szCs w:val="20"/>
        </w:rPr>
      </w:pPr>
      <w:r w:rsidDel="00000000" w:rsidR="00000000" w:rsidRPr="00000000">
        <w:rPr>
          <w:rFonts w:ascii="Arial" w:cs="Arial" w:eastAsia="Arial" w:hAnsi="Arial"/>
          <w:i w:val="1"/>
          <w:iCs w:val="1"/>
          <w:sz w:val="20"/>
          <w:szCs w:val="20"/>
          <w:rtl w:val="0"/>
        </w:rPr>
        <w:t xml:space="preserve">The Australian Journal of Anthropology</w:t>
      </w:r>
      <w:r w:rsidDel="00000000" w:rsidR="00000000" w:rsidRPr="00000000">
        <w:rPr>
          <w:rFonts w:ascii="Arial" w:cs="Arial" w:eastAsia="Arial" w:hAnsi="Arial"/>
          <w:sz w:val="20"/>
          <w:szCs w:val="20"/>
          <w:rtl w:val="0"/>
        </w:rPr>
        <w:t xml:space="preserve">, 15 November 2025.</w:t>
      </w:r>
    </w:p>
    <w:p w:rsidR="00000000" w:rsidDel="00000000" w:rsidP="00000000" w:rsidRDefault="00000000" w:rsidRPr="00000000" w14:paraId="000000B2">
      <w:pPr>
        <w:rPr>
          <w:rFonts w:ascii="Arial" w:cs="Arial" w:eastAsia="Arial" w:hAnsi="Arial"/>
          <w:sz w:val="20"/>
          <w:szCs w:val="20"/>
        </w:rPr>
      </w:pPr>
      <w:r w:rsidDel="00000000" w:rsidR="00000000" w:rsidRPr="00000000">
        <w:rPr>
          <w:rFonts w:ascii="Arial" w:cs="Arial" w:eastAsia="Arial" w:hAnsi="Arial"/>
          <w:sz w:val="20"/>
          <w:szCs w:val="20"/>
          <w:rtl w:val="0"/>
        </w:rPr>
        <w:t xml:space="preserve">Todd, Z. (2016). An Indigenous Feminist’s Take On The Ontological Turn: ‘Ontology’ Is Just Another Word For Colonialism. </w:t>
      </w:r>
      <w:r w:rsidDel="00000000" w:rsidR="00000000" w:rsidRPr="00000000">
        <w:rPr>
          <w:rFonts w:ascii="Arial" w:cs="Arial" w:eastAsia="Arial" w:hAnsi="Arial"/>
          <w:i w:val="1"/>
          <w:iCs w:val="1"/>
          <w:sz w:val="20"/>
          <w:szCs w:val="20"/>
          <w:rtl w:val="0"/>
        </w:rPr>
        <w:t xml:space="preserve">Journal of Historical Sociology</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iCs w:val="1"/>
          <w:sz w:val="20"/>
          <w:szCs w:val="20"/>
          <w:rtl w:val="0"/>
        </w:rPr>
        <w:t xml:space="preserve">29</w:t>
      </w:r>
      <w:r w:rsidDel="00000000" w:rsidR="00000000" w:rsidRPr="00000000">
        <w:rPr>
          <w:rFonts w:ascii="Arial" w:cs="Arial" w:eastAsia="Arial" w:hAnsi="Arial"/>
          <w:sz w:val="20"/>
          <w:szCs w:val="20"/>
          <w:rtl w:val="0"/>
        </w:rPr>
        <w:t xml:space="preserve">(1), 4–22. </w:t>
      </w:r>
      <w:hyperlink r:id="rId10">
        <w:r w:rsidDel="00000000" w:rsidR="00000000" w:rsidRPr="00000000">
          <w:rPr>
            <w:rFonts w:ascii="Arial" w:cs="Arial" w:eastAsia="Arial" w:hAnsi="Arial"/>
            <w:color w:val="1155cc"/>
            <w:sz w:val="20"/>
            <w:szCs w:val="20"/>
            <w:u w:val="single"/>
            <w:rtl w:val="0"/>
          </w:rPr>
          <w:t xml:space="preserve">https://doi.org/10.1111/johs.12124</w:t>
        </w:r>
      </w:hyperlink>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5">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6">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7">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8">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9">
      <w:pPr>
        <w:pStyle w:val="Heading3"/>
        <w:widowControl w:val="0"/>
        <w:pBdr>
          <w:top w:color="000000" w:space="0" w:sz="0" w:val="none"/>
        </w:pBdr>
        <w:spacing w:after="0" w:before="0" w:line="240" w:lineRule="auto"/>
        <w:jc w:val="center"/>
        <w:rPr>
          <w:rFonts w:ascii="Trebuchet MS" w:cs="Trebuchet MS" w:eastAsia="Trebuchet MS" w:hAnsi="Trebuchet MS"/>
          <w:b w:val="0"/>
          <w:bCs w:val="0"/>
          <w:sz w:val="20"/>
          <w:szCs w:val="20"/>
          <w:vertAlign w:val="baseline"/>
        </w:rPr>
      </w:pP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sectPr>
      <w:headerReference r:id="rId11" w:type="default"/>
      <w:footerReference r:id="rId12" w:type="default"/>
      <w:pgSz w:h="16838" w:w="11906" w:orient="portrait"/>
      <w:pgMar w:bottom="1134" w:top="1134" w:left="1134" w:right="1134" w:header="709" w:footer="85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rebuchet MS"/>
  <w:font w:name="Calibri"/>
  <w:font w:name="Times New Roman"/>
  <w:font w:name="Tahoma">
    <w:embedBold w:fontKey="{00000000-0000-0000-0000-000000000000}" r:id="rId1" w:subsetted="0"/>
  </w:font>
  <w:font w:name="Helvetica Neue">
    <w:embedRegular w:fontKey="{00000000-0000-0000-0000-000000000000}" r:id="rId2" w:subsetted="0"/>
    <w:embedBold w:fontKey="{00000000-0000-0000-0000-000000000000}" r:id="rId3" w:subsetted="0"/>
    <w:embedItalic w:fontKey="{00000000-0000-0000-0000-000000000000}" r:id="rId4" w:subsetted="0"/>
    <w:embedBoldItalic w:fontKey="{00000000-0000-0000-0000-000000000000}" r:id="rId5"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C">
    <w:pPr>
      <w:rPr>
        <w:sz w:val="20"/>
        <w:szCs w:val="20"/>
        <w:vertAlign w:val="baseline"/>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B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Kelly D. Alley, ‘River Goddesses, Personhood and Rights of Nature: Implications for Spiritual Ecology’, </w:t>
      </w:r>
      <w:r w:rsidDel="00000000" w:rsidR="00000000" w:rsidRPr="00000000">
        <w:rPr>
          <w:rFonts w:ascii="Arial" w:cs="Arial" w:eastAsia="Arial" w:hAnsi="Arial"/>
          <w:i w:val="1"/>
          <w:iCs w:val="1"/>
          <w:sz w:val="20"/>
          <w:szCs w:val="20"/>
          <w:rtl w:val="0"/>
        </w:rPr>
        <w:t xml:space="preserve">Religions</w:t>
      </w:r>
      <w:r w:rsidDel="00000000" w:rsidR="00000000" w:rsidRPr="00000000">
        <w:rPr>
          <w:rFonts w:ascii="Arial" w:cs="Arial" w:eastAsia="Arial" w:hAnsi="Arial"/>
          <w:sz w:val="20"/>
          <w:szCs w:val="20"/>
          <w:rtl w:val="0"/>
        </w:rPr>
        <w:t xml:space="preserve">, 6.1 (2015), 1–16.</w:t>
      </w:r>
    </w:p>
  </w:footnote>
  <w:footnote w:id="1">
    <w:p w:rsidR="00000000" w:rsidDel="00000000" w:rsidP="00000000" w:rsidRDefault="00000000" w:rsidRPr="00000000" w14:paraId="000000B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Deborah Bird Rose, ‘An Indigenous Philosophical Ecology: Situating the Human’, </w:t>
      </w:r>
      <w:r w:rsidDel="00000000" w:rsidR="00000000" w:rsidRPr="00000000">
        <w:rPr>
          <w:rFonts w:ascii="Arial" w:cs="Arial" w:eastAsia="Arial" w:hAnsi="Arial"/>
          <w:i w:val="1"/>
          <w:iCs w:val="1"/>
          <w:sz w:val="20"/>
          <w:szCs w:val="20"/>
          <w:rtl w:val="0"/>
        </w:rPr>
        <w:t xml:space="preserve">The Australian Journal of Anthropology</w:t>
      </w:r>
      <w:r w:rsidDel="00000000" w:rsidR="00000000" w:rsidRPr="00000000">
        <w:rPr>
          <w:rFonts w:ascii="Arial" w:cs="Arial" w:eastAsia="Arial" w:hAnsi="Arial"/>
          <w:sz w:val="20"/>
          <w:szCs w:val="20"/>
          <w:rtl w:val="0"/>
        </w:rPr>
        <w:t xml:space="preserve">, 16.3 (2005), 294–305.</w:t>
      </w:r>
    </w:p>
  </w:footnote>
  <w:footnote w:id="2">
    <w:p w:rsidR="00000000" w:rsidDel="00000000" w:rsidP="00000000" w:rsidRDefault="00000000" w:rsidRPr="00000000" w14:paraId="000000B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sz w:val="20"/>
          <w:szCs w:val="20"/>
          <w:highlight w:val="white"/>
          <w:rtl w:val="0"/>
        </w:rPr>
        <w:t xml:space="preserve">Heywood, Paolo. (2017) 2023. “Ontological turn, the”. In </w:t>
      </w:r>
      <w:r w:rsidDel="00000000" w:rsidR="00000000" w:rsidRPr="00000000">
        <w:rPr>
          <w:rFonts w:ascii="Arial" w:cs="Arial" w:eastAsia="Arial" w:hAnsi="Arial"/>
          <w:i w:val="1"/>
          <w:iCs w:val="1"/>
          <w:sz w:val="20"/>
          <w:szCs w:val="20"/>
          <w:highlight w:val="white"/>
          <w:rtl w:val="0"/>
        </w:rPr>
        <w:t xml:space="preserve">The Open Encyclopedia of Anthropology</w:t>
      </w:r>
      <w:r w:rsidDel="00000000" w:rsidR="00000000" w:rsidRPr="00000000">
        <w:rPr>
          <w:rFonts w:ascii="Arial" w:cs="Arial" w:eastAsia="Arial" w:hAnsi="Arial"/>
          <w:sz w:val="20"/>
          <w:szCs w:val="20"/>
          <w:highlight w:val="white"/>
          <w:rtl w:val="0"/>
        </w:rPr>
        <w:t xml:space="preserve">, edited by Felix Stein. Facsimile of the first edition in </w:t>
      </w:r>
      <w:r w:rsidDel="00000000" w:rsidR="00000000" w:rsidRPr="00000000">
        <w:rPr>
          <w:rFonts w:ascii="Arial" w:cs="Arial" w:eastAsia="Arial" w:hAnsi="Arial"/>
          <w:i w:val="1"/>
          <w:iCs w:val="1"/>
          <w:sz w:val="20"/>
          <w:szCs w:val="20"/>
          <w:highlight w:val="white"/>
          <w:rtl w:val="0"/>
        </w:rPr>
        <w:t xml:space="preserve">The Cambridge Encyclopedia of Anthropology</w:t>
      </w:r>
      <w:r w:rsidDel="00000000" w:rsidR="00000000" w:rsidRPr="00000000">
        <w:rPr>
          <w:rFonts w:ascii="Arial" w:cs="Arial" w:eastAsia="Arial" w:hAnsi="Arial"/>
          <w:sz w:val="20"/>
          <w:szCs w:val="20"/>
          <w:highlight w:val="white"/>
          <w:rtl w:val="0"/>
        </w:rPr>
        <w:t xml:space="preserve">. Online: </w:t>
      </w:r>
      <w:hyperlink r:id="rId1">
        <w:r w:rsidDel="00000000" w:rsidR="00000000" w:rsidRPr="00000000">
          <w:rPr>
            <w:rFonts w:ascii="Arial" w:cs="Arial" w:eastAsia="Arial" w:hAnsi="Arial"/>
            <w:sz w:val="20"/>
            <w:szCs w:val="20"/>
            <w:highlight w:val="white"/>
            <w:rtl w:val="0"/>
          </w:rPr>
          <w:t xml:space="preserve">http://doi.org/10.29164/17ontology</w:t>
        </w:r>
      </w:hyperlink>
      <w:r w:rsidDel="00000000" w:rsidR="00000000" w:rsidRPr="00000000">
        <w:rPr>
          <w:rtl w:val="0"/>
        </w:rPr>
      </w:r>
    </w:p>
  </w:footnote>
  <w:footnote w:id="3">
    <w:p w:rsidR="00000000" w:rsidDel="00000000" w:rsidP="00000000" w:rsidRDefault="00000000" w:rsidRPr="00000000" w14:paraId="000000C0">
      <w:pPr>
        <w:rPr>
          <w:rFonts w:ascii="Arial" w:cs="Arial" w:eastAsia="Arial" w:hAnsi="Arial"/>
          <w:sz w:val="22"/>
          <w:szCs w:val="22"/>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Brennan, Andrew. (2013). </w:t>
      </w:r>
      <w:r w:rsidDel="00000000" w:rsidR="00000000" w:rsidRPr="00000000">
        <w:rPr>
          <w:rFonts w:ascii="Arial" w:cs="Arial" w:eastAsia="Arial" w:hAnsi="Arial"/>
          <w:i w:val="1"/>
          <w:iCs w:val="1"/>
          <w:sz w:val="20"/>
          <w:szCs w:val="20"/>
          <w:rtl w:val="0"/>
        </w:rPr>
        <w:t xml:space="preserve">Deep Ecology</w:t>
      </w:r>
      <w:r w:rsidDel="00000000" w:rsidR="00000000" w:rsidRPr="00000000">
        <w:rPr>
          <w:rFonts w:ascii="Arial" w:cs="Arial" w:eastAsia="Arial" w:hAnsi="Arial"/>
          <w:sz w:val="20"/>
          <w:szCs w:val="20"/>
          <w:rtl w:val="0"/>
        </w:rPr>
        <w:t xml:space="preserve">. 10.1002/9781444367072.wbiee615.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C1">
      <w:pPr>
        <w:rPr>
          <w:rFonts w:ascii="Arial" w:cs="Arial" w:eastAsia="Arial" w:hAnsi="Arial"/>
          <w:sz w:val="20"/>
          <w:szCs w:val="20"/>
        </w:rPr>
      </w:pPr>
      <w:r w:rsidDel="00000000" w:rsidR="00000000" w:rsidRPr="00000000">
        <w:rPr>
          <w:rtl w:val="0"/>
        </w:rPr>
      </w:r>
    </w:p>
  </w:footnote>
  <w:footnote w:id="4">
    <w:p w:rsidR="00000000" w:rsidDel="00000000" w:rsidP="00000000" w:rsidRDefault="00000000" w:rsidRPr="00000000" w14:paraId="000000C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Val Plumwood, </w:t>
      </w:r>
      <w:r w:rsidDel="00000000" w:rsidR="00000000" w:rsidRPr="00000000">
        <w:rPr>
          <w:rFonts w:ascii="Arial" w:cs="Arial" w:eastAsia="Arial" w:hAnsi="Arial"/>
          <w:i w:val="1"/>
          <w:iCs w:val="1"/>
          <w:sz w:val="20"/>
          <w:szCs w:val="20"/>
          <w:rtl w:val="0"/>
        </w:rPr>
        <w:t xml:space="preserve">Environmental Culture: The Ecological Crisis of Reason</w:t>
      </w:r>
      <w:r w:rsidDel="00000000" w:rsidR="00000000" w:rsidRPr="00000000">
        <w:rPr>
          <w:rFonts w:ascii="Arial" w:cs="Arial" w:eastAsia="Arial" w:hAnsi="Arial"/>
          <w:sz w:val="20"/>
          <w:szCs w:val="20"/>
          <w:rtl w:val="0"/>
        </w:rPr>
        <w:t xml:space="preserve"> (London: Routledge, 2002), p. 4.</w:t>
      </w:r>
    </w:p>
  </w:footnote>
  <w:footnote w:id="5">
    <w:p w:rsidR="00000000" w:rsidDel="00000000" w:rsidP="00000000" w:rsidRDefault="00000000" w:rsidRPr="00000000" w14:paraId="000000C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Alley, ‘River Goddesses, Personhood and Rights of Nature’, p. 3.</w:t>
      </w:r>
    </w:p>
  </w:footnote>
  <w:footnote w:id="6">
    <w:p w:rsidR="00000000" w:rsidDel="00000000" w:rsidP="00000000" w:rsidRDefault="00000000" w:rsidRPr="00000000" w14:paraId="000000C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pp. 5–7.</w:t>
      </w:r>
    </w:p>
  </w:footnote>
  <w:footnote w:id="7">
    <w:p w:rsidR="00000000" w:rsidDel="00000000" w:rsidP="00000000" w:rsidRDefault="00000000" w:rsidRPr="00000000" w14:paraId="000000C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6.</w:t>
      </w:r>
    </w:p>
  </w:footnote>
  <w:footnote w:id="8">
    <w:p w:rsidR="00000000" w:rsidDel="00000000" w:rsidP="00000000" w:rsidRDefault="00000000" w:rsidRPr="00000000" w14:paraId="000000C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iCs w:val="1"/>
          <w:sz w:val="20"/>
          <w:szCs w:val="20"/>
          <w:rtl w:val="0"/>
        </w:rPr>
        <w:t xml:space="preserve">Religions</w:t>
      </w:r>
      <w:r w:rsidDel="00000000" w:rsidR="00000000" w:rsidRPr="00000000">
        <w:rPr>
          <w:rFonts w:ascii="Arial" w:cs="Arial" w:eastAsia="Arial" w:hAnsi="Arial"/>
          <w:sz w:val="20"/>
          <w:szCs w:val="20"/>
          <w:rtl w:val="0"/>
        </w:rPr>
        <w:t xml:space="preserve">, ‘Aims and Scope’, MDPI</w:t>
      </w:r>
      <w:hyperlink r:id="rId2">
        <w:r w:rsidDel="00000000" w:rsidR="00000000" w:rsidRPr="00000000">
          <w:rPr>
            <w:rFonts w:ascii="Arial" w:cs="Arial" w:eastAsia="Arial" w:hAnsi="Arial"/>
            <w:sz w:val="20"/>
            <w:szCs w:val="20"/>
            <w:rtl w:val="0"/>
          </w:rPr>
          <w:t xml:space="preserve"> </w:t>
        </w:r>
      </w:hyperlink>
      <w:hyperlink r:id="rId3">
        <w:r w:rsidDel="00000000" w:rsidR="00000000" w:rsidRPr="00000000">
          <w:rPr>
            <w:rFonts w:ascii="Arial" w:cs="Arial" w:eastAsia="Arial" w:hAnsi="Arial"/>
            <w:color w:val="1155cc"/>
            <w:sz w:val="20"/>
            <w:szCs w:val="20"/>
            <w:u w:val="single"/>
            <w:rtl w:val="0"/>
          </w:rPr>
          <w:t xml:space="preserve">https://www.mdpi.com/journal/religions/about</w:t>
        </w:r>
      </w:hyperlink>
      <w:r w:rsidDel="00000000" w:rsidR="00000000" w:rsidRPr="00000000">
        <w:rPr>
          <w:rFonts w:ascii="Arial" w:cs="Arial" w:eastAsia="Arial" w:hAnsi="Arial"/>
          <w:sz w:val="20"/>
          <w:szCs w:val="20"/>
          <w:rtl w:val="0"/>
        </w:rPr>
        <w:t xml:space="preserve"> [accessed 15/11/2025].</w:t>
      </w:r>
    </w:p>
  </w:footnote>
  <w:footnote w:id="9">
    <w:p w:rsidR="00000000" w:rsidDel="00000000" w:rsidP="00000000" w:rsidRDefault="00000000" w:rsidRPr="00000000" w14:paraId="000000C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‘An Indigenous Philosophical Ecology, </w:t>
      </w:r>
      <w:r w:rsidDel="00000000" w:rsidR="00000000" w:rsidRPr="00000000">
        <w:rPr>
          <w:rFonts w:ascii="Arial" w:cs="Arial" w:eastAsia="Arial" w:hAnsi="Arial"/>
          <w:sz w:val="22"/>
          <w:szCs w:val="22"/>
          <w:rtl w:val="0"/>
        </w:rPr>
        <w:t xml:space="preserve">p. 297</w:t>
      </w:r>
      <w:r w:rsidDel="00000000" w:rsidR="00000000" w:rsidRPr="00000000">
        <w:rPr>
          <w:rtl w:val="0"/>
        </w:rPr>
      </w:r>
    </w:p>
  </w:footnote>
  <w:footnote w:id="10">
    <w:p w:rsidR="00000000" w:rsidDel="00000000" w:rsidP="00000000" w:rsidRDefault="00000000" w:rsidRPr="00000000" w14:paraId="000000C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302.</w:t>
      </w:r>
    </w:p>
  </w:footnote>
  <w:footnote w:id="11">
    <w:p w:rsidR="00000000" w:rsidDel="00000000" w:rsidP="00000000" w:rsidRDefault="00000000" w:rsidRPr="00000000" w14:paraId="000000C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w:t>
      </w:r>
      <w:r w:rsidDel="00000000" w:rsidR="00000000" w:rsidRPr="00000000">
        <w:rPr>
          <w:rFonts w:ascii="Arial" w:cs="Arial" w:eastAsia="Arial" w:hAnsi="Arial"/>
          <w:i w:val="1"/>
          <w:iCs w:val="1"/>
          <w:sz w:val="20"/>
          <w:szCs w:val="20"/>
          <w:rtl w:val="0"/>
        </w:rPr>
        <w:t xml:space="preserve"> </w:t>
      </w:r>
      <w:r w:rsidDel="00000000" w:rsidR="00000000" w:rsidRPr="00000000">
        <w:rPr>
          <w:rFonts w:ascii="Arial" w:cs="Arial" w:eastAsia="Arial" w:hAnsi="Arial"/>
          <w:sz w:val="20"/>
          <w:szCs w:val="20"/>
          <w:rtl w:val="0"/>
        </w:rPr>
        <w:t xml:space="preserve">p. 302.</w:t>
      </w:r>
    </w:p>
  </w:footnote>
  <w:footnote w:id="12">
    <w:p w:rsidR="00000000" w:rsidDel="00000000" w:rsidP="00000000" w:rsidRDefault="00000000" w:rsidRPr="00000000" w14:paraId="000000C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294.</w:t>
      </w:r>
    </w:p>
  </w:footnote>
  <w:footnote w:id="13">
    <w:p w:rsidR="00000000" w:rsidDel="00000000" w:rsidP="00000000" w:rsidRDefault="00000000" w:rsidRPr="00000000" w14:paraId="000000C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iCs w:val="1"/>
          <w:sz w:val="20"/>
          <w:szCs w:val="20"/>
          <w:rtl w:val="0"/>
        </w:rPr>
        <w:t xml:space="preserve">The Australian Journal of Anthropology</w:t>
      </w:r>
      <w:r w:rsidDel="00000000" w:rsidR="00000000" w:rsidRPr="00000000">
        <w:rPr>
          <w:rFonts w:ascii="Arial" w:cs="Arial" w:eastAsia="Arial" w:hAnsi="Arial"/>
          <w:sz w:val="20"/>
          <w:szCs w:val="20"/>
          <w:rtl w:val="0"/>
        </w:rPr>
        <w:t xml:space="preserve">, Wiley</w:t>
      </w:r>
      <w:hyperlink r:id="rId4">
        <w:r w:rsidDel="00000000" w:rsidR="00000000" w:rsidRPr="00000000">
          <w:rPr>
            <w:rFonts w:ascii="Arial" w:cs="Arial" w:eastAsia="Arial" w:hAnsi="Arial"/>
            <w:sz w:val="20"/>
            <w:szCs w:val="20"/>
            <w:rtl w:val="0"/>
          </w:rPr>
          <w:t xml:space="preserve"> </w:t>
        </w:r>
      </w:hyperlink>
      <w:hyperlink r:id="rId5">
        <w:r w:rsidDel="00000000" w:rsidR="00000000" w:rsidRPr="00000000">
          <w:rPr>
            <w:rFonts w:ascii="Arial" w:cs="Arial" w:eastAsia="Arial" w:hAnsi="Arial"/>
            <w:color w:val="1155cc"/>
            <w:sz w:val="20"/>
            <w:szCs w:val="20"/>
            <w:u w:val="single"/>
            <w:rtl w:val="0"/>
          </w:rPr>
          <w:t xml:space="preserve">https://onlinelibrary.wiley.com/journal/17576414</w:t>
        </w:r>
      </w:hyperlink>
      <w:r w:rsidDel="00000000" w:rsidR="00000000" w:rsidRPr="00000000">
        <w:rPr>
          <w:rFonts w:ascii="Arial" w:cs="Arial" w:eastAsia="Arial" w:hAnsi="Arial"/>
          <w:sz w:val="20"/>
          <w:szCs w:val="20"/>
          <w:rtl w:val="0"/>
        </w:rPr>
        <w:t xml:space="preserve"> [accessed 15/11/2025].</w:t>
      </w:r>
    </w:p>
  </w:footnote>
  <w:footnote w:id="14">
    <w:p w:rsidR="00000000" w:rsidDel="00000000" w:rsidP="00000000" w:rsidRDefault="00000000" w:rsidRPr="00000000" w14:paraId="000000C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Alley, ‘River Goddesses, Personhood and Rights of Nature’, p. 2.</w:t>
      </w:r>
    </w:p>
  </w:footnote>
  <w:footnote w:id="15">
    <w:p w:rsidR="00000000" w:rsidDel="00000000" w:rsidP="00000000" w:rsidRDefault="00000000" w:rsidRPr="00000000" w14:paraId="000000C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3.</w:t>
      </w:r>
    </w:p>
  </w:footnote>
  <w:footnote w:id="16">
    <w:p w:rsidR="00000000" w:rsidDel="00000000" w:rsidP="00000000" w:rsidRDefault="00000000" w:rsidRPr="00000000" w14:paraId="000000C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5.</w:t>
      </w:r>
    </w:p>
  </w:footnote>
  <w:footnote w:id="17">
    <w:p w:rsidR="00000000" w:rsidDel="00000000" w:rsidP="00000000" w:rsidRDefault="00000000" w:rsidRPr="00000000" w14:paraId="000000C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7.</w:t>
      </w:r>
    </w:p>
  </w:footnote>
  <w:footnote w:id="18">
    <w:p w:rsidR="00000000" w:rsidDel="00000000" w:rsidP="00000000" w:rsidRDefault="00000000" w:rsidRPr="00000000" w14:paraId="000000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‘An Indigenous Philosophical Ecology’, p. 294.</w:t>
      </w:r>
    </w:p>
  </w:footnote>
  <w:footnote w:id="19">
    <w:p w:rsidR="00000000" w:rsidDel="00000000" w:rsidP="00000000" w:rsidRDefault="00000000" w:rsidRPr="00000000" w14:paraId="000000D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294.</w:t>
      </w:r>
    </w:p>
  </w:footnote>
  <w:footnote w:id="20">
    <w:p w:rsidR="00000000" w:rsidDel="00000000" w:rsidP="00000000" w:rsidRDefault="00000000" w:rsidRPr="00000000" w14:paraId="000000D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294.</w:t>
      </w:r>
    </w:p>
  </w:footnote>
  <w:footnote w:id="21">
    <w:p w:rsidR="00000000" w:rsidDel="00000000" w:rsidP="00000000" w:rsidRDefault="00000000" w:rsidRPr="00000000" w14:paraId="000000D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294.</w:t>
      </w:r>
    </w:p>
  </w:footnote>
  <w:footnote w:id="22">
    <w:p w:rsidR="00000000" w:rsidDel="00000000" w:rsidP="00000000" w:rsidRDefault="00000000" w:rsidRPr="00000000" w14:paraId="000000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295.</w:t>
      </w:r>
    </w:p>
  </w:footnote>
  <w:footnote w:id="23">
    <w:p w:rsidR="00000000" w:rsidDel="00000000" w:rsidP="00000000" w:rsidRDefault="00000000" w:rsidRPr="00000000" w14:paraId="000000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0"/>
          <w:szCs w:val="20"/>
          <w:rtl w:val="0"/>
        </w:rPr>
        <w:t xml:space="preserve">Alley, ‘River Goddesses, Personhood and Rights of Nature, p. 5.</w:t>
      </w:r>
    </w:p>
  </w:footnote>
  <w:footnote w:id="24">
    <w:p w:rsidR="00000000" w:rsidDel="00000000" w:rsidP="00000000" w:rsidRDefault="00000000" w:rsidRPr="00000000" w14:paraId="000000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6.</w:t>
      </w:r>
    </w:p>
  </w:footnote>
  <w:footnote w:id="25">
    <w:p w:rsidR="00000000" w:rsidDel="00000000" w:rsidP="00000000" w:rsidRDefault="00000000" w:rsidRPr="00000000" w14:paraId="000000D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6.</w:t>
      </w:r>
    </w:p>
  </w:footnote>
  <w:footnote w:id="26">
    <w:p w:rsidR="00000000" w:rsidDel="00000000" w:rsidP="00000000" w:rsidRDefault="00000000" w:rsidRPr="00000000" w14:paraId="000000D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‘An Indigenous Philosophical Ecology’, p. 296.</w:t>
      </w:r>
    </w:p>
  </w:footnote>
  <w:footnote w:id="27">
    <w:p w:rsidR="00000000" w:rsidDel="00000000" w:rsidP="00000000" w:rsidRDefault="00000000" w:rsidRPr="00000000" w14:paraId="000000D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297.</w:t>
      </w:r>
    </w:p>
  </w:footnote>
  <w:footnote w:id="28">
    <w:p w:rsidR="00000000" w:rsidDel="00000000" w:rsidP="00000000" w:rsidRDefault="00000000" w:rsidRPr="00000000" w14:paraId="000000D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296.</w:t>
      </w:r>
    </w:p>
  </w:footnote>
  <w:footnote w:id="29">
    <w:p w:rsidR="00000000" w:rsidDel="00000000" w:rsidP="00000000" w:rsidRDefault="00000000" w:rsidRPr="00000000" w14:paraId="000000D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Alley, ‘River Goddesses, Personhood and Rights of Nature, p. 7.</w:t>
      </w:r>
    </w:p>
  </w:footnote>
  <w:footnote w:id="30">
    <w:p w:rsidR="00000000" w:rsidDel="00000000" w:rsidP="00000000" w:rsidRDefault="00000000" w:rsidRPr="00000000" w14:paraId="000000D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Bron Taylor, ‘The Greening of Religion Hypothesis (Part One)’, </w:t>
      </w:r>
      <w:r w:rsidDel="00000000" w:rsidR="00000000" w:rsidRPr="00000000">
        <w:rPr>
          <w:rFonts w:ascii="Arial" w:cs="Arial" w:eastAsia="Arial" w:hAnsi="Arial"/>
          <w:i w:val="1"/>
          <w:iCs w:val="1"/>
          <w:sz w:val="20"/>
          <w:szCs w:val="20"/>
          <w:rtl w:val="0"/>
        </w:rPr>
        <w:t xml:space="preserve">Journal for the Study of Religion, Nature and Culture</w:t>
      </w:r>
      <w:r w:rsidDel="00000000" w:rsidR="00000000" w:rsidRPr="00000000">
        <w:rPr>
          <w:rFonts w:ascii="Arial" w:cs="Arial" w:eastAsia="Arial" w:hAnsi="Arial"/>
          <w:sz w:val="20"/>
          <w:szCs w:val="20"/>
          <w:rtl w:val="0"/>
        </w:rPr>
        <w:t xml:space="preserve">, 10.3 (2016), 268–305 (p. 297).</w:t>
      </w:r>
    </w:p>
  </w:footnote>
  <w:footnote w:id="31">
    <w:p w:rsidR="00000000" w:rsidDel="00000000" w:rsidP="00000000" w:rsidRDefault="00000000" w:rsidRPr="00000000" w14:paraId="000000D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296.</w:t>
      </w:r>
    </w:p>
  </w:footnote>
  <w:footnote w:id="32">
    <w:p w:rsidR="00000000" w:rsidDel="00000000" w:rsidP="00000000" w:rsidRDefault="00000000" w:rsidRPr="00000000" w14:paraId="000000D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290.</w:t>
      </w:r>
    </w:p>
  </w:footnote>
  <w:footnote w:id="33">
    <w:p w:rsidR="00000000" w:rsidDel="00000000" w:rsidP="00000000" w:rsidRDefault="00000000" w:rsidRPr="00000000" w14:paraId="000000D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289.</w:t>
      </w:r>
    </w:p>
  </w:footnote>
  <w:footnote w:id="34">
    <w:p w:rsidR="00000000" w:rsidDel="00000000" w:rsidP="00000000" w:rsidRDefault="00000000" w:rsidRPr="00000000" w14:paraId="000000E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‘Indigenous Philosophical Ecology’, p. 296.</w:t>
      </w:r>
    </w:p>
  </w:footnote>
  <w:footnote w:id="35">
    <w:p w:rsidR="00000000" w:rsidDel="00000000" w:rsidP="00000000" w:rsidRDefault="00000000" w:rsidRPr="00000000" w14:paraId="000000E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296.</w:t>
      </w:r>
    </w:p>
  </w:footnote>
  <w:footnote w:id="36">
    <w:p w:rsidR="00000000" w:rsidDel="00000000" w:rsidP="00000000" w:rsidRDefault="00000000" w:rsidRPr="00000000" w14:paraId="000000E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Zoe Todd. (2016). An Indigenous Feminist’s Take On The Ontological Turn: ‘Ontology’ Is Just Another Word For Colonialism. </w:t>
      </w:r>
      <w:r w:rsidDel="00000000" w:rsidR="00000000" w:rsidRPr="00000000">
        <w:rPr>
          <w:rFonts w:ascii="Arial" w:cs="Arial" w:eastAsia="Arial" w:hAnsi="Arial"/>
          <w:i w:val="1"/>
          <w:iCs w:val="1"/>
          <w:sz w:val="20"/>
          <w:szCs w:val="20"/>
          <w:rtl w:val="0"/>
        </w:rPr>
        <w:t xml:space="preserve">Journal of Historical Sociology</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iCs w:val="1"/>
          <w:sz w:val="20"/>
          <w:szCs w:val="20"/>
          <w:rtl w:val="0"/>
        </w:rPr>
        <w:t xml:space="preserve">29</w:t>
      </w:r>
      <w:r w:rsidDel="00000000" w:rsidR="00000000" w:rsidRPr="00000000">
        <w:rPr>
          <w:rFonts w:ascii="Arial" w:cs="Arial" w:eastAsia="Arial" w:hAnsi="Arial"/>
          <w:sz w:val="20"/>
          <w:szCs w:val="20"/>
          <w:rtl w:val="0"/>
        </w:rPr>
        <w:t xml:space="preserve">(1), 4–22. </w:t>
      </w:r>
      <w:hyperlink r:id="rId6">
        <w:r w:rsidDel="00000000" w:rsidR="00000000" w:rsidRPr="00000000">
          <w:rPr>
            <w:rFonts w:ascii="Arial" w:cs="Arial" w:eastAsia="Arial" w:hAnsi="Arial"/>
            <w:color w:val="1155cc"/>
            <w:sz w:val="20"/>
            <w:szCs w:val="20"/>
            <w:u w:val="single"/>
            <w:rtl w:val="0"/>
          </w:rPr>
          <w:t xml:space="preserve">https://doi.org/10.1111/johs.12124</w:t>
        </w:r>
      </w:hyperlink>
      <w:r w:rsidDel="00000000" w:rsidR="00000000" w:rsidRPr="00000000">
        <w:rPr>
          <w:rFonts w:ascii="Arial" w:cs="Arial" w:eastAsia="Arial" w:hAnsi="Arial"/>
          <w:sz w:val="20"/>
          <w:szCs w:val="20"/>
          <w:rtl w:val="0"/>
        </w:rPr>
        <w:t xml:space="preserve"> p. 15.</w:t>
      </w:r>
    </w:p>
  </w:footnote>
  <w:footnote w:id="37">
    <w:p w:rsidR="00000000" w:rsidDel="00000000" w:rsidP="00000000" w:rsidRDefault="00000000" w:rsidRPr="00000000" w14:paraId="000000E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Alley, ‘River Goddesses’, p. 7.</w:t>
      </w:r>
    </w:p>
  </w:footnote>
  <w:footnote w:id="38">
    <w:p w:rsidR="00000000" w:rsidDel="00000000" w:rsidP="00000000" w:rsidRDefault="00000000" w:rsidRPr="00000000" w14:paraId="000000E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Taylor, ‘Greening of Religion Hypothesis’, p. 268.</w:t>
      </w:r>
    </w:p>
  </w:footnote>
  <w:footnote w:id="39">
    <w:p w:rsidR="00000000" w:rsidDel="00000000" w:rsidP="00000000" w:rsidRDefault="00000000" w:rsidRPr="00000000" w14:paraId="000000E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‘Indigenous Philosophical Ecology’, p. 297.</w:t>
      </w:r>
    </w:p>
  </w:footnote>
  <w:footnote w:id="40">
    <w:p w:rsidR="00000000" w:rsidDel="00000000" w:rsidP="00000000" w:rsidRDefault="00000000" w:rsidRPr="00000000" w14:paraId="000000E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 ‘Indigenous Philosophical Ecology’, p. 296.</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20"/>
        <w:tab w:val="center" w:leader="none" w:pos="4819"/>
        <w:tab w:val="right" w:leader="none" w:pos="9638"/>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0"/>
      <w:pageBreakBefore w:val="0"/>
      <w:widowControl w:val="1"/>
      <w:pBdr>
        <w:top w:color="515151" w:space="0" w:sz="4" w:val="single"/>
        <w:left w:space="0" w:sz="0" w:val="nil"/>
        <w:bottom w:space="0" w:sz="0" w:val="nil"/>
        <w:right w:space="0" w:sz="0" w:val="nil"/>
        <w:between w:space="0" w:sz="0" w:val="nil"/>
      </w:pBdr>
      <w:shd w:fill="auto" w:val="clear"/>
      <w:spacing w:after="40" w:before="360" w:line="288" w:lineRule="auto"/>
      <w:ind w:left="0" w:right="0" w:firstLine="0"/>
      <w:jc w:val="left"/>
    </w:pPr>
    <w:rPr>
      <w:rFonts w:ascii="Helvetica Neue" w:cs="Helvetica Neue" w:eastAsia="Helvetica Neue" w:hAnsi="Helvetica Neue"/>
      <w:b w:val="0"/>
      <w:bCs w:val="0"/>
      <w:i w:val="0"/>
      <w:iCs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0"/>
    <w:pPr>
      <w:suppressAutoHyphens w:val="1"/>
      <w:spacing w:line="1" w:lineRule="atLeast"/>
      <w:ind w:leftChars="-1" w:rightChars="0" w:firstLineChars="-1"/>
      <w:textDirection w:val="btLr"/>
      <w:textAlignment w:val="top"/>
      <w:outlineLvl w:val="0"/>
    </w:pPr>
  </w:style>
  <w:style w:type="character" w:styleId="Hyperlink">
    <w:name w:val="Hyperlink"/>
    <w:autoRedefine w:val="0"/>
    <w:hidden w:val="0"/>
    <w:qFormat w:val="0"/>
    <w:rPr>
      <w:w w:val="100"/>
      <w:position w:val="-1"/>
      <w:u w:val="single"/>
      <w:effect w:val="none"/>
      <w:vertAlign w:val="baseline"/>
      <w:cs w:val="0"/>
      <w:em w:val="none"/>
      <w:lang/>
    </w:rPr>
  </w:style>
  <w:style w:type="paragraph" w:styleId="Header&amp;Footer">
    <w:name w:val="Header &amp; Footer"/>
    <w:next w:val="Header&amp;Footer"/>
    <w:autoRedefine w:val="0"/>
    <w:hidden w:val="0"/>
    <w:qFormat w:val="0"/>
    <w:pPr>
      <w:tabs>
        <w:tab w:val="right" w:leader="none" w:pos="9020"/>
      </w:tabs>
      <w:suppressAutoHyphens w:val="1"/>
      <w:spacing w:line="1" w:lineRule="atLeast"/>
      <w:ind w:leftChars="-1" w:rightChars="0" w:firstLineChars="-1"/>
      <w:textDirection w:val="btLr"/>
      <w:textAlignment w:val="top"/>
      <w:outlineLvl w:val="0"/>
    </w:pPr>
    <w:rPr>
      <w:rFonts w:ascii="Helvetica Neue" w:cs="Arial Unicode MS" w:eastAsia="Arial Unicode MS" w:hAnsi="Helvetica Neue"/>
      <w:color w:val="000000"/>
      <w:w w:val="100"/>
      <w:position w:val="-1"/>
      <w:sz w:val="24"/>
      <w:szCs w:val="24"/>
      <w:effect w:val="none"/>
      <w:vertAlign w:val="baseline"/>
      <w:cs w:val="0"/>
      <w:em w:val="none"/>
      <w:lang w:bidi="ar-SA" w:eastAsia="en-GB" w:val="en-GB"/>
    </w:rPr>
  </w:style>
  <w:style w:type="paragraph" w:styleId="Body">
    <w:name w:val="Body"/>
    <w:next w:val="Body"/>
    <w:autoRedefine w:val="0"/>
    <w:hidden w:val="0"/>
    <w:qFormat w:val="0"/>
    <w:pPr>
      <w:suppressAutoHyphens w:val="1"/>
      <w:spacing w:before="160" w:line="1" w:lineRule="atLeast"/>
      <w:ind w:leftChars="-1" w:rightChars="0" w:firstLineChars="-1"/>
      <w:textDirection w:val="btLr"/>
      <w:textAlignment w:val="top"/>
      <w:outlineLvl w:val="0"/>
    </w:pPr>
    <w:rPr>
      <w:rFonts w:ascii="Helvetica Neue" w:cs="Arial Unicode MS" w:eastAsia="Arial Unicode MS" w:hAnsi="Helvetica Neue"/>
      <w:color w:val="000000"/>
      <w:w w:val="100"/>
      <w:position w:val="-1"/>
      <w:sz w:val="24"/>
      <w:szCs w:val="24"/>
      <w:effect w:val="none"/>
      <w:vertAlign w:val="baseline"/>
      <w:cs w:val="0"/>
      <w:em w:val="none"/>
      <w:lang w:bidi="ar-SA" w:eastAsia="en-GB" w:val="en-GB"/>
    </w:rPr>
  </w:style>
  <w:style w:type="paragraph" w:styleId="Footnote">
    <w:name w:val="Footnote"/>
    <w:next w:val="Footnote"/>
    <w:autoRedefine w:val="0"/>
    <w:hidden w:val="0"/>
    <w:qFormat w:val="0"/>
    <w:pPr>
      <w:suppressAutoHyphens w:val="1"/>
      <w:spacing w:line="1" w:lineRule="atLeast"/>
      <w:ind w:leftChars="-1" w:rightChars="0" w:firstLineChars="-1"/>
      <w:textDirection w:val="btLr"/>
      <w:textAlignment w:val="top"/>
      <w:outlineLvl w:val="0"/>
    </w:pPr>
    <w:rPr>
      <w:rFonts w:ascii="Helvetica Neue" w:cs="Helvetica Neue" w:eastAsia="Helvetica Neue" w:hAnsi="Helvetica Neue"/>
      <w:color w:val="000000"/>
      <w:w w:val="100"/>
      <w:position w:val="-1"/>
      <w:sz w:val="22"/>
      <w:szCs w:val="22"/>
      <w:effect w:val="none"/>
      <w:vertAlign w:val="baseline"/>
      <w:cs w:val="0"/>
      <w:em w:val="none"/>
      <w:lang w:bidi="ar-SA" w:eastAsia="en-GB"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eader" Target="header1.xml"/><Relationship Id="rId10" Type="http://schemas.openxmlformats.org/officeDocument/2006/relationships/hyperlink" Target="https://doi.org/10.1111/johs.12124" TargetMode="External"/><Relationship Id="rId12" Type="http://schemas.openxmlformats.org/officeDocument/2006/relationships/footer" Target="footer1.xml"/><Relationship Id="rId9" Type="http://schemas.openxmlformats.org/officeDocument/2006/relationships/hyperlink" Target="http://doi.org/10.29164/17ontology"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bold.ttf"/><Relationship Id="rId2" Type="http://schemas.openxmlformats.org/officeDocument/2006/relationships/font" Target="fonts/HelveticaNeue-regular.ttf"/><Relationship Id="rId3" Type="http://schemas.openxmlformats.org/officeDocument/2006/relationships/font" Target="fonts/HelveticaNeue-bold.ttf"/><Relationship Id="rId4" Type="http://schemas.openxmlformats.org/officeDocument/2006/relationships/font" Target="fonts/HelveticaNeue-italic.ttf"/><Relationship Id="rId5" Type="http://schemas.openxmlformats.org/officeDocument/2006/relationships/font" Target="fonts/HelveticaNeue-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doi.org/10.29164/17ontology" TargetMode="External"/><Relationship Id="rId2" Type="http://schemas.openxmlformats.org/officeDocument/2006/relationships/hyperlink" Target="https://www.mdpi.com/journal/religions/about" TargetMode="External"/><Relationship Id="rId3" Type="http://schemas.openxmlformats.org/officeDocument/2006/relationships/hyperlink" Target="https://www.mdpi.com/journal/religions/about" TargetMode="External"/><Relationship Id="rId4" Type="http://schemas.openxmlformats.org/officeDocument/2006/relationships/hyperlink" Target="https://onlinelibrary.wiley.com/journal/17576414" TargetMode="External"/><Relationship Id="rId5" Type="http://schemas.openxmlformats.org/officeDocument/2006/relationships/hyperlink" Target="https://onlinelibrary.wiley.com/journal/17576414" TargetMode="External"/><Relationship Id="rId6" Type="http://schemas.openxmlformats.org/officeDocument/2006/relationships/hyperlink" Target="https://doi.org/10.1111/johs.12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H1jqeNManvtlmhNcWPknJ3X7hQ==">CgMxLjAyDmgudG94aTl6ODE3bmtnOAByITF6c3ZXWXlfSnQ3aXJPZlBFY2JzdGtnWmYwYk1nNHdxWQ==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2021-01-06T14:32:00Z</dcterms:created>
  <dc:creator>Nick</dc:creator>
</cp:coreProperties>
</file>