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F52E1" w14:textId="18B5AA98" w:rsidR="004621C9" w:rsidRDefault="004621C9" w:rsidP="004621C9">
      <w:pPr>
        <w:rPr>
          <w:u w:val="single"/>
        </w:rPr>
      </w:pPr>
    </w:p>
    <w:p w14:paraId="35B9A5A9" w14:textId="77777777" w:rsidR="004621C9" w:rsidRDefault="004621C9" w:rsidP="004621C9">
      <w:pPr>
        <w:jc w:val="center"/>
        <w:rPr>
          <w:u w:val="single"/>
        </w:rPr>
      </w:pPr>
    </w:p>
    <w:p w14:paraId="7A63DEE8" w14:textId="77777777" w:rsidR="004621C9" w:rsidRDefault="004621C9" w:rsidP="004621C9">
      <w:pPr>
        <w:jc w:val="center"/>
        <w:rPr>
          <w:u w:val="single"/>
        </w:rPr>
      </w:pPr>
    </w:p>
    <w:p w14:paraId="06E6D3F9" w14:textId="77777777" w:rsidR="004621C9" w:rsidRDefault="004621C9" w:rsidP="004621C9">
      <w:pPr>
        <w:jc w:val="center"/>
        <w:rPr>
          <w:u w:val="single"/>
        </w:rPr>
      </w:pPr>
    </w:p>
    <w:p w14:paraId="2CBBEE62" w14:textId="77777777" w:rsidR="004621C9" w:rsidRDefault="004621C9" w:rsidP="004621C9">
      <w:pPr>
        <w:jc w:val="center"/>
        <w:rPr>
          <w:u w:val="single"/>
        </w:rPr>
      </w:pPr>
    </w:p>
    <w:p w14:paraId="7887DCF0" w14:textId="790103BC" w:rsidR="004621C9" w:rsidRDefault="004621C9" w:rsidP="004621C9">
      <w:pPr>
        <w:jc w:val="center"/>
        <w:rPr>
          <w:u w:val="single"/>
        </w:rPr>
      </w:pPr>
    </w:p>
    <w:p w14:paraId="36F949A5" w14:textId="148B0CA5" w:rsidR="004621C9" w:rsidRDefault="004621C9" w:rsidP="004621C9">
      <w:pPr>
        <w:jc w:val="center"/>
        <w:rPr>
          <w:u w:val="single"/>
        </w:rPr>
      </w:pPr>
    </w:p>
    <w:p w14:paraId="3570D748" w14:textId="77777777" w:rsidR="004621C9" w:rsidRDefault="004621C9" w:rsidP="004621C9">
      <w:pPr>
        <w:jc w:val="center"/>
        <w:rPr>
          <w:u w:val="single"/>
        </w:rPr>
      </w:pPr>
    </w:p>
    <w:p w14:paraId="5448696B" w14:textId="77777777" w:rsidR="004621C9" w:rsidRDefault="004621C9" w:rsidP="004621C9">
      <w:pPr>
        <w:jc w:val="center"/>
        <w:rPr>
          <w:u w:val="single"/>
        </w:rPr>
      </w:pPr>
    </w:p>
    <w:p w14:paraId="4EE6AAA2" w14:textId="15AA1591" w:rsidR="00E55480" w:rsidRPr="004621C9" w:rsidRDefault="004621C9" w:rsidP="004621C9">
      <w:pPr>
        <w:jc w:val="center"/>
        <w:rPr>
          <w:rFonts w:ascii="Times New Roman" w:hAnsi="Times New Roman"/>
          <w:sz w:val="32"/>
          <w:u w:val="single"/>
        </w:rPr>
      </w:pPr>
      <w:r w:rsidRPr="004621C9">
        <w:rPr>
          <w:rFonts w:ascii="Times New Roman" w:hAnsi="Times New Roman"/>
          <w:sz w:val="32"/>
          <w:u w:val="single"/>
        </w:rPr>
        <w:t>An analysis of the extent to which Euripides’ characters Electra and Helen are portrayed as ‘masculine’</w:t>
      </w:r>
    </w:p>
    <w:p w14:paraId="390A1C57" w14:textId="53EE0614" w:rsidR="004621C9" w:rsidRPr="004621C9" w:rsidRDefault="004621C9" w:rsidP="004621C9">
      <w:pPr>
        <w:jc w:val="center"/>
        <w:rPr>
          <w:rFonts w:ascii="Times New Roman" w:hAnsi="Times New Roman"/>
          <w:sz w:val="28"/>
        </w:rPr>
      </w:pPr>
    </w:p>
    <w:p w14:paraId="6D6C0A40" w14:textId="64D2230C" w:rsidR="004621C9" w:rsidRPr="004621C9" w:rsidRDefault="004621C9" w:rsidP="004621C9">
      <w:pPr>
        <w:jc w:val="center"/>
        <w:rPr>
          <w:rFonts w:ascii="Times New Roman" w:hAnsi="Times New Roman"/>
          <w:sz w:val="28"/>
        </w:rPr>
      </w:pPr>
    </w:p>
    <w:p w14:paraId="6C976F7A" w14:textId="089C9FA6" w:rsidR="004621C9" w:rsidRPr="004621C9" w:rsidRDefault="004621C9" w:rsidP="004621C9">
      <w:pPr>
        <w:jc w:val="center"/>
        <w:rPr>
          <w:rFonts w:ascii="Times New Roman" w:hAnsi="Times New Roman"/>
          <w:sz w:val="28"/>
        </w:rPr>
      </w:pPr>
    </w:p>
    <w:p w14:paraId="7BA54E63" w14:textId="0FBD16D1" w:rsidR="004621C9" w:rsidRPr="004621C9" w:rsidRDefault="004621C9" w:rsidP="004621C9">
      <w:pPr>
        <w:jc w:val="center"/>
        <w:rPr>
          <w:rFonts w:ascii="Times New Roman" w:hAnsi="Times New Roman"/>
          <w:sz w:val="28"/>
        </w:rPr>
      </w:pPr>
    </w:p>
    <w:p w14:paraId="6421044C" w14:textId="61AED689" w:rsidR="004621C9" w:rsidRPr="004621C9" w:rsidRDefault="004621C9" w:rsidP="004621C9">
      <w:pPr>
        <w:jc w:val="center"/>
        <w:rPr>
          <w:rFonts w:ascii="Times New Roman" w:hAnsi="Times New Roman"/>
          <w:sz w:val="28"/>
        </w:rPr>
      </w:pPr>
    </w:p>
    <w:p w14:paraId="0B693A70" w14:textId="5C442D6D" w:rsidR="004621C9" w:rsidRPr="004621C9" w:rsidRDefault="004621C9" w:rsidP="004621C9">
      <w:pPr>
        <w:jc w:val="center"/>
        <w:rPr>
          <w:rFonts w:ascii="Times New Roman" w:hAnsi="Times New Roman"/>
          <w:sz w:val="28"/>
        </w:rPr>
      </w:pPr>
      <w:r w:rsidRPr="004621C9">
        <w:rPr>
          <w:rFonts w:ascii="Times New Roman" w:hAnsi="Times New Roman"/>
          <w:sz w:val="28"/>
        </w:rPr>
        <w:t>‘A thesis submitted to the University of Wales Trinity Saint David in partial completion of BA Honours Classical Civilisation’</w:t>
      </w:r>
    </w:p>
    <w:p w14:paraId="3E8FA74F" w14:textId="28124D14" w:rsidR="004621C9" w:rsidRPr="004621C9" w:rsidRDefault="004621C9" w:rsidP="004621C9">
      <w:pPr>
        <w:jc w:val="center"/>
        <w:rPr>
          <w:rFonts w:ascii="Times New Roman" w:hAnsi="Times New Roman"/>
          <w:sz w:val="28"/>
        </w:rPr>
      </w:pPr>
    </w:p>
    <w:p w14:paraId="6123C7C3" w14:textId="34B37954" w:rsidR="004621C9" w:rsidRPr="004621C9" w:rsidRDefault="004621C9" w:rsidP="004621C9">
      <w:pPr>
        <w:jc w:val="center"/>
        <w:rPr>
          <w:rFonts w:ascii="Times New Roman" w:hAnsi="Times New Roman"/>
          <w:sz w:val="28"/>
        </w:rPr>
      </w:pPr>
    </w:p>
    <w:p w14:paraId="64425E29" w14:textId="61233225" w:rsidR="004621C9" w:rsidRPr="004621C9" w:rsidRDefault="004621C9" w:rsidP="004621C9">
      <w:pPr>
        <w:jc w:val="center"/>
        <w:rPr>
          <w:rFonts w:ascii="Times New Roman" w:hAnsi="Times New Roman"/>
          <w:sz w:val="28"/>
        </w:rPr>
      </w:pPr>
    </w:p>
    <w:p w14:paraId="1E479AD2" w14:textId="618FCEAF" w:rsidR="004621C9" w:rsidRPr="004621C9" w:rsidRDefault="004621C9" w:rsidP="004621C9">
      <w:pPr>
        <w:jc w:val="center"/>
        <w:rPr>
          <w:rFonts w:ascii="Times New Roman" w:hAnsi="Times New Roman"/>
          <w:sz w:val="28"/>
        </w:rPr>
      </w:pPr>
      <w:r w:rsidRPr="004621C9">
        <w:rPr>
          <w:rFonts w:ascii="Times New Roman" w:hAnsi="Times New Roman"/>
          <w:sz w:val="28"/>
        </w:rPr>
        <w:t>August 2020</w:t>
      </w:r>
    </w:p>
    <w:p w14:paraId="64F8FDDE" w14:textId="3F3015E0" w:rsidR="004621C9" w:rsidRPr="004621C9" w:rsidRDefault="004621C9" w:rsidP="004621C9">
      <w:pPr>
        <w:jc w:val="center"/>
        <w:rPr>
          <w:rFonts w:ascii="Times New Roman" w:hAnsi="Times New Roman"/>
          <w:sz w:val="28"/>
        </w:rPr>
      </w:pPr>
    </w:p>
    <w:p w14:paraId="32C3FF41" w14:textId="24242207" w:rsidR="004621C9" w:rsidRPr="004621C9" w:rsidRDefault="004621C9" w:rsidP="004621C9">
      <w:pPr>
        <w:jc w:val="center"/>
        <w:rPr>
          <w:rFonts w:ascii="Times New Roman" w:hAnsi="Times New Roman"/>
          <w:sz w:val="28"/>
        </w:rPr>
      </w:pPr>
    </w:p>
    <w:p w14:paraId="193A2FFA" w14:textId="497EF924" w:rsidR="004621C9" w:rsidRPr="004621C9" w:rsidRDefault="004621C9" w:rsidP="004621C9">
      <w:pPr>
        <w:jc w:val="center"/>
        <w:rPr>
          <w:rFonts w:ascii="Times New Roman" w:hAnsi="Times New Roman"/>
          <w:sz w:val="28"/>
        </w:rPr>
      </w:pPr>
      <w:r w:rsidRPr="004621C9">
        <w:rPr>
          <w:rFonts w:ascii="Times New Roman" w:hAnsi="Times New Roman"/>
          <w:sz w:val="28"/>
        </w:rPr>
        <w:t>Elizabeth Alice Ann Cawdell</w:t>
      </w:r>
    </w:p>
    <w:p w14:paraId="2728B3B2" w14:textId="7B6CDB0E" w:rsidR="004621C9" w:rsidRPr="004621C9" w:rsidRDefault="004621C9" w:rsidP="004621C9">
      <w:pPr>
        <w:jc w:val="center"/>
        <w:rPr>
          <w:rFonts w:ascii="Times New Roman" w:hAnsi="Times New Roman"/>
          <w:sz w:val="28"/>
        </w:rPr>
      </w:pPr>
      <w:r w:rsidRPr="004621C9">
        <w:rPr>
          <w:rFonts w:ascii="Times New Roman" w:hAnsi="Times New Roman"/>
          <w:sz w:val="28"/>
        </w:rPr>
        <w:t>1602192</w:t>
      </w:r>
    </w:p>
    <w:p w14:paraId="1A1CA811" w14:textId="586850F1" w:rsidR="004621C9" w:rsidRPr="004621C9" w:rsidRDefault="004621C9" w:rsidP="004621C9">
      <w:pPr>
        <w:jc w:val="center"/>
        <w:rPr>
          <w:rFonts w:ascii="Times New Roman" w:hAnsi="Times New Roman"/>
          <w:sz w:val="28"/>
        </w:rPr>
      </w:pPr>
    </w:p>
    <w:p w14:paraId="34F6134E" w14:textId="5F4F6470" w:rsidR="004621C9" w:rsidRPr="004621C9" w:rsidRDefault="004621C9" w:rsidP="004621C9">
      <w:pPr>
        <w:jc w:val="center"/>
        <w:rPr>
          <w:rFonts w:ascii="Times New Roman" w:hAnsi="Times New Roman"/>
          <w:sz w:val="28"/>
        </w:rPr>
      </w:pPr>
    </w:p>
    <w:p w14:paraId="03CCF302" w14:textId="689350CA" w:rsidR="004621C9" w:rsidRPr="004621C9" w:rsidRDefault="004621C9" w:rsidP="004621C9">
      <w:pPr>
        <w:jc w:val="center"/>
        <w:rPr>
          <w:rFonts w:ascii="Times New Roman" w:hAnsi="Times New Roman"/>
          <w:sz w:val="28"/>
        </w:rPr>
      </w:pPr>
    </w:p>
    <w:p w14:paraId="768F5701" w14:textId="7409CAB4" w:rsidR="004621C9" w:rsidRPr="004621C9" w:rsidRDefault="004621C9" w:rsidP="004621C9">
      <w:pPr>
        <w:jc w:val="center"/>
        <w:rPr>
          <w:rFonts w:ascii="Times New Roman" w:hAnsi="Times New Roman"/>
          <w:sz w:val="28"/>
        </w:rPr>
      </w:pPr>
    </w:p>
    <w:p w14:paraId="36B259A5" w14:textId="7325EB53" w:rsidR="004621C9" w:rsidRPr="004621C9" w:rsidRDefault="004621C9" w:rsidP="004621C9">
      <w:pPr>
        <w:jc w:val="center"/>
        <w:rPr>
          <w:rFonts w:ascii="Times New Roman" w:hAnsi="Times New Roman"/>
          <w:sz w:val="28"/>
        </w:rPr>
      </w:pPr>
    </w:p>
    <w:p w14:paraId="10C1CDEF" w14:textId="6B766CA6" w:rsidR="004621C9" w:rsidRPr="004621C9" w:rsidRDefault="004621C9" w:rsidP="004621C9">
      <w:pPr>
        <w:jc w:val="center"/>
        <w:rPr>
          <w:rFonts w:ascii="Times New Roman" w:hAnsi="Times New Roman"/>
          <w:sz w:val="28"/>
        </w:rPr>
      </w:pPr>
      <w:r w:rsidRPr="004621C9">
        <w:rPr>
          <w:rFonts w:ascii="Times New Roman" w:hAnsi="Times New Roman"/>
          <w:sz w:val="28"/>
        </w:rPr>
        <w:t xml:space="preserve">Word Count: </w:t>
      </w:r>
    </w:p>
    <w:p w14:paraId="3932FCAA" w14:textId="7413D002" w:rsidR="004621C9" w:rsidRPr="004621C9" w:rsidRDefault="004621C9">
      <w:pPr>
        <w:rPr>
          <w:rFonts w:ascii="Times New Roman" w:hAnsi="Times New Roman"/>
          <w:sz w:val="28"/>
        </w:rPr>
      </w:pPr>
      <w:r w:rsidRPr="004621C9">
        <w:rPr>
          <w:rFonts w:ascii="Times New Roman" w:hAnsi="Times New Roman"/>
          <w:sz w:val="28"/>
        </w:rPr>
        <w:br w:type="page"/>
      </w:r>
    </w:p>
    <w:p w14:paraId="371FDD28" w14:textId="77777777" w:rsidR="004621C9" w:rsidRPr="004621C9" w:rsidRDefault="004621C9" w:rsidP="004621C9">
      <w:pPr>
        <w:jc w:val="center"/>
        <w:rPr>
          <w:rFonts w:ascii="Times New Roman" w:hAnsi="Times New Roman"/>
          <w:sz w:val="28"/>
        </w:rPr>
      </w:pPr>
    </w:p>
    <w:p w14:paraId="081A2D6B" w14:textId="77777777" w:rsidR="004621C9" w:rsidRPr="004621C9" w:rsidRDefault="004621C9" w:rsidP="004621C9">
      <w:pPr>
        <w:jc w:val="both"/>
        <w:rPr>
          <w:rFonts w:ascii="Times New Roman" w:hAnsi="Times New Roman"/>
        </w:rPr>
      </w:pPr>
      <w:r w:rsidRPr="004621C9">
        <w:rPr>
          <w:rFonts w:ascii="Times New Roman" w:hAnsi="Times New Roman"/>
          <w:u w:val="single"/>
        </w:rPr>
        <w:t>Acknowledgements</w:t>
      </w:r>
    </w:p>
    <w:p w14:paraId="7E0768AB" w14:textId="77777777" w:rsidR="004621C9" w:rsidRPr="004621C9" w:rsidRDefault="004621C9" w:rsidP="004621C9">
      <w:pPr>
        <w:jc w:val="both"/>
        <w:rPr>
          <w:rFonts w:ascii="Times New Roman" w:hAnsi="Times New Roman"/>
          <w:u w:val="single"/>
        </w:rPr>
      </w:pPr>
    </w:p>
    <w:p w14:paraId="425EC197" w14:textId="5EF1CC5B" w:rsidR="004621C9" w:rsidRPr="004621C9" w:rsidRDefault="004621C9" w:rsidP="004621C9">
      <w:pPr>
        <w:jc w:val="both"/>
        <w:rPr>
          <w:rFonts w:ascii="Times New Roman" w:hAnsi="Times New Roman"/>
        </w:rPr>
      </w:pPr>
      <w:r w:rsidRPr="004621C9">
        <w:rPr>
          <w:rFonts w:ascii="Times New Roman" w:hAnsi="Times New Roman"/>
        </w:rPr>
        <w:t>I would like to thank my supervisor Ruth Parkes for her time and support. I would like to thank my specialist support Dinah Mulholland for her constant support and understanding, always ready with a cup of tea.</w:t>
      </w:r>
    </w:p>
    <w:p w14:paraId="7EEE5BA0" w14:textId="645F6F8B" w:rsidR="004621C9" w:rsidRDefault="004621C9" w:rsidP="004621C9">
      <w:pPr>
        <w:rPr>
          <w:rFonts w:ascii="Times New Roman" w:hAnsi="Times New Roman"/>
        </w:rPr>
      </w:pPr>
      <w:r w:rsidRPr="004621C9">
        <w:rPr>
          <w:rFonts w:ascii="Times New Roman" w:hAnsi="Times New Roman"/>
        </w:rPr>
        <w:br w:type="page"/>
      </w:r>
    </w:p>
    <w:sdt>
      <w:sdtPr>
        <w:id w:val="-25258957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93E10E6" w14:textId="34D82DBD" w:rsidR="004621C9" w:rsidRDefault="004621C9">
          <w:pPr>
            <w:pStyle w:val="TOCHeading"/>
          </w:pPr>
          <w:r>
            <w:t>Table of Contents</w:t>
          </w:r>
        </w:p>
        <w:p w14:paraId="4520B00E" w14:textId="7CD0F6CA" w:rsidR="004621C9" w:rsidRDefault="004621C9">
          <w:pPr>
            <w:pStyle w:val="TOC2"/>
            <w:tabs>
              <w:tab w:val="right" w:leader="dot" w:pos="9010"/>
            </w:tabs>
            <w:rPr>
              <w:rFonts w:eastAsiaTheme="minorEastAsia"/>
              <w:smallCaps/>
              <w:noProof/>
              <w:sz w:val="24"/>
              <w:szCs w:val="24"/>
            </w:rPr>
          </w:pPr>
          <w:r>
            <w:rPr>
              <w:b w:val="0"/>
              <w:bCs w:val="0"/>
            </w:rPr>
            <w:fldChar w:fldCharType="begin"/>
          </w:r>
          <w:r>
            <w:instrText xml:space="preserve"> TOC \o "1-3" \h \z \u </w:instrText>
          </w:r>
          <w:r>
            <w:rPr>
              <w:b w:val="0"/>
              <w:bCs w:val="0"/>
            </w:rPr>
            <w:fldChar w:fldCharType="separate"/>
          </w:r>
          <w:hyperlink w:anchor="_Toc47557326" w:history="1">
            <w:r w:rsidRPr="00B562A0">
              <w:rPr>
                <w:rStyle w:val="Hyperlink"/>
                <w:rFonts w:ascii="Times New Roman" w:eastAsia="Times New Roman" w:hAnsi="Times New Roman"/>
                <w:noProof/>
              </w:rPr>
              <w:t>Introduction and Methology</w:t>
            </w:r>
            <w:r>
              <w:rPr>
                <w:noProof/>
                <w:webHidden/>
              </w:rPr>
              <w:tab/>
            </w:r>
            <w:r>
              <w:rPr>
                <w:noProof/>
                <w:webHidden/>
              </w:rPr>
              <w:fldChar w:fldCharType="begin"/>
            </w:r>
            <w:r>
              <w:rPr>
                <w:noProof/>
                <w:webHidden/>
              </w:rPr>
              <w:instrText xml:space="preserve"> PAGEREF _Toc47557326 \h </w:instrText>
            </w:r>
            <w:r>
              <w:rPr>
                <w:noProof/>
                <w:webHidden/>
              </w:rPr>
            </w:r>
            <w:r>
              <w:rPr>
                <w:noProof/>
                <w:webHidden/>
              </w:rPr>
              <w:fldChar w:fldCharType="separate"/>
            </w:r>
            <w:r>
              <w:rPr>
                <w:noProof/>
                <w:webHidden/>
              </w:rPr>
              <w:t>4</w:t>
            </w:r>
            <w:r>
              <w:rPr>
                <w:noProof/>
                <w:webHidden/>
              </w:rPr>
              <w:fldChar w:fldCharType="end"/>
            </w:r>
          </w:hyperlink>
        </w:p>
        <w:p w14:paraId="120EF403" w14:textId="446F4D3C" w:rsidR="004621C9" w:rsidRDefault="004621C9">
          <w:pPr>
            <w:pStyle w:val="TOC2"/>
            <w:tabs>
              <w:tab w:val="right" w:leader="dot" w:pos="9010"/>
            </w:tabs>
            <w:rPr>
              <w:rFonts w:eastAsiaTheme="minorEastAsia"/>
              <w:smallCaps/>
              <w:noProof/>
              <w:sz w:val="24"/>
              <w:szCs w:val="24"/>
            </w:rPr>
          </w:pPr>
          <w:hyperlink w:anchor="_Toc47557327" w:history="1">
            <w:r w:rsidRPr="00B562A0">
              <w:rPr>
                <w:rStyle w:val="Hyperlink"/>
                <w:rFonts w:ascii="Times New Roman" w:eastAsia="Times New Roman" w:hAnsi="Times New Roman"/>
                <w:noProof/>
              </w:rPr>
              <w:t>Chapter One – Historical Context</w:t>
            </w:r>
            <w:r>
              <w:rPr>
                <w:noProof/>
                <w:webHidden/>
              </w:rPr>
              <w:tab/>
            </w:r>
            <w:r>
              <w:rPr>
                <w:noProof/>
                <w:webHidden/>
              </w:rPr>
              <w:fldChar w:fldCharType="begin"/>
            </w:r>
            <w:r>
              <w:rPr>
                <w:noProof/>
                <w:webHidden/>
              </w:rPr>
              <w:instrText xml:space="preserve"> PAGEREF _Toc47557327 \h </w:instrText>
            </w:r>
            <w:r>
              <w:rPr>
                <w:noProof/>
                <w:webHidden/>
              </w:rPr>
            </w:r>
            <w:r>
              <w:rPr>
                <w:noProof/>
                <w:webHidden/>
              </w:rPr>
              <w:fldChar w:fldCharType="separate"/>
            </w:r>
            <w:r>
              <w:rPr>
                <w:noProof/>
                <w:webHidden/>
              </w:rPr>
              <w:t>6</w:t>
            </w:r>
            <w:r>
              <w:rPr>
                <w:noProof/>
                <w:webHidden/>
              </w:rPr>
              <w:fldChar w:fldCharType="end"/>
            </w:r>
          </w:hyperlink>
        </w:p>
        <w:p w14:paraId="62B3D248" w14:textId="0DACCF88" w:rsidR="004621C9" w:rsidRDefault="004621C9">
          <w:pPr>
            <w:pStyle w:val="TOC2"/>
            <w:tabs>
              <w:tab w:val="right" w:leader="dot" w:pos="9010"/>
            </w:tabs>
            <w:rPr>
              <w:rFonts w:eastAsiaTheme="minorEastAsia"/>
              <w:smallCaps/>
              <w:noProof/>
              <w:sz w:val="24"/>
              <w:szCs w:val="24"/>
            </w:rPr>
          </w:pPr>
          <w:hyperlink w:anchor="_Toc47557328" w:history="1">
            <w:r w:rsidRPr="00B562A0">
              <w:rPr>
                <w:rStyle w:val="Hyperlink"/>
                <w:rFonts w:ascii="Times New Roman" w:eastAsia="Times New Roman" w:hAnsi="Times New Roman"/>
                <w:noProof/>
              </w:rPr>
              <w:t>Chapter Two – Play Analysis</w:t>
            </w:r>
            <w:r>
              <w:rPr>
                <w:noProof/>
                <w:webHidden/>
              </w:rPr>
              <w:tab/>
            </w:r>
            <w:r>
              <w:rPr>
                <w:noProof/>
                <w:webHidden/>
              </w:rPr>
              <w:fldChar w:fldCharType="begin"/>
            </w:r>
            <w:r>
              <w:rPr>
                <w:noProof/>
                <w:webHidden/>
              </w:rPr>
              <w:instrText xml:space="preserve"> PAGEREF _Toc47557328 \h </w:instrText>
            </w:r>
            <w:r>
              <w:rPr>
                <w:noProof/>
                <w:webHidden/>
              </w:rPr>
            </w:r>
            <w:r>
              <w:rPr>
                <w:noProof/>
                <w:webHidden/>
              </w:rPr>
              <w:fldChar w:fldCharType="separate"/>
            </w:r>
            <w:r>
              <w:rPr>
                <w:noProof/>
                <w:webHidden/>
              </w:rPr>
              <w:t>9</w:t>
            </w:r>
            <w:r>
              <w:rPr>
                <w:noProof/>
                <w:webHidden/>
              </w:rPr>
              <w:fldChar w:fldCharType="end"/>
            </w:r>
          </w:hyperlink>
        </w:p>
        <w:p w14:paraId="27970107" w14:textId="69CB01A1" w:rsidR="004621C9" w:rsidRDefault="004621C9">
          <w:pPr>
            <w:pStyle w:val="TOC2"/>
            <w:tabs>
              <w:tab w:val="right" w:leader="dot" w:pos="9010"/>
            </w:tabs>
            <w:rPr>
              <w:rFonts w:eastAsiaTheme="minorEastAsia"/>
              <w:smallCaps/>
              <w:noProof/>
              <w:sz w:val="24"/>
              <w:szCs w:val="24"/>
            </w:rPr>
          </w:pPr>
          <w:hyperlink w:anchor="_Toc47557329" w:history="1">
            <w:r w:rsidRPr="00B562A0">
              <w:rPr>
                <w:rStyle w:val="Hyperlink"/>
                <w:rFonts w:ascii="Times New Roman" w:eastAsia="Times New Roman" w:hAnsi="Times New Roman"/>
                <w:noProof/>
              </w:rPr>
              <w:t>Chapter Three – Discussion</w:t>
            </w:r>
            <w:r>
              <w:rPr>
                <w:noProof/>
                <w:webHidden/>
              </w:rPr>
              <w:tab/>
            </w:r>
            <w:r>
              <w:rPr>
                <w:noProof/>
                <w:webHidden/>
              </w:rPr>
              <w:fldChar w:fldCharType="begin"/>
            </w:r>
            <w:r>
              <w:rPr>
                <w:noProof/>
                <w:webHidden/>
              </w:rPr>
              <w:instrText xml:space="preserve"> PAGEREF _Toc47557329 \h </w:instrText>
            </w:r>
            <w:r>
              <w:rPr>
                <w:noProof/>
                <w:webHidden/>
              </w:rPr>
            </w:r>
            <w:r>
              <w:rPr>
                <w:noProof/>
                <w:webHidden/>
              </w:rPr>
              <w:fldChar w:fldCharType="separate"/>
            </w:r>
            <w:r>
              <w:rPr>
                <w:noProof/>
                <w:webHidden/>
              </w:rPr>
              <w:t>15</w:t>
            </w:r>
            <w:r>
              <w:rPr>
                <w:noProof/>
                <w:webHidden/>
              </w:rPr>
              <w:fldChar w:fldCharType="end"/>
            </w:r>
          </w:hyperlink>
        </w:p>
        <w:p w14:paraId="670F4075" w14:textId="233AA892" w:rsidR="004621C9" w:rsidRDefault="004621C9">
          <w:pPr>
            <w:pStyle w:val="TOC2"/>
            <w:tabs>
              <w:tab w:val="right" w:leader="dot" w:pos="9010"/>
            </w:tabs>
            <w:rPr>
              <w:rFonts w:eastAsiaTheme="minorEastAsia"/>
              <w:smallCaps/>
              <w:noProof/>
              <w:sz w:val="24"/>
              <w:szCs w:val="24"/>
            </w:rPr>
          </w:pPr>
          <w:hyperlink w:anchor="_Toc47557330" w:history="1">
            <w:r w:rsidRPr="00B562A0">
              <w:rPr>
                <w:rStyle w:val="Hyperlink"/>
                <w:rFonts w:ascii="Times New Roman" w:eastAsia="Times New Roman" w:hAnsi="Times New Roman"/>
                <w:noProof/>
              </w:rPr>
              <w:t>Conclusion</w:t>
            </w:r>
            <w:r>
              <w:rPr>
                <w:noProof/>
                <w:webHidden/>
              </w:rPr>
              <w:tab/>
            </w:r>
            <w:r>
              <w:rPr>
                <w:noProof/>
                <w:webHidden/>
              </w:rPr>
              <w:fldChar w:fldCharType="begin"/>
            </w:r>
            <w:r>
              <w:rPr>
                <w:noProof/>
                <w:webHidden/>
              </w:rPr>
              <w:instrText xml:space="preserve"> PAGEREF _Toc47557330 \h </w:instrText>
            </w:r>
            <w:r>
              <w:rPr>
                <w:noProof/>
                <w:webHidden/>
              </w:rPr>
            </w:r>
            <w:r>
              <w:rPr>
                <w:noProof/>
                <w:webHidden/>
              </w:rPr>
              <w:fldChar w:fldCharType="separate"/>
            </w:r>
            <w:r>
              <w:rPr>
                <w:noProof/>
                <w:webHidden/>
              </w:rPr>
              <w:t>18</w:t>
            </w:r>
            <w:r>
              <w:rPr>
                <w:noProof/>
                <w:webHidden/>
              </w:rPr>
              <w:fldChar w:fldCharType="end"/>
            </w:r>
          </w:hyperlink>
        </w:p>
        <w:p w14:paraId="4F28BD51" w14:textId="708CFB6A" w:rsidR="004621C9" w:rsidRDefault="004621C9">
          <w:pPr>
            <w:pStyle w:val="TOC2"/>
            <w:tabs>
              <w:tab w:val="right" w:leader="dot" w:pos="9010"/>
            </w:tabs>
            <w:rPr>
              <w:rFonts w:eastAsiaTheme="minorEastAsia"/>
              <w:smallCaps/>
              <w:noProof/>
              <w:sz w:val="24"/>
              <w:szCs w:val="24"/>
            </w:rPr>
          </w:pPr>
          <w:hyperlink w:anchor="_Toc47557331" w:history="1">
            <w:r w:rsidRPr="00B562A0">
              <w:rPr>
                <w:rStyle w:val="Hyperlink"/>
                <w:rFonts w:ascii="Times New Roman" w:hAnsi="Times New Roman"/>
                <w:noProof/>
              </w:rPr>
              <w:t>Bibliography</w:t>
            </w:r>
            <w:r>
              <w:rPr>
                <w:noProof/>
                <w:webHidden/>
              </w:rPr>
              <w:tab/>
            </w:r>
            <w:r>
              <w:rPr>
                <w:noProof/>
                <w:webHidden/>
              </w:rPr>
              <w:fldChar w:fldCharType="begin"/>
            </w:r>
            <w:r>
              <w:rPr>
                <w:noProof/>
                <w:webHidden/>
              </w:rPr>
              <w:instrText xml:space="preserve"> PAGEREF _Toc47557331 \h </w:instrText>
            </w:r>
            <w:r>
              <w:rPr>
                <w:noProof/>
                <w:webHidden/>
              </w:rPr>
            </w:r>
            <w:r>
              <w:rPr>
                <w:noProof/>
                <w:webHidden/>
              </w:rPr>
              <w:fldChar w:fldCharType="separate"/>
            </w:r>
            <w:r>
              <w:rPr>
                <w:noProof/>
                <w:webHidden/>
              </w:rPr>
              <w:t>19</w:t>
            </w:r>
            <w:r>
              <w:rPr>
                <w:noProof/>
                <w:webHidden/>
              </w:rPr>
              <w:fldChar w:fldCharType="end"/>
            </w:r>
          </w:hyperlink>
        </w:p>
        <w:p w14:paraId="7D1B001F" w14:textId="6B960412" w:rsidR="004621C9" w:rsidRDefault="004621C9">
          <w:r>
            <w:rPr>
              <w:b/>
              <w:bCs/>
              <w:noProof/>
            </w:rPr>
            <w:fldChar w:fldCharType="end"/>
          </w:r>
        </w:p>
      </w:sdtContent>
    </w:sdt>
    <w:p w14:paraId="4983776C" w14:textId="2CCE3C5C" w:rsidR="004621C9" w:rsidRPr="004621C9" w:rsidRDefault="004621C9" w:rsidP="004621C9">
      <w:pPr>
        <w:pStyle w:val="Heading2"/>
        <w:rPr>
          <w:rFonts w:ascii="Times New Roman" w:hAnsi="Times New Roman"/>
        </w:rPr>
      </w:pPr>
      <w:r w:rsidRPr="004621C9">
        <w:rPr>
          <w:rFonts w:ascii="Times New Roman" w:hAnsi="Times New Roman"/>
        </w:rPr>
        <w:br w:type="page"/>
      </w:r>
    </w:p>
    <w:p w14:paraId="4F70178F" w14:textId="0E4CAC6A" w:rsidR="004621C9" w:rsidRPr="004621C9" w:rsidRDefault="004621C9" w:rsidP="004621C9">
      <w:pPr>
        <w:pStyle w:val="Heading2"/>
        <w:spacing w:line="360" w:lineRule="auto"/>
        <w:rPr>
          <w:rFonts w:ascii="Times New Roman" w:eastAsia="Times New Roman" w:hAnsi="Times New Roman"/>
        </w:rPr>
      </w:pPr>
      <w:bookmarkStart w:id="0" w:name="_Toc47557326"/>
      <w:r w:rsidRPr="004621C9">
        <w:rPr>
          <w:rFonts w:ascii="Times New Roman" w:eastAsia="Times New Roman" w:hAnsi="Times New Roman"/>
        </w:rPr>
        <w:lastRenderedPageBreak/>
        <w:t>Introduction and Metho</w:t>
      </w:r>
      <w:r>
        <w:rPr>
          <w:rFonts w:ascii="Times New Roman" w:eastAsia="Times New Roman" w:hAnsi="Times New Roman"/>
        </w:rPr>
        <w:t>do</w:t>
      </w:r>
      <w:r w:rsidRPr="004621C9">
        <w:rPr>
          <w:rFonts w:ascii="Times New Roman" w:eastAsia="Times New Roman" w:hAnsi="Times New Roman"/>
        </w:rPr>
        <w:t>logy</w:t>
      </w:r>
      <w:bookmarkEnd w:id="0"/>
    </w:p>
    <w:p w14:paraId="585397F7" w14:textId="77777777" w:rsidR="004621C9" w:rsidRPr="004621C9" w:rsidRDefault="004621C9" w:rsidP="004621C9">
      <w:pPr>
        <w:spacing w:line="360" w:lineRule="auto"/>
        <w:rPr>
          <w:rFonts w:ascii="Times New Roman" w:eastAsia="Times New Roman" w:hAnsi="Times New Roman" w:cs="Times New Roman"/>
          <w:color w:val="000000"/>
        </w:rPr>
      </w:pPr>
    </w:p>
    <w:p w14:paraId="0AA8B152" w14:textId="40F6988C"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This dissertation will consider Euripides plays </w:t>
      </w:r>
      <w:r w:rsidRPr="004621C9">
        <w:rPr>
          <w:rFonts w:ascii="Times New Roman" w:eastAsia="Times New Roman" w:hAnsi="Times New Roman" w:cs="Times New Roman"/>
          <w:i/>
          <w:iCs/>
          <w:color w:val="000000"/>
        </w:rPr>
        <w:t>Electra</w:t>
      </w:r>
      <w:r w:rsidR="00C33056">
        <w:rPr>
          <w:rStyle w:val="FootnoteReference"/>
          <w:rFonts w:ascii="Times New Roman" w:eastAsia="Times New Roman" w:hAnsi="Times New Roman" w:cs="Times New Roman"/>
          <w:i/>
          <w:iCs/>
          <w:color w:val="000000"/>
        </w:rPr>
        <w:footnoteReference w:id="1"/>
      </w:r>
      <w:r w:rsidRPr="004621C9">
        <w:rPr>
          <w:rFonts w:ascii="Times New Roman" w:eastAsia="Times New Roman" w:hAnsi="Times New Roman" w:cs="Times New Roman"/>
          <w:color w:val="000000"/>
        </w:rPr>
        <w:t xml:space="preserve"> and </w:t>
      </w:r>
      <w:r w:rsidRPr="004621C9">
        <w:rPr>
          <w:rFonts w:ascii="Times New Roman" w:eastAsia="Times New Roman" w:hAnsi="Times New Roman" w:cs="Times New Roman"/>
          <w:i/>
          <w:iCs/>
          <w:color w:val="000000"/>
        </w:rPr>
        <w:t>Helen</w:t>
      </w:r>
      <w:r w:rsidRPr="004621C9">
        <w:rPr>
          <w:rFonts w:ascii="Times New Roman" w:eastAsia="Times New Roman" w:hAnsi="Times New Roman" w:cs="Times New Roman"/>
          <w:color w:val="000000"/>
        </w:rPr>
        <w:t>,</w:t>
      </w:r>
      <w:r w:rsidR="00C33056">
        <w:rPr>
          <w:rStyle w:val="FootnoteReference"/>
          <w:rFonts w:ascii="Times New Roman" w:eastAsia="Times New Roman" w:hAnsi="Times New Roman" w:cs="Times New Roman"/>
          <w:color w:val="000000"/>
        </w:rPr>
        <w:footnoteReference w:id="2"/>
      </w:r>
      <w:r w:rsidRPr="004621C9">
        <w:rPr>
          <w:rFonts w:ascii="Times New Roman" w:eastAsia="Times New Roman" w:hAnsi="Times New Roman" w:cs="Times New Roman"/>
          <w:color w:val="000000"/>
        </w:rPr>
        <w:t xml:space="preserve"> and how the protagonists, primarily the female protagonists, break down the binaries of fifth century BCE Athenian society view in terms of gender roles and behaviours. Other characters in ancient tragedy have been used to argue that some women portray masculine tendencies through their characterisation. This dissertation uses this to argue not only that Electra and Helen portray masculine tendencies, but combined with the argument that their male counterparts are also portraying tendencies of the opposite gender, that these characters break apart the societal view of gender binaries and becomes more fluid.</w:t>
      </w:r>
    </w:p>
    <w:p w14:paraId="04A743C0" w14:textId="77777777" w:rsidR="004621C9" w:rsidRPr="004621C9" w:rsidRDefault="004621C9" w:rsidP="004621C9">
      <w:pPr>
        <w:spacing w:line="360" w:lineRule="auto"/>
        <w:rPr>
          <w:rFonts w:ascii="Times New Roman" w:eastAsia="Times New Roman" w:hAnsi="Times New Roman" w:cs="Times New Roman"/>
          <w:color w:val="000000"/>
        </w:rPr>
      </w:pPr>
    </w:p>
    <w:p w14:paraId="1FDECFA1" w14:textId="705822A3"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A combination of ancient and modern sources will be used to lay out and conclude the argument of this essay. The literary ancient works of Xenophon’s </w:t>
      </w:r>
      <w:proofErr w:type="spellStart"/>
      <w:r w:rsidRPr="004621C9">
        <w:rPr>
          <w:rFonts w:ascii="Times New Roman" w:eastAsia="Times New Roman" w:hAnsi="Times New Roman" w:cs="Times New Roman"/>
          <w:i/>
          <w:iCs/>
          <w:color w:val="000000"/>
        </w:rPr>
        <w:t>Oeconomicus</w:t>
      </w:r>
      <w:proofErr w:type="spellEnd"/>
      <w:r w:rsidRPr="004621C9">
        <w:rPr>
          <w:rFonts w:ascii="Times New Roman" w:eastAsia="Times New Roman" w:hAnsi="Times New Roman" w:cs="Times New Roman"/>
          <w:color w:val="000000"/>
        </w:rPr>
        <w:t xml:space="preserve"> and Plato’s </w:t>
      </w:r>
      <w:r w:rsidRPr="004621C9">
        <w:rPr>
          <w:rFonts w:ascii="Times New Roman" w:eastAsia="Times New Roman" w:hAnsi="Times New Roman" w:cs="Times New Roman"/>
          <w:i/>
          <w:iCs/>
          <w:color w:val="000000"/>
        </w:rPr>
        <w:t>Republic</w:t>
      </w:r>
      <w:r w:rsidRPr="004621C9">
        <w:rPr>
          <w:rFonts w:ascii="Times New Roman" w:eastAsia="Times New Roman" w:hAnsi="Times New Roman" w:cs="Times New Roman"/>
          <w:color w:val="000000"/>
        </w:rPr>
        <w:t>, are important to the argument because they lay out the societal expectations and constraints on gender within the Classical Athenian world. Though it has been considered that these philosophers were laying out what was an ideal society rather than the reality of the society they were living in. Both Xenophon and Plato use a Socratic dialogue form in order to platform a debate of views, making it seem as though they are using an already established and respected philosopher to strengthen a debate between two positions</w:t>
      </w:r>
      <w:r w:rsidR="00C33056">
        <w:rPr>
          <w:rStyle w:val="FootnoteReference"/>
          <w:rFonts w:ascii="Times New Roman" w:eastAsia="Times New Roman" w:hAnsi="Times New Roman" w:cs="Times New Roman"/>
          <w:color w:val="000000"/>
        </w:rPr>
        <w:footnoteReference w:id="3"/>
      </w:r>
      <w:r w:rsidRPr="004621C9">
        <w:rPr>
          <w:rFonts w:ascii="Times New Roman" w:eastAsia="Times New Roman" w:hAnsi="Times New Roman" w:cs="Times New Roman"/>
          <w:color w:val="000000"/>
        </w:rPr>
        <w:t xml:space="preserve"> or a number of viewpoints and arguments.</w:t>
      </w:r>
      <w:r w:rsidR="00C33056">
        <w:rPr>
          <w:rStyle w:val="FootnoteReference"/>
          <w:rFonts w:ascii="Times New Roman" w:eastAsia="Times New Roman" w:hAnsi="Times New Roman" w:cs="Times New Roman"/>
          <w:color w:val="000000"/>
        </w:rPr>
        <w:footnoteReference w:id="4"/>
      </w:r>
      <w:r w:rsidRPr="004621C9">
        <w:rPr>
          <w:rFonts w:ascii="Times New Roman" w:eastAsia="Times New Roman" w:hAnsi="Times New Roman" w:cs="Times New Roman"/>
          <w:color w:val="000000"/>
        </w:rPr>
        <w:t xml:space="preserve"> Although there is a variety of views expressed, all views represent the status quo and an element within the cultural hegemony of Classical Athens. These sources are therefore also instructional male representations of an ideal society. There is no mention as to whether the gender roles they describe would have been challenged or accepted within the lived experience of Athenians. It is assumed that the women mentioned in these works would have that of the elite and the wives of citizens due to the mention of the management of multiple slaves and the running of estates. For the purposes of this dissertation it has therefore been necessary to make the context of discussion on the evidence of the elite within Athenian society given by the sources, and by the plays.</w:t>
      </w:r>
    </w:p>
    <w:p w14:paraId="41D013C7" w14:textId="77777777" w:rsidR="004621C9" w:rsidRPr="004621C9" w:rsidRDefault="004621C9" w:rsidP="004621C9">
      <w:pPr>
        <w:spacing w:line="360" w:lineRule="auto"/>
        <w:rPr>
          <w:rFonts w:ascii="Times New Roman" w:eastAsia="Times New Roman" w:hAnsi="Times New Roman" w:cs="Times New Roman"/>
          <w:color w:val="000000"/>
        </w:rPr>
      </w:pPr>
    </w:p>
    <w:p w14:paraId="66938D49" w14:textId="753D9EA5" w:rsidR="004621C9" w:rsidRPr="004621C9" w:rsidRDefault="004621C9" w:rsidP="004621C9">
      <w:pPr>
        <w:spacing w:line="360" w:lineRule="auto"/>
        <w:ind w:left="567" w:right="567"/>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There is no doubt that the actual voices of those at the lower end of the patriarchal hierarchy have not survived to the extent of these works describing this elite and </w:t>
      </w:r>
      <w:r w:rsidRPr="004621C9">
        <w:rPr>
          <w:rFonts w:ascii="Times New Roman" w:eastAsia="Times New Roman" w:hAnsi="Times New Roman" w:cs="Times New Roman"/>
          <w:color w:val="000000"/>
        </w:rPr>
        <w:lastRenderedPageBreak/>
        <w:t>idealised form of living. There is therefore a danger of falling into the methodological trap outlined by Foley “of using non-Athenian literature to analyse the conception of women in Athenian drama.”</w:t>
      </w:r>
      <w:r w:rsidR="00C33056">
        <w:rPr>
          <w:rStyle w:val="FootnoteReference"/>
          <w:rFonts w:ascii="Times New Roman" w:eastAsia="Times New Roman" w:hAnsi="Times New Roman" w:cs="Times New Roman"/>
          <w:color w:val="000000"/>
        </w:rPr>
        <w:footnoteReference w:id="5"/>
      </w:r>
    </w:p>
    <w:p w14:paraId="45A01B1C" w14:textId="77777777" w:rsidR="004621C9" w:rsidRPr="004621C9" w:rsidRDefault="004621C9" w:rsidP="004621C9">
      <w:pPr>
        <w:spacing w:line="360" w:lineRule="auto"/>
        <w:rPr>
          <w:rFonts w:ascii="Times New Roman" w:eastAsia="Times New Roman" w:hAnsi="Times New Roman" w:cs="Times New Roman"/>
          <w:color w:val="000000"/>
        </w:rPr>
      </w:pPr>
    </w:p>
    <w:p w14:paraId="2A3CE919" w14:textId="513DDD48"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This dissertation has therefore confined itself to a study of the Loeb and Penguin translations of plays, along with </w:t>
      </w:r>
      <w:proofErr w:type="spellStart"/>
      <w:r w:rsidRPr="004621C9">
        <w:rPr>
          <w:rFonts w:ascii="Times New Roman" w:eastAsia="Times New Roman" w:hAnsi="Times New Roman" w:cs="Times New Roman"/>
          <w:color w:val="000000"/>
        </w:rPr>
        <w:t>Roisman’s</w:t>
      </w:r>
      <w:proofErr w:type="spellEnd"/>
      <w:r w:rsidRPr="004621C9">
        <w:rPr>
          <w:rFonts w:ascii="Times New Roman" w:eastAsia="Times New Roman" w:hAnsi="Times New Roman" w:cs="Times New Roman"/>
          <w:color w:val="000000"/>
        </w:rPr>
        <w:t xml:space="preserve"> </w:t>
      </w:r>
      <w:r w:rsidRPr="004621C9">
        <w:rPr>
          <w:rFonts w:ascii="Times New Roman" w:eastAsia="Times New Roman" w:hAnsi="Times New Roman" w:cs="Times New Roman"/>
          <w:i/>
          <w:iCs/>
          <w:color w:val="000000"/>
        </w:rPr>
        <w:t>Electra</w:t>
      </w:r>
      <w:r w:rsidRPr="004621C9">
        <w:rPr>
          <w:rFonts w:ascii="Times New Roman" w:eastAsia="Times New Roman" w:hAnsi="Times New Roman" w:cs="Times New Roman"/>
          <w:color w:val="000000"/>
        </w:rPr>
        <w:t xml:space="preserve"> commentary</w:t>
      </w:r>
      <w:r w:rsidR="00C33056">
        <w:rPr>
          <w:rFonts w:ascii="Times New Roman" w:eastAsia="Times New Roman" w:hAnsi="Times New Roman" w:cs="Times New Roman"/>
          <w:color w:val="000000"/>
        </w:rPr>
        <w:t>,</w:t>
      </w:r>
      <w:r w:rsidR="00C33056">
        <w:rPr>
          <w:rStyle w:val="FootnoteReference"/>
          <w:rFonts w:ascii="Times New Roman" w:eastAsia="Times New Roman" w:hAnsi="Times New Roman" w:cs="Times New Roman"/>
          <w:color w:val="000000"/>
        </w:rPr>
        <w:footnoteReference w:id="6"/>
      </w:r>
      <w:r w:rsidRPr="004621C9">
        <w:rPr>
          <w:rFonts w:ascii="Times New Roman" w:eastAsia="Times New Roman" w:hAnsi="Times New Roman" w:cs="Times New Roman"/>
          <w:color w:val="000000"/>
        </w:rPr>
        <w:t xml:space="preserve"> and Allan’s </w:t>
      </w:r>
      <w:r w:rsidRPr="004621C9">
        <w:rPr>
          <w:rFonts w:ascii="Times New Roman" w:eastAsia="Times New Roman" w:hAnsi="Times New Roman" w:cs="Times New Roman"/>
          <w:i/>
          <w:iCs/>
          <w:color w:val="000000"/>
        </w:rPr>
        <w:t>Helen</w:t>
      </w:r>
      <w:r w:rsidRPr="004621C9">
        <w:rPr>
          <w:rFonts w:ascii="Times New Roman" w:eastAsia="Times New Roman" w:hAnsi="Times New Roman" w:cs="Times New Roman"/>
          <w:color w:val="000000"/>
        </w:rPr>
        <w:t xml:space="preserve"> commentary</w:t>
      </w:r>
      <w:r w:rsidR="00C33056">
        <w:rPr>
          <w:rStyle w:val="FootnoteReference"/>
          <w:rFonts w:ascii="Times New Roman" w:eastAsia="Times New Roman" w:hAnsi="Times New Roman" w:cs="Times New Roman"/>
          <w:color w:val="000000"/>
        </w:rPr>
        <w:footnoteReference w:id="7"/>
      </w:r>
      <w:r w:rsidRPr="004621C9">
        <w:rPr>
          <w:rFonts w:ascii="Times New Roman" w:eastAsia="Times New Roman" w:hAnsi="Times New Roman" w:cs="Times New Roman"/>
          <w:color w:val="000000"/>
        </w:rPr>
        <w:t xml:space="preserve"> to explore the original texts to their fullest extent as a foundation of the research before moving to consider the responses of contemporary scholars. The Loeb translations, although well respected, were published in the early 1900s, which is reflected in the language and approaches of that time. The Penguin editions, published in the 1950s and 1960s, present a more contemporary rendering of the texts. Both the Loeb and the Penguin have value, particularly when read in conjunction with each other. </w:t>
      </w:r>
    </w:p>
    <w:p w14:paraId="7DC73B72" w14:textId="77777777" w:rsidR="004621C9" w:rsidRPr="004621C9" w:rsidRDefault="004621C9" w:rsidP="004621C9">
      <w:pPr>
        <w:spacing w:line="360" w:lineRule="auto"/>
        <w:rPr>
          <w:rFonts w:ascii="Times New Roman" w:eastAsia="Times New Roman" w:hAnsi="Times New Roman" w:cs="Times New Roman"/>
          <w:color w:val="000000"/>
        </w:rPr>
      </w:pPr>
    </w:p>
    <w:p w14:paraId="5F407CAC" w14:textId="77777777" w:rsidR="004621C9" w:rsidRPr="004621C9" w:rsidRDefault="004621C9" w:rsidP="004621C9">
      <w:pPr>
        <w:spacing w:line="360" w:lineRule="auto"/>
        <w:rPr>
          <w:rFonts w:ascii="Times New Roman" w:eastAsia="Times New Roman" w:hAnsi="Times New Roman" w:cs="Times New Roman"/>
          <w:color w:val="000000"/>
        </w:rPr>
      </w:pPr>
      <w:proofErr w:type="spellStart"/>
      <w:r w:rsidRPr="004621C9">
        <w:rPr>
          <w:rFonts w:ascii="Times New Roman" w:eastAsia="Times New Roman" w:hAnsi="Times New Roman" w:cs="Times New Roman"/>
          <w:color w:val="000000"/>
        </w:rPr>
        <w:t>Roisman</w:t>
      </w:r>
      <w:proofErr w:type="spellEnd"/>
      <w:r w:rsidRPr="004621C9">
        <w:rPr>
          <w:rFonts w:ascii="Times New Roman" w:eastAsia="Times New Roman" w:hAnsi="Times New Roman" w:cs="Times New Roman"/>
          <w:color w:val="000000"/>
        </w:rPr>
        <w:t xml:space="preserve"> and Allan have provided a deconstruction of the texts which has enabled a thorough analysis of characters and structure. These commentaries have been integral to developing an argument that Euripides has constructed these two female characters to reflect the binaries present in the Athenian world view.</w:t>
      </w:r>
    </w:p>
    <w:p w14:paraId="47FBC0DB" w14:textId="77777777" w:rsidR="004621C9" w:rsidRPr="004621C9" w:rsidRDefault="004621C9" w:rsidP="004621C9">
      <w:pPr>
        <w:spacing w:line="360" w:lineRule="auto"/>
        <w:rPr>
          <w:rFonts w:ascii="Times New Roman" w:eastAsia="Times New Roman" w:hAnsi="Times New Roman" w:cs="Times New Roman"/>
          <w:color w:val="000000"/>
        </w:rPr>
      </w:pPr>
    </w:p>
    <w:p w14:paraId="20225A64" w14:textId="4EDF6865"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Along with the ancient textual evidence and the commentaries, contemporary sources such as Pomeroy and Foley have also been instrumental in developing the understanding of societal binaries and how gender fits within that binary system.</w:t>
      </w:r>
      <w:r w:rsidR="00C33056">
        <w:rPr>
          <w:rStyle w:val="FootnoteReference"/>
          <w:rFonts w:ascii="Times New Roman" w:eastAsia="Times New Roman" w:hAnsi="Times New Roman" w:cs="Times New Roman"/>
          <w:color w:val="000000"/>
        </w:rPr>
        <w:footnoteReference w:id="8"/>
      </w:r>
      <w:r w:rsidRPr="004621C9">
        <w:rPr>
          <w:rFonts w:ascii="Times New Roman" w:eastAsia="Times New Roman" w:hAnsi="Times New Roman" w:cs="Times New Roman"/>
          <w:color w:val="000000"/>
        </w:rPr>
        <w:t xml:space="preserve"> The multi-disciplinary approach to theory which considers feminism, gender theory and performance theory has enabled a reading of the texts which reflects the complexity of text and the layers of gendered performance.</w:t>
      </w:r>
    </w:p>
    <w:p w14:paraId="60F27715" w14:textId="77777777" w:rsidR="004621C9" w:rsidRPr="004621C9" w:rsidRDefault="004621C9" w:rsidP="004621C9">
      <w:pPr>
        <w:spacing w:line="360" w:lineRule="auto"/>
        <w:rPr>
          <w:rFonts w:ascii="Times New Roman" w:eastAsia="Times New Roman" w:hAnsi="Times New Roman" w:cs="Times New Roman"/>
          <w:color w:val="000000"/>
        </w:rPr>
      </w:pPr>
    </w:p>
    <w:p w14:paraId="04C50E37" w14:textId="05B8097B"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In the same way that it needs to be understood that Xenophon, Plato and Euripides are writing from a male perspective and influence, many contemporary sources focusing on the lives of ancient Athenian and Spartan women are written from a contemporary feminist perspective. Whilst useful, because they focus on the life of women when so many texts focus solely on a male perspective, these texts can sometimes show that tendency Foley warns of, to approach from a perspective which can distort ancient evidence with the imposition of a contemporary, socio-political response.</w:t>
      </w:r>
      <w:r w:rsidR="00C33056">
        <w:rPr>
          <w:rStyle w:val="FootnoteReference"/>
          <w:rFonts w:ascii="Times New Roman" w:eastAsia="Times New Roman" w:hAnsi="Times New Roman" w:cs="Times New Roman"/>
          <w:color w:val="000000"/>
        </w:rPr>
        <w:footnoteReference w:id="9"/>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Pomeroy’s work does not fall into this methodological trap and has therefore been valuable in </w:t>
      </w:r>
      <w:r w:rsidRPr="004621C9">
        <w:rPr>
          <w:rFonts w:ascii="Times New Roman" w:eastAsia="Times New Roman" w:hAnsi="Times New Roman" w:cs="Times New Roman"/>
          <w:color w:val="000000"/>
        </w:rPr>
        <w:lastRenderedPageBreak/>
        <w:t>understanding the life of the Athenian and Spartan women, as well as highlighting the intersectionality of a variety of women’s lived experience in the ancient world. </w:t>
      </w:r>
      <w:r w:rsidR="00C33056">
        <w:rPr>
          <w:rStyle w:val="FootnoteReference"/>
          <w:rFonts w:ascii="Times New Roman" w:eastAsia="Times New Roman" w:hAnsi="Times New Roman" w:cs="Times New Roman"/>
          <w:color w:val="000000"/>
        </w:rPr>
        <w:footnoteReference w:id="10"/>
      </w:r>
    </w:p>
    <w:p w14:paraId="16BEF6AD" w14:textId="77777777" w:rsidR="004621C9" w:rsidRPr="004621C9" w:rsidRDefault="004621C9" w:rsidP="004621C9">
      <w:pPr>
        <w:spacing w:line="360" w:lineRule="auto"/>
        <w:rPr>
          <w:rFonts w:ascii="Times New Roman" w:eastAsia="Times New Roman" w:hAnsi="Times New Roman" w:cs="Times New Roman"/>
          <w:color w:val="000000"/>
        </w:rPr>
      </w:pPr>
    </w:p>
    <w:p w14:paraId="370A0225" w14:textId="7C2506CF"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Connell and Butler’s work on gender theory has expanded the discussion and argument on the fifth century BCE Athenian binary view of gender.</w:t>
      </w:r>
      <w:r w:rsidR="00C33056">
        <w:rPr>
          <w:rStyle w:val="FootnoteReference"/>
          <w:rFonts w:ascii="Times New Roman" w:eastAsia="Times New Roman" w:hAnsi="Times New Roman" w:cs="Times New Roman"/>
          <w:color w:val="000000"/>
        </w:rPr>
        <w:footnoteReference w:id="11"/>
      </w:r>
      <w:r w:rsidRPr="004621C9">
        <w:rPr>
          <w:rFonts w:ascii="Times New Roman" w:eastAsia="Times New Roman" w:hAnsi="Times New Roman" w:cs="Times New Roman"/>
          <w:color w:val="000000"/>
        </w:rPr>
        <w:t xml:space="preserve"> </w:t>
      </w:r>
      <w:proofErr w:type="spellStart"/>
      <w:r w:rsidRPr="004621C9">
        <w:rPr>
          <w:rFonts w:ascii="Times New Roman" w:eastAsia="Times New Roman" w:hAnsi="Times New Roman" w:cs="Times New Roman"/>
          <w:color w:val="000000"/>
        </w:rPr>
        <w:t>Cawthorn’s</w:t>
      </w:r>
      <w:proofErr w:type="spellEnd"/>
      <w:r w:rsidRPr="004621C9">
        <w:rPr>
          <w:rFonts w:ascii="Times New Roman" w:eastAsia="Times New Roman" w:hAnsi="Times New Roman" w:cs="Times New Roman"/>
          <w:color w:val="000000"/>
        </w:rPr>
        <w:t xml:space="preserve"> performance theory has further developed the dissertation’s position on the meeting of gender, performance and text, and has been particularly useful in considering how the plays may have been performed and received in Classical Athens.</w:t>
      </w:r>
      <w:r w:rsidR="00C33056">
        <w:rPr>
          <w:rStyle w:val="FootnoteReference"/>
          <w:rFonts w:ascii="Times New Roman" w:eastAsia="Times New Roman" w:hAnsi="Times New Roman" w:cs="Times New Roman"/>
          <w:color w:val="000000"/>
        </w:rPr>
        <w:footnoteReference w:id="12"/>
      </w:r>
    </w:p>
    <w:p w14:paraId="1601213B" w14:textId="77777777" w:rsidR="004621C9" w:rsidRPr="004621C9" w:rsidRDefault="004621C9" w:rsidP="004621C9">
      <w:pPr>
        <w:spacing w:line="360" w:lineRule="auto"/>
        <w:rPr>
          <w:rFonts w:ascii="Times New Roman" w:eastAsia="Times New Roman" w:hAnsi="Times New Roman" w:cs="Times New Roman"/>
          <w:color w:val="000000"/>
        </w:rPr>
      </w:pPr>
    </w:p>
    <w:p w14:paraId="44649B77" w14:textId="50B13E6B"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The first chapter of this dissertation provides a historical context of the lives of fifth century BCE privileged Athenian citizen women. Chapter Two analyses each play in turn, focusing on the dynamics of the masculine and feminine binaries played out between the protagonists. This is followed by the discussion in Chapter Three</w:t>
      </w:r>
      <w:r w:rsidR="00C33056">
        <w:rPr>
          <w:rFonts w:ascii="Times New Roman" w:eastAsia="Times New Roman" w:hAnsi="Times New Roman" w:cs="Times New Roman"/>
          <w:color w:val="000000"/>
        </w:rPr>
        <w:t xml:space="preserve"> and the conclusion</w:t>
      </w:r>
      <w:r w:rsidRPr="004621C9">
        <w:rPr>
          <w:rFonts w:ascii="Times New Roman" w:eastAsia="Times New Roman" w:hAnsi="Times New Roman" w:cs="Times New Roman"/>
          <w:color w:val="000000"/>
        </w:rPr>
        <w:t>.</w:t>
      </w:r>
    </w:p>
    <w:p w14:paraId="419B380E" w14:textId="7AC25603"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br w:type="page"/>
      </w:r>
    </w:p>
    <w:p w14:paraId="0C6AA4A2" w14:textId="207F951A" w:rsidR="004621C9" w:rsidRPr="004621C9" w:rsidRDefault="004621C9" w:rsidP="004621C9">
      <w:pPr>
        <w:pStyle w:val="Heading2"/>
        <w:spacing w:line="360" w:lineRule="auto"/>
        <w:rPr>
          <w:rFonts w:ascii="Times New Roman" w:eastAsia="Times New Roman" w:hAnsi="Times New Roman"/>
        </w:rPr>
      </w:pPr>
      <w:bookmarkStart w:id="1" w:name="_Toc47557327"/>
      <w:r w:rsidRPr="004621C9">
        <w:rPr>
          <w:rFonts w:ascii="Times New Roman" w:eastAsia="Times New Roman" w:hAnsi="Times New Roman"/>
        </w:rPr>
        <w:lastRenderedPageBreak/>
        <w:t>Chapter One – Historical Context</w:t>
      </w:r>
      <w:bookmarkEnd w:id="1"/>
    </w:p>
    <w:p w14:paraId="4BFCF7FB" w14:textId="77777777" w:rsidR="004621C9" w:rsidRPr="004621C9" w:rsidRDefault="004621C9" w:rsidP="004621C9">
      <w:pPr>
        <w:spacing w:line="360" w:lineRule="auto"/>
        <w:rPr>
          <w:rFonts w:ascii="Times New Roman" w:eastAsia="Times New Roman" w:hAnsi="Times New Roman" w:cs="Times New Roman"/>
          <w:color w:val="000000"/>
        </w:rPr>
      </w:pPr>
    </w:p>
    <w:p w14:paraId="74B1963A" w14:textId="18A061E6"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Before embarking on an analysis of the characters of Electra and Helen, a discussion of the expectations of the behaviour of fifth-century BCE Athenian privileged citizen women is required before a comparison can be drawn from historical accounts to Euripides’ portrayal of Electra and Helen. But these comparisons can only be made within a context of male observations and expectations of women. This is why Just, Pomeroy, and Foley, amongst other scholars,</w:t>
      </w:r>
      <w:r w:rsidR="00C33056">
        <w:rPr>
          <w:rStyle w:val="FootnoteReference"/>
          <w:rFonts w:ascii="Times New Roman" w:eastAsia="Times New Roman" w:hAnsi="Times New Roman" w:cs="Times New Roman"/>
          <w:color w:val="000000"/>
        </w:rPr>
        <w:footnoteReference w:id="13"/>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have noted that the representations of women within Greek tragedy do not portray an accurate representation of the lives of Athenian women within this period.</w:t>
      </w:r>
      <w:r w:rsidR="00C33056">
        <w:rPr>
          <w:rStyle w:val="FootnoteReference"/>
          <w:rFonts w:ascii="Times New Roman" w:eastAsia="Times New Roman" w:hAnsi="Times New Roman" w:cs="Times New Roman"/>
          <w:color w:val="000000"/>
        </w:rPr>
        <w:footnoteReference w:id="14"/>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Accounts of women within the ancient Greek context are voiced by men, and written from the perspective of men. There is no direct evidence of women’s voices to inform Classicists and scholars of drama how women felt about their socio-political position and status within their </w:t>
      </w:r>
      <w:r w:rsidRPr="004621C9">
        <w:rPr>
          <w:rFonts w:ascii="Times New Roman" w:eastAsia="Times New Roman" w:hAnsi="Times New Roman" w:cs="Times New Roman"/>
          <w:iCs/>
          <w:color w:val="000000"/>
        </w:rPr>
        <w:t>polis</w:t>
      </w:r>
      <w:r w:rsidRPr="004621C9">
        <w:rPr>
          <w:rFonts w:ascii="Times New Roman" w:eastAsia="Times New Roman" w:hAnsi="Times New Roman" w:cs="Times New Roman"/>
          <w:color w:val="000000"/>
        </w:rPr>
        <w:t>. But what is known is that “women of all social classes worked mainly indoors or near the house to guard it.”</w:t>
      </w:r>
      <w:r w:rsidR="00C33056">
        <w:rPr>
          <w:rStyle w:val="FootnoteReference"/>
          <w:rFonts w:ascii="Times New Roman" w:eastAsia="Times New Roman" w:hAnsi="Times New Roman" w:cs="Times New Roman"/>
          <w:color w:val="000000"/>
        </w:rPr>
        <w:footnoteReference w:id="15"/>
      </w:r>
      <w:r w:rsidRPr="004621C9">
        <w:rPr>
          <w:rFonts w:ascii="Times New Roman" w:eastAsia="Times New Roman" w:hAnsi="Times New Roman" w:cs="Times New Roman"/>
          <w:color w:val="000000"/>
        </w:rPr>
        <w:t xml:space="preserve"> Spartan women, like Helen and Electra, also had their voices and experiences filtered and represented by Athenian men, often negatively due to their views and behaviour being un-Athenian. As Just states, within the tragedies the voice of the woman is not her own, but that of the playwright.</w:t>
      </w:r>
      <w:r w:rsidR="00C33056">
        <w:rPr>
          <w:rStyle w:val="FootnoteReference"/>
          <w:rFonts w:ascii="Times New Roman" w:eastAsia="Times New Roman" w:hAnsi="Times New Roman" w:cs="Times New Roman"/>
          <w:color w:val="000000"/>
        </w:rPr>
        <w:footnoteReference w:id="16"/>
      </w:r>
    </w:p>
    <w:p w14:paraId="5BDD1A4B" w14:textId="77777777" w:rsidR="004621C9" w:rsidRPr="004621C9" w:rsidRDefault="004621C9" w:rsidP="004621C9">
      <w:pPr>
        <w:spacing w:line="360" w:lineRule="auto"/>
        <w:rPr>
          <w:rFonts w:ascii="Times New Roman" w:eastAsia="Times New Roman" w:hAnsi="Times New Roman" w:cs="Times New Roman"/>
          <w:color w:val="000000"/>
        </w:rPr>
      </w:pPr>
    </w:p>
    <w:p w14:paraId="7FEE8914" w14:textId="0CA3D52E"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However, Cohen states that Euripides is one of two Athenian authors who were “most acutely aware of the problem of women in their society.”</w:t>
      </w:r>
      <w:r w:rsidR="00C33056">
        <w:rPr>
          <w:rStyle w:val="FootnoteReference"/>
          <w:rFonts w:ascii="Times New Roman" w:eastAsia="Times New Roman" w:hAnsi="Times New Roman" w:cs="Times New Roman"/>
          <w:color w:val="000000"/>
        </w:rPr>
        <w:footnoteReference w:id="17"/>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Although, the voice of the woman was not her own, many modern scholars also tend to represent women from the classical era in a secluded manner, rather than being in a separate part of day-to-day life. Whilst Cohen uses these arguments to disprove that because women’s lives were separated from men’s lives that they were secluded or isolated from society. He also states that this separation would not have lowered the status of women within society in the way that isolation would have.</w:t>
      </w:r>
      <w:r w:rsidR="00C33056">
        <w:rPr>
          <w:rStyle w:val="FootnoteReference"/>
          <w:rFonts w:ascii="Times New Roman" w:eastAsia="Times New Roman" w:hAnsi="Times New Roman" w:cs="Times New Roman"/>
          <w:color w:val="000000"/>
        </w:rPr>
        <w:footnoteReference w:id="18"/>
      </w:r>
      <w:r w:rsidRPr="004621C9">
        <w:rPr>
          <w:rFonts w:ascii="Times New Roman" w:eastAsia="Times New Roman" w:hAnsi="Times New Roman" w:cs="Times New Roman"/>
          <w:color w:val="000000"/>
        </w:rPr>
        <w:t xml:space="preserve"> Katz argues that wealthier women within ancient Athens were entirely secluded, particularly in the fifth century.</w:t>
      </w:r>
      <w:r w:rsidR="00C33056">
        <w:rPr>
          <w:rStyle w:val="FootnoteReference"/>
          <w:rFonts w:ascii="Times New Roman" w:eastAsia="Times New Roman" w:hAnsi="Times New Roman" w:cs="Times New Roman"/>
          <w:color w:val="000000"/>
        </w:rPr>
        <w:footnoteReference w:id="19"/>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Men’s and women’s lives were certainly separated due to the different roles they played in society. The second half of Xenophon</w:t>
      </w:r>
      <w:r w:rsidR="00C33056">
        <w:rPr>
          <w:rFonts w:ascii="Times New Roman" w:eastAsia="Times New Roman" w:hAnsi="Times New Roman" w:cs="Times New Roman"/>
          <w:color w:val="000000"/>
        </w:rPr>
        <w:t>’s</w:t>
      </w:r>
      <w:r w:rsidRPr="004621C9">
        <w:rPr>
          <w:rFonts w:ascii="Times New Roman" w:eastAsia="Times New Roman" w:hAnsi="Times New Roman" w:cs="Times New Roman"/>
          <w:color w:val="000000"/>
        </w:rPr>
        <w:t xml:space="preserve"> </w:t>
      </w:r>
      <w:proofErr w:type="spellStart"/>
      <w:r w:rsidRPr="004621C9">
        <w:rPr>
          <w:rFonts w:ascii="Times New Roman" w:eastAsia="Times New Roman" w:hAnsi="Times New Roman" w:cs="Times New Roman"/>
          <w:i/>
          <w:iCs/>
          <w:color w:val="000000"/>
        </w:rPr>
        <w:t>Oeconomicus</w:t>
      </w:r>
      <w:proofErr w:type="spellEnd"/>
      <w:r w:rsidRPr="004621C9">
        <w:rPr>
          <w:rFonts w:ascii="Times New Roman" w:eastAsia="Times New Roman" w:hAnsi="Times New Roman" w:cs="Times New Roman"/>
          <w:color w:val="000000"/>
        </w:rPr>
        <w:t xml:space="preserve"> and the dialogue between </w:t>
      </w:r>
      <w:proofErr w:type="spellStart"/>
      <w:r w:rsidRPr="004621C9">
        <w:rPr>
          <w:rFonts w:ascii="Times New Roman" w:eastAsia="Times New Roman" w:hAnsi="Times New Roman" w:cs="Times New Roman"/>
          <w:color w:val="000000"/>
        </w:rPr>
        <w:t>Ischomachus</w:t>
      </w:r>
      <w:proofErr w:type="spellEnd"/>
      <w:r w:rsidRPr="004621C9">
        <w:rPr>
          <w:rFonts w:ascii="Times New Roman" w:eastAsia="Times New Roman" w:hAnsi="Times New Roman" w:cs="Times New Roman"/>
          <w:color w:val="000000"/>
        </w:rPr>
        <w:t xml:space="preserve"> and Socrates is an instructional piece of work </w:t>
      </w:r>
      <w:r w:rsidRPr="004621C9">
        <w:rPr>
          <w:rFonts w:ascii="Times New Roman" w:eastAsia="Times New Roman" w:hAnsi="Times New Roman" w:cs="Times New Roman"/>
          <w:color w:val="000000"/>
        </w:rPr>
        <w:lastRenderedPageBreak/>
        <w:t>about the partnership of a husband and wife in successfully running married life and an estate in fifth century BCE Athens.</w:t>
      </w:r>
      <w:r w:rsidR="00C33056">
        <w:rPr>
          <w:rStyle w:val="FootnoteReference"/>
          <w:rFonts w:ascii="Times New Roman" w:eastAsia="Times New Roman" w:hAnsi="Times New Roman" w:cs="Times New Roman"/>
          <w:color w:val="000000"/>
        </w:rPr>
        <w:footnoteReference w:id="20"/>
      </w:r>
    </w:p>
    <w:p w14:paraId="7D0DD1BA" w14:textId="77777777" w:rsidR="004621C9" w:rsidRPr="004621C9" w:rsidRDefault="004621C9" w:rsidP="004621C9">
      <w:pPr>
        <w:spacing w:line="360" w:lineRule="auto"/>
        <w:rPr>
          <w:rFonts w:ascii="Times New Roman" w:eastAsia="Times New Roman" w:hAnsi="Times New Roman" w:cs="Times New Roman"/>
          <w:color w:val="000000"/>
        </w:rPr>
      </w:pPr>
    </w:p>
    <w:p w14:paraId="5BE79DD0" w14:textId="19D30C98" w:rsidR="004621C9" w:rsidRDefault="004621C9" w:rsidP="00C33056">
      <w:pPr>
        <w:spacing w:line="360" w:lineRule="auto"/>
        <w:ind w:left="567" w:right="567"/>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“Xenophon’s formulation in the </w:t>
      </w:r>
      <w:proofErr w:type="spellStart"/>
      <w:r w:rsidRPr="004621C9">
        <w:rPr>
          <w:rFonts w:ascii="Times New Roman" w:eastAsia="Times New Roman" w:hAnsi="Times New Roman" w:cs="Times New Roman"/>
          <w:color w:val="000000"/>
        </w:rPr>
        <w:t>Oeconomicus</w:t>
      </w:r>
      <w:proofErr w:type="spellEnd"/>
      <w:r w:rsidRPr="004621C9">
        <w:rPr>
          <w:rFonts w:ascii="Times New Roman" w:eastAsia="Times New Roman" w:hAnsi="Times New Roman" w:cs="Times New Roman"/>
          <w:color w:val="000000"/>
        </w:rPr>
        <w:t xml:space="preserve"> of the division of space and labour between the sexes in the household seems to have represented a cultural ideal, if not necessarily a reality.”</w:t>
      </w:r>
      <w:r w:rsidR="00C33056">
        <w:rPr>
          <w:rStyle w:val="FootnoteReference"/>
          <w:rFonts w:ascii="Times New Roman" w:eastAsia="Times New Roman" w:hAnsi="Times New Roman" w:cs="Times New Roman"/>
          <w:color w:val="000000"/>
        </w:rPr>
        <w:footnoteReference w:id="21"/>
      </w:r>
    </w:p>
    <w:p w14:paraId="5096E71A" w14:textId="77777777" w:rsidR="00C33056" w:rsidRPr="004621C9" w:rsidRDefault="00C33056" w:rsidP="00C33056">
      <w:pPr>
        <w:spacing w:line="360" w:lineRule="auto"/>
        <w:ind w:left="567" w:right="567"/>
        <w:rPr>
          <w:rFonts w:ascii="Times New Roman" w:eastAsia="Times New Roman" w:hAnsi="Times New Roman" w:cs="Times New Roman"/>
          <w:color w:val="000000"/>
        </w:rPr>
      </w:pPr>
    </w:p>
    <w:p w14:paraId="5F9E25B4" w14:textId="2FACC1BC"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Xenophon’s character </w:t>
      </w:r>
      <w:proofErr w:type="spellStart"/>
      <w:r w:rsidRPr="004621C9">
        <w:rPr>
          <w:rFonts w:ascii="Times New Roman" w:eastAsia="Times New Roman" w:hAnsi="Times New Roman" w:cs="Times New Roman"/>
          <w:color w:val="000000"/>
        </w:rPr>
        <w:t>Ischomachus</w:t>
      </w:r>
      <w:proofErr w:type="spellEnd"/>
      <w:r w:rsidRPr="004621C9">
        <w:rPr>
          <w:rFonts w:ascii="Times New Roman" w:eastAsia="Times New Roman" w:hAnsi="Times New Roman" w:cs="Times New Roman"/>
          <w:color w:val="000000"/>
        </w:rPr>
        <w:t xml:space="preserve"> points out to his wife that her role in the house is as important as his out of the house.</w:t>
      </w:r>
      <w:r w:rsidR="00C33056">
        <w:rPr>
          <w:rStyle w:val="FootnoteReference"/>
          <w:rFonts w:ascii="Times New Roman" w:eastAsia="Times New Roman" w:hAnsi="Times New Roman" w:cs="Times New Roman"/>
          <w:color w:val="000000"/>
        </w:rPr>
        <w:footnoteReference w:id="22"/>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He compares the duty of the wife to that of a queen bee,</w:t>
      </w:r>
      <w:r w:rsidR="00C33056">
        <w:rPr>
          <w:rStyle w:val="FootnoteReference"/>
          <w:rFonts w:ascii="Times New Roman" w:eastAsia="Times New Roman" w:hAnsi="Times New Roman" w:cs="Times New Roman"/>
          <w:color w:val="000000"/>
        </w:rPr>
        <w:footnoteReference w:id="23"/>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explains that it is her duty to care for sick slaves.</w:t>
      </w:r>
      <w:r w:rsidR="00C33056">
        <w:rPr>
          <w:rStyle w:val="FootnoteReference"/>
          <w:rFonts w:ascii="Times New Roman" w:eastAsia="Times New Roman" w:hAnsi="Times New Roman" w:cs="Times New Roman"/>
          <w:color w:val="000000"/>
        </w:rPr>
        <w:footnoteReference w:id="24"/>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It is important to remember when researching women in the ancient world that their separation from men’s lives did not mean that they lived a secluded and isolated life, a mistake that Cohen mentions is often made,</w:t>
      </w:r>
      <w:r w:rsidR="00C33056">
        <w:rPr>
          <w:rStyle w:val="FootnoteReference"/>
          <w:rFonts w:ascii="Times New Roman" w:eastAsia="Times New Roman" w:hAnsi="Times New Roman" w:cs="Times New Roman"/>
          <w:color w:val="000000"/>
        </w:rPr>
        <w:footnoteReference w:id="25"/>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as well as the fact that what has been written by ancient scholars and playwrights is most likely an ideological viewpoint for women, and that the reality of life was different from this.</w:t>
      </w:r>
      <w:r w:rsidR="00C33056">
        <w:rPr>
          <w:rStyle w:val="FootnoteReference"/>
          <w:rFonts w:ascii="Times New Roman" w:eastAsia="Times New Roman" w:hAnsi="Times New Roman" w:cs="Times New Roman"/>
          <w:color w:val="000000"/>
        </w:rPr>
        <w:footnoteReference w:id="26"/>
      </w:r>
    </w:p>
    <w:p w14:paraId="51194EDE" w14:textId="7777777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w:t>
      </w:r>
    </w:p>
    <w:p w14:paraId="52F38ABE" w14:textId="55085FDA"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However, although women’s roles can be viewed as important as men’s roles, they had much less power within the city. They were not considered to be citizens of Athens, because only men of certain birth and status could be, and therefore within Athens they had minimal rights,</w:t>
      </w:r>
      <w:r w:rsidR="00C33056">
        <w:rPr>
          <w:rStyle w:val="FootnoteReference"/>
          <w:rFonts w:ascii="Times New Roman" w:eastAsia="Times New Roman" w:hAnsi="Times New Roman" w:cs="Times New Roman"/>
          <w:color w:val="000000"/>
        </w:rPr>
        <w:footnoteReference w:id="27"/>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and they were “located in a reality constructed by men.”</w:t>
      </w:r>
      <w:r w:rsidR="00C33056">
        <w:rPr>
          <w:rStyle w:val="FootnoteReference"/>
          <w:rFonts w:ascii="Times New Roman" w:eastAsia="Times New Roman" w:hAnsi="Times New Roman" w:cs="Times New Roman"/>
          <w:color w:val="000000"/>
        </w:rPr>
        <w:footnoteReference w:id="28"/>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Just states that women living in Athens were not able to possess “active political rights.”</w:t>
      </w:r>
      <w:r w:rsidR="00C33056">
        <w:rPr>
          <w:rStyle w:val="FootnoteReference"/>
          <w:rFonts w:ascii="Times New Roman" w:eastAsia="Times New Roman" w:hAnsi="Times New Roman" w:cs="Times New Roman"/>
          <w:color w:val="000000"/>
        </w:rPr>
        <w:footnoteReference w:id="29"/>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However, even though this was the case, there are indications that within the private sphere of the household, women possibly would have known what was going on in the Athenian courts and could have influenced their husbands on political matters.</w:t>
      </w:r>
      <w:r w:rsidR="00C33056">
        <w:rPr>
          <w:rStyle w:val="FootnoteReference"/>
          <w:rFonts w:ascii="Times New Roman" w:eastAsia="Times New Roman" w:hAnsi="Times New Roman" w:cs="Times New Roman"/>
          <w:color w:val="000000"/>
        </w:rPr>
        <w:footnoteReference w:id="30"/>
      </w:r>
    </w:p>
    <w:p w14:paraId="641E6AAC" w14:textId="7777777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w:t>
      </w:r>
    </w:p>
    <w:p w14:paraId="7DEF258B" w14:textId="5FFF456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Though mentioned earlier that women would have managed the household, this still would have been under the authority of her </w:t>
      </w:r>
      <w:proofErr w:type="spellStart"/>
      <w:r w:rsidRPr="004621C9">
        <w:rPr>
          <w:rFonts w:ascii="Times New Roman" w:eastAsia="Times New Roman" w:hAnsi="Times New Roman" w:cs="Times New Roman"/>
          <w:i/>
          <w:iCs/>
          <w:color w:val="000000"/>
        </w:rPr>
        <w:t>kurios</w:t>
      </w:r>
      <w:proofErr w:type="spellEnd"/>
      <w:r w:rsidRPr="004621C9">
        <w:rPr>
          <w:rFonts w:ascii="Times New Roman" w:eastAsia="Times New Roman" w:hAnsi="Times New Roman" w:cs="Times New Roman"/>
          <w:color w:val="000000"/>
        </w:rPr>
        <w:t>, guardian.</w:t>
      </w:r>
      <w:r w:rsidR="00C33056">
        <w:rPr>
          <w:rStyle w:val="FootnoteReference"/>
          <w:rFonts w:ascii="Times New Roman" w:eastAsia="Times New Roman" w:hAnsi="Times New Roman" w:cs="Times New Roman"/>
          <w:color w:val="000000"/>
        </w:rPr>
        <w:footnoteReference w:id="31"/>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As a result of this, earlier scholars such as </w:t>
      </w:r>
      <w:r w:rsidRPr="004621C9">
        <w:rPr>
          <w:rFonts w:ascii="Times New Roman" w:eastAsia="Times New Roman" w:hAnsi="Times New Roman" w:cs="Times New Roman"/>
          <w:color w:val="000000"/>
        </w:rPr>
        <w:lastRenderedPageBreak/>
        <w:t>Becker</w:t>
      </w:r>
      <w:r w:rsidR="00C33056">
        <w:rPr>
          <w:rStyle w:val="FootnoteReference"/>
          <w:rFonts w:ascii="Times New Roman" w:eastAsia="Times New Roman" w:hAnsi="Times New Roman" w:cs="Times New Roman"/>
          <w:color w:val="000000"/>
        </w:rPr>
        <w:footnoteReference w:id="32"/>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and Jacobs</w:t>
      </w:r>
      <w:r w:rsidR="00C33056">
        <w:rPr>
          <w:rStyle w:val="FootnoteReference"/>
          <w:rFonts w:ascii="Times New Roman" w:eastAsia="Times New Roman" w:hAnsi="Times New Roman" w:cs="Times New Roman"/>
          <w:color w:val="000000"/>
        </w:rPr>
        <w:footnoteReference w:id="33"/>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have focused on the themes of women being viewed as a “lower order of beings,”</w:t>
      </w:r>
      <w:r w:rsidR="00C33056">
        <w:rPr>
          <w:rStyle w:val="FootnoteReference"/>
          <w:rFonts w:ascii="Times New Roman" w:eastAsia="Times New Roman" w:hAnsi="Times New Roman" w:cs="Times New Roman"/>
          <w:color w:val="000000"/>
        </w:rPr>
        <w:footnoteReference w:id="34"/>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and until Pomeroy’s ground-breaking work in 1975,</w:t>
      </w:r>
      <w:r w:rsidR="00C33056">
        <w:rPr>
          <w:rStyle w:val="FootnoteReference"/>
          <w:rFonts w:ascii="Times New Roman" w:eastAsia="Times New Roman" w:hAnsi="Times New Roman" w:cs="Times New Roman"/>
          <w:color w:val="000000"/>
        </w:rPr>
        <w:footnoteReference w:id="35"/>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where she notes the presence of male bias or of the masculine point of view within many of the sources, on women in antiquity, this has not overly changed. However, what is apparent and agreed upon by scholars is that the role of the Athenian wife, daughter, or mistress of the house was very domesticated, and is focused within the interior space of the house. Women’s work consisted of running and managing the household, taking care of the family and educating the children domestic tasks, such as wool-working and looking after the food stores.</w:t>
      </w:r>
      <w:r w:rsidR="00C33056">
        <w:rPr>
          <w:rStyle w:val="FootnoteReference"/>
          <w:rFonts w:ascii="Times New Roman" w:eastAsia="Times New Roman" w:hAnsi="Times New Roman" w:cs="Times New Roman"/>
          <w:color w:val="000000"/>
        </w:rPr>
        <w:footnoteReference w:id="36"/>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Older women also tended to act as a healer or midwife within the community they lived in.</w:t>
      </w:r>
      <w:r w:rsidR="00C33056">
        <w:rPr>
          <w:rStyle w:val="FootnoteReference"/>
          <w:rFonts w:ascii="Times New Roman" w:eastAsia="Times New Roman" w:hAnsi="Times New Roman" w:cs="Times New Roman"/>
          <w:color w:val="000000"/>
        </w:rPr>
        <w:footnoteReference w:id="37"/>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Aspects of women’s lives can be seen depicted on vases and other jars used in daily life.</w:t>
      </w:r>
      <w:r w:rsidR="00C33056">
        <w:rPr>
          <w:rStyle w:val="FootnoteReference"/>
          <w:rFonts w:ascii="Times New Roman" w:eastAsia="Times New Roman" w:hAnsi="Times New Roman" w:cs="Times New Roman"/>
          <w:color w:val="000000"/>
        </w:rPr>
        <w:footnoteReference w:id="38"/>
      </w:r>
      <w:r w:rsidR="00C33056">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Wealthier women would have had female slaves to help her with such tasks, whereas poorer women would have had to leave the household to participate in agricultural work and selling products at the market.</w:t>
      </w:r>
      <w:r w:rsidR="00C33056">
        <w:rPr>
          <w:rStyle w:val="FootnoteReference"/>
          <w:rFonts w:ascii="Times New Roman" w:eastAsia="Times New Roman" w:hAnsi="Times New Roman" w:cs="Times New Roman"/>
          <w:color w:val="000000"/>
        </w:rPr>
        <w:footnoteReference w:id="39"/>
      </w:r>
      <w:r w:rsidRPr="004621C9">
        <w:rPr>
          <w:rFonts w:ascii="Times New Roman" w:eastAsia="Times New Roman" w:hAnsi="Times New Roman" w:cs="Times New Roman"/>
          <w:color w:val="000000"/>
        </w:rPr>
        <w:t xml:space="preserve"> The only times that a ‘respectable woman’ would have left their house would have been to visit a neighbour, to attend religious events such as festivals and funerals, and to aid another woman in childbirth.</w:t>
      </w:r>
      <w:r w:rsidR="00C33056">
        <w:rPr>
          <w:rStyle w:val="FootnoteReference"/>
          <w:rFonts w:ascii="Times New Roman" w:eastAsia="Times New Roman" w:hAnsi="Times New Roman" w:cs="Times New Roman"/>
          <w:color w:val="000000"/>
        </w:rPr>
        <w:footnoteReference w:id="40"/>
      </w:r>
    </w:p>
    <w:p w14:paraId="5A803643" w14:textId="77777777" w:rsidR="004621C9" w:rsidRPr="004621C9" w:rsidRDefault="004621C9" w:rsidP="004621C9">
      <w:pPr>
        <w:spacing w:line="360" w:lineRule="auto"/>
        <w:rPr>
          <w:rFonts w:ascii="Times New Roman" w:eastAsia="Times New Roman" w:hAnsi="Times New Roman" w:cs="Times New Roman"/>
          <w:color w:val="000000"/>
        </w:rPr>
      </w:pPr>
    </w:p>
    <w:p w14:paraId="03AE906B" w14:textId="280ECBAE"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Each gender had their own separate spatial and social sphere.</w:t>
      </w:r>
      <w:r w:rsidR="00C33056">
        <w:rPr>
          <w:rStyle w:val="FootnoteReference"/>
          <w:rFonts w:ascii="Times New Roman" w:eastAsia="Times New Roman" w:hAnsi="Times New Roman" w:cs="Times New Roman"/>
          <w:color w:val="000000"/>
        </w:rPr>
        <w:footnoteReference w:id="41"/>
      </w:r>
      <w:r w:rsidRPr="004621C9">
        <w:rPr>
          <w:rFonts w:ascii="Times New Roman" w:eastAsia="Times New Roman" w:hAnsi="Times New Roman" w:cs="Times New Roman"/>
          <w:color w:val="000000"/>
        </w:rPr>
        <w:t xml:space="preserve"> The male sphere was outside the house, it was in the </w:t>
      </w:r>
      <w:r w:rsidRPr="004621C9">
        <w:rPr>
          <w:rFonts w:ascii="Times New Roman" w:eastAsia="Times New Roman" w:hAnsi="Times New Roman" w:cs="Times New Roman"/>
          <w:iCs/>
          <w:color w:val="000000"/>
        </w:rPr>
        <w:t xml:space="preserve">agora </w:t>
      </w:r>
      <w:r w:rsidRPr="004621C9">
        <w:rPr>
          <w:rFonts w:ascii="Times New Roman" w:eastAsia="Times New Roman" w:hAnsi="Times New Roman" w:cs="Times New Roman"/>
          <w:color w:val="000000"/>
        </w:rPr>
        <w:t xml:space="preserve">or the courts, or in the fields, working and conversing, with popular culture demonstrating a male focus on the </w:t>
      </w:r>
      <w:r w:rsidRPr="004621C9">
        <w:rPr>
          <w:rFonts w:ascii="Times New Roman" w:eastAsia="Times New Roman" w:hAnsi="Times New Roman" w:cs="Times New Roman"/>
          <w:iCs/>
          <w:color w:val="000000"/>
        </w:rPr>
        <w:t>polis</w:t>
      </w:r>
      <w:r w:rsidRPr="004621C9">
        <w:rPr>
          <w:rFonts w:ascii="Times New Roman" w:eastAsia="Times New Roman" w:hAnsi="Times New Roman" w:cs="Times New Roman"/>
          <w:color w:val="000000"/>
        </w:rPr>
        <w:t>.</w:t>
      </w:r>
      <w:r w:rsidR="00C33056">
        <w:rPr>
          <w:rStyle w:val="FootnoteReference"/>
          <w:rFonts w:ascii="Times New Roman" w:eastAsia="Times New Roman" w:hAnsi="Times New Roman" w:cs="Times New Roman"/>
          <w:color w:val="000000"/>
        </w:rPr>
        <w:footnoteReference w:id="42"/>
      </w:r>
      <w:r w:rsidRPr="004621C9">
        <w:rPr>
          <w:rFonts w:ascii="Times New Roman" w:eastAsia="Times New Roman" w:hAnsi="Times New Roman" w:cs="Times New Roman"/>
          <w:color w:val="674EA7"/>
        </w:rPr>
        <w:t xml:space="preserve"> </w:t>
      </w:r>
      <w:r w:rsidRPr="004621C9">
        <w:rPr>
          <w:rFonts w:ascii="Times New Roman" w:eastAsia="Times New Roman" w:hAnsi="Times New Roman" w:cs="Times New Roman"/>
          <w:color w:val="000000"/>
        </w:rPr>
        <w:t>Men were educated in rhetoric and expected to be dominant within conversations.</w:t>
      </w:r>
      <w:r w:rsidR="00C33056">
        <w:rPr>
          <w:rStyle w:val="FootnoteReference"/>
          <w:rFonts w:ascii="Times New Roman" w:eastAsia="Times New Roman" w:hAnsi="Times New Roman" w:cs="Times New Roman"/>
          <w:color w:val="000000"/>
        </w:rPr>
        <w:footnoteReference w:id="43"/>
      </w:r>
      <w:r w:rsidRPr="004621C9">
        <w:rPr>
          <w:rFonts w:ascii="Times New Roman" w:eastAsia="Times New Roman" w:hAnsi="Times New Roman" w:cs="Times New Roman"/>
          <w:color w:val="000000"/>
        </w:rPr>
        <w:t xml:space="preserve"> A woman was expected to be the more submissive of the genders, always under the guardianship of her </w:t>
      </w:r>
      <w:proofErr w:type="spellStart"/>
      <w:r w:rsidRPr="004621C9">
        <w:rPr>
          <w:rFonts w:ascii="Times New Roman" w:eastAsia="Times New Roman" w:hAnsi="Times New Roman" w:cs="Times New Roman"/>
          <w:i/>
          <w:iCs/>
          <w:color w:val="000000"/>
        </w:rPr>
        <w:t>kurios</w:t>
      </w:r>
      <w:proofErr w:type="spellEnd"/>
      <w:r w:rsidRPr="004621C9">
        <w:rPr>
          <w:rFonts w:ascii="Times New Roman" w:eastAsia="Times New Roman" w:hAnsi="Times New Roman" w:cs="Times New Roman"/>
          <w:color w:val="000000"/>
        </w:rPr>
        <w:t>, whether that was her husband, father or closest male relative or sometimes even her son, [as can be seen in Telemachus’ challenging of Penelope and the suitors in Homer’s</w:t>
      </w:r>
      <w:r w:rsidRPr="004621C9">
        <w:rPr>
          <w:rFonts w:ascii="Times New Roman" w:eastAsia="Times New Roman" w:hAnsi="Times New Roman" w:cs="Times New Roman"/>
          <w:iCs/>
          <w:color w:val="000000"/>
        </w:rPr>
        <w:t xml:space="preserve"> Odyssey</w:t>
      </w:r>
      <w:r w:rsidRPr="004621C9">
        <w:rPr>
          <w:rFonts w:ascii="Times New Roman" w:eastAsia="Times New Roman" w:hAnsi="Times New Roman" w:cs="Times New Roman"/>
          <w:color w:val="000000"/>
        </w:rPr>
        <w:t>.</w:t>
      </w:r>
      <w:r w:rsidR="00C33056">
        <w:rPr>
          <w:rStyle w:val="FootnoteReference"/>
          <w:rFonts w:ascii="Times New Roman" w:eastAsia="Times New Roman" w:hAnsi="Times New Roman" w:cs="Times New Roman"/>
          <w:color w:val="000000"/>
        </w:rPr>
        <w:footnoteReference w:id="44"/>
      </w:r>
      <w:r w:rsidRPr="004621C9">
        <w:rPr>
          <w:rFonts w:ascii="Times New Roman" w:eastAsia="Times New Roman" w:hAnsi="Times New Roman" w:cs="Times New Roman"/>
          <w:color w:val="000000"/>
        </w:rPr>
        <w:t xml:space="preserve"> Once she had been taught the science of managing a household by her husband, the female sphere was inside the house, managing the household, directing and training the slaves if there were any, partaking in domestic tasks such as weaving and making clothing, and </w:t>
      </w:r>
      <w:r w:rsidRPr="004621C9">
        <w:rPr>
          <w:rFonts w:ascii="Times New Roman" w:eastAsia="Times New Roman" w:hAnsi="Times New Roman" w:cs="Times New Roman"/>
          <w:color w:val="000000"/>
        </w:rPr>
        <w:lastRenderedPageBreak/>
        <w:t>preparing food, and passing on these skills to her daughters</w:t>
      </w:r>
      <w:r w:rsidR="00C33056">
        <w:rPr>
          <w:rFonts w:ascii="Times New Roman" w:eastAsia="Times New Roman" w:hAnsi="Times New Roman" w:cs="Times New Roman"/>
          <w:color w:val="000000"/>
        </w:rPr>
        <w:t>.</w:t>
      </w:r>
      <w:r w:rsidR="00C33056">
        <w:rPr>
          <w:rStyle w:val="FootnoteReference"/>
          <w:rFonts w:ascii="Times New Roman" w:eastAsia="Times New Roman" w:hAnsi="Times New Roman" w:cs="Times New Roman"/>
          <w:color w:val="000000"/>
        </w:rPr>
        <w:footnoteReference w:id="45"/>
      </w:r>
      <w:r w:rsidRPr="004621C9">
        <w:rPr>
          <w:rFonts w:ascii="Times New Roman" w:eastAsia="Times New Roman" w:hAnsi="Times New Roman" w:cs="Times New Roman"/>
          <w:color w:val="000000"/>
        </w:rPr>
        <w:t xml:space="preserve"> As stated by Xenophon it was considered bad practice to invade the other gender’s sphere of work and life.</w:t>
      </w:r>
      <w:r w:rsidR="00C33056">
        <w:rPr>
          <w:rStyle w:val="FootnoteReference"/>
          <w:rFonts w:ascii="Times New Roman" w:eastAsia="Times New Roman" w:hAnsi="Times New Roman" w:cs="Times New Roman"/>
          <w:color w:val="000000"/>
        </w:rPr>
        <w:footnoteReference w:id="46"/>
      </w:r>
    </w:p>
    <w:p w14:paraId="5AE717CF" w14:textId="77777777" w:rsidR="004621C9" w:rsidRPr="004621C9" w:rsidRDefault="004621C9" w:rsidP="004621C9">
      <w:pPr>
        <w:spacing w:line="360" w:lineRule="auto"/>
        <w:rPr>
          <w:rFonts w:ascii="Times New Roman" w:eastAsia="Times New Roman" w:hAnsi="Times New Roman" w:cs="Times New Roman"/>
          <w:color w:val="000000"/>
        </w:rPr>
      </w:pPr>
    </w:p>
    <w:p w14:paraId="6E895037" w14:textId="50FC4273"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In order to define ‘masculine’ and ‘feminine’ Butler’s theory of gender as a social construct and gender performativity will be considered. If it is understood that gender definitions change through time and society, then the definition of what masculine and feminine are has changed through time, meaning that the fifth century BC Athenian definition of feminine and masculine are very different to what femininity and masculinity are now, or even a fifth century BCE Spartan definition of femininity and masculinity. The ancient Greek world’s hegemony was based on binaries: male/female; private/public; Athenian/Spartan; Greek/barbarian.</w:t>
      </w:r>
      <w:r w:rsidR="003854F5">
        <w:rPr>
          <w:rStyle w:val="FootnoteReference"/>
          <w:rFonts w:ascii="Times New Roman" w:eastAsia="Times New Roman" w:hAnsi="Times New Roman" w:cs="Times New Roman"/>
          <w:color w:val="000000"/>
        </w:rPr>
        <w:footnoteReference w:id="47"/>
      </w:r>
      <w:r w:rsidRPr="004621C9">
        <w:rPr>
          <w:rFonts w:ascii="Times New Roman" w:eastAsia="Times New Roman" w:hAnsi="Times New Roman" w:cs="Times New Roman"/>
          <w:color w:val="000000"/>
        </w:rPr>
        <w:t xml:space="preserve"> Therefore, the boundaries of what was considered masculine or feminine were well defined within society. </w:t>
      </w:r>
    </w:p>
    <w:p w14:paraId="24D73D07" w14:textId="77777777" w:rsidR="004621C9" w:rsidRPr="004621C9" w:rsidRDefault="004621C9" w:rsidP="004621C9">
      <w:pPr>
        <w:spacing w:line="360" w:lineRule="auto"/>
        <w:rPr>
          <w:rFonts w:ascii="Times New Roman" w:eastAsia="Times New Roman" w:hAnsi="Times New Roman" w:cs="Times New Roman"/>
          <w:color w:val="000000"/>
        </w:rPr>
      </w:pPr>
    </w:p>
    <w:p w14:paraId="704CF082" w14:textId="42C0AE0E" w:rsidR="004621C9" w:rsidRPr="004621C9" w:rsidRDefault="004621C9" w:rsidP="004621C9">
      <w:pPr>
        <w:spacing w:line="360" w:lineRule="auto"/>
        <w:rPr>
          <w:rFonts w:ascii="Times New Roman" w:eastAsia="Times New Roman" w:hAnsi="Times New Roman" w:cs="Times New Roman"/>
          <w:color w:val="000000"/>
        </w:rPr>
      </w:pPr>
      <w:proofErr w:type="spellStart"/>
      <w:r w:rsidRPr="004621C9">
        <w:rPr>
          <w:rFonts w:ascii="Times New Roman" w:eastAsia="Times New Roman" w:hAnsi="Times New Roman" w:cs="Times New Roman"/>
          <w:color w:val="000000"/>
        </w:rPr>
        <w:t>Mottier</w:t>
      </w:r>
      <w:proofErr w:type="spellEnd"/>
      <w:r w:rsidRPr="004621C9">
        <w:rPr>
          <w:rFonts w:ascii="Times New Roman" w:eastAsia="Times New Roman" w:hAnsi="Times New Roman" w:cs="Times New Roman"/>
          <w:color w:val="000000"/>
        </w:rPr>
        <w:t xml:space="preserve"> has explained that the idea of masculinity within the ancient world was not based on possessing a male body, but on the performance of masculine behaviours.</w:t>
      </w:r>
      <w:r w:rsidR="003854F5">
        <w:rPr>
          <w:rStyle w:val="FootnoteReference"/>
          <w:rFonts w:ascii="Times New Roman" w:eastAsia="Times New Roman" w:hAnsi="Times New Roman" w:cs="Times New Roman"/>
          <w:color w:val="000000"/>
        </w:rPr>
        <w:footnoteReference w:id="48"/>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This viewpoint connects with Butler’s arguments of gender performance, as well as Connell’s hierarchy of masculinities.</w:t>
      </w:r>
      <w:r w:rsidR="003854F5">
        <w:rPr>
          <w:rStyle w:val="FootnoteReference"/>
          <w:rFonts w:ascii="Times New Roman" w:eastAsia="Times New Roman" w:hAnsi="Times New Roman" w:cs="Times New Roman"/>
          <w:color w:val="000000"/>
        </w:rPr>
        <w:footnoteReference w:id="49"/>
      </w:r>
      <w:r w:rsidRPr="004621C9">
        <w:rPr>
          <w:rFonts w:ascii="Times New Roman" w:eastAsia="Times New Roman" w:hAnsi="Times New Roman" w:cs="Times New Roman"/>
          <w:color w:val="000000"/>
        </w:rPr>
        <w:t xml:space="preserve"> Butler argues that as gender is a social construct that gender is based on the activities that are performed by individuals; such as how they act, dress, speak and so on. This can be further developed within the context of Connell’s hierarchy of masculinities through the different actions and livelihoods of men. Men such as slaves and those who were considered the submissive in a relationship would be in the subordinate section of the hierarchy, whereas those who were more aggressive in their gender performance and were dominant in their relationships would have been in the hegemonic section of the hierarchy and therefore would have received the most benefits from the society that they lived in. This hierarchy can also be laid out in a similar way for the women in society, however, not in as much detail as there is less evidence for women. </w:t>
      </w:r>
      <w:r w:rsidRPr="004621C9">
        <w:rPr>
          <w:rFonts w:ascii="Times New Roman" w:eastAsia="Times New Roman" w:hAnsi="Times New Roman" w:cs="Times New Roman"/>
          <w:color w:val="000000" w:themeColor="text1"/>
        </w:rPr>
        <w:t>“Women’s work was productive, but because it was the same as slaves’ work, it was not highly valued in the ideology of Classical Athens.”</w:t>
      </w:r>
      <w:r w:rsidR="003854F5">
        <w:rPr>
          <w:rStyle w:val="FootnoteReference"/>
          <w:rFonts w:ascii="Times New Roman" w:eastAsia="Times New Roman" w:hAnsi="Times New Roman" w:cs="Times New Roman"/>
          <w:color w:val="000000" w:themeColor="text1"/>
        </w:rPr>
        <w:footnoteReference w:id="50"/>
      </w:r>
      <w:r w:rsidRPr="004621C9">
        <w:rPr>
          <w:rFonts w:ascii="Times New Roman" w:eastAsia="Times New Roman" w:hAnsi="Times New Roman" w:cs="Times New Roman"/>
          <w:color w:val="000000" w:themeColor="text1"/>
        </w:rPr>
        <w:t xml:space="preserve"> Although</w:t>
      </w:r>
      <w:r w:rsidRPr="004621C9">
        <w:rPr>
          <w:rFonts w:ascii="Times New Roman" w:eastAsia="Times New Roman" w:hAnsi="Times New Roman" w:cs="Times New Roman"/>
          <w:color w:val="674EA7"/>
        </w:rPr>
        <w:t xml:space="preserve"> </w:t>
      </w:r>
      <w:r w:rsidRPr="004621C9">
        <w:rPr>
          <w:rFonts w:ascii="Times New Roman" w:eastAsia="Times New Roman" w:hAnsi="Times New Roman" w:cs="Times New Roman"/>
          <w:color w:val="000000"/>
        </w:rPr>
        <w:t>royal women, such as Helen and Electra, would more likely have been at the top of this hierarchy, whereas slave woman and peasant women would have been at the base of it.</w:t>
      </w:r>
    </w:p>
    <w:p w14:paraId="52B3A98E" w14:textId="77777777" w:rsidR="004621C9" w:rsidRPr="004621C9" w:rsidRDefault="004621C9" w:rsidP="004621C9">
      <w:pPr>
        <w:spacing w:line="360" w:lineRule="auto"/>
        <w:rPr>
          <w:rFonts w:ascii="Times New Roman" w:eastAsia="Times New Roman" w:hAnsi="Times New Roman" w:cs="Times New Roman"/>
          <w:color w:val="000000"/>
        </w:rPr>
      </w:pPr>
    </w:p>
    <w:p w14:paraId="517C9004" w14:textId="03EF4F2D"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lastRenderedPageBreak/>
        <w:t xml:space="preserve">Despite the binaries, it must not be assumed that there was no debate on this issue. Lewis states that “most other sources assume female work to be simple and unimportant,” however “Xenophon’s </w:t>
      </w:r>
      <w:proofErr w:type="spellStart"/>
      <w:r w:rsidRPr="004621C9">
        <w:rPr>
          <w:rFonts w:ascii="Times New Roman" w:eastAsia="Times New Roman" w:hAnsi="Times New Roman" w:cs="Times New Roman"/>
          <w:iCs/>
          <w:color w:val="000000"/>
        </w:rPr>
        <w:t>Oikonomikos</w:t>
      </w:r>
      <w:proofErr w:type="spellEnd"/>
      <w:r w:rsidRPr="004621C9">
        <w:rPr>
          <w:rFonts w:ascii="Times New Roman" w:eastAsia="Times New Roman" w:hAnsi="Times New Roman" w:cs="Times New Roman"/>
          <w:iCs/>
          <w:color w:val="000000"/>
        </w:rPr>
        <w:t xml:space="preserve"> </w:t>
      </w:r>
      <w:r w:rsidRPr="004621C9">
        <w:rPr>
          <w:rFonts w:ascii="Times New Roman" w:eastAsia="Times New Roman" w:hAnsi="Times New Roman" w:cs="Times New Roman"/>
          <w:color w:val="000000"/>
        </w:rPr>
        <w:t xml:space="preserve">is unusual as an example of the philosophy which defined female work as ‘different but equal’ to men’s work.” </w:t>
      </w:r>
      <w:r w:rsidR="003854F5">
        <w:rPr>
          <w:rStyle w:val="FootnoteReference"/>
          <w:rFonts w:ascii="Times New Roman" w:eastAsia="Times New Roman" w:hAnsi="Times New Roman" w:cs="Times New Roman"/>
          <w:color w:val="000000"/>
        </w:rPr>
        <w:footnoteReference w:id="51"/>
      </w:r>
      <w:r w:rsidRPr="004621C9">
        <w:rPr>
          <w:rFonts w:ascii="Times New Roman" w:eastAsia="Times New Roman" w:hAnsi="Times New Roman" w:cs="Times New Roman"/>
          <w:color w:val="000000"/>
        </w:rPr>
        <w:t xml:space="preserve"> Xenophon’s position is that the gods granted each man and woman the same amount of “memory and attention</w:t>
      </w:r>
      <w:r w:rsidR="003854F5">
        <w:rPr>
          <w:rFonts w:ascii="Times New Roman" w:eastAsia="Times New Roman" w:hAnsi="Times New Roman" w:cs="Times New Roman"/>
          <w:color w:val="000000"/>
        </w:rPr>
        <w:t>.</w:t>
      </w:r>
      <w:r w:rsidRPr="004621C9">
        <w:rPr>
          <w:rFonts w:ascii="Times New Roman" w:eastAsia="Times New Roman" w:hAnsi="Times New Roman" w:cs="Times New Roman"/>
          <w:color w:val="000000"/>
        </w:rPr>
        <w:t>”</w:t>
      </w:r>
      <w:r w:rsidR="003854F5">
        <w:rPr>
          <w:rStyle w:val="FootnoteReference"/>
          <w:rFonts w:ascii="Times New Roman" w:eastAsia="Times New Roman" w:hAnsi="Times New Roman" w:cs="Times New Roman"/>
          <w:color w:val="000000"/>
        </w:rPr>
        <w:footnoteReference w:id="52"/>
      </w:r>
      <w:r w:rsidRPr="004621C9">
        <w:rPr>
          <w:rFonts w:ascii="Times New Roman" w:eastAsia="Times New Roman" w:hAnsi="Times New Roman" w:cs="Times New Roman"/>
          <w:color w:val="000000"/>
        </w:rPr>
        <w:t xml:space="preserve"> Women or men were not considered to be more or less intelligent, but rather that due to men being granted more courage, and greater capacity for enduring cold and heat made them more suitable for campaigning and defending their household. </w:t>
      </w:r>
      <w:r w:rsidR="003854F5">
        <w:rPr>
          <w:rStyle w:val="FootnoteReference"/>
          <w:rFonts w:ascii="Times New Roman" w:eastAsia="Times New Roman" w:hAnsi="Times New Roman" w:cs="Times New Roman"/>
          <w:color w:val="000000"/>
        </w:rPr>
        <w:footnoteReference w:id="53"/>
      </w:r>
      <w:r w:rsidRPr="004621C9">
        <w:rPr>
          <w:rFonts w:ascii="Times New Roman" w:eastAsia="Times New Roman" w:hAnsi="Times New Roman" w:cs="Times New Roman"/>
          <w:color w:val="000000"/>
        </w:rPr>
        <w:t xml:space="preserve"> Whereas, women were granted more fear, so that they may nurture new</w:t>
      </w:r>
      <w:r w:rsidR="003854F5">
        <w:rPr>
          <w:rFonts w:ascii="Times New Roman" w:eastAsia="Times New Roman" w:hAnsi="Times New Roman" w:cs="Times New Roman"/>
          <w:color w:val="000000"/>
        </w:rPr>
        <w:t>-borns</w:t>
      </w:r>
      <w:r w:rsidRPr="004621C9">
        <w:rPr>
          <w:rFonts w:ascii="Times New Roman" w:eastAsia="Times New Roman" w:hAnsi="Times New Roman" w:cs="Times New Roman"/>
          <w:color w:val="000000"/>
        </w:rPr>
        <w:t xml:space="preserve"> and protect what has been brought into the household, as it was thought that for “protection a fearful disposition is no disadvantage”.</w:t>
      </w:r>
      <w:r w:rsidR="003854F5">
        <w:rPr>
          <w:rStyle w:val="FootnoteReference"/>
          <w:rFonts w:ascii="Times New Roman" w:eastAsia="Times New Roman" w:hAnsi="Times New Roman" w:cs="Times New Roman"/>
          <w:color w:val="000000"/>
        </w:rPr>
        <w:footnoteReference w:id="54"/>
      </w:r>
      <w:r w:rsidRPr="004621C9">
        <w:rPr>
          <w:rFonts w:ascii="Times New Roman" w:eastAsia="Times New Roman" w:hAnsi="Times New Roman" w:cs="Times New Roman"/>
          <w:color w:val="000000"/>
        </w:rPr>
        <w:t xml:space="preserve"> This further adds to the binaries of the ancient Athenian life and the difference in what it meant to be masculine and feminine. </w:t>
      </w:r>
    </w:p>
    <w:p w14:paraId="32ADC4B8" w14:textId="77777777" w:rsidR="004621C9" w:rsidRPr="004621C9" w:rsidRDefault="004621C9" w:rsidP="004621C9">
      <w:pPr>
        <w:spacing w:line="360" w:lineRule="auto"/>
        <w:rPr>
          <w:rFonts w:ascii="Times New Roman" w:eastAsia="Times New Roman" w:hAnsi="Times New Roman" w:cs="Times New Roman"/>
          <w:color w:val="000000"/>
        </w:rPr>
      </w:pPr>
    </w:p>
    <w:p w14:paraId="4F608376" w14:textId="202AFDBE"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Xenophon’s words ‘no disadvantage’ imply an equality of distribution of traits. However, Xenophon’s work portrays an idealized version of married life, and therefore this may not have been the reality that most lives were lived. Xenophon was also considered to be liberal in his outlook and depiction of women. Plato’s position, primarily outlined in his </w:t>
      </w:r>
      <w:r w:rsidRPr="004621C9">
        <w:rPr>
          <w:rFonts w:ascii="Times New Roman" w:eastAsia="Times New Roman" w:hAnsi="Times New Roman" w:cs="Times New Roman"/>
          <w:iCs/>
          <w:color w:val="000000"/>
        </w:rPr>
        <w:t xml:space="preserve">Republic, </w:t>
      </w:r>
      <w:r w:rsidRPr="004621C9">
        <w:rPr>
          <w:rFonts w:ascii="Times New Roman" w:eastAsia="Times New Roman" w:hAnsi="Times New Roman" w:cs="Times New Roman"/>
          <w:color w:val="000000"/>
        </w:rPr>
        <w:t>is that women, although they should be given an equal education to men,</w:t>
      </w:r>
      <w:r w:rsidR="003854F5">
        <w:rPr>
          <w:rStyle w:val="FootnoteReference"/>
          <w:rFonts w:ascii="Times New Roman" w:eastAsia="Times New Roman" w:hAnsi="Times New Roman" w:cs="Times New Roman"/>
          <w:color w:val="000000"/>
        </w:rPr>
        <w:footnoteReference w:id="55"/>
      </w:r>
      <w:r w:rsidRPr="004621C9">
        <w:rPr>
          <w:rFonts w:ascii="Times New Roman" w:eastAsia="Times New Roman" w:hAnsi="Times New Roman" w:cs="Times New Roman"/>
          <w:color w:val="000000"/>
        </w:rPr>
        <w:t xml:space="preserve"> were inferior in every way.</w:t>
      </w:r>
      <w:r w:rsidR="003854F5">
        <w:rPr>
          <w:rStyle w:val="FootnoteReference"/>
          <w:rFonts w:ascii="Times New Roman" w:eastAsia="Times New Roman" w:hAnsi="Times New Roman" w:cs="Times New Roman"/>
          <w:color w:val="000000"/>
        </w:rPr>
        <w:footnoteReference w:id="56"/>
      </w:r>
      <w:r w:rsidRPr="004621C9">
        <w:rPr>
          <w:rFonts w:ascii="Times New Roman" w:eastAsia="Times New Roman" w:hAnsi="Times New Roman" w:cs="Times New Roman"/>
          <w:color w:val="000000"/>
        </w:rPr>
        <w:t xml:space="preserve"> Plato and Xenophon each use their teacher Socrates, in their dialogues, as a platform to frame these diverging philosophical stances which reflect a debate that was taking place during this period. This debate was evident on the stage of Athenian theatre, and Euripides, the “philosopher of the stage”</w:t>
      </w:r>
      <w:r w:rsidR="003854F5">
        <w:rPr>
          <w:rStyle w:val="FootnoteReference"/>
          <w:rFonts w:ascii="Times New Roman" w:eastAsia="Times New Roman" w:hAnsi="Times New Roman" w:cs="Times New Roman"/>
          <w:color w:val="000000"/>
        </w:rPr>
        <w:footnoteReference w:id="57"/>
      </w:r>
      <w:r w:rsidRPr="004621C9">
        <w:rPr>
          <w:rFonts w:ascii="Times New Roman" w:eastAsia="Times New Roman" w:hAnsi="Times New Roman" w:cs="Times New Roman"/>
          <w:color w:val="000000"/>
        </w:rPr>
        <w:t xml:space="preserve"> acutely aware of women’s position in society,</w:t>
      </w:r>
      <w:r w:rsidR="003854F5">
        <w:rPr>
          <w:rStyle w:val="FootnoteReference"/>
          <w:rFonts w:ascii="Times New Roman" w:eastAsia="Times New Roman" w:hAnsi="Times New Roman" w:cs="Times New Roman"/>
          <w:color w:val="000000"/>
        </w:rPr>
        <w:footnoteReference w:id="58"/>
      </w:r>
      <w:r w:rsidRPr="004621C9">
        <w:rPr>
          <w:rFonts w:ascii="Times New Roman" w:eastAsia="Times New Roman" w:hAnsi="Times New Roman" w:cs="Times New Roman"/>
          <w:color w:val="000000"/>
        </w:rPr>
        <w:t xml:space="preserve"> would use the theatrical space to explore these contemporary notions, issues and debates.</w:t>
      </w:r>
      <w:r w:rsidRPr="004621C9">
        <w:rPr>
          <w:rFonts w:ascii="Times New Roman" w:eastAsia="Times New Roman" w:hAnsi="Times New Roman" w:cs="Times New Roman"/>
          <w:color w:val="C00000"/>
        </w:rPr>
        <w:t> </w:t>
      </w:r>
    </w:p>
    <w:p w14:paraId="7E93E7F0" w14:textId="5987C409"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br w:type="page"/>
      </w:r>
    </w:p>
    <w:p w14:paraId="487872F2" w14:textId="0C9C8F7B" w:rsidR="004621C9" w:rsidRPr="004621C9" w:rsidRDefault="004621C9" w:rsidP="004621C9">
      <w:pPr>
        <w:pStyle w:val="Heading2"/>
        <w:spacing w:line="360" w:lineRule="auto"/>
        <w:rPr>
          <w:rFonts w:ascii="Times New Roman" w:eastAsia="Times New Roman" w:hAnsi="Times New Roman"/>
        </w:rPr>
      </w:pPr>
      <w:bookmarkStart w:id="2" w:name="_Toc47557328"/>
      <w:r w:rsidRPr="004621C9">
        <w:rPr>
          <w:rFonts w:ascii="Times New Roman" w:eastAsia="Times New Roman" w:hAnsi="Times New Roman"/>
        </w:rPr>
        <w:lastRenderedPageBreak/>
        <w:t>Chapter Two – Play Analysis</w:t>
      </w:r>
      <w:bookmarkEnd w:id="2"/>
    </w:p>
    <w:p w14:paraId="29D68896" w14:textId="77777777" w:rsidR="004621C9" w:rsidRPr="004621C9" w:rsidRDefault="004621C9" w:rsidP="004621C9">
      <w:pPr>
        <w:spacing w:line="360" w:lineRule="auto"/>
        <w:rPr>
          <w:rFonts w:ascii="Times New Roman" w:eastAsia="Times New Roman" w:hAnsi="Times New Roman" w:cs="Times New Roman"/>
          <w:color w:val="000000"/>
        </w:rPr>
      </w:pPr>
    </w:p>
    <w:p w14:paraId="0B35CCAA" w14:textId="3502C579"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There is not much evidence available about Euripides and his life, almost all that is known about him is through his works and works of others, for example Aristophanes’ comedies. He was a popular playwright, and competed in the City Dionysia twenty-two times,</w:t>
      </w:r>
      <w:r w:rsidR="003854F5">
        <w:rPr>
          <w:rStyle w:val="FootnoteReference"/>
          <w:rFonts w:ascii="Times New Roman" w:eastAsia="Times New Roman" w:hAnsi="Times New Roman" w:cs="Times New Roman"/>
          <w:color w:val="000000"/>
        </w:rPr>
        <w:footnoteReference w:id="59"/>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meaning that he was chosen to be one of the three tragic playwrights to perform in the festival, although he only won the competition four times in his life, and once posthumously.</w:t>
      </w:r>
      <w:r w:rsidR="003854F5">
        <w:rPr>
          <w:rStyle w:val="FootnoteReference"/>
          <w:rFonts w:ascii="Times New Roman" w:eastAsia="Times New Roman" w:hAnsi="Times New Roman" w:cs="Times New Roman"/>
          <w:color w:val="000000"/>
        </w:rPr>
        <w:footnoteReference w:id="60"/>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He is the playwright who has had the most amount of plays surviving for modern readers to study and perform by comparison to other tragedians Aeschylus and Sophocles. Although not much is known of his life, what can be identified through his work is that Euripides was philosophically minded, in fact, in later antiquity “the Church Father Clement of Alexandria … termed him ‘the philosopher of the stage’.”</w:t>
      </w:r>
      <w:r w:rsidR="003854F5">
        <w:rPr>
          <w:rStyle w:val="FootnoteReference"/>
          <w:rFonts w:ascii="Times New Roman" w:eastAsia="Times New Roman" w:hAnsi="Times New Roman" w:cs="Times New Roman"/>
          <w:color w:val="000000"/>
        </w:rPr>
        <w:footnoteReference w:id="61"/>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The philosophical views of the era can be reflected in his plays, something that Dillon notes in his article “Euripides and the Philosophy of his time”:</w:t>
      </w:r>
    </w:p>
    <w:p w14:paraId="29F94D95" w14:textId="63D0A73E" w:rsidR="004621C9" w:rsidRPr="004621C9" w:rsidRDefault="004621C9" w:rsidP="003854F5">
      <w:pPr>
        <w:spacing w:line="360" w:lineRule="auto"/>
        <w:ind w:left="567" w:right="567"/>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 “The main issues debated in these circles at this time were the following: (1) The antithesis between </w:t>
      </w:r>
      <w:proofErr w:type="spellStart"/>
      <w:r w:rsidRPr="004621C9">
        <w:rPr>
          <w:rFonts w:ascii="Times New Roman" w:eastAsia="Times New Roman" w:hAnsi="Times New Roman" w:cs="Times New Roman"/>
          <w:iCs/>
          <w:color w:val="000000"/>
        </w:rPr>
        <w:t>nomon</w:t>
      </w:r>
      <w:proofErr w:type="spellEnd"/>
      <w:r w:rsidRPr="004621C9">
        <w:rPr>
          <w:rFonts w:ascii="Times New Roman" w:eastAsia="Times New Roman" w:hAnsi="Times New Roman" w:cs="Times New Roman"/>
          <w:iCs/>
          <w:color w:val="000000"/>
        </w:rPr>
        <w:t xml:space="preserve"> </w:t>
      </w:r>
      <w:r w:rsidRPr="004621C9">
        <w:rPr>
          <w:rFonts w:ascii="Times New Roman" w:eastAsia="Times New Roman" w:hAnsi="Times New Roman" w:cs="Times New Roman"/>
          <w:color w:val="000000"/>
        </w:rPr>
        <w:t xml:space="preserve">(custom, or law) and </w:t>
      </w:r>
      <w:proofErr w:type="spellStart"/>
      <w:r w:rsidRPr="004621C9">
        <w:rPr>
          <w:rFonts w:ascii="Times New Roman" w:eastAsia="Times New Roman" w:hAnsi="Times New Roman" w:cs="Times New Roman"/>
          <w:iCs/>
          <w:color w:val="000000"/>
        </w:rPr>
        <w:t>physis</w:t>
      </w:r>
      <w:proofErr w:type="spellEnd"/>
      <w:r w:rsidRPr="004621C9">
        <w:rPr>
          <w:rFonts w:ascii="Times New Roman" w:eastAsia="Times New Roman" w:hAnsi="Times New Roman" w:cs="Times New Roman"/>
          <w:iCs/>
          <w:color w:val="000000"/>
        </w:rPr>
        <w:t xml:space="preserve"> </w:t>
      </w:r>
      <w:r w:rsidRPr="004621C9">
        <w:rPr>
          <w:rFonts w:ascii="Times New Roman" w:eastAsia="Times New Roman" w:hAnsi="Times New Roman" w:cs="Times New Roman"/>
          <w:color w:val="000000"/>
        </w:rPr>
        <w:t>(nature); (2) arising from this, the idea of a ‘social contract’ as the basis of organised society; (3) the idea of equality, between men and women, Greeks and barbarians, and even free men and slaves; and (4), arising out of all these speculations, the notion of the relativity of all values. To all these ideas Euripides gives an airing at some point or another in his plays.”</w:t>
      </w:r>
      <w:r w:rsidR="003854F5">
        <w:rPr>
          <w:rStyle w:val="FootnoteReference"/>
          <w:rFonts w:ascii="Times New Roman" w:eastAsia="Times New Roman" w:hAnsi="Times New Roman" w:cs="Times New Roman"/>
          <w:color w:val="000000"/>
        </w:rPr>
        <w:footnoteReference w:id="62"/>
      </w:r>
    </w:p>
    <w:p w14:paraId="5C220CF7" w14:textId="67EE17F9"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This chapter will discuss the third issue identified by Dillon, specifically notions of equality between men and women as presented with the texts </w:t>
      </w:r>
      <w:proofErr w:type="gramStart"/>
      <w:r w:rsidRPr="004621C9">
        <w:rPr>
          <w:rFonts w:ascii="Times New Roman" w:eastAsia="Times New Roman" w:hAnsi="Times New Roman" w:cs="Times New Roman"/>
          <w:color w:val="000000"/>
        </w:rPr>
        <w:t>themselves</w:t>
      </w:r>
      <w:r w:rsidRPr="004621C9">
        <w:rPr>
          <w:rFonts w:ascii="Times New Roman" w:eastAsia="Times New Roman" w:hAnsi="Times New Roman" w:cs="Times New Roman"/>
          <w:color w:val="000000"/>
          <w:sz w:val="16"/>
          <w:szCs w:val="16"/>
        </w:rPr>
        <w:t xml:space="preserve"> </w:t>
      </w:r>
      <w:r w:rsidRPr="004621C9">
        <w:rPr>
          <w:rFonts w:ascii="Times New Roman" w:eastAsia="Times New Roman" w:hAnsi="Times New Roman" w:cs="Times New Roman"/>
          <w:color w:val="000000"/>
        </w:rPr>
        <w:t>.</w:t>
      </w:r>
      <w:proofErr w:type="gramEnd"/>
    </w:p>
    <w:p w14:paraId="17410816" w14:textId="6D390A4B"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w:t>
      </w:r>
    </w:p>
    <w:p w14:paraId="34DFFA20" w14:textId="21072DC9"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The play </w:t>
      </w:r>
      <w:r w:rsidRPr="004621C9">
        <w:rPr>
          <w:rFonts w:ascii="Times New Roman" w:eastAsia="Times New Roman" w:hAnsi="Times New Roman" w:cs="Times New Roman"/>
          <w:i/>
          <w:iCs/>
          <w:color w:val="000000"/>
        </w:rPr>
        <w:t>Electra</w:t>
      </w:r>
      <w:r w:rsidRPr="004621C9">
        <w:rPr>
          <w:rFonts w:ascii="Times New Roman" w:eastAsia="Times New Roman" w:hAnsi="Times New Roman" w:cs="Times New Roman"/>
          <w:iCs/>
          <w:color w:val="000000"/>
        </w:rPr>
        <w:t xml:space="preserve"> </w:t>
      </w:r>
      <w:r w:rsidRPr="004621C9">
        <w:rPr>
          <w:rFonts w:ascii="Times New Roman" w:eastAsia="Times New Roman" w:hAnsi="Times New Roman" w:cs="Times New Roman"/>
          <w:color w:val="000000"/>
        </w:rPr>
        <w:t xml:space="preserve">opens with the history of Electra, after her mother Clytemnestra, and Clytemnestra’s lover, Aegisthus, has killed Electra’s father, Agamemnon. Clytemnestra marries Electra to a Peasant, though this is never a true marriage as Electra remains a virgin. Electra’s brother, Orestes has been exiled </w:t>
      </w:r>
      <w:proofErr w:type="gramStart"/>
      <w:r w:rsidRPr="004621C9">
        <w:rPr>
          <w:rFonts w:ascii="Times New Roman" w:eastAsia="Times New Roman" w:hAnsi="Times New Roman" w:cs="Times New Roman"/>
          <w:color w:val="000000"/>
        </w:rPr>
        <w:t>and in his exile</w:t>
      </w:r>
      <w:proofErr w:type="gramEnd"/>
      <w:r w:rsidRPr="004621C9">
        <w:rPr>
          <w:rFonts w:ascii="Times New Roman" w:eastAsia="Times New Roman" w:hAnsi="Times New Roman" w:cs="Times New Roman"/>
          <w:color w:val="000000"/>
        </w:rPr>
        <w:t xml:space="preserve"> has been told by the Delphic Oracle that he must avenge Agamemnon.</w:t>
      </w:r>
      <w:r w:rsidR="003854F5">
        <w:rPr>
          <w:rStyle w:val="FootnoteReference"/>
          <w:rFonts w:ascii="Times New Roman" w:eastAsia="Times New Roman" w:hAnsi="Times New Roman" w:cs="Times New Roman"/>
          <w:color w:val="000000"/>
        </w:rPr>
        <w:footnoteReference w:id="63"/>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Electra and Orestes reunite after years of separation, and with the Old Man plot to avenge Agamemnon.</w:t>
      </w:r>
      <w:r w:rsidR="003854F5">
        <w:rPr>
          <w:rStyle w:val="FootnoteReference"/>
          <w:rFonts w:ascii="Times New Roman" w:eastAsia="Times New Roman" w:hAnsi="Times New Roman" w:cs="Times New Roman"/>
          <w:color w:val="000000"/>
        </w:rPr>
        <w:footnoteReference w:id="64"/>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Orestes departs to kill Aegisthus and comes back with the body.</w:t>
      </w:r>
      <w:r w:rsidR="003854F5">
        <w:rPr>
          <w:rStyle w:val="FootnoteReference"/>
          <w:rFonts w:ascii="Times New Roman" w:eastAsia="Times New Roman" w:hAnsi="Times New Roman" w:cs="Times New Roman"/>
          <w:color w:val="000000"/>
        </w:rPr>
        <w:footnoteReference w:id="65"/>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lastRenderedPageBreak/>
        <w:t>Clytemnestra is lured to Electra’s house under the pretence that Electra has given birth, once Clytemnestra enters the house her two children kill her.</w:t>
      </w:r>
      <w:r w:rsidR="003854F5">
        <w:rPr>
          <w:rStyle w:val="FootnoteReference"/>
          <w:rFonts w:ascii="Times New Roman" w:eastAsia="Times New Roman" w:hAnsi="Times New Roman" w:cs="Times New Roman"/>
          <w:color w:val="000000"/>
        </w:rPr>
        <w:footnoteReference w:id="66"/>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As a consequence of this matricide, Orestes is once again exiled and is to be followed for the rest of his life by the Fates, and Electra is to marry </w:t>
      </w:r>
      <w:proofErr w:type="spellStart"/>
      <w:r w:rsidRPr="004621C9">
        <w:rPr>
          <w:rFonts w:ascii="Times New Roman" w:eastAsia="Times New Roman" w:hAnsi="Times New Roman" w:cs="Times New Roman"/>
          <w:color w:val="000000"/>
        </w:rPr>
        <w:t>Pylades</w:t>
      </w:r>
      <w:proofErr w:type="spellEnd"/>
      <w:r w:rsidRPr="004621C9">
        <w:rPr>
          <w:rFonts w:ascii="Times New Roman" w:eastAsia="Times New Roman" w:hAnsi="Times New Roman" w:cs="Times New Roman"/>
          <w:color w:val="000000"/>
        </w:rPr>
        <w:t>, Orestes’ friend, and they will not see each other again.</w:t>
      </w:r>
      <w:r w:rsidR="003854F5">
        <w:rPr>
          <w:rStyle w:val="FootnoteReference"/>
          <w:rFonts w:ascii="Times New Roman" w:eastAsia="Times New Roman" w:hAnsi="Times New Roman" w:cs="Times New Roman"/>
          <w:color w:val="000000"/>
        </w:rPr>
        <w:footnoteReference w:id="67"/>
      </w:r>
    </w:p>
    <w:p w14:paraId="0F8B7811" w14:textId="7777777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w:t>
      </w:r>
    </w:p>
    <w:p w14:paraId="7489E0DD" w14:textId="4BC3FB8F"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Throughout the play, in all of Electra’s interactions with the other characters, there is the unifying thread of Electra’s self-consciousness of her status and the reach for dominance in conversation and through her actions. This is demonstrated from the earliest stages of the play with her relationship with the Peasant. Electra is married to the Peasant, who does not recognise their marriage as real, because Aegisthus is not Electra’s true </w:t>
      </w:r>
      <w:proofErr w:type="spellStart"/>
      <w:r w:rsidRPr="004621C9">
        <w:rPr>
          <w:rFonts w:ascii="Times New Roman" w:eastAsia="Times New Roman" w:hAnsi="Times New Roman" w:cs="Times New Roman"/>
          <w:i/>
          <w:iCs/>
          <w:color w:val="000000"/>
        </w:rPr>
        <w:t>kurios</w:t>
      </w:r>
      <w:proofErr w:type="spellEnd"/>
      <w:r w:rsidRPr="004621C9">
        <w:rPr>
          <w:rFonts w:ascii="Times New Roman" w:eastAsia="Times New Roman" w:hAnsi="Times New Roman" w:cs="Times New Roman"/>
          <w:color w:val="000000"/>
        </w:rPr>
        <w:t>, and therefore he had no right to give her away to be married. When the audience is first introduced to Electra she is collecting water with a jar. This menial task, usually performed by a slave girl was not the type of work that someone of Electra’s status would have participated in.</w:t>
      </w:r>
      <w:r w:rsidR="003854F5">
        <w:rPr>
          <w:rStyle w:val="FootnoteReference"/>
          <w:rFonts w:ascii="Times New Roman" w:eastAsia="Times New Roman" w:hAnsi="Times New Roman" w:cs="Times New Roman"/>
          <w:color w:val="000000"/>
        </w:rPr>
        <w:footnoteReference w:id="68"/>
      </w:r>
      <w:r w:rsidRPr="004621C9">
        <w:rPr>
          <w:rFonts w:ascii="Times New Roman" w:eastAsia="Times New Roman" w:hAnsi="Times New Roman" w:cs="Times New Roman"/>
          <w:color w:val="000000"/>
        </w:rPr>
        <w:t xml:space="preserve"> This contrast between the task and the expectations of her class emphasises her loss in status, and later with her shorn head she is even mistaken for a slave girl by Orestes</w:t>
      </w:r>
      <w:r w:rsidR="003854F5">
        <w:rPr>
          <w:rFonts w:ascii="Times New Roman" w:eastAsia="Times New Roman" w:hAnsi="Times New Roman" w:cs="Times New Roman"/>
          <w:color w:val="000000"/>
        </w:rPr>
        <w:t>.</w:t>
      </w:r>
      <w:r w:rsidR="003854F5">
        <w:rPr>
          <w:rStyle w:val="FootnoteReference"/>
          <w:rFonts w:ascii="Times New Roman" w:eastAsia="Times New Roman" w:hAnsi="Times New Roman" w:cs="Times New Roman"/>
          <w:color w:val="000000"/>
        </w:rPr>
        <w:footnoteReference w:id="69"/>
      </w:r>
    </w:p>
    <w:p w14:paraId="6884836E" w14:textId="77777777" w:rsidR="004621C9" w:rsidRPr="004621C9" w:rsidRDefault="004621C9" w:rsidP="004621C9">
      <w:pPr>
        <w:spacing w:line="360" w:lineRule="auto"/>
        <w:rPr>
          <w:rFonts w:ascii="Times New Roman" w:eastAsia="Times New Roman" w:hAnsi="Times New Roman" w:cs="Times New Roman"/>
          <w:color w:val="000000"/>
        </w:rPr>
      </w:pPr>
    </w:p>
    <w:p w14:paraId="3EB30A9F" w14:textId="12D7A97A"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When the chorus first converses with Electra they ask her to join them in the festival to Hera which would “celebrate her marriage to Zeus</w:t>
      </w:r>
      <w:r w:rsidR="003854F5">
        <w:rPr>
          <w:rFonts w:ascii="Times New Roman" w:eastAsia="Times New Roman" w:hAnsi="Times New Roman" w:cs="Times New Roman"/>
          <w:color w:val="000000"/>
        </w:rPr>
        <w:t>.</w:t>
      </w:r>
      <w:r w:rsidRPr="004621C9">
        <w:rPr>
          <w:rFonts w:ascii="Times New Roman" w:eastAsia="Times New Roman" w:hAnsi="Times New Roman" w:cs="Times New Roman"/>
          <w:color w:val="000000"/>
        </w:rPr>
        <w:t xml:space="preserve">” </w:t>
      </w:r>
      <w:r w:rsidR="003854F5">
        <w:rPr>
          <w:rStyle w:val="FootnoteReference"/>
          <w:rFonts w:ascii="Times New Roman" w:eastAsia="Times New Roman" w:hAnsi="Times New Roman" w:cs="Times New Roman"/>
          <w:color w:val="000000"/>
        </w:rPr>
        <w:footnoteReference w:id="70"/>
      </w:r>
      <w:r w:rsidRPr="004621C9">
        <w:rPr>
          <w:rFonts w:ascii="Times New Roman" w:eastAsia="Times New Roman" w:hAnsi="Times New Roman" w:cs="Times New Roman"/>
          <w:color w:val="000000"/>
        </w:rPr>
        <w:t xml:space="preserve"> Electra refuses, partly because the drop in her social standing inhibits her from participating and taking the expected prominent role within the festivities, but also because although Electra is married she remains a virgin. Her status is therefore ambiguous, it “alienates her from both matrons and maids</w:t>
      </w:r>
      <w:r w:rsidR="003854F5">
        <w:rPr>
          <w:rFonts w:ascii="Times New Roman" w:eastAsia="Times New Roman" w:hAnsi="Times New Roman" w:cs="Times New Roman"/>
          <w:color w:val="000000"/>
        </w:rPr>
        <w:t>.</w:t>
      </w:r>
      <w:r w:rsidRPr="004621C9">
        <w:rPr>
          <w:rFonts w:ascii="Times New Roman" w:eastAsia="Times New Roman" w:hAnsi="Times New Roman" w:cs="Times New Roman"/>
          <w:color w:val="000000"/>
        </w:rPr>
        <w:t>”</w:t>
      </w:r>
      <w:r w:rsidR="003854F5">
        <w:rPr>
          <w:rStyle w:val="FootnoteReference"/>
          <w:rFonts w:ascii="Times New Roman" w:eastAsia="Times New Roman" w:hAnsi="Times New Roman" w:cs="Times New Roman"/>
          <w:color w:val="000000"/>
        </w:rPr>
        <w:footnoteReference w:id="71"/>
      </w:r>
      <w:r w:rsidRPr="004621C9">
        <w:rPr>
          <w:rFonts w:ascii="Times New Roman" w:eastAsia="Times New Roman" w:hAnsi="Times New Roman" w:cs="Times New Roman"/>
          <w:color w:val="000000"/>
        </w:rPr>
        <w:t xml:space="preserve"> Electra has experienced a double loss - of status and of gender role - which in an intersectional sense would decrease her agency further, and at this initial point in the play she withholds from participating in the festival. However, Electra’s need to seek identification, and therefore control, leads her into the male sphere.</w:t>
      </w:r>
    </w:p>
    <w:p w14:paraId="75AB52AB" w14:textId="77777777" w:rsidR="004621C9" w:rsidRPr="004621C9" w:rsidRDefault="004621C9" w:rsidP="004621C9">
      <w:pPr>
        <w:spacing w:line="360" w:lineRule="auto"/>
        <w:rPr>
          <w:rFonts w:ascii="Times New Roman" w:eastAsia="Times New Roman" w:hAnsi="Times New Roman" w:cs="Times New Roman"/>
          <w:color w:val="000000"/>
        </w:rPr>
      </w:pPr>
    </w:p>
    <w:p w14:paraId="488F7351" w14:textId="3200C4A0"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In Electra’s first scene with the Peasant she has usurped his space of work,</w:t>
      </w:r>
      <w:r w:rsidR="003854F5">
        <w:rPr>
          <w:rStyle w:val="FootnoteReference"/>
          <w:rFonts w:ascii="Times New Roman" w:eastAsia="Times New Roman" w:hAnsi="Times New Roman" w:cs="Times New Roman"/>
          <w:color w:val="000000"/>
        </w:rPr>
        <w:footnoteReference w:id="72"/>
      </w:r>
      <w:r w:rsidRPr="004621C9">
        <w:rPr>
          <w:rFonts w:ascii="Times New Roman" w:eastAsia="Times New Roman" w:hAnsi="Times New Roman" w:cs="Times New Roman"/>
          <w:color w:val="000000"/>
        </w:rPr>
        <w:t xml:space="preserve"> and then she does not comply with his wishes for her to stop working</w:t>
      </w:r>
      <w:r w:rsidR="003854F5">
        <w:rPr>
          <w:rFonts w:ascii="Times New Roman" w:eastAsia="Times New Roman" w:hAnsi="Times New Roman" w:cs="Times New Roman"/>
          <w:color w:val="000000"/>
        </w:rPr>
        <w:t>.</w:t>
      </w:r>
      <w:r w:rsidRPr="004621C9">
        <w:rPr>
          <w:rFonts w:ascii="Times New Roman" w:eastAsia="Times New Roman" w:hAnsi="Times New Roman" w:cs="Times New Roman"/>
          <w:color w:val="000000"/>
        </w:rPr>
        <w:t xml:space="preserve"> Whilst appearing grateful for the Peasant’s kindness, this justification is placatory, as is evidenced by an earlier motive which she voices solely to the </w:t>
      </w:r>
      <w:r w:rsidRPr="004621C9">
        <w:rPr>
          <w:rFonts w:ascii="Times New Roman" w:eastAsia="Times New Roman" w:hAnsi="Times New Roman" w:cs="Times New Roman"/>
          <w:color w:val="000000"/>
        </w:rPr>
        <w:lastRenderedPageBreak/>
        <w:t>Chorus, which is that she is working so that she is visible to others in the city,</w:t>
      </w:r>
      <w:r w:rsidR="003854F5">
        <w:rPr>
          <w:rStyle w:val="FootnoteReference"/>
          <w:rFonts w:ascii="Times New Roman" w:eastAsia="Times New Roman" w:hAnsi="Times New Roman" w:cs="Times New Roman"/>
          <w:color w:val="000000"/>
        </w:rPr>
        <w:footnoteReference w:id="73"/>
      </w:r>
      <w:r w:rsidRPr="004621C9">
        <w:rPr>
          <w:rFonts w:ascii="Times New Roman" w:eastAsia="Times New Roman" w:hAnsi="Times New Roman" w:cs="Times New Roman"/>
          <w:color w:val="000000"/>
        </w:rPr>
        <w:t xml:space="preserve"> so that they may see her appearance and pity her. In voicing this justification to the Chorus, and thereby the audience, she is accessing a theatrical convention which the Peasant is excluded from, thereby emphasising the difference in their status further. In addition, in usurping his workspace, his masculine sphere, she is not conforming to society's expectations of femininity.</w:t>
      </w:r>
    </w:p>
    <w:p w14:paraId="4247B461" w14:textId="77777777" w:rsidR="004621C9" w:rsidRPr="004621C9" w:rsidRDefault="004621C9" w:rsidP="004621C9">
      <w:pPr>
        <w:spacing w:line="360" w:lineRule="auto"/>
        <w:rPr>
          <w:rFonts w:ascii="Times New Roman" w:eastAsia="Times New Roman" w:hAnsi="Times New Roman" w:cs="Times New Roman"/>
          <w:color w:val="000000"/>
        </w:rPr>
      </w:pPr>
    </w:p>
    <w:p w14:paraId="53DFD1CB" w14:textId="6283F228"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Between lines 341 - 434, the Peasant has to remind Electra again that her behaviour is inappropriate in conversing outside in the male sphere with the incognito Orestes and </w:t>
      </w:r>
      <w:proofErr w:type="spellStart"/>
      <w:r w:rsidRPr="004621C9">
        <w:rPr>
          <w:rFonts w:ascii="Times New Roman" w:eastAsia="Times New Roman" w:hAnsi="Times New Roman" w:cs="Times New Roman"/>
          <w:color w:val="000000"/>
        </w:rPr>
        <w:t>Pylades</w:t>
      </w:r>
      <w:proofErr w:type="spellEnd"/>
      <w:r w:rsidRPr="004621C9">
        <w:rPr>
          <w:rFonts w:ascii="Times New Roman" w:eastAsia="Times New Roman" w:hAnsi="Times New Roman" w:cs="Times New Roman"/>
          <w:color w:val="000000"/>
        </w:rPr>
        <w:t>.</w:t>
      </w:r>
      <w:r w:rsidR="003854F5">
        <w:rPr>
          <w:rStyle w:val="FootnoteReference"/>
          <w:rFonts w:ascii="Times New Roman" w:eastAsia="Times New Roman" w:hAnsi="Times New Roman" w:cs="Times New Roman"/>
          <w:color w:val="000000"/>
        </w:rPr>
        <w:footnoteReference w:id="74"/>
      </w:r>
      <w:r w:rsidRPr="004621C9">
        <w:rPr>
          <w:rFonts w:ascii="Times New Roman" w:eastAsia="Times New Roman" w:hAnsi="Times New Roman" w:cs="Times New Roman"/>
          <w:color w:val="000000"/>
        </w:rPr>
        <w:t xml:space="preserve"> When the Peasant invites the young men inside, he is effectively removing Electra’s control. As a consequence, Electra calls attention to the difference in status between him and their guests, sending him away from his own house. This could be read as her embarrassment of her lowly status, or as a retaliation to him stripping her of control. But in either case her primary preoccupation is her acute awareness of her social standing.</w:t>
      </w:r>
    </w:p>
    <w:p w14:paraId="4C802972" w14:textId="77777777" w:rsidR="004621C9" w:rsidRPr="004621C9" w:rsidRDefault="004621C9" w:rsidP="004621C9">
      <w:pPr>
        <w:spacing w:line="360" w:lineRule="auto"/>
        <w:rPr>
          <w:rFonts w:ascii="Times New Roman" w:eastAsia="Times New Roman" w:hAnsi="Times New Roman" w:cs="Times New Roman"/>
          <w:color w:val="000000"/>
        </w:rPr>
      </w:pPr>
    </w:p>
    <w:p w14:paraId="6BC2C5F0" w14:textId="55CEC514"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This combination of loss of status and gender identity drives her need for dominance and power forward within the play in an attempt to reassert herself as in control. This can be interpreted as a portrayal of masculinity because she behaves in this way with both men and women; the Peasant, Orestes, the Old Man and Clytemnestra.</w:t>
      </w:r>
      <w:r w:rsidR="003854F5">
        <w:rPr>
          <w:rStyle w:val="FootnoteReference"/>
          <w:rFonts w:ascii="Times New Roman" w:eastAsia="Times New Roman" w:hAnsi="Times New Roman" w:cs="Times New Roman"/>
          <w:color w:val="000000"/>
        </w:rPr>
        <w:footnoteReference w:id="75"/>
      </w:r>
      <w:r w:rsidRPr="004621C9">
        <w:rPr>
          <w:rFonts w:ascii="Times New Roman" w:eastAsia="Times New Roman" w:hAnsi="Times New Roman" w:cs="Times New Roman"/>
          <w:color w:val="000000"/>
        </w:rPr>
        <w:t xml:space="preserve"> But it can also be read that the binary of being female, as opposed to being male, is breaking down and she is ignoring the constraints of gender. Electra continues to assert herself when conversing with the Old Man, an old servant of Agamemnon’s who still treats her with the respect due to the princess she was before Agamemnon’s death, but with the familiarity of an old friend of the family.</w:t>
      </w:r>
      <w:r w:rsidR="003854F5">
        <w:rPr>
          <w:rStyle w:val="FootnoteReference"/>
          <w:rFonts w:ascii="Times New Roman" w:eastAsia="Times New Roman" w:hAnsi="Times New Roman" w:cs="Times New Roman"/>
          <w:color w:val="000000"/>
        </w:rPr>
        <w:footnoteReference w:id="76"/>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As </w:t>
      </w:r>
      <w:proofErr w:type="spellStart"/>
      <w:r w:rsidRPr="004621C9">
        <w:rPr>
          <w:rFonts w:ascii="Times New Roman" w:eastAsia="Times New Roman" w:hAnsi="Times New Roman" w:cs="Times New Roman"/>
          <w:color w:val="000000"/>
        </w:rPr>
        <w:t>Roisman</w:t>
      </w:r>
      <w:proofErr w:type="spellEnd"/>
      <w:r w:rsidRPr="004621C9">
        <w:rPr>
          <w:rFonts w:ascii="Times New Roman" w:eastAsia="Times New Roman" w:hAnsi="Times New Roman" w:cs="Times New Roman"/>
          <w:color w:val="000000"/>
        </w:rPr>
        <w:t xml:space="preserve"> suggests he is “more informal with Electra than he was in talking about her to the Chorus,”</w:t>
      </w:r>
      <w:r w:rsidR="003854F5">
        <w:rPr>
          <w:rStyle w:val="FootnoteReference"/>
          <w:rFonts w:ascii="Times New Roman" w:eastAsia="Times New Roman" w:hAnsi="Times New Roman" w:cs="Times New Roman"/>
          <w:color w:val="000000"/>
        </w:rPr>
        <w:footnoteReference w:id="77"/>
      </w:r>
      <w:r w:rsidRPr="004621C9">
        <w:rPr>
          <w:rFonts w:ascii="Times New Roman" w:eastAsia="Times New Roman" w:hAnsi="Times New Roman" w:cs="Times New Roman"/>
          <w:color w:val="000000"/>
        </w:rPr>
        <w:t xml:space="preserve"> though the fondness in the relationship appears to be given to Electra more than it is reciprocated by her. These disparate responses increase in intensity as the scene progresses, though Electra still recognises his usefulness and his own need to avenge the death of his old master. When Electra first responds to the Old Man’s arrival, he is emotional, whereas Electra remains passive and neutral.</w:t>
      </w:r>
      <w:r w:rsidR="003854F5">
        <w:rPr>
          <w:rStyle w:val="FootnoteReference"/>
          <w:rFonts w:ascii="Times New Roman" w:eastAsia="Times New Roman" w:hAnsi="Times New Roman" w:cs="Times New Roman"/>
          <w:color w:val="000000"/>
        </w:rPr>
        <w:footnoteReference w:id="78"/>
      </w:r>
      <w:r w:rsidRPr="004621C9">
        <w:rPr>
          <w:rFonts w:ascii="Times New Roman" w:eastAsia="Times New Roman" w:hAnsi="Times New Roman" w:cs="Times New Roman"/>
          <w:color w:val="000000"/>
        </w:rPr>
        <w:t xml:space="preserve"> In bringing her news of an unknown visitor at Agamemnon’s tomb, the Old Man begins the lead up to the recognition scene. Whilst some </w:t>
      </w:r>
      <w:r w:rsidRPr="004621C9">
        <w:rPr>
          <w:rFonts w:ascii="Times New Roman" w:eastAsia="Times New Roman" w:hAnsi="Times New Roman" w:cs="Times New Roman"/>
          <w:color w:val="000000"/>
        </w:rPr>
        <w:lastRenderedPageBreak/>
        <w:t xml:space="preserve">scholars, including </w:t>
      </w:r>
      <w:proofErr w:type="spellStart"/>
      <w:r w:rsidRPr="004621C9">
        <w:rPr>
          <w:rFonts w:ascii="Times New Roman" w:eastAsia="Times New Roman" w:hAnsi="Times New Roman" w:cs="Times New Roman"/>
          <w:color w:val="000000"/>
        </w:rPr>
        <w:t>Roisman</w:t>
      </w:r>
      <w:proofErr w:type="spellEnd"/>
      <w:r w:rsidRPr="004621C9">
        <w:rPr>
          <w:rFonts w:ascii="Times New Roman" w:eastAsia="Times New Roman" w:hAnsi="Times New Roman" w:cs="Times New Roman"/>
          <w:color w:val="000000"/>
        </w:rPr>
        <w:t xml:space="preserve"> and </w:t>
      </w:r>
      <w:proofErr w:type="spellStart"/>
      <w:r w:rsidRPr="004621C9">
        <w:rPr>
          <w:rFonts w:ascii="Times New Roman" w:eastAsia="Times New Roman" w:hAnsi="Times New Roman" w:cs="Times New Roman"/>
          <w:color w:val="000000"/>
        </w:rPr>
        <w:t>Solmsen</w:t>
      </w:r>
      <w:proofErr w:type="spellEnd"/>
      <w:r w:rsidRPr="004621C9">
        <w:rPr>
          <w:rFonts w:ascii="Times New Roman" w:eastAsia="Times New Roman" w:hAnsi="Times New Roman" w:cs="Times New Roman"/>
          <w:color w:val="000000"/>
        </w:rPr>
        <w:t>,</w:t>
      </w:r>
      <w:r w:rsidR="003854F5">
        <w:rPr>
          <w:rStyle w:val="FootnoteReference"/>
          <w:rFonts w:ascii="Times New Roman" w:eastAsia="Times New Roman" w:hAnsi="Times New Roman" w:cs="Times New Roman"/>
          <w:color w:val="000000"/>
        </w:rPr>
        <w:footnoteReference w:id="79"/>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have described this scene as being a parody of Aeschylus’ recognition scene in </w:t>
      </w:r>
      <w:proofErr w:type="spellStart"/>
      <w:r w:rsidRPr="004621C9">
        <w:rPr>
          <w:rFonts w:ascii="Times New Roman" w:eastAsia="Times New Roman" w:hAnsi="Times New Roman" w:cs="Times New Roman"/>
          <w:i/>
          <w:iCs/>
          <w:color w:val="000000"/>
        </w:rPr>
        <w:t>Choephori</w:t>
      </w:r>
      <w:proofErr w:type="spellEnd"/>
      <w:r w:rsidRPr="004621C9">
        <w:rPr>
          <w:rFonts w:ascii="Times New Roman" w:eastAsia="Times New Roman" w:hAnsi="Times New Roman" w:cs="Times New Roman"/>
          <w:color w:val="000000"/>
        </w:rPr>
        <w:t>,</w:t>
      </w:r>
      <w:r w:rsidR="003854F5">
        <w:rPr>
          <w:rStyle w:val="FootnoteReference"/>
          <w:rFonts w:ascii="Times New Roman" w:eastAsia="Times New Roman" w:hAnsi="Times New Roman" w:cs="Times New Roman"/>
          <w:color w:val="000000"/>
        </w:rPr>
        <w:footnoteReference w:id="80"/>
      </w:r>
      <w:r w:rsidR="003854F5">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it can also be read as a development of a masculine part of Electra’s character.</w:t>
      </w:r>
    </w:p>
    <w:p w14:paraId="2A308BFD" w14:textId="77777777" w:rsidR="004621C9" w:rsidRPr="004621C9" w:rsidRDefault="004621C9" w:rsidP="004621C9">
      <w:pPr>
        <w:spacing w:line="360" w:lineRule="auto"/>
        <w:rPr>
          <w:rFonts w:ascii="Times New Roman" w:eastAsia="Times New Roman" w:hAnsi="Times New Roman" w:cs="Times New Roman"/>
          <w:color w:val="000000"/>
        </w:rPr>
      </w:pPr>
    </w:p>
    <w:p w14:paraId="23772FDF" w14:textId="43C5942A"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In trying to convince Electra that the visitor at Agamemnon’s tomb was Orestes the Old Man presents her with different items of evidence, a lock of hair, a footprint and the cloak Orestes left with, each of which Electra dismisses.</w:t>
      </w:r>
      <w:r w:rsidR="003854F5">
        <w:rPr>
          <w:rStyle w:val="FootnoteReference"/>
          <w:rFonts w:ascii="Times New Roman" w:eastAsia="Times New Roman" w:hAnsi="Times New Roman" w:cs="Times New Roman"/>
          <w:color w:val="000000"/>
        </w:rPr>
        <w:footnoteReference w:id="81"/>
      </w:r>
      <w:r w:rsidRPr="004621C9">
        <w:rPr>
          <w:rFonts w:ascii="Times New Roman" w:eastAsia="Times New Roman" w:hAnsi="Times New Roman" w:cs="Times New Roman"/>
          <w:color w:val="000000"/>
        </w:rPr>
        <w:t xml:space="preserve"> The reasons that she gives for dismissing each piece of evidence are well argued and will resonate with an audience well versed in Aeschylus’ recognition scene. This parody scene serves to enable the audience to recognise themselves in Electra and identify with her, despite her difference from them in being foreign, and a woman. Not only is she occupying a space between the status of girl and woman</w:t>
      </w:r>
      <w:r w:rsidR="003854F5">
        <w:rPr>
          <w:rFonts w:ascii="Times New Roman" w:eastAsia="Times New Roman" w:hAnsi="Times New Roman" w:cs="Times New Roman"/>
          <w:color w:val="000000"/>
        </w:rPr>
        <w:t>,</w:t>
      </w:r>
      <w:r w:rsidR="003854F5">
        <w:rPr>
          <w:rStyle w:val="FootnoteReference"/>
          <w:rFonts w:ascii="Times New Roman" w:eastAsia="Times New Roman" w:hAnsi="Times New Roman" w:cs="Times New Roman"/>
          <w:color w:val="000000"/>
        </w:rPr>
        <w:footnoteReference w:id="82"/>
      </w:r>
      <w:r w:rsidRPr="004621C9">
        <w:rPr>
          <w:rFonts w:ascii="Times New Roman" w:eastAsia="Times New Roman" w:hAnsi="Times New Roman" w:cs="Times New Roman"/>
          <w:color w:val="000000"/>
        </w:rPr>
        <w:t xml:space="preserve"> but she is also existing somewhere between the status of royalty and peasant, with her attempts to regain her status seeking echoes from within those audience members discontented with their lot. Electra’s release from the expectation of those binaries allows her to occupy a resonant space: potentially everywoman (or none), or every person (or none).</w:t>
      </w:r>
    </w:p>
    <w:p w14:paraId="2E743203" w14:textId="77777777" w:rsidR="004621C9" w:rsidRPr="004621C9" w:rsidRDefault="004621C9" w:rsidP="004621C9">
      <w:pPr>
        <w:spacing w:line="360" w:lineRule="auto"/>
        <w:rPr>
          <w:rFonts w:ascii="Times New Roman" w:eastAsia="Times New Roman" w:hAnsi="Times New Roman" w:cs="Times New Roman"/>
          <w:color w:val="000000"/>
        </w:rPr>
      </w:pPr>
    </w:p>
    <w:p w14:paraId="3AAF792D" w14:textId="49E936CB"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Ultimately however, Orestes has returned, and did visit Agamemnon’s tomb, and is now in Electra’s home. The recognition scene is cut short by Orestes, who starts planning a strategy to avenge Agamemnon, focusing on killing Aegisthus.</w:t>
      </w:r>
      <w:r w:rsidR="00FD3D9B">
        <w:rPr>
          <w:rStyle w:val="FootnoteReference"/>
          <w:rFonts w:ascii="Times New Roman" w:eastAsia="Times New Roman" w:hAnsi="Times New Roman" w:cs="Times New Roman"/>
          <w:color w:val="000000"/>
        </w:rPr>
        <w:footnoteReference w:id="83"/>
      </w:r>
      <w:r w:rsidRPr="004621C9">
        <w:rPr>
          <w:rFonts w:ascii="Times New Roman" w:eastAsia="Times New Roman" w:hAnsi="Times New Roman" w:cs="Times New Roman"/>
          <w:color w:val="000000"/>
        </w:rPr>
        <w:t xml:space="preserve"> Orestes recognises Aegisthus as the main perpetrator, whilst Electra identifies Clytemnestra’s as the antagonist, and states that she will claim the kill of Clytemnestra for herself.</w:t>
      </w:r>
      <w:r w:rsidR="00FD3D9B">
        <w:rPr>
          <w:rStyle w:val="FootnoteReference"/>
          <w:rFonts w:ascii="Times New Roman" w:eastAsia="Times New Roman" w:hAnsi="Times New Roman" w:cs="Times New Roman"/>
          <w:color w:val="000000"/>
        </w:rPr>
        <w:footnoteReference w:id="84"/>
      </w:r>
      <w:r w:rsidRPr="004621C9">
        <w:rPr>
          <w:rFonts w:ascii="Times New Roman" w:eastAsia="Times New Roman" w:hAnsi="Times New Roman" w:cs="Times New Roman"/>
          <w:color w:val="000000"/>
        </w:rPr>
        <w:t xml:space="preserve"> She herself devises the strategy of how to lure Clytemnestra to their house and then. plans and coordinates putting the strategy into action.</w:t>
      </w:r>
      <w:r w:rsidR="00FD3D9B">
        <w:rPr>
          <w:rStyle w:val="FootnoteReference"/>
          <w:rFonts w:ascii="Times New Roman" w:eastAsia="Times New Roman" w:hAnsi="Times New Roman" w:cs="Times New Roman"/>
          <w:color w:val="000000"/>
        </w:rPr>
        <w:footnoteReference w:id="85"/>
      </w:r>
      <w:r w:rsidRPr="004621C9">
        <w:rPr>
          <w:rFonts w:ascii="Times New Roman" w:eastAsia="Times New Roman" w:hAnsi="Times New Roman" w:cs="Times New Roman"/>
          <w:color w:val="000000"/>
        </w:rPr>
        <w:t xml:space="preserve"> Organising the Old Man to show Orestes where to go and delivering her message to the palace.</w:t>
      </w:r>
      <w:r w:rsidR="00FD3D9B">
        <w:rPr>
          <w:rStyle w:val="FootnoteReference"/>
          <w:rFonts w:ascii="Times New Roman" w:eastAsia="Times New Roman" w:hAnsi="Times New Roman" w:cs="Times New Roman"/>
          <w:color w:val="000000"/>
        </w:rPr>
        <w:footnoteReference w:id="86"/>
      </w:r>
      <w:r w:rsidRPr="004621C9">
        <w:rPr>
          <w:rFonts w:ascii="Times New Roman" w:eastAsia="Times New Roman" w:hAnsi="Times New Roman" w:cs="Times New Roman"/>
          <w:color w:val="000000"/>
        </w:rPr>
        <w:t xml:space="preserve"> She has taken control.</w:t>
      </w:r>
    </w:p>
    <w:p w14:paraId="78C89640" w14:textId="77777777" w:rsidR="004621C9" w:rsidRPr="004621C9" w:rsidRDefault="004621C9" w:rsidP="004621C9">
      <w:pPr>
        <w:spacing w:line="360" w:lineRule="auto"/>
        <w:rPr>
          <w:rFonts w:ascii="Times New Roman" w:eastAsia="Times New Roman" w:hAnsi="Times New Roman" w:cs="Times New Roman"/>
          <w:color w:val="000000"/>
        </w:rPr>
      </w:pPr>
    </w:p>
    <w:p w14:paraId="42390C76" w14:textId="7AC0493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On Orestes' return with the body of Aegisthus, Electra is elated - a stark contrast to her mood of self-pity at the start of the play. She is effusive in her praise of, love for and gratitude to Orestes, so much so that Orestes reminds her to thank the gods for what has occurred. Effectively, this is another point where a male character attempts to pull Electra back from this unbounded behaviour to the </w:t>
      </w:r>
      <w:r w:rsidRPr="004621C9">
        <w:rPr>
          <w:rFonts w:ascii="Times New Roman" w:eastAsia="Times New Roman" w:hAnsi="Times New Roman" w:cs="Times New Roman"/>
          <w:color w:val="000000"/>
        </w:rPr>
        <w:lastRenderedPageBreak/>
        <w:t>reasonable expectations of her gender. After Orestes expels Electra’s fear of being blamed for Aegisthus' death, she launches into a long speech full of hatred for Aegisthus. It is as if she now has the dominance and power over him that she was not able to have whilst he was living. Orestes description of Aegisthus to Electra as “once your master, now your slave,”</w:t>
      </w:r>
      <w:r w:rsidR="00FD3D9B">
        <w:rPr>
          <w:rStyle w:val="FootnoteReference"/>
          <w:rFonts w:ascii="Times New Roman" w:eastAsia="Times New Roman" w:hAnsi="Times New Roman" w:cs="Times New Roman"/>
          <w:color w:val="000000"/>
        </w:rPr>
        <w:footnoteReference w:id="87"/>
      </w:r>
      <w:r w:rsidRPr="004621C9">
        <w:rPr>
          <w:rFonts w:ascii="Times New Roman" w:eastAsia="Times New Roman" w:hAnsi="Times New Roman" w:cs="Times New Roman"/>
          <w:color w:val="000000"/>
        </w:rPr>
        <w:t xml:space="preserve"> reflects an inversion from the start of the play when it was Electra perceived as the slave. Not only is Electra now his master, but she also feminises him in comparison to Clytemnestra, and it is clear that she views him as inferior. In this moment of liberation Electra relishes in Aegisthus’ death, and once Clytemnestra becomes visible in the distance it is as though Electra can visualise the final goal to be reached in avenging her father by killing Clytemnestra, again taking on a male role, which should belong to Orestes. This role is emphasised through Orestes’ sudden reluctance in killing Clytemnestra and fulfilling the prophecy, taking on the feminine role of fear.</w:t>
      </w:r>
      <w:r w:rsidR="00FD3D9B">
        <w:rPr>
          <w:rStyle w:val="FootnoteReference"/>
          <w:rFonts w:ascii="Times New Roman" w:eastAsia="Times New Roman" w:hAnsi="Times New Roman" w:cs="Times New Roman"/>
          <w:color w:val="000000"/>
        </w:rPr>
        <w:footnoteReference w:id="88"/>
      </w:r>
    </w:p>
    <w:p w14:paraId="219FE469" w14:textId="77777777" w:rsidR="004621C9" w:rsidRPr="004621C9" w:rsidRDefault="004621C9" w:rsidP="004621C9">
      <w:pPr>
        <w:spacing w:line="360" w:lineRule="auto"/>
        <w:rPr>
          <w:rFonts w:ascii="Times New Roman" w:eastAsia="Times New Roman" w:hAnsi="Times New Roman" w:cs="Times New Roman"/>
          <w:color w:val="000000"/>
        </w:rPr>
      </w:pPr>
    </w:p>
    <w:p w14:paraId="0E0A45F2" w14:textId="5D80E180"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In the build</w:t>
      </w:r>
      <w:r w:rsidR="00FD3D9B">
        <w:rPr>
          <w:rFonts w:ascii="Times New Roman" w:eastAsia="Times New Roman" w:hAnsi="Times New Roman" w:cs="Times New Roman"/>
          <w:color w:val="000000"/>
        </w:rPr>
        <w:t>-</w:t>
      </w:r>
      <w:r w:rsidRPr="004621C9">
        <w:rPr>
          <w:rFonts w:ascii="Times New Roman" w:eastAsia="Times New Roman" w:hAnsi="Times New Roman" w:cs="Times New Roman"/>
          <w:color w:val="000000"/>
        </w:rPr>
        <w:t xml:space="preserve">up to the </w:t>
      </w:r>
      <w:proofErr w:type="spellStart"/>
      <w:r w:rsidRPr="004621C9">
        <w:rPr>
          <w:rFonts w:ascii="Times New Roman" w:eastAsia="Times New Roman" w:hAnsi="Times New Roman" w:cs="Times New Roman"/>
          <w:color w:val="000000"/>
        </w:rPr>
        <w:t>climatic</w:t>
      </w:r>
      <w:proofErr w:type="spellEnd"/>
      <w:r w:rsidRPr="004621C9">
        <w:rPr>
          <w:rFonts w:ascii="Times New Roman" w:eastAsia="Times New Roman" w:hAnsi="Times New Roman" w:cs="Times New Roman"/>
          <w:color w:val="000000"/>
        </w:rPr>
        <w:t xml:space="preserve"> moment of </w:t>
      </w:r>
      <w:r w:rsidRPr="004621C9">
        <w:rPr>
          <w:rFonts w:ascii="Times New Roman" w:eastAsia="Times New Roman" w:hAnsi="Times New Roman" w:cs="Times New Roman"/>
          <w:iCs/>
          <w:color w:val="000000"/>
        </w:rPr>
        <w:t>Electra</w:t>
      </w:r>
      <w:r w:rsidRPr="004621C9">
        <w:rPr>
          <w:rFonts w:ascii="Times New Roman" w:eastAsia="Times New Roman" w:hAnsi="Times New Roman" w:cs="Times New Roman"/>
          <w:color w:val="000000"/>
        </w:rPr>
        <w:t>, Clytemnestra arrives at the cottage resulting in a vicious, duel-like confrontation between Clytemnestra and Electra. The two engage in rhetorical attacks and returns with a verbal skill and strategy which would have only been taught to men, and not women in Classical Athenian society. Electra’s anger and hatred towards Clytemnestra is palpable. In the build</w:t>
      </w:r>
      <w:r w:rsidR="00FD3D9B">
        <w:rPr>
          <w:rFonts w:ascii="Times New Roman" w:eastAsia="Times New Roman" w:hAnsi="Times New Roman" w:cs="Times New Roman"/>
          <w:color w:val="000000"/>
        </w:rPr>
        <w:t>-</w:t>
      </w:r>
      <w:r w:rsidRPr="004621C9">
        <w:rPr>
          <w:rFonts w:ascii="Times New Roman" w:eastAsia="Times New Roman" w:hAnsi="Times New Roman" w:cs="Times New Roman"/>
          <w:color w:val="000000"/>
        </w:rPr>
        <w:t>up to this moment Electra has voiced her anger at how she has been treated since Agamemnon’s death, and finally she is able to voice her anger directly at someone that she holds responsible for the loss of her family, and her status</w:t>
      </w:r>
      <w:r w:rsidR="00FD3D9B">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89"/>
      </w:r>
    </w:p>
    <w:p w14:paraId="3B2A186D" w14:textId="77777777" w:rsidR="004621C9" w:rsidRPr="004621C9" w:rsidRDefault="004621C9" w:rsidP="004621C9">
      <w:pPr>
        <w:spacing w:line="360" w:lineRule="auto"/>
        <w:rPr>
          <w:rFonts w:ascii="Times New Roman" w:eastAsia="Times New Roman" w:hAnsi="Times New Roman" w:cs="Times New Roman"/>
          <w:color w:val="000000"/>
        </w:rPr>
      </w:pPr>
    </w:p>
    <w:p w14:paraId="58F7DA53" w14:textId="5D8B4BC3"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From her first sentence to her mother Electra goes on the offensive. She returns to the slave imagery by comparing herself to the Trojan slave women that are accompanying Clytemnestra,</w:t>
      </w:r>
      <w:r w:rsidR="00FD3D9B">
        <w:rPr>
          <w:rStyle w:val="FootnoteReference"/>
          <w:rFonts w:ascii="Times New Roman" w:eastAsia="Times New Roman" w:hAnsi="Times New Roman" w:cs="Times New Roman"/>
          <w:color w:val="000000"/>
        </w:rPr>
        <w:footnoteReference w:id="90"/>
      </w:r>
      <w:r w:rsidRPr="004621C9">
        <w:rPr>
          <w:rFonts w:ascii="Times New Roman" w:eastAsia="Times New Roman" w:hAnsi="Times New Roman" w:cs="Times New Roman"/>
          <w:color w:val="000000"/>
        </w:rPr>
        <w:t xml:space="preserve"> and accusing Clytemnestra of mistreating her and Orestes after Agamemnon’s death.</w:t>
      </w:r>
      <w:r w:rsidR="00FD3D9B">
        <w:rPr>
          <w:rStyle w:val="FootnoteReference"/>
          <w:rFonts w:ascii="Times New Roman" w:eastAsia="Times New Roman" w:hAnsi="Times New Roman" w:cs="Times New Roman"/>
          <w:color w:val="000000"/>
        </w:rPr>
        <w:footnoteReference w:id="91"/>
      </w:r>
      <w:r w:rsidRPr="004621C9">
        <w:rPr>
          <w:rFonts w:ascii="Times New Roman" w:eastAsia="Times New Roman" w:hAnsi="Times New Roman" w:cs="Times New Roman"/>
          <w:color w:val="000000"/>
        </w:rPr>
        <w:t xml:space="preserve"> Electra goes on to deconstruct Clytemnestra’s defen</w:t>
      </w:r>
      <w:r w:rsidR="00FD3D9B">
        <w:rPr>
          <w:rFonts w:ascii="Times New Roman" w:eastAsia="Times New Roman" w:hAnsi="Times New Roman" w:cs="Times New Roman"/>
          <w:color w:val="000000"/>
        </w:rPr>
        <w:t>c</w:t>
      </w:r>
      <w:r w:rsidRPr="004621C9">
        <w:rPr>
          <w:rFonts w:ascii="Times New Roman" w:eastAsia="Times New Roman" w:hAnsi="Times New Roman" w:cs="Times New Roman"/>
          <w:color w:val="000000"/>
        </w:rPr>
        <w:t xml:space="preserve">e in the same effective and strategic manner that she dismissed the Old Man’s evidence in the recognition scene. However, the audience knows that Electra’s certainty in the recognition scene can be doubted as the Old Man was correct about Orestes. It is therefore possible that her heightened emotion and the level of her intensity in this scene could also lead to doubt in the audience’s mind as to the rationale of Electra’s behaviour and the inevitable direction that it is leading in. </w:t>
      </w:r>
      <w:proofErr w:type="spellStart"/>
      <w:r w:rsidRPr="004621C9">
        <w:rPr>
          <w:rFonts w:ascii="Times New Roman" w:eastAsia="Times New Roman" w:hAnsi="Times New Roman" w:cs="Times New Roman"/>
          <w:color w:val="000000"/>
        </w:rPr>
        <w:t>Roisman</w:t>
      </w:r>
      <w:proofErr w:type="spellEnd"/>
      <w:r w:rsidRPr="004621C9">
        <w:rPr>
          <w:rFonts w:ascii="Times New Roman" w:eastAsia="Times New Roman" w:hAnsi="Times New Roman" w:cs="Times New Roman"/>
          <w:color w:val="000000"/>
        </w:rPr>
        <w:t xml:space="preserve"> describes Electra as speaking with “grandiose rhetoric.”</w:t>
      </w:r>
      <w:r w:rsidR="00FD3D9B">
        <w:rPr>
          <w:rStyle w:val="FootnoteReference"/>
          <w:rFonts w:ascii="Times New Roman" w:eastAsia="Times New Roman" w:hAnsi="Times New Roman" w:cs="Times New Roman"/>
          <w:color w:val="000000"/>
        </w:rPr>
        <w:footnoteReference w:id="92"/>
      </w:r>
      <w:r w:rsidRPr="004621C9">
        <w:rPr>
          <w:rFonts w:ascii="Times New Roman" w:eastAsia="Times New Roman" w:hAnsi="Times New Roman" w:cs="Times New Roman"/>
          <w:color w:val="000000"/>
        </w:rPr>
        <w:t xml:space="preserve"> and her </w:t>
      </w:r>
      <w:r w:rsidRPr="004621C9">
        <w:rPr>
          <w:rFonts w:ascii="Times New Roman" w:eastAsia="Times New Roman" w:hAnsi="Times New Roman" w:cs="Times New Roman"/>
          <w:color w:val="000000"/>
        </w:rPr>
        <w:lastRenderedPageBreak/>
        <w:t>accusations are integral to the strategy which she uses to attack Clytemnestra, knowing that she will not be able to fully defend herself.</w:t>
      </w:r>
      <w:r w:rsidR="00FD3D9B">
        <w:rPr>
          <w:rStyle w:val="FootnoteReference"/>
          <w:rFonts w:ascii="Times New Roman" w:eastAsia="Times New Roman" w:hAnsi="Times New Roman" w:cs="Times New Roman"/>
          <w:color w:val="000000"/>
        </w:rPr>
        <w:footnoteReference w:id="93"/>
      </w:r>
      <w:r w:rsidRPr="004621C9">
        <w:rPr>
          <w:rFonts w:ascii="Times New Roman" w:eastAsia="Times New Roman" w:hAnsi="Times New Roman" w:cs="Times New Roman"/>
          <w:color w:val="000000"/>
        </w:rPr>
        <w:t xml:space="preserve"> In comparison to the level of intensity of the accusations, Clytemnestra’s defence is weak. </w:t>
      </w:r>
    </w:p>
    <w:p w14:paraId="377F7BFE" w14:textId="77777777" w:rsidR="004621C9" w:rsidRPr="004621C9" w:rsidRDefault="004621C9" w:rsidP="004621C9">
      <w:pPr>
        <w:spacing w:line="360" w:lineRule="auto"/>
        <w:rPr>
          <w:rFonts w:ascii="Times New Roman" w:eastAsia="Times New Roman" w:hAnsi="Times New Roman" w:cs="Times New Roman"/>
          <w:color w:val="000000"/>
        </w:rPr>
      </w:pPr>
    </w:p>
    <w:p w14:paraId="30C490F2" w14:textId="448F838B"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In Electra’s second attack of Clytemnestra she criticises her for not resisting and giving into her womanly weaknesses, such as vanity, and for leaving the safety of the domestic, traditional female space to put herself in the way of other men.</w:t>
      </w:r>
      <w:r w:rsidR="00FD3D9B">
        <w:rPr>
          <w:rStyle w:val="FootnoteReference"/>
          <w:rFonts w:ascii="Times New Roman" w:eastAsia="Times New Roman" w:hAnsi="Times New Roman" w:cs="Times New Roman"/>
          <w:color w:val="000000"/>
        </w:rPr>
        <w:footnoteReference w:id="94"/>
      </w:r>
      <w:r w:rsidRPr="004621C9">
        <w:rPr>
          <w:rFonts w:ascii="Times New Roman" w:eastAsia="Times New Roman" w:hAnsi="Times New Roman" w:cs="Times New Roman"/>
          <w:color w:val="000000"/>
        </w:rPr>
        <w:t xml:space="preserve"> Electra’s primary criticism of Clytemnestra is that she is a woman, with the failings of a woman. In rejecting the feminine, Electra is able to embrace the masculine and kill, an act antithetical to the classical female traits described by Xenophon as the ability to give affection and nurture. In addition</w:t>
      </w:r>
      <w:r w:rsidR="00FD3D9B">
        <w:rPr>
          <w:rFonts w:ascii="Times New Roman" w:eastAsia="Times New Roman" w:hAnsi="Times New Roman" w:cs="Times New Roman"/>
          <w:color w:val="000000"/>
        </w:rPr>
        <w:t>,</w:t>
      </w:r>
      <w:r w:rsidRPr="004621C9">
        <w:rPr>
          <w:rFonts w:ascii="Times New Roman" w:eastAsia="Times New Roman" w:hAnsi="Times New Roman" w:cs="Times New Roman"/>
          <w:color w:val="000000"/>
        </w:rPr>
        <w:t xml:space="preserve"> Electra has lost her womanly fearful disposition.</w:t>
      </w:r>
      <w:r w:rsidR="00FD3D9B">
        <w:rPr>
          <w:rStyle w:val="FootnoteReference"/>
          <w:rFonts w:ascii="Times New Roman" w:eastAsia="Times New Roman" w:hAnsi="Times New Roman" w:cs="Times New Roman"/>
          <w:color w:val="000000"/>
        </w:rPr>
        <w:footnoteReference w:id="95"/>
      </w:r>
      <w:r w:rsidRPr="004621C9">
        <w:rPr>
          <w:rFonts w:ascii="Times New Roman" w:eastAsia="Times New Roman" w:hAnsi="Times New Roman" w:cs="Times New Roman"/>
          <w:color w:val="000000"/>
        </w:rPr>
        <w:t xml:space="preserve"> </w:t>
      </w:r>
      <w:r w:rsidR="00FD3D9B">
        <w:rPr>
          <w:rFonts w:ascii="Times New Roman" w:eastAsia="Times New Roman" w:hAnsi="Times New Roman" w:cs="Times New Roman"/>
          <w:color w:val="000000"/>
        </w:rPr>
        <w:t xml:space="preserve">In </w:t>
      </w:r>
      <w:r w:rsidRPr="004621C9">
        <w:rPr>
          <w:rFonts w:ascii="Times New Roman" w:eastAsia="Times New Roman" w:hAnsi="Times New Roman" w:cs="Times New Roman"/>
          <w:color w:val="000000"/>
        </w:rPr>
        <w:t>this further loss of identity Electra appears to have forgotten her own plan and it is Clytemnestra, on this final occasion, that attempts to pull Electra back to the world of reason and balance. </w:t>
      </w:r>
    </w:p>
    <w:p w14:paraId="7FF96D4D" w14:textId="77777777" w:rsidR="004621C9" w:rsidRPr="004621C9" w:rsidRDefault="004621C9" w:rsidP="004621C9">
      <w:pPr>
        <w:spacing w:line="360" w:lineRule="auto"/>
        <w:rPr>
          <w:rFonts w:ascii="Times New Roman" w:eastAsia="Times New Roman" w:hAnsi="Times New Roman" w:cs="Times New Roman"/>
          <w:color w:val="000000"/>
        </w:rPr>
      </w:pPr>
    </w:p>
    <w:p w14:paraId="1EE31790" w14:textId="3EFA76E4"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The collapse of Electra’s relationship with her mother starkly reveals the breakdown of her femininity, as Electra’s demands on Orestes finally prompt the inevitable breakdown of his masculinity. His first action in the play is to hide, a cowardly and feminine trait. In fact, in Euripides’ telling of this history Orestes does not even enter Argos, partly for fear of being recognised and captured</w:t>
      </w:r>
      <w:r w:rsidR="00FD3D9B">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96"/>
      </w:r>
      <w:r w:rsidRPr="004621C9">
        <w:rPr>
          <w:rFonts w:ascii="Times New Roman" w:eastAsia="Times New Roman" w:hAnsi="Times New Roman" w:cs="Times New Roman"/>
          <w:color w:val="000000"/>
        </w:rPr>
        <w:t xml:space="preserve"> </w:t>
      </w:r>
      <w:proofErr w:type="spellStart"/>
      <w:r w:rsidRPr="004621C9">
        <w:rPr>
          <w:rFonts w:ascii="Times New Roman" w:eastAsia="Times New Roman" w:hAnsi="Times New Roman" w:cs="Times New Roman"/>
          <w:color w:val="000000"/>
        </w:rPr>
        <w:t>and is not</w:t>
      </w:r>
      <w:proofErr w:type="spellEnd"/>
      <w:r w:rsidRPr="004621C9">
        <w:rPr>
          <w:rFonts w:ascii="Times New Roman" w:eastAsia="Times New Roman" w:hAnsi="Times New Roman" w:cs="Times New Roman"/>
          <w:color w:val="000000"/>
        </w:rPr>
        <w:t xml:space="preserve"> the hero that Electra is expecting to come and help her. Although Orestes does kill Aegisthus, the audience is informed by the Messenger that he attacked Aegisthus from behind whilst he was examining the innards of a sacrificial bull</w:t>
      </w:r>
      <w:r w:rsidR="00FD3D9B">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97"/>
      </w:r>
      <w:r w:rsidRPr="004621C9">
        <w:rPr>
          <w:rFonts w:ascii="Times New Roman" w:eastAsia="Times New Roman" w:hAnsi="Times New Roman" w:cs="Times New Roman"/>
          <w:color w:val="000000"/>
        </w:rPr>
        <w:t xml:space="preserve"> rather than facing him front on and giving Aegisthus a proper chance of defending himself. When Orestes views Clytemnestra in the distance, he becomes reluctant to go through with Electra’s plan, causing her to accuse him of ‘going soft</w:t>
      </w:r>
      <w:r w:rsidR="00FD3D9B">
        <w:rPr>
          <w:rFonts w:ascii="Times New Roman" w:eastAsia="Times New Roman" w:hAnsi="Times New Roman" w:cs="Times New Roman"/>
          <w:color w:val="000000"/>
        </w:rPr>
        <w:t>.</w:t>
      </w:r>
      <w:r w:rsidRPr="004621C9">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98"/>
      </w:r>
    </w:p>
    <w:p w14:paraId="090BBB12" w14:textId="77777777" w:rsidR="004621C9" w:rsidRPr="004621C9" w:rsidRDefault="004621C9" w:rsidP="004621C9">
      <w:pPr>
        <w:spacing w:line="360" w:lineRule="auto"/>
        <w:rPr>
          <w:rFonts w:ascii="Times New Roman" w:eastAsia="Times New Roman" w:hAnsi="Times New Roman" w:cs="Times New Roman"/>
          <w:color w:val="000000"/>
        </w:rPr>
      </w:pPr>
    </w:p>
    <w:p w14:paraId="22144728" w14:textId="00365D6E"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This is more evident once the siblings come back out of the cottage and in horror reveal their specific roles in the killing of their mother. Orestes held the sword, but admits that he had to cover his eyes</w:t>
      </w:r>
      <w:r w:rsidR="00FD3D9B">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99"/>
      </w:r>
      <w:r w:rsidR="00FD3D9B">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Electra admits that she guided Orestes’ hand.</w:t>
      </w:r>
      <w:r w:rsidR="00FD3D9B">
        <w:rPr>
          <w:rStyle w:val="FootnoteReference"/>
          <w:rFonts w:ascii="Times New Roman" w:eastAsia="Times New Roman" w:hAnsi="Times New Roman" w:cs="Times New Roman"/>
          <w:color w:val="000000"/>
        </w:rPr>
        <w:footnoteReference w:id="100"/>
      </w:r>
      <w:r w:rsidRPr="004621C9">
        <w:rPr>
          <w:rFonts w:ascii="Times New Roman" w:eastAsia="Times New Roman" w:hAnsi="Times New Roman" w:cs="Times New Roman"/>
          <w:color w:val="000000"/>
        </w:rPr>
        <w:t xml:space="preserve"> In a further abandonment of femininity, Electra has not just killed, but she has killed with a man’s weapon.</w:t>
      </w:r>
      <w:r w:rsidR="00FD3D9B">
        <w:rPr>
          <w:rStyle w:val="FootnoteReference"/>
          <w:rFonts w:ascii="Times New Roman" w:eastAsia="Times New Roman" w:hAnsi="Times New Roman" w:cs="Times New Roman"/>
          <w:color w:val="000000"/>
        </w:rPr>
        <w:footnoteReference w:id="101"/>
      </w:r>
      <w:r w:rsidRPr="004621C9">
        <w:rPr>
          <w:rFonts w:ascii="Times New Roman" w:eastAsia="Times New Roman" w:hAnsi="Times New Roman" w:cs="Times New Roman"/>
          <w:color w:val="000000"/>
        </w:rPr>
        <w:t xml:space="preserve"> In a further act of hiding, Orestes takes </w:t>
      </w:r>
      <w:r w:rsidRPr="004621C9">
        <w:rPr>
          <w:rFonts w:ascii="Times New Roman" w:eastAsia="Times New Roman" w:hAnsi="Times New Roman" w:cs="Times New Roman"/>
          <w:color w:val="000000"/>
        </w:rPr>
        <w:lastRenderedPageBreak/>
        <w:t>guidance from Electra, cedes control of the fatal act to her, and passes his masculinity over to his sister and in doing so, defies the Oracle and has upset the rightful order.</w:t>
      </w:r>
      <w:r w:rsidR="00FD3D9B">
        <w:rPr>
          <w:rStyle w:val="FootnoteReference"/>
          <w:rFonts w:ascii="Times New Roman" w:eastAsia="Times New Roman" w:hAnsi="Times New Roman" w:cs="Times New Roman"/>
          <w:color w:val="000000"/>
        </w:rPr>
        <w:footnoteReference w:id="102"/>
      </w:r>
    </w:p>
    <w:p w14:paraId="7EFA840C" w14:textId="77777777" w:rsidR="004621C9" w:rsidRPr="004621C9" w:rsidRDefault="004621C9" w:rsidP="004621C9">
      <w:pPr>
        <w:spacing w:line="360" w:lineRule="auto"/>
        <w:rPr>
          <w:rFonts w:ascii="Times New Roman" w:eastAsia="Times New Roman" w:hAnsi="Times New Roman" w:cs="Times New Roman"/>
          <w:color w:val="000000"/>
        </w:rPr>
      </w:pPr>
    </w:p>
    <w:p w14:paraId="6BA8BB3D" w14:textId="02446D48"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As punishment for their actions Orestes and Electra are to be separated after their short reunion. </w:t>
      </w:r>
      <w:proofErr w:type="spellStart"/>
      <w:r w:rsidRPr="004621C9">
        <w:rPr>
          <w:rFonts w:ascii="Times New Roman" w:eastAsia="Times New Roman" w:hAnsi="Times New Roman" w:cs="Times New Roman"/>
          <w:color w:val="000000"/>
        </w:rPr>
        <w:t>Oretes</w:t>
      </w:r>
      <w:proofErr w:type="spellEnd"/>
      <w:r w:rsidRPr="004621C9">
        <w:rPr>
          <w:rFonts w:ascii="Times New Roman" w:eastAsia="Times New Roman" w:hAnsi="Times New Roman" w:cs="Times New Roman"/>
          <w:color w:val="000000"/>
        </w:rPr>
        <w:t xml:space="preserve"> is to be punished, having been named by the Oracle as Clytemnestra’s killer</w:t>
      </w:r>
      <w:r w:rsidR="00FD3D9B">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103"/>
      </w:r>
      <w:r w:rsidRPr="004621C9">
        <w:rPr>
          <w:rFonts w:ascii="Times New Roman" w:eastAsia="Times New Roman" w:hAnsi="Times New Roman" w:cs="Times New Roman"/>
          <w:color w:val="000000"/>
        </w:rPr>
        <w:t xml:space="preserve"> Electra is to marry </w:t>
      </w:r>
      <w:proofErr w:type="spellStart"/>
      <w:r w:rsidRPr="004621C9">
        <w:rPr>
          <w:rFonts w:ascii="Times New Roman" w:eastAsia="Times New Roman" w:hAnsi="Times New Roman" w:cs="Times New Roman"/>
          <w:color w:val="000000"/>
        </w:rPr>
        <w:t>Pylades</w:t>
      </w:r>
      <w:proofErr w:type="spellEnd"/>
      <w:r w:rsidRPr="004621C9">
        <w:rPr>
          <w:rFonts w:ascii="Times New Roman" w:eastAsia="Times New Roman" w:hAnsi="Times New Roman" w:cs="Times New Roman"/>
          <w:color w:val="000000"/>
        </w:rPr>
        <w:t xml:space="preserve">, a marriage to be authorised by Electra’s </w:t>
      </w:r>
      <w:proofErr w:type="spellStart"/>
      <w:r w:rsidRPr="004621C9">
        <w:rPr>
          <w:rFonts w:ascii="Times New Roman" w:eastAsia="Times New Roman" w:hAnsi="Times New Roman" w:cs="Times New Roman"/>
          <w:i/>
          <w:iCs/>
          <w:color w:val="000000"/>
        </w:rPr>
        <w:t>kurios</w:t>
      </w:r>
      <w:proofErr w:type="spellEnd"/>
      <w:r w:rsidRPr="004621C9">
        <w:rPr>
          <w:rFonts w:ascii="Times New Roman" w:eastAsia="Times New Roman" w:hAnsi="Times New Roman" w:cs="Times New Roman"/>
          <w:color w:val="000000"/>
        </w:rPr>
        <w:t>, a role that she mourned she did not have at the start of the play, and under the proper authority can become a true woman. Although a co-perpetrator of their mother’s death, Electra is not held responsible and therefore is not punished in the same manner as Orestes.</w:t>
      </w:r>
      <w:r w:rsidR="00FD3D9B">
        <w:rPr>
          <w:rStyle w:val="FootnoteReference"/>
          <w:rFonts w:ascii="Times New Roman" w:eastAsia="Times New Roman" w:hAnsi="Times New Roman" w:cs="Times New Roman"/>
          <w:color w:val="000000"/>
        </w:rPr>
        <w:footnoteReference w:id="104"/>
      </w:r>
      <w:r w:rsidRPr="004621C9">
        <w:rPr>
          <w:rFonts w:ascii="Times New Roman" w:eastAsia="Times New Roman" w:hAnsi="Times New Roman" w:cs="Times New Roman"/>
          <w:color w:val="000000"/>
        </w:rPr>
        <w:t xml:space="preserve"> The Peasant is to become a rich man as he is Orestes’ “brother-in-law in name</w:t>
      </w:r>
      <w:r w:rsidR="00FD3D9B">
        <w:rPr>
          <w:rFonts w:ascii="Times New Roman" w:eastAsia="Times New Roman" w:hAnsi="Times New Roman" w:cs="Times New Roman"/>
          <w:color w:val="000000"/>
        </w:rPr>
        <w:t>.</w:t>
      </w:r>
      <w:r w:rsidRPr="004621C9">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105"/>
      </w:r>
      <w:r w:rsidRPr="004621C9">
        <w:rPr>
          <w:rFonts w:ascii="Times New Roman" w:eastAsia="Times New Roman" w:hAnsi="Times New Roman" w:cs="Times New Roman"/>
          <w:color w:val="000000"/>
        </w:rPr>
        <w:t xml:space="preserve"> With the intervention of Castor, the patriarchal authority, Orestes and Electra have lost their need for agency, and the binaries of status and gender, and the desired social order of Classical Athens, are returned. Castor’s role is one of hegemonic masculinity, as he puts into order the resolutions required for each character: </w:t>
      </w:r>
    </w:p>
    <w:p w14:paraId="43240F2B" w14:textId="7609B44E" w:rsidR="004621C9" w:rsidRPr="004621C9" w:rsidRDefault="004621C9" w:rsidP="00FD3D9B">
      <w:pPr>
        <w:spacing w:line="360" w:lineRule="auto"/>
        <w:ind w:left="567" w:right="567"/>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“It [hegemonic masculinity] embodied the currently most </w:t>
      </w:r>
      <w:proofErr w:type="spellStart"/>
      <w:r w:rsidRPr="004621C9">
        <w:rPr>
          <w:rFonts w:ascii="Times New Roman" w:eastAsia="Times New Roman" w:hAnsi="Times New Roman" w:cs="Times New Roman"/>
          <w:color w:val="000000"/>
        </w:rPr>
        <w:t>honored</w:t>
      </w:r>
      <w:proofErr w:type="spellEnd"/>
      <w:r w:rsidRPr="004621C9">
        <w:rPr>
          <w:rFonts w:ascii="Times New Roman" w:eastAsia="Times New Roman" w:hAnsi="Times New Roman" w:cs="Times New Roman"/>
          <w:color w:val="000000"/>
        </w:rPr>
        <w:t xml:space="preserve"> way of being a man, it required all other men to position themselves in relation to it, and it ideologically legitimated the global subordination of women to men</w:t>
      </w:r>
      <w:r w:rsidR="00FD3D9B">
        <w:rPr>
          <w:rFonts w:ascii="Times New Roman" w:eastAsia="Times New Roman" w:hAnsi="Times New Roman" w:cs="Times New Roman"/>
          <w:color w:val="000000"/>
        </w:rPr>
        <w:t>.</w:t>
      </w:r>
      <w:r w:rsidRPr="004621C9">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106"/>
      </w:r>
    </w:p>
    <w:p w14:paraId="49A5DBDE" w14:textId="77777777" w:rsidR="004621C9" w:rsidRPr="004621C9" w:rsidRDefault="004621C9" w:rsidP="004621C9">
      <w:pPr>
        <w:spacing w:line="360" w:lineRule="auto"/>
        <w:rPr>
          <w:rFonts w:ascii="Times New Roman" w:eastAsia="Times New Roman" w:hAnsi="Times New Roman" w:cs="Times New Roman"/>
          <w:color w:val="000000"/>
        </w:rPr>
      </w:pPr>
    </w:p>
    <w:p w14:paraId="56CFBC29" w14:textId="289D1189"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In the play </w:t>
      </w:r>
      <w:r w:rsidRPr="004621C9">
        <w:rPr>
          <w:rFonts w:ascii="Times New Roman" w:eastAsia="Times New Roman" w:hAnsi="Times New Roman" w:cs="Times New Roman"/>
          <w:iCs/>
          <w:color w:val="000000"/>
        </w:rPr>
        <w:t>Helen</w:t>
      </w:r>
      <w:r w:rsidRPr="004621C9">
        <w:rPr>
          <w:rFonts w:ascii="Times New Roman" w:eastAsia="Times New Roman" w:hAnsi="Times New Roman" w:cs="Times New Roman"/>
          <w:color w:val="000000"/>
        </w:rPr>
        <w:t>, contrary to popular myth, Helen is in Egypt rather than Troy, having been taken there by Hermes whilst Paris went to Troy with a phantom Helen crafted by Hera. When Helen first arrives in Egypt she is under the protection of Proteus, who lets her stay as a guest in his palace and treats her with kindness.</w:t>
      </w:r>
      <w:r w:rsidR="00FD3D9B">
        <w:rPr>
          <w:rStyle w:val="FootnoteReference"/>
          <w:rFonts w:ascii="Times New Roman" w:eastAsia="Times New Roman" w:hAnsi="Times New Roman" w:cs="Times New Roman"/>
          <w:color w:val="000000"/>
        </w:rPr>
        <w:footnoteReference w:id="107"/>
      </w:r>
      <w:r w:rsidRPr="004621C9">
        <w:rPr>
          <w:rFonts w:ascii="Times New Roman" w:eastAsia="Times New Roman" w:hAnsi="Times New Roman" w:cs="Times New Roman"/>
          <w:color w:val="000000"/>
        </w:rPr>
        <w:t xml:space="preserve"> On Proteus’ death, his son </w:t>
      </w:r>
      <w:proofErr w:type="spellStart"/>
      <w:r w:rsidRPr="004621C9">
        <w:rPr>
          <w:rFonts w:ascii="Times New Roman" w:eastAsia="Times New Roman" w:hAnsi="Times New Roman" w:cs="Times New Roman"/>
          <w:color w:val="000000"/>
        </w:rPr>
        <w:t>Theoclymenus</w:t>
      </w:r>
      <w:proofErr w:type="spellEnd"/>
      <w:r w:rsidRPr="004621C9">
        <w:rPr>
          <w:rFonts w:ascii="Times New Roman" w:eastAsia="Times New Roman" w:hAnsi="Times New Roman" w:cs="Times New Roman"/>
          <w:color w:val="000000"/>
        </w:rPr>
        <w:t xml:space="preserve"> gains power and pursues Helen as his bride, despite her still being legally married to Menelaus</w:t>
      </w:r>
      <w:r w:rsidR="00FD3D9B">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108"/>
      </w:r>
      <w:r w:rsidRPr="004621C9">
        <w:rPr>
          <w:rFonts w:ascii="Times New Roman" w:eastAsia="Times New Roman" w:hAnsi="Times New Roman" w:cs="Times New Roman"/>
          <w:color w:val="000000"/>
        </w:rPr>
        <w:t xml:space="preserve"> An exiled Greek arrives in Egypt and informs Helen that her husband Menelaus is presumed dead, and her mother and brothers are also dead.</w:t>
      </w:r>
      <w:r w:rsidR="00FD3D9B">
        <w:rPr>
          <w:rStyle w:val="FootnoteReference"/>
          <w:rFonts w:ascii="Times New Roman" w:eastAsia="Times New Roman" w:hAnsi="Times New Roman" w:cs="Times New Roman"/>
          <w:color w:val="000000"/>
        </w:rPr>
        <w:footnoteReference w:id="109"/>
      </w:r>
      <w:r w:rsidR="00FD3D9B">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Helen visits the prophetess </w:t>
      </w:r>
      <w:proofErr w:type="spellStart"/>
      <w:r w:rsidRPr="004621C9">
        <w:rPr>
          <w:rFonts w:ascii="Times New Roman" w:eastAsia="Times New Roman" w:hAnsi="Times New Roman" w:cs="Times New Roman"/>
          <w:color w:val="000000"/>
        </w:rPr>
        <w:t>Theonoe</w:t>
      </w:r>
      <w:proofErr w:type="spellEnd"/>
      <w:r w:rsidRPr="004621C9">
        <w:rPr>
          <w:rFonts w:ascii="Times New Roman" w:eastAsia="Times New Roman" w:hAnsi="Times New Roman" w:cs="Times New Roman"/>
          <w:color w:val="000000"/>
        </w:rPr>
        <w:t xml:space="preserve"> who confirms that Menelaus is alive.</w:t>
      </w:r>
      <w:r w:rsidR="00FD3D9B">
        <w:rPr>
          <w:rStyle w:val="FootnoteReference"/>
          <w:rFonts w:ascii="Times New Roman" w:eastAsia="Times New Roman" w:hAnsi="Times New Roman" w:cs="Times New Roman"/>
          <w:color w:val="000000"/>
        </w:rPr>
        <w:footnoteReference w:id="110"/>
      </w:r>
      <w:r w:rsidR="00FD3D9B">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Whilst Helen is with </w:t>
      </w:r>
      <w:proofErr w:type="spellStart"/>
      <w:r w:rsidRPr="004621C9">
        <w:rPr>
          <w:rFonts w:ascii="Times New Roman" w:eastAsia="Times New Roman" w:hAnsi="Times New Roman" w:cs="Times New Roman"/>
          <w:color w:val="000000"/>
        </w:rPr>
        <w:t>Theonoe</w:t>
      </w:r>
      <w:proofErr w:type="spellEnd"/>
      <w:r w:rsidRPr="004621C9">
        <w:rPr>
          <w:rFonts w:ascii="Times New Roman" w:eastAsia="Times New Roman" w:hAnsi="Times New Roman" w:cs="Times New Roman"/>
          <w:color w:val="000000"/>
        </w:rPr>
        <w:t xml:space="preserve">, Menelaus arrives in Egypt, washed up with some of his crew after being shipwrecked. He has hidden the phantom Helen in a cave with the rest of his men, and goes to find help.[59]He is turned away from the palace to </w:t>
      </w:r>
      <w:proofErr w:type="spellStart"/>
      <w:r w:rsidRPr="004621C9">
        <w:rPr>
          <w:rFonts w:ascii="Times New Roman" w:eastAsia="Times New Roman" w:hAnsi="Times New Roman" w:cs="Times New Roman"/>
          <w:color w:val="000000"/>
        </w:rPr>
        <w:t>Theoclymenus</w:t>
      </w:r>
      <w:proofErr w:type="spellEnd"/>
      <w:r w:rsidRPr="004621C9">
        <w:rPr>
          <w:rFonts w:ascii="Times New Roman" w:eastAsia="Times New Roman" w:hAnsi="Times New Roman" w:cs="Times New Roman"/>
          <w:color w:val="000000"/>
        </w:rPr>
        <w:t>’ hatred of the Greeks.</w:t>
      </w:r>
      <w:r w:rsidR="00FD3D9B">
        <w:rPr>
          <w:rStyle w:val="FootnoteReference"/>
          <w:rFonts w:ascii="Times New Roman" w:eastAsia="Times New Roman" w:hAnsi="Times New Roman" w:cs="Times New Roman"/>
          <w:color w:val="000000"/>
        </w:rPr>
        <w:footnoteReference w:id="111"/>
      </w:r>
      <w:r w:rsidR="00FD3D9B">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Helen and </w:t>
      </w:r>
      <w:r w:rsidRPr="004621C9">
        <w:rPr>
          <w:rFonts w:ascii="Times New Roman" w:eastAsia="Times New Roman" w:hAnsi="Times New Roman" w:cs="Times New Roman"/>
          <w:color w:val="000000"/>
        </w:rPr>
        <w:lastRenderedPageBreak/>
        <w:t>Menelaus come across each other whilst she is returning to her sanctuary.</w:t>
      </w:r>
      <w:r w:rsidR="00FD3D9B">
        <w:rPr>
          <w:rStyle w:val="FootnoteReference"/>
          <w:rFonts w:ascii="Times New Roman" w:eastAsia="Times New Roman" w:hAnsi="Times New Roman" w:cs="Times New Roman"/>
          <w:color w:val="000000"/>
        </w:rPr>
        <w:footnoteReference w:id="112"/>
      </w:r>
      <w:r w:rsidR="00FD3D9B">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They do not recognise each other at first, but when a Messenger finds Menelaus and informs him that they have been tricked and the Helen they possessed was a phantom, Menelaus and the real Helen reunite.</w:t>
      </w:r>
      <w:r w:rsidR="00FD3D9B">
        <w:rPr>
          <w:rStyle w:val="FootnoteReference"/>
          <w:rFonts w:ascii="Times New Roman" w:eastAsia="Times New Roman" w:hAnsi="Times New Roman" w:cs="Times New Roman"/>
          <w:color w:val="000000"/>
        </w:rPr>
        <w:footnoteReference w:id="113"/>
      </w:r>
      <w:r w:rsidRPr="004621C9">
        <w:rPr>
          <w:rFonts w:ascii="Times New Roman" w:eastAsia="Times New Roman" w:hAnsi="Times New Roman" w:cs="Times New Roman"/>
          <w:color w:val="000000"/>
        </w:rPr>
        <w:t xml:space="preserve"> They discuss a plan so that they can escape Egypt without being found by </w:t>
      </w:r>
      <w:proofErr w:type="spellStart"/>
      <w:r w:rsidRPr="004621C9">
        <w:rPr>
          <w:rFonts w:ascii="Times New Roman" w:eastAsia="Times New Roman" w:hAnsi="Times New Roman" w:cs="Times New Roman"/>
          <w:color w:val="000000"/>
        </w:rPr>
        <w:t>Theoclymenus</w:t>
      </w:r>
      <w:proofErr w:type="spellEnd"/>
      <w:r w:rsidRPr="004621C9">
        <w:rPr>
          <w:rFonts w:ascii="Times New Roman" w:eastAsia="Times New Roman" w:hAnsi="Times New Roman" w:cs="Times New Roman"/>
          <w:color w:val="000000"/>
        </w:rPr>
        <w:t>.</w:t>
      </w:r>
      <w:r w:rsidR="00FD3D9B">
        <w:rPr>
          <w:rStyle w:val="FootnoteReference"/>
          <w:rFonts w:ascii="Times New Roman" w:eastAsia="Times New Roman" w:hAnsi="Times New Roman" w:cs="Times New Roman"/>
          <w:color w:val="000000"/>
        </w:rPr>
        <w:footnoteReference w:id="114"/>
      </w:r>
      <w:r w:rsidR="00685FAD">
        <w:rPr>
          <w:rFonts w:ascii="Times New Roman" w:eastAsia="Times New Roman" w:hAnsi="Times New Roman" w:cs="Times New Roman"/>
          <w:color w:val="000000"/>
        </w:rPr>
        <w:t xml:space="preserve"> </w:t>
      </w:r>
      <w:proofErr w:type="spellStart"/>
      <w:r w:rsidRPr="004621C9">
        <w:rPr>
          <w:rFonts w:ascii="Times New Roman" w:eastAsia="Times New Roman" w:hAnsi="Times New Roman" w:cs="Times New Roman"/>
          <w:color w:val="000000"/>
        </w:rPr>
        <w:t>Theonoe</w:t>
      </w:r>
      <w:proofErr w:type="spellEnd"/>
      <w:r w:rsidRPr="004621C9">
        <w:rPr>
          <w:rFonts w:ascii="Times New Roman" w:eastAsia="Times New Roman" w:hAnsi="Times New Roman" w:cs="Times New Roman"/>
          <w:color w:val="000000"/>
        </w:rPr>
        <w:t xml:space="preserve"> arrives at the tomb and the reunited couple ask her not to inform her brother, </w:t>
      </w:r>
      <w:proofErr w:type="spellStart"/>
      <w:r w:rsidRPr="004621C9">
        <w:rPr>
          <w:rFonts w:ascii="Times New Roman" w:eastAsia="Times New Roman" w:hAnsi="Times New Roman" w:cs="Times New Roman"/>
          <w:color w:val="000000"/>
        </w:rPr>
        <w:t>Theoclymeus</w:t>
      </w:r>
      <w:proofErr w:type="spellEnd"/>
      <w:r w:rsidRPr="004621C9">
        <w:rPr>
          <w:rFonts w:ascii="Times New Roman" w:eastAsia="Times New Roman" w:hAnsi="Times New Roman" w:cs="Times New Roman"/>
          <w:color w:val="000000"/>
        </w:rPr>
        <w:t>, and she agrees.</w:t>
      </w:r>
      <w:r w:rsidR="00685FAD">
        <w:rPr>
          <w:rStyle w:val="FootnoteReference"/>
          <w:rFonts w:ascii="Times New Roman" w:eastAsia="Times New Roman" w:hAnsi="Times New Roman" w:cs="Times New Roman"/>
          <w:color w:val="000000"/>
        </w:rPr>
        <w:footnoteReference w:id="115"/>
      </w:r>
      <w:r w:rsidR="00685FAD">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Helen forms their plan to escape, and whilst Menelaus is pretending to be a survivor from Menelaus’ ship they convince </w:t>
      </w:r>
      <w:proofErr w:type="spellStart"/>
      <w:r w:rsidRPr="004621C9">
        <w:rPr>
          <w:rFonts w:ascii="Times New Roman" w:eastAsia="Times New Roman" w:hAnsi="Times New Roman" w:cs="Times New Roman"/>
          <w:color w:val="000000"/>
        </w:rPr>
        <w:t>Theoclymenus</w:t>
      </w:r>
      <w:proofErr w:type="spellEnd"/>
      <w:r w:rsidRPr="004621C9">
        <w:rPr>
          <w:rFonts w:ascii="Times New Roman" w:eastAsia="Times New Roman" w:hAnsi="Times New Roman" w:cs="Times New Roman"/>
          <w:color w:val="000000"/>
        </w:rPr>
        <w:t xml:space="preserve"> that they need to perform Menelaus’ funeral rites out at sea. </w:t>
      </w:r>
      <w:proofErr w:type="spellStart"/>
      <w:r w:rsidRPr="004621C9">
        <w:rPr>
          <w:rFonts w:ascii="Times New Roman" w:eastAsia="Times New Roman" w:hAnsi="Times New Roman" w:cs="Times New Roman"/>
          <w:color w:val="000000"/>
        </w:rPr>
        <w:t>Theoclymenus</w:t>
      </w:r>
      <w:proofErr w:type="spellEnd"/>
      <w:r w:rsidRPr="004621C9">
        <w:rPr>
          <w:rFonts w:ascii="Times New Roman" w:eastAsia="Times New Roman" w:hAnsi="Times New Roman" w:cs="Times New Roman"/>
          <w:color w:val="000000"/>
        </w:rPr>
        <w:t xml:space="preserve"> gives Helen a ship and weapons, and Helen and Menelaus escape.</w:t>
      </w:r>
      <w:r w:rsidR="00685FAD">
        <w:rPr>
          <w:rStyle w:val="FootnoteReference"/>
          <w:rFonts w:ascii="Times New Roman" w:eastAsia="Times New Roman" w:hAnsi="Times New Roman" w:cs="Times New Roman"/>
          <w:color w:val="000000"/>
        </w:rPr>
        <w:footnoteReference w:id="116"/>
      </w:r>
      <w:r w:rsidR="00685FAD">
        <w:rPr>
          <w:rFonts w:ascii="Times New Roman" w:eastAsia="Times New Roman" w:hAnsi="Times New Roman" w:cs="Times New Roman"/>
          <w:color w:val="000000"/>
        </w:rPr>
        <w:t xml:space="preserve"> </w:t>
      </w:r>
      <w:proofErr w:type="spellStart"/>
      <w:r w:rsidRPr="004621C9">
        <w:rPr>
          <w:rFonts w:ascii="Times New Roman" w:eastAsia="Times New Roman" w:hAnsi="Times New Roman" w:cs="Times New Roman"/>
          <w:color w:val="000000"/>
        </w:rPr>
        <w:t>Theoclymenus</w:t>
      </w:r>
      <w:proofErr w:type="spellEnd"/>
      <w:r w:rsidRPr="004621C9">
        <w:rPr>
          <w:rFonts w:ascii="Times New Roman" w:eastAsia="Times New Roman" w:hAnsi="Times New Roman" w:cs="Times New Roman"/>
          <w:color w:val="000000"/>
        </w:rPr>
        <w:t xml:space="preserve"> is informed of what has happened by a Messenger and he is so angered he nearly kills his sister, but is stopped by the </w:t>
      </w:r>
      <w:proofErr w:type="spellStart"/>
      <w:proofErr w:type="gramStart"/>
      <w:r w:rsidRPr="004621C9">
        <w:rPr>
          <w:rFonts w:ascii="Times New Roman" w:eastAsia="Times New Roman" w:hAnsi="Times New Roman" w:cs="Times New Roman"/>
          <w:color w:val="000000"/>
        </w:rPr>
        <w:t>Dioscori</w:t>
      </w:r>
      <w:proofErr w:type="spellEnd"/>
      <w:r w:rsidRPr="004621C9">
        <w:rPr>
          <w:rFonts w:ascii="Times New Roman" w:eastAsia="Times New Roman" w:hAnsi="Times New Roman" w:cs="Times New Roman"/>
          <w:color w:val="000000"/>
        </w:rPr>
        <w:t>.[</w:t>
      </w:r>
      <w:proofErr w:type="gramEnd"/>
      <w:r w:rsidRPr="004621C9">
        <w:rPr>
          <w:rFonts w:ascii="Times New Roman" w:eastAsia="Times New Roman" w:hAnsi="Times New Roman" w:cs="Times New Roman"/>
          <w:color w:val="000000"/>
        </w:rPr>
        <w:t>66]</w:t>
      </w:r>
    </w:p>
    <w:p w14:paraId="7A7262B5" w14:textId="7777777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w:t>
      </w:r>
    </w:p>
    <w:p w14:paraId="1141B696" w14:textId="4F3915A6"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iCs/>
          <w:color w:val="000000"/>
        </w:rPr>
        <w:t xml:space="preserve">Helen </w:t>
      </w:r>
      <w:r w:rsidRPr="004621C9">
        <w:rPr>
          <w:rFonts w:ascii="Times New Roman" w:eastAsia="Times New Roman" w:hAnsi="Times New Roman" w:cs="Times New Roman"/>
          <w:color w:val="000000"/>
        </w:rPr>
        <w:t>opens in an unusual way compared to other tragedies. Instead of having a character of less significance introduce the play in the prologue, Helen herself narrates the story of what has happened to her, namely her story, whilst the Greek armies have been at Troy.</w:t>
      </w:r>
      <w:r w:rsidR="00685FAD">
        <w:rPr>
          <w:rStyle w:val="FootnoteReference"/>
          <w:rFonts w:ascii="Times New Roman" w:eastAsia="Times New Roman" w:hAnsi="Times New Roman" w:cs="Times New Roman"/>
          <w:color w:val="000000"/>
        </w:rPr>
        <w:footnoteReference w:id="117"/>
      </w:r>
      <w:r w:rsidR="00685FAD">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In giving Helen this opportunity, Euripides is putting her in control of her narrative. Helen’s role in common mythology is that of an adulteress and the cause of the Trojan War. This opening sets the scene of her empowerment. She can prove her virtue and demonstrate her lack of culpability for the Trojan War, which is attributed to her by mythology, which has led to hatred of her across Greece. This hatred is perceived with the arrival of </w:t>
      </w:r>
      <w:proofErr w:type="spellStart"/>
      <w:r w:rsidRPr="004621C9">
        <w:rPr>
          <w:rFonts w:ascii="Times New Roman" w:eastAsia="Times New Roman" w:hAnsi="Times New Roman" w:cs="Times New Roman"/>
          <w:color w:val="000000"/>
        </w:rPr>
        <w:t>Tecuer</w:t>
      </w:r>
      <w:proofErr w:type="spellEnd"/>
      <w:r w:rsidRPr="004621C9">
        <w:rPr>
          <w:rFonts w:ascii="Times New Roman" w:eastAsia="Times New Roman" w:hAnsi="Times New Roman" w:cs="Times New Roman"/>
          <w:color w:val="000000"/>
        </w:rPr>
        <w:t>, who takes her as having a likeness to the phantom widely believed to be Helen.</w:t>
      </w:r>
      <w:r w:rsidR="00685FAD">
        <w:rPr>
          <w:rStyle w:val="FootnoteReference"/>
          <w:rFonts w:ascii="Times New Roman" w:eastAsia="Times New Roman" w:hAnsi="Times New Roman" w:cs="Times New Roman"/>
          <w:color w:val="000000"/>
        </w:rPr>
        <w:footnoteReference w:id="118"/>
      </w:r>
      <w:r w:rsidRPr="004621C9">
        <w:rPr>
          <w:rFonts w:ascii="Times New Roman" w:eastAsia="Times New Roman" w:hAnsi="Times New Roman" w:cs="Times New Roman"/>
          <w:color w:val="000000"/>
        </w:rPr>
        <w:t xml:space="preserve"> Without revealing her identity, Helen discovers that her mother and brothers are dead and that it was partly because of her phantom’s actions.</w:t>
      </w:r>
      <w:r w:rsidR="00685FAD">
        <w:rPr>
          <w:rStyle w:val="FootnoteReference"/>
          <w:rFonts w:ascii="Times New Roman" w:eastAsia="Times New Roman" w:hAnsi="Times New Roman" w:cs="Times New Roman"/>
          <w:color w:val="000000"/>
        </w:rPr>
        <w:footnoteReference w:id="119"/>
      </w:r>
    </w:p>
    <w:p w14:paraId="210663A6" w14:textId="77777777" w:rsidR="004621C9" w:rsidRPr="004621C9" w:rsidRDefault="004621C9" w:rsidP="004621C9">
      <w:pPr>
        <w:spacing w:line="360" w:lineRule="auto"/>
        <w:rPr>
          <w:rFonts w:ascii="Times New Roman" w:eastAsia="Times New Roman" w:hAnsi="Times New Roman" w:cs="Times New Roman"/>
          <w:color w:val="000000"/>
        </w:rPr>
      </w:pPr>
    </w:p>
    <w:p w14:paraId="0D2991E7" w14:textId="628338C2"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She mourns not just for her family, but also for herself. She feels that as a result of her beauty she has suffered throughout her life: from being born from an egg, she has felt as though she is labelled as a “freak” from birth</w:t>
      </w:r>
      <w:r w:rsidR="00685FAD">
        <w:rPr>
          <w:rStyle w:val="FootnoteReference"/>
          <w:rFonts w:ascii="Times New Roman" w:eastAsia="Times New Roman" w:hAnsi="Times New Roman" w:cs="Times New Roman"/>
          <w:color w:val="000000"/>
        </w:rPr>
        <w:footnoteReference w:id="120"/>
      </w:r>
      <w:r w:rsidR="00685FAD">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and that her beauty has brought her much suffering since: “my very beauty led to my taking on an untrue and hideous appearance in the eyes of the world.”</w:t>
      </w:r>
      <w:r w:rsidR="00685FAD">
        <w:rPr>
          <w:rStyle w:val="FootnoteReference"/>
          <w:rFonts w:ascii="Times New Roman" w:eastAsia="Times New Roman" w:hAnsi="Times New Roman" w:cs="Times New Roman"/>
          <w:color w:val="000000"/>
        </w:rPr>
        <w:footnoteReference w:id="121"/>
      </w:r>
      <w:r w:rsidRPr="004621C9">
        <w:rPr>
          <w:rFonts w:ascii="Times New Roman" w:eastAsia="Times New Roman" w:hAnsi="Times New Roman" w:cs="Times New Roman"/>
          <w:color w:val="000000"/>
        </w:rPr>
        <w:t xml:space="preserve"> To other women, their beauty is a gift for them, but for Helen she does not view it as such, because it has brought her </w:t>
      </w:r>
      <w:r w:rsidRPr="004621C9">
        <w:rPr>
          <w:rFonts w:ascii="Times New Roman" w:eastAsia="Times New Roman" w:hAnsi="Times New Roman" w:cs="Times New Roman"/>
          <w:color w:val="000000"/>
        </w:rPr>
        <w:lastRenderedPageBreak/>
        <w:t>an abundance of trouble and grief. As a result of it, she is now hated by all Greeks, her mother and brothers are dead, and the entire Trojan War is blamed on her. </w:t>
      </w:r>
    </w:p>
    <w:p w14:paraId="0ECF000C" w14:textId="77777777" w:rsidR="004621C9" w:rsidRPr="004621C9" w:rsidRDefault="004621C9" w:rsidP="004621C9">
      <w:pPr>
        <w:spacing w:line="360" w:lineRule="auto"/>
        <w:rPr>
          <w:rFonts w:ascii="Times New Roman" w:eastAsia="Times New Roman" w:hAnsi="Times New Roman" w:cs="Times New Roman"/>
          <w:color w:val="000000"/>
        </w:rPr>
      </w:pPr>
    </w:p>
    <w:p w14:paraId="36417785" w14:textId="5C805F3E"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In Helen’s renunciation of her beauty, Euripides is showing a deconstruction of the external and internal aspects of women. In Teucer’s gratitude towards Helen and throughout the prologue, Euripides gives “back to his heroine a virtue that matched her beauty”</w:t>
      </w:r>
      <w:r w:rsidR="00685FAD">
        <w:rPr>
          <w:rStyle w:val="FootnoteReference"/>
          <w:rFonts w:ascii="Times New Roman" w:eastAsia="Times New Roman" w:hAnsi="Times New Roman" w:cs="Times New Roman"/>
          <w:color w:val="000000"/>
        </w:rPr>
        <w:footnoteReference w:id="122"/>
      </w:r>
      <w:r w:rsidRPr="004621C9">
        <w:rPr>
          <w:rFonts w:ascii="Times New Roman" w:eastAsia="Times New Roman" w:hAnsi="Times New Roman" w:cs="Times New Roman"/>
          <w:color w:val="000000"/>
        </w:rPr>
        <w:t xml:space="preserve"> in contrast to “the goodly apple rotten at the core”</w:t>
      </w:r>
      <w:r w:rsidR="00685FAD">
        <w:rPr>
          <w:rStyle w:val="FootnoteReference"/>
          <w:rFonts w:ascii="Times New Roman" w:eastAsia="Times New Roman" w:hAnsi="Times New Roman" w:cs="Times New Roman"/>
          <w:color w:val="000000"/>
        </w:rPr>
        <w:footnoteReference w:id="123"/>
      </w:r>
      <w:r w:rsidRPr="004621C9">
        <w:rPr>
          <w:rFonts w:ascii="Times New Roman" w:eastAsia="Times New Roman" w:hAnsi="Times New Roman" w:cs="Times New Roman"/>
          <w:color w:val="000000"/>
        </w:rPr>
        <w:t xml:space="preserve">  perceived by the Classical male gaze in the aftermath of the Trojan War. This Helen appears to care more about her reputation than her beauty, and holds her beauty responsible for the ruin of her reputation.</w:t>
      </w:r>
    </w:p>
    <w:p w14:paraId="0892F4C6" w14:textId="7777777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w:t>
      </w:r>
    </w:p>
    <w:p w14:paraId="08C5000A" w14:textId="76FF42F5"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In avoiding </w:t>
      </w:r>
      <w:proofErr w:type="spellStart"/>
      <w:r w:rsidRPr="004621C9">
        <w:rPr>
          <w:rFonts w:ascii="Times New Roman" w:eastAsia="Times New Roman" w:hAnsi="Times New Roman" w:cs="Times New Roman"/>
          <w:color w:val="000000"/>
        </w:rPr>
        <w:t>Theoclymenus</w:t>
      </w:r>
      <w:proofErr w:type="spellEnd"/>
      <w:r w:rsidRPr="004621C9">
        <w:rPr>
          <w:rFonts w:ascii="Times New Roman" w:eastAsia="Times New Roman" w:hAnsi="Times New Roman" w:cs="Times New Roman"/>
          <w:color w:val="000000"/>
        </w:rPr>
        <w:t>’ pursuit, Helen has used her intelligence to enable her to keep her distance from him until she is found by Menelaus. Her actions here can be considered as strategic, and therefore masculine, whilst simultaneously maintaining her role as an ideal wife. Later, when Helen and Menelaus realise their need to escape from Egypt, Menelaus suggests a plan which Helen remarks will not be effective. Helen assertively offers: “listen Menelaus: a woman’s plan might work” and lays out her idea,</w:t>
      </w:r>
      <w:r w:rsidR="00545B68">
        <w:rPr>
          <w:rStyle w:val="FootnoteReference"/>
          <w:rFonts w:ascii="Times New Roman" w:eastAsia="Times New Roman" w:hAnsi="Times New Roman" w:cs="Times New Roman"/>
          <w:color w:val="000000"/>
        </w:rPr>
        <w:footnoteReference w:id="124"/>
      </w:r>
      <w:r w:rsidRPr="004621C9">
        <w:rPr>
          <w:rFonts w:ascii="Times New Roman" w:eastAsia="Times New Roman" w:hAnsi="Times New Roman" w:cs="Times New Roman"/>
          <w:color w:val="000000"/>
        </w:rPr>
        <w:t xml:space="preserve"> which Menelaus is not quite certain of to begin with, and every part he is unsure of, he questions her, but Helen appears to have thought through each aspect. In not just coming up with the plan, but also pointing out where Menelaus’ plans would go wrong, Helen shows herself to be knowledgeable about Egypt after living there for seventeen years, and again demonstrates her strategic capacity. </w:t>
      </w:r>
    </w:p>
    <w:p w14:paraId="06FD7383" w14:textId="7AF0BCEC"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br w:type="page"/>
      </w:r>
    </w:p>
    <w:p w14:paraId="008C96E9" w14:textId="5FBC2372" w:rsidR="004621C9" w:rsidRPr="004621C9" w:rsidRDefault="004621C9" w:rsidP="004621C9">
      <w:pPr>
        <w:pStyle w:val="Heading2"/>
        <w:spacing w:line="360" w:lineRule="auto"/>
        <w:rPr>
          <w:rFonts w:ascii="Times New Roman" w:eastAsia="Times New Roman" w:hAnsi="Times New Roman"/>
        </w:rPr>
      </w:pPr>
      <w:bookmarkStart w:id="3" w:name="_Toc47557329"/>
      <w:r w:rsidRPr="004621C9">
        <w:rPr>
          <w:rFonts w:ascii="Times New Roman" w:eastAsia="Times New Roman" w:hAnsi="Times New Roman"/>
        </w:rPr>
        <w:lastRenderedPageBreak/>
        <w:t>Chapter Three – Discussion</w:t>
      </w:r>
      <w:bookmarkEnd w:id="3"/>
    </w:p>
    <w:p w14:paraId="78C62C22" w14:textId="77777777" w:rsidR="004621C9" w:rsidRPr="004621C9" w:rsidRDefault="004621C9" w:rsidP="004621C9">
      <w:pPr>
        <w:spacing w:line="360" w:lineRule="auto"/>
        <w:rPr>
          <w:rFonts w:ascii="Times New Roman" w:hAnsi="Times New Roman"/>
        </w:rPr>
      </w:pPr>
    </w:p>
    <w:p w14:paraId="44451300" w14:textId="06CB11E8"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Whilst Electra externalises her need to change her circumstances, pushes the limitations of her gender and status and therefore negatively impacts the social order, Helen conforms and internalises these challenges, and uses her female role to achieve her aims. She is assertive whilst maintaining her feminine role and rather than simply portraying a masculinisation of the female protagonist, Euripides</w:t>
      </w:r>
      <w:r w:rsidRPr="004621C9">
        <w:rPr>
          <w:rFonts w:ascii="Times New Roman" w:eastAsia="Times New Roman" w:hAnsi="Times New Roman" w:cs="Times New Roman"/>
          <w:iCs/>
          <w:color w:val="000000"/>
        </w:rPr>
        <w:t xml:space="preserve"> </w:t>
      </w:r>
      <w:r w:rsidRPr="004621C9">
        <w:rPr>
          <w:rFonts w:ascii="Times New Roman" w:eastAsia="Times New Roman" w:hAnsi="Times New Roman" w:cs="Times New Roman"/>
          <w:color w:val="000000"/>
        </w:rPr>
        <w:t>also illustrates Helen’s rejection of aspects of her feminine identity.</w:t>
      </w:r>
      <w:r w:rsidR="00567317">
        <w:rPr>
          <w:rStyle w:val="FootnoteReference"/>
          <w:rFonts w:ascii="Times New Roman" w:eastAsia="Times New Roman" w:hAnsi="Times New Roman" w:cs="Times New Roman"/>
          <w:color w:val="000000"/>
        </w:rPr>
        <w:footnoteReference w:id="125"/>
      </w:r>
      <w:r w:rsidR="00567317">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Helen upholds many of duties expected of any wife, even whilst she is in a foreign land and being pursued by another man. But her control of the escape plan and her strategic success in maintaining her virtue and security during her time in Egypt run counter to Classical Athenian expectations of women</w:t>
      </w:r>
      <w:r w:rsidR="00567317">
        <w:rPr>
          <w:rFonts w:ascii="Times New Roman" w:eastAsia="Times New Roman" w:hAnsi="Times New Roman" w:cs="Times New Roman"/>
          <w:color w:val="000000"/>
        </w:rPr>
        <w:t>.</w:t>
      </w:r>
      <w:r w:rsidR="00567317">
        <w:rPr>
          <w:rStyle w:val="FootnoteReference"/>
          <w:rFonts w:ascii="Times New Roman" w:eastAsia="Times New Roman" w:hAnsi="Times New Roman" w:cs="Times New Roman"/>
          <w:color w:val="000000"/>
        </w:rPr>
        <w:footnoteReference w:id="126"/>
      </w:r>
    </w:p>
    <w:p w14:paraId="28F6B97F" w14:textId="77777777" w:rsidR="004621C9" w:rsidRPr="004621C9" w:rsidRDefault="004621C9" w:rsidP="004621C9">
      <w:pPr>
        <w:spacing w:line="360" w:lineRule="auto"/>
        <w:rPr>
          <w:rFonts w:ascii="Times New Roman" w:eastAsia="Times New Roman" w:hAnsi="Times New Roman" w:cs="Times New Roman"/>
          <w:color w:val="000000"/>
        </w:rPr>
      </w:pPr>
    </w:p>
    <w:p w14:paraId="2F6174CA" w14:textId="77777777" w:rsidR="00567317"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In her rejection of her beauty Helen is rejecting an integral aspect of her femininity and her identity. </w:t>
      </w:r>
      <w:proofErr w:type="spellStart"/>
      <w:r w:rsidRPr="004621C9">
        <w:rPr>
          <w:rFonts w:ascii="Times New Roman" w:eastAsia="Times New Roman" w:hAnsi="Times New Roman" w:cs="Times New Roman"/>
          <w:color w:val="000000"/>
        </w:rPr>
        <w:t>Cawthorn</w:t>
      </w:r>
      <w:proofErr w:type="spellEnd"/>
      <w:r w:rsidRPr="004621C9">
        <w:rPr>
          <w:rFonts w:ascii="Times New Roman" w:eastAsia="Times New Roman" w:hAnsi="Times New Roman" w:cs="Times New Roman"/>
          <w:color w:val="000000"/>
        </w:rPr>
        <w:t xml:space="preserve"> argues that male protagonists become more feminised in tragedy, this is clearly evidenced in the character of Orestes but Menelaus also loses some of his masculinity. The once great hero is depicted in rags for the majority of his time on the stage, and does not hold the same power that he is used to commanding, because he is not the king of this land. Pippin states that</w:t>
      </w:r>
      <w:r w:rsidR="00567317">
        <w:rPr>
          <w:rFonts w:ascii="Times New Roman" w:eastAsia="Times New Roman" w:hAnsi="Times New Roman" w:cs="Times New Roman"/>
          <w:color w:val="000000"/>
        </w:rPr>
        <w:t>:</w:t>
      </w:r>
    </w:p>
    <w:p w14:paraId="500A2F78" w14:textId="77777777" w:rsidR="00567317" w:rsidRDefault="004621C9" w:rsidP="00567317">
      <w:pPr>
        <w:spacing w:line="360" w:lineRule="auto"/>
        <w:ind w:left="567" w:right="567"/>
        <w:rPr>
          <w:rFonts w:ascii="Times New Roman" w:eastAsia="Times New Roman" w:hAnsi="Times New Roman" w:cs="Times New Roman"/>
          <w:color w:val="000000"/>
        </w:rPr>
      </w:pPr>
      <w:r w:rsidRPr="004621C9">
        <w:rPr>
          <w:rFonts w:ascii="Times New Roman" w:eastAsia="Times New Roman" w:hAnsi="Times New Roman" w:cs="Times New Roman"/>
          <w:color w:val="000000"/>
        </w:rPr>
        <w:t>“he may sometimes pose as a man who value action above all things … but in fact his actions are all done in the service of his reputation … for otherwise his Trojan fame will be soiled.”</w:t>
      </w:r>
      <w:r w:rsidR="00567317">
        <w:rPr>
          <w:rStyle w:val="FootnoteReference"/>
          <w:rFonts w:ascii="Times New Roman" w:eastAsia="Times New Roman" w:hAnsi="Times New Roman" w:cs="Times New Roman"/>
          <w:color w:val="000000"/>
        </w:rPr>
        <w:footnoteReference w:id="127"/>
      </w:r>
      <w:r w:rsidRPr="004621C9">
        <w:rPr>
          <w:rFonts w:ascii="Times New Roman" w:eastAsia="Times New Roman" w:hAnsi="Times New Roman" w:cs="Times New Roman"/>
          <w:color w:val="000000"/>
        </w:rPr>
        <w:t xml:space="preserve"> </w:t>
      </w:r>
    </w:p>
    <w:p w14:paraId="1C371674" w14:textId="117EFF05"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His feminisation in this regard serves to emphasise Helen’s rejection of aspects of her feminine identity. Her assertion of her intelligence and ingenuity when calculating their escape plan, shows that unlike Electra’s character, Helen does not display a need for dominance in every relationship she has during the play. Instead the masculine traits Helen displays are subtler, but are also accented with her rejection of aspects of her feminine identity</w:t>
      </w:r>
      <w:r w:rsidR="00567317">
        <w:rPr>
          <w:rFonts w:ascii="Times New Roman" w:eastAsia="Times New Roman" w:hAnsi="Times New Roman" w:cs="Times New Roman"/>
          <w:color w:val="000000"/>
          <w:sz w:val="16"/>
          <w:szCs w:val="16"/>
        </w:rPr>
        <w:t>.</w:t>
      </w:r>
    </w:p>
    <w:p w14:paraId="08652767" w14:textId="77777777" w:rsidR="004621C9" w:rsidRPr="004621C9" w:rsidRDefault="004621C9" w:rsidP="004621C9">
      <w:pPr>
        <w:spacing w:line="360" w:lineRule="auto"/>
        <w:rPr>
          <w:rFonts w:ascii="Times New Roman" w:eastAsia="Times New Roman" w:hAnsi="Times New Roman" w:cs="Times New Roman"/>
          <w:color w:val="000000"/>
        </w:rPr>
      </w:pPr>
    </w:p>
    <w:p w14:paraId="2BA543EE" w14:textId="7777777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It could be argued that as a result of Orestes and Electra not being a couple, that they are a split binary, each incomplete, and without each being in an appropriate marriage they are an unbalanced unit. This, when added to the tragedy they have already experienced, polarises them by pushing them to the extremes of behaviour and the boundaries of the social order. Helen and Menelaus, on the other hand, are married. Their binaries and genders coexist as a balanced unit, non-threatening to the status quo. </w:t>
      </w:r>
    </w:p>
    <w:p w14:paraId="7E2BCD0F" w14:textId="77777777" w:rsidR="004621C9" w:rsidRPr="004621C9" w:rsidRDefault="004621C9" w:rsidP="004621C9">
      <w:pPr>
        <w:spacing w:line="360" w:lineRule="auto"/>
        <w:rPr>
          <w:rFonts w:ascii="Times New Roman" w:eastAsia="Times New Roman" w:hAnsi="Times New Roman" w:cs="Times New Roman"/>
          <w:color w:val="000000"/>
        </w:rPr>
      </w:pPr>
    </w:p>
    <w:p w14:paraId="7166C337" w14:textId="3E70B1EE"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sz w:val="22"/>
          <w:szCs w:val="22"/>
        </w:rPr>
        <w:t xml:space="preserve">While both female protagonists take on some masculine behaviours, according to </w:t>
      </w:r>
      <w:proofErr w:type="spellStart"/>
      <w:r w:rsidRPr="004621C9">
        <w:rPr>
          <w:rFonts w:ascii="Times New Roman" w:eastAsia="Times New Roman" w:hAnsi="Times New Roman" w:cs="Times New Roman"/>
          <w:color w:val="000000"/>
          <w:sz w:val="22"/>
          <w:szCs w:val="22"/>
        </w:rPr>
        <w:t>Cawthorn’s</w:t>
      </w:r>
      <w:proofErr w:type="spellEnd"/>
      <w:r w:rsidRPr="004621C9">
        <w:rPr>
          <w:rFonts w:ascii="Times New Roman" w:eastAsia="Times New Roman" w:hAnsi="Times New Roman" w:cs="Times New Roman"/>
          <w:color w:val="000000"/>
          <w:sz w:val="22"/>
          <w:szCs w:val="22"/>
        </w:rPr>
        <w:t xml:space="preserve"> performance theory part of the tragedy of these ancient plays is the feminisation of the male hero</w:t>
      </w:r>
      <w:r w:rsidR="00567317">
        <w:rPr>
          <w:rFonts w:ascii="Times New Roman" w:eastAsia="Times New Roman" w:hAnsi="Times New Roman" w:cs="Times New Roman"/>
          <w:color w:val="000000"/>
          <w:sz w:val="22"/>
          <w:szCs w:val="22"/>
        </w:rPr>
        <w:t>.</w:t>
      </w:r>
      <w:r w:rsidR="00567317">
        <w:rPr>
          <w:rStyle w:val="FootnoteReference"/>
          <w:rFonts w:ascii="Times New Roman" w:eastAsia="Times New Roman" w:hAnsi="Times New Roman" w:cs="Times New Roman"/>
          <w:color w:val="000000"/>
          <w:sz w:val="22"/>
          <w:szCs w:val="22"/>
        </w:rPr>
        <w:footnoteReference w:id="128"/>
      </w:r>
      <w:r w:rsidRPr="004621C9">
        <w:rPr>
          <w:rFonts w:ascii="Times New Roman" w:eastAsia="Times New Roman" w:hAnsi="Times New Roman" w:cs="Times New Roman"/>
          <w:color w:val="000000"/>
          <w:sz w:val="22"/>
          <w:szCs w:val="22"/>
        </w:rPr>
        <w:t xml:space="preserve"> Examples of this can be seen in both Orestes and Menelaus. In </w:t>
      </w:r>
      <w:r w:rsidRPr="004621C9">
        <w:rPr>
          <w:rFonts w:ascii="Times New Roman" w:eastAsia="Times New Roman" w:hAnsi="Times New Roman" w:cs="Times New Roman"/>
          <w:iCs/>
          <w:color w:val="000000"/>
          <w:sz w:val="22"/>
          <w:szCs w:val="22"/>
        </w:rPr>
        <w:t>Electra</w:t>
      </w:r>
      <w:r w:rsidRPr="004621C9">
        <w:rPr>
          <w:rFonts w:ascii="Times New Roman" w:eastAsia="Times New Roman" w:hAnsi="Times New Roman" w:cs="Times New Roman"/>
          <w:color w:val="000000"/>
          <w:sz w:val="22"/>
          <w:szCs w:val="22"/>
        </w:rPr>
        <w:t xml:space="preserve"> Orestes’ masculinity appears to become depleted through the course of the play, and his behaviour is antithetical to that of an epic hero</w:t>
      </w:r>
      <w:r w:rsidR="00567317">
        <w:rPr>
          <w:rFonts w:ascii="Times New Roman" w:eastAsia="Times New Roman" w:hAnsi="Times New Roman" w:cs="Times New Roman"/>
          <w:color w:val="000000"/>
          <w:sz w:val="22"/>
          <w:szCs w:val="22"/>
        </w:rPr>
        <w:t>,</w:t>
      </w:r>
      <w:r w:rsidR="00567317">
        <w:rPr>
          <w:rStyle w:val="FootnoteReference"/>
          <w:rFonts w:ascii="Times New Roman" w:eastAsia="Times New Roman" w:hAnsi="Times New Roman" w:cs="Times New Roman"/>
          <w:color w:val="000000"/>
          <w:sz w:val="22"/>
          <w:szCs w:val="22"/>
        </w:rPr>
        <w:footnoteReference w:id="129"/>
      </w:r>
      <w:r w:rsidRPr="004621C9">
        <w:rPr>
          <w:rFonts w:ascii="Times New Roman" w:eastAsia="Times New Roman" w:hAnsi="Times New Roman" w:cs="Times New Roman"/>
          <w:color w:val="000000"/>
          <w:sz w:val="22"/>
          <w:szCs w:val="22"/>
        </w:rPr>
        <w:t xml:space="preserve"> which enables Electra to take on the role instead. Menelaus is ragged in his appearance in contrast to his depiction in past mythology. He allows his wife to take charge and is passive throughout the execution of their plan to escape. These actions, or lack of them, intensify the masculine traits being portrayed by their female counterparts. It is clear that both Helen and Electra, and Orestes and Menelaus, display different aspects of femininity and masculinity. Electra is more masculine than Helen, but Orestes is more feminine than Menelaus. Orestes’ lack of courage and unwillingness to fully avenge Agamemnon goes against Xenophon’s description of masculine traits, but does fall under the fearful disposition that women have been granted a larger share whereas Electra does not seem to have this fear. It appears as though there is a gender reversal between the siblings during this moment, having surpassed his masculinity with her own and extends the masculine portrayal into the feminisation of the male protagonist. Electra’s obsessiveness in avenging her father’s death leaves logic and reasoning behind and in her irrational need for this revenge Electra combines the masculine realm of death and revenge, with the feminine realm of obsession.</w:t>
      </w:r>
      <w:r w:rsidR="00567317">
        <w:rPr>
          <w:rStyle w:val="FootnoteReference"/>
          <w:rFonts w:ascii="Times New Roman" w:eastAsia="Times New Roman" w:hAnsi="Times New Roman" w:cs="Times New Roman"/>
          <w:color w:val="000000"/>
          <w:sz w:val="22"/>
          <w:szCs w:val="22"/>
        </w:rPr>
        <w:footnoteReference w:id="130"/>
      </w:r>
    </w:p>
    <w:p w14:paraId="0E5BFE1C" w14:textId="77777777" w:rsidR="004621C9" w:rsidRPr="004621C9" w:rsidRDefault="004621C9" w:rsidP="004621C9">
      <w:pPr>
        <w:spacing w:line="360" w:lineRule="auto"/>
        <w:rPr>
          <w:rFonts w:ascii="Times New Roman" w:eastAsia="Times New Roman" w:hAnsi="Times New Roman" w:cs="Times New Roman"/>
          <w:color w:val="000000"/>
        </w:rPr>
      </w:pPr>
    </w:p>
    <w:p w14:paraId="7A3025A6" w14:textId="200F298E"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rPr>
        <w:t>Once the male hides his true self he risks feminisation</w:t>
      </w:r>
      <w:r w:rsidR="00567317">
        <w:rPr>
          <w:rFonts w:ascii="Times New Roman" w:eastAsia="Times New Roman" w:hAnsi="Times New Roman" w:cs="Times New Roman"/>
          <w:color w:val="000000"/>
        </w:rPr>
        <w:t>.</w:t>
      </w:r>
      <w:r w:rsidR="00567317">
        <w:rPr>
          <w:rStyle w:val="FootnoteReference"/>
          <w:rFonts w:ascii="Times New Roman" w:eastAsia="Times New Roman" w:hAnsi="Times New Roman" w:cs="Times New Roman"/>
          <w:color w:val="000000"/>
        </w:rPr>
        <w:footnoteReference w:id="131"/>
      </w:r>
      <w:r w:rsidRPr="004621C9">
        <w:rPr>
          <w:rFonts w:ascii="Times New Roman" w:eastAsia="Times New Roman" w:hAnsi="Times New Roman" w:cs="Times New Roman"/>
          <w:color w:val="000000"/>
        </w:rPr>
        <w:t xml:space="preserve"> This can be applied to the male protagonists in both plays who hide or disguise their identity, and can also apply to the male Athenian actors playing women. This adds further complexity to the boundaries and fluidity of gender and patriarchal status within the metaphysical space of the stage, and as a confusing material reality</w:t>
      </w:r>
      <w:r w:rsidR="00567317">
        <w:rPr>
          <w:rFonts w:ascii="Times New Roman" w:eastAsia="Times New Roman" w:hAnsi="Times New Roman" w:cs="Times New Roman"/>
          <w:color w:val="000000"/>
        </w:rPr>
        <w:t>.</w:t>
      </w:r>
      <w:r w:rsidR="00567317">
        <w:rPr>
          <w:rStyle w:val="FootnoteReference"/>
          <w:rFonts w:ascii="Times New Roman" w:eastAsia="Times New Roman" w:hAnsi="Times New Roman" w:cs="Times New Roman"/>
          <w:color w:val="000000"/>
        </w:rPr>
        <w:footnoteReference w:id="132"/>
      </w:r>
      <w:r w:rsidRPr="004621C9">
        <w:rPr>
          <w:rFonts w:ascii="Times New Roman" w:eastAsia="Times New Roman" w:hAnsi="Times New Roman" w:cs="Times New Roman"/>
          <w:color w:val="000000"/>
        </w:rPr>
        <w:t xml:space="preserve"> Men are playing women on stage, so their actual normative bodies have become female. </w:t>
      </w:r>
      <w:proofErr w:type="spellStart"/>
      <w:r w:rsidRPr="004621C9">
        <w:rPr>
          <w:rFonts w:ascii="Times New Roman" w:eastAsia="Times New Roman" w:hAnsi="Times New Roman" w:cs="Times New Roman"/>
          <w:color w:val="000000"/>
        </w:rPr>
        <w:t>Cawthorn</w:t>
      </w:r>
      <w:proofErr w:type="spellEnd"/>
      <w:r w:rsidRPr="004621C9">
        <w:rPr>
          <w:rFonts w:ascii="Times New Roman" w:eastAsia="Times New Roman" w:hAnsi="Times New Roman" w:cs="Times New Roman"/>
          <w:color w:val="000000"/>
        </w:rPr>
        <w:t xml:space="preserve"> states,</w:t>
      </w:r>
      <w:r w:rsidR="00567317">
        <w:rPr>
          <w:rFonts w:ascii="Times New Roman" w:eastAsia="Times New Roman" w:hAnsi="Times New Roman" w:cs="Times New Roman"/>
          <w:color w:val="000000"/>
        </w:rPr>
        <w:t xml:space="preserve"> </w:t>
      </w:r>
      <w:r w:rsidRPr="004621C9">
        <w:rPr>
          <w:rFonts w:ascii="Times New Roman" w:eastAsia="Times New Roman" w:hAnsi="Times New Roman" w:cs="Times New Roman"/>
          <w:color w:val="000000"/>
        </w:rPr>
        <w:t xml:space="preserve">“the normative Athenian male body … becomes this </w:t>
      </w:r>
      <w:r w:rsidRPr="004621C9">
        <w:rPr>
          <w:rFonts w:ascii="Times New Roman" w:eastAsia="Times New Roman" w:hAnsi="Times New Roman" w:cs="Times New Roman"/>
          <w:iCs/>
          <w:color w:val="000000"/>
        </w:rPr>
        <w:t>other</w:t>
      </w:r>
      <w:r w:rsidRPr="004621C9">
        <w:rPr>
          <w:rFonts w:ascii="Times New Roman" w:eastAsia="Times New Roman" w:hAnsi="Times New Roman" w:cs="Times New Roman"/>
          <w:color w:val="000000"/>
        </w:rPr>
        <w:t xml:space="preserve"> body, female, animal, mad, barbarian, on the tragic stage.”</w:t>
      </w:r>
      <w:r w:rsidR="00567317">
        <w:rPr>
          <w:rStyle w:val="FootnoteReference"/>
          <w:rFonts w:ascii="Times New Roman" w:eastAsia="Times New Roman" w:hAnsi="Times New Roman" w:cs="Times New Roman"/>
          <w:color w:val="000000"/>
        </w:rPr>
        <w:footnoteReference w:id="133"/>
      </w:r>
      <w:r w:rsidRPr="004621C9">
        <w:rPr>
          <w:rFonts w:ascii="Times New Roman" w:eastAsia="Times New Roman" w:hAnsi="Times New Roman" w:cs="Times New Roman"/>
          <w:color w:val="000000"/>
        </w:rPr>
        <w:t xml:space="preserve"> Tragedy decentres the male hero allowing the feminine to become centred is the discussion. Within the Athenian city the theatre was in the public male sphere of society, however, the tragedy performed within it was centred around the normally private domestic issues contained within the feminine sphere of the house.</w:t>
      </w:r>
      <w:r w:rsidR="00567317">
        <w:rPr>
          <w:rStyle w:val="FootnoteReference"/>
          <w:rFonts w:ascii="Times New Roman" w:eastAsia="Times New Roman" w:hAnsi="Times New Roman" w:cs="Times New Roman"/>
          <w:color w:val="000000"/>
        </w:rPr>
        <w:footnoteReference w:id="134"/>
      </w:r>
    </w:p>
    <w:p w14:paraId="24215B53" w14:textId="77777777" w:rsidR="004621C9" w:rsidRPr="004621C9" w:rsidRDefault="004621C9" w:rsidP="004621C9">
      <w:pPr>
        <w:spacing w:line="360" w:lineRule="auto"/>
        <w:rPr>
          <w:rFonts w:ascii="Times New Roman" w:eastAsia="Times New Roman" w:hAnsi="Times New Roman" w:cs="Times New Roman"/>
          <w:color w:val="000000"/>
        </w:rPr>
      </w:pPr>
    </w:p>
    <w:p w14:paraId="2EB9491C" w14:textId="19EDA07B" w:rsidR="004621C9" w:rsidRPr="004621C9" w:rsidRDefault="004621C9" w:rsidP="004621C9">
      <w:pPr>
        <w:spacing w:line="360" w:lineRule="auto"/>
        <w:rPr>
          <w:rFonts w:ascii="Times New Roman" w:eastAsia="Times New Roman" w:hAnsi="Times New Roman" w:cs="Times New Roman"/>
          <w:color w:val="000000"/>
        </w:rPr>
      </w:pPr>
      <w:proofErr w:type="spellStart"/>
      <w:r w:rsidRPr="004621C9">
        <w:rPr>
          <w:rFonts w:ascii="Times New Roman" w:eastAsia="Times New Roman" w:hAnsi="Times New Roman" w:cs="Times New Roman"/>
          <w:color w:val="000000"/>
          <w:sz w:val="22"/>
          <w:szCs w:val="22"/>
        </w:rPr>
        <w:lastRenderedPageBreak/>
        <w:t>Fantham</w:t>
      </w:r>
      <w:proofErr w:type="spellEnd"/>
      <w:r w:rsidRPr="004621C9">
        <w:rPr>
          <w:rFonts w:ascii="Times New Roman" w:eastAsia="Times New Roman" w:hAnsi="Times New Roman" w:cs="Times New Roman"/>
          <w:color w:val="000000"/>
          <w:sz w:val="22"/>
          <w:szCs w:val="22"/>
        </w:rPr>
        <w:t xml:space="preserve"> states that Greek drama reflects potential life issues and problems. However, the problems that Helen and Electra are faced with are not those that would have been faced by the audience. These well</w:t>
      </w:r>
      <w:r w:rsidR="00567317">
        <w:rPr>
          <w:rFonts w:ascii="Times New Roman" w:eastAsia="Times New Roman" w:hAnsi="Times New Roman" w:cs="Times New Roman"/>
          <w:color w:val="000000"/>
          <w:sz w:val="22"/>
          <w:szCs w:val="22"/>
        </w:rPr>
        <w:t>-</w:t>
      </w:r>
      <w:r w:rsidRPr="004621C9">
        <w:rPr>
          <w:rFonts w:ascii="Times New Roman" w:eastAsia="Times New Roman" w:hAnsi="Times New Roman" w:cs="Times New Roman"/>
          <w:color w:val="000000"/>
          <w:sz w:val="22"/>
          <w:szCs w:val="22"/>
        </w:rPr>
        <w:t xml:space="preserve">known mythological stories were primarily used as a form of entertainment and catharsis for the audience to enjoy during the City Dionysia. In this context although audiences may have sought and found relief from their day to day pressures within the Greek theatre, notions about women and gender roles could have reflected some aspects of everyday Athenian life, such as issues with family relationships. These </w:t>
      </w:r>
      <w:proofErr w:type="spellStart"/>
      <w:r w:rsidRPr="004621C9">
        <w:rPr>
          <w:rFonts w:ascii="Times New Roman" w:eastAsia="Times New Roman" w:hAnsi="Times New Roman" w:cs="Times New Roman"/>
          <w:color w:val="000000"/>
          <w:sz w:val="22"/>
          <w:szCs w:val="22"/>
        </w:rPr>
        <w:t>Euripidean</w:t>
      </w:r>
      <w:proofErr w:type="spellEnd"/>
      <w:r w:rsidRPr="004621C9">
        <w:rPr>
          <w:rFonts w:ascii="Times New Roman" w:eastAsia="Times New Roman" w:hAnsi="Times New Roman" w:cs="Times New Roman"/>
          <w:color w:val="000000"/>
          <w:sz w:val="22"/>
          <w:szCs w:val="22"/>
        </w:rPr>
        <w:t xml:space="preserve"> characters, along with others, go far beyond the exaggeration of “popular ideology.”</w:t>
      </w:r>
      <w:r w:rsidR="00567317">
        <w:rPr>
          <w:rFonts w:ascii="Times New Roman" w:eastAsia="Times New Roman" w:hAnsi="Times New Roman" w:cs="Times New Roman"/>
          <w:color w:val="000000"/>
          <w:sz w:val="22"/>
          <w:szCs w:val="22"/>
        </w:rPr>
        <w:t xml:space="preserve"> </w:t>
      </w:r>
      <w:r w:rsidR="00567317">
        <w:rPr>
          <w:rStyle w:val="FootnoteReference"/>
          <w:rFonts w:ascii="Times New Roman" w:eastAsia="Times New Roman" w:hAnsi="Times New Roman" w:cs="Times New Roman"/>
          <w:color w:val="000000"/>
          <w:sz w:val="22"/>
          <w:szCs w:val="22"/>
        </w:rPr>
        <w:footnoteReference w:id="135"/>
      </w:r>
      <w:r w:rsidRPr="004621C9">
        <w:rPr>
          <w:rFonts w:ascii="Times New Roman" w:eastAsia="Times New Roman" w:hAnsi="Times New Roman" w:cs="Times New Roman"/>
          <w:color w:val="000000"/>
          <w:sz w:val="22"/>
          <w:szCs w:val="22"/>
        </w:rPr>
        <w:t xml:space="preserve"> Helen and particularly Electra, are stepping away from the roles of the ideal woman, as laid out by Xenophon and Plato. Pomeroy claims that the elevation of the female characters in Sophocles and Aeschylus provides them with the status of epic heroes, divorced from Athenian women’s lives, and that </w:t>
      </w:r>
      <w:proofErr w:type="spellStart"/>
      <w:r w:rsidRPr="004621C9">
        <w:rPr>
          <w:rFonts w:ascii="Times New Roman" w:eastAsia="Times New Roman" w:hAnsi="Times New Roman" w:cs="Times New Roman"/>
          <w:color w:val="000000"/>
          <w:sz w:val="22"/>
          <w:szCs w:val="22"/>
        </w:rPr>
        <w:t>Euripidean</w:t>
      </w:r>
      <w:proofErr w:type="spellEnd"/>
      <w:r w:rsidRPr="004621C9">
        <w:rPr>
          <w:rFonts w:ascii="Times New Roman" w:eastAsia="Times New Roman" w:hAnsi="Times New Roman" w:cs="Times New Roman"/>
          <w:color w:val="000000"/>
          <w:sz w:val="22"/>
          <w:szCs w:val="22"/>
        </w:rPr>
        <w:t xml:space="preserve"> female characters are “scaled down closer to real life.”</w:t>
      </w:r>
      <w:r w:rsidR="00567317">
        <w:rPr>
          <w:rStyle w:val="FootnoteReference"/>
          <w:rFonts w:ascii="Times New Roman" w:eastAsia="Times New Roman" w:hAnsi="Times New Roman" w:cs="Times New Roman"/>
          <w:color w:val="000000"/>
          <w:sz w:val="22"/>
          <w:szCs w:val="22"/>
        </w:rPr>
        <w:footnoteReference w:id="136"/>
      </w:r>
      <w:r w:rsidRPr="004621C9">
        <w:rPr>
          <w:rFonts w:ascii="Times New Roman" w:eastAsia="Times New Roman" w:hAnsi="Times New Roman" w:cs="Times New Roman"/>
          <w:color w:val="000000"/>
          <w:sz w:val="22"/>
          <w:szCs w:val="22"/>
        </w:rPr>
        <w:t xml:space="preserve"> An alternative reading evidenced in both Helen and Electra, is that they have been written with a detailed emotional infrastructure and a keen awareness of their roles within the binary hierarchical nature of the Classical Athenian cultural hegemony. Pomeroy refers to the tendency of scholars to assume that these characters must have been based on women known to them rather than being plucked from the myth, [Pomeroy, 1975: 94] because they are relatable and believable, rather than two dimensional representations of the elite. But there is no evidence for this and without evidence it is not appropriate to make assumptions about real women as opposed to poetic characters.</w:t>
      </w:r>
      <w:r w:rsidR="00567317">
        <w:rPr>
          <w:rStyle w:val="FootnoteReference"/>
          <w:rFonts w:ascii="Times New Roman" w:eastAsia="Times New Roman" w:hAnsi="Times New Roman" w:cs="Times New Roman"/>
          <w:color w:val="000000"/>
          <w:sz w:val="22"/>
          <w:szCs w:val="22"/>
        </w:rPr>
        <w:footnoteReference w:id="137"/>
      </w:r>
      <w:r w:rsidRPr="004621C9">
        <w:rPr>
          <w:rFonts w:ascii="Times New Roman" w:eastAsia="Times New Roman" w:hAnsi="Times New Roman" w:cs="Times New Roman"/>
          <w:color w:val="000000"/>
          <w:sz w:val="22"/>
          <w:szCs w:val="22"/>
        </w:rPr>
        <w:t xml:space="preserve"> It is, however, a reflection of the quality of Euripides’ writing.</w:t>
      </w:r>
    </w:p>
    <w:p w14:paraId="1536755E" w14:textId="77777777" w:rsidR="004621C9" w:rsidRPr="004621C9" w:rsidRDefault="004621C9" w:rsidP="004621C9">
      <w:pPr>
        <w:spacing w:line="360" w:lineRule="auto"/>
        <w:rPr>
          <w:rFonts w:ascii="Times New Roman" w:eastAsia="Times New Roman" w:hAnsi="Times New Roman" w:cs="Times New Roman"/>
          <w:color w:val="000000"/>
        </w:rPr>
      </w:pPr>
    </w:p>
    <w:p w14:paraId="6541417B" w14:textId="64A0AD78"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sz w:val="22"/>
          <w:szCs w:val="22"/>
        </w:rPr>
        <w:t>Euripides was a popular playwright, being chosen to compete in the City Dionysia twenty-two times.</w:t>
      </w:r>
      <w:r w:rsidR="00567317">
        <w:rPr>
          <w:rStyle w:val="FootnoteReference"/>
          <w:rFonts w:ascii="Times New Roman" w:eastAsia="Times New Roman" w:hAnsi="Times New Roman" w:cs="Times New Roman"/>
          <w:color w:val="000000"/>
          <w:sz w:val="22"/>
          <w:szCs w:val="22"/>
        </w:rPr>
        <w:footnoteReference w:id="138"/>
      </w:r>
      <w:r w:rsidRPr="004621C9">
        <w:rPr>
          <w:rFonts w:ascii="Times New Roman" w:eastAsia="Times New Roman" w:hAnsi="Times New Roman" w:cs="Times New Roman"/>
          <w:color w:val="000000"/>
          <w:sz w:val="22"/>
          <w:szCs w:val="22"/>
        </w:rPr>
        <w:t xml:space="preserve"> His popularity could be related to his understanding that the society he lived in was designed around a patriarchal culture that both produced male ideas of women and contained the lived experience of women in ways which inevitably led to their suppression.</w:t>
      </w:r>
      <w:r w:rsidR="00567317">
        <w:rPr>
          <w:rStyle w:val="FootnoteReference"/>
          <w:rFonts w:ascii="Times New Roman" w:eastAsia="Times New Roman" w:hAnsi="Times New Roman" w:cs="Times New Roman"/>
          <w:color w:val="000000"/>
          <w:sz w:val="22"/>
          <w:szCs w:val="22"/>
        </w:rPr>
        <w:footnoteReference w:id="139"/>
      </w:r>
      <w:r w:rsidRPr="004621C9">
        <w:rPr>
          <w:rFonts w:ascii="Times New Roman" w:eastAsia="Times New Roman" w:hAnsi="Times New Roman" w:cs="Times New Roman"/>
          <w:color w:val="000000"/>
          <w:sz w:val="22"/>
          <w:szCs w:val="22"/>
        </w:rPr>
        <w:t xml:space="preserve"> As </w:t>
      </w:r>
      <w:proofErr w:type="spellStart"/>
      <w:r w:rsidRPr="004621C9">
        <w:rPr>
          <w:rFonts w:ascii="Times New Roman" w:eastAsia="Times New Roman" w:hAnsi="Times New Roman" w:cs="Times New Roman"/>
          <w:color w:val="000000"/>
          <w:sz w:val="22"/>
          <w:szCs w:val="22"/>
        </w:rPr>
        <w:t>Cawthorn</w:t>
      </w:r>
      <w:proofErr w:type="spellEnd"/>
      <w:r w:rsidRPr="004621C9">
        <w:rPr>
          <w:rFonts w:ascii="Times New Roman" w:eastAsia="Times New Roman" w:hAnsi="Times New Roman" w:cs="Times New Roman"/>
          <w:color w:val="000000"/>
          <w:sz w:val="22"/>
          <w:szCs w:val="22"/>
        </w:rPr>
        <w:t xml:space="preserve"> comments, these </w:t>
      </w:r>
      <w:proofErr w:type="spellStart"/>
      <w:r w:rsidRPr="004621C9">
        <w:rPr>
          <w:rFonts w:ascii="Times New Roman" w:eastAsia="Times New Roman" w:hAnsi="Times New Roman" w:cs="Times New Roman"/>
          <w:color w:val="000000"/>
          <w:sz w:val="22"/>
          <w:szCs w:val="22"/>
        </w:rPr>
        <w:t>tellings</w:t>
      </w:r>
      <w:proofErr w:type="spellEnd"/>
      <w:r w:rsidRPr="004621C9">
        <w:rPr>
          <w:rFonts w:ascii="Times New Roman" w:eastAsia="Times New Roman" w:hAnsi="Times New Roman" w:cs="Times New Roman"/>
          <w:color w:val="000000"/>
          <w:sz w:val="22"/>
          <w:szCs w:val="22"/>
        </w:rPr>
        <w:t xml:space="preserve"> of Helen and Electra are created and viewed through a male perspective, however, the feminine is not able to be held in the male discourse,</w:t>
      </w:r>
      <w:r w:rsidR="0088338F">
        <w:rPr>
          <w:rStyle w:val="FootnoteReference"/>
          <w:rFonts w:ascii="Times New Roman" w:eastAsia="Times New Roman" w:hAnsi="Times New Roman" w:cs="Times New Roman"/>
          <w:color w:val="000000"/>
          <w:sz w:val="22"/>
          <w:szCs w:val="22"/>
        </w:rPr>
        <w:footnoteReference w:id="140"/>
      </w:r>
      <w:r w:rsidRPr="004621C9">
        <w:rPr>
          <w:rFonts w:ascii="Times New Roman" w:eastAsia="Times New Roman" w:hAnsi="Times New Roman" w:cs="Times New Roman"/>
          <w:color w:val="000000"/>
          <w:sz w:val="22"/>
          <w:szCs w:val="22"/>
        </w:rPr>
        <w:t xml:space="preserve"> despite Electra being brought back under control, the knowledge that she was </w:t>
      </w:r>
      <w:proofErr w:type="spellStart"/>
      <w:r w:rsidRPr="004621C9">
        <w:rPr>
          <w:rFonts w:ascii="Times New Roman" w:eastAsia="Times New Roman" w:hAnsi="Times New Roman" w:cs="Times New Roman"/>
          <w:color w:val="000000"/>
          <w:sz w:val="22"/>
          <w:szCs w:val="22"/>
        </w:rPr>
        <w:t>untrammeled</w:t>
      </w:r>
      <w:proofErr w:type="spellEnd"/>
      <w:r w:rsidRPr="004621C9">
        <w:rPr>
          <w:rFonts w:ascii="Times New Roman" w:eastAsia="Times New Roman" w:hAnsi="Times New Roman" w:cs="Times New Roman"/>
          <w:color w:val="000000"/>
          <w:sz w:val="22"/>
          <w:szCs w:val="22"/>
        </w:rPr>
        <w:t xml:space="preserve"> will be remembered. Helen has contained herself, which in itself could be viewed as an act of resistance.</w:t>
      </w:r>
      <w:r w:rsidR="0088338F">
        <w:rPr>
          <w:rStyle w:val="FootnoteReference"/>
          <w:rFonts w:ascii="Times New Roman" w:eastAsia="Times New Roman" w:hAnsi="Times New Roman" w:cs="Times New Roman"/>
          <w:color w:val="000000"/>
          <w:sz w:val="22"/>
          <w:szCs w:val="22"/>
        </w:rPr>
        <w:footnoteReference w:id="141"/>
      </w:r>
      <w:r w:rsidRPr="004621C9">
        <w:rPr>
          <w:rFonts w:ascii="Times New Roman" w:eastAsia="Times New Roman" w:hAnsi="Times New Roman" w:cs="Times New Roman"/>
          <w:color w:val="000000"/>
          <w:sz w:val="22"/>
          <w:szCs w:val="22"/>
        </w:rPr>
        <w:t xml:space="preserve"> Interestingly, Helen cannot control the phantom of herself, causing her to want to separate herself from her name: “that Helen was not I, only my name</w:t>
      </w:r>
      <w:r w:rsidR="0088338F">
        <w:rPr>
          <w:rFonts w:ascii="Times New Roman" w:eastAsia="Times New Roman" w:hAnsi="Times New Roman" w:cs="Times New Roman"/>
          <w:color w:val="000000"/>
          <w:sz w:val="22"/>
          <w:szCs w:val="22"/>
        </w:rPr>
        <w:t>.</w:t>
      </w:r>
      <w:r w:rsidRPr="004621C9">
        <w:rPr>
          <w:rFonts w:ascii="Times New Roman" w:eastAsia="Times New Roman" w:hAnsi="Times New Roman" w:cs="Times New Roman"/>
          <w:color w:val="000000"/>
          <w:sz w:val="22"/>
          <w:szCs w:val="22"/>
        </w:rPr>
        <w:t>”</w:t>
      </w:r>
      <w:r w:rsidR="0088338F">
        <w:rPr>
          <w:rStyle w:val="FootnoteReference"/>
          <w:rFonts w:ascii="Times New Roman" w:eastAsia="Times New Roman" w:hAnsi="Times New Roman" w:cs="Times New Roman"/>
          <w:color w:val="000000"/>
          <w:sz w:val="22"/>
          <w:szCs w:val="22"/>
        </w:rPr>
        <w:footnoteReference w:id="142"/>
      </w:r>
      <w:r w:rsidRPr="004621C9">
        <w:rPr>
          <w:rFonts w:ascii="Times New Roman" w:eastAsia="Times New Roman" w:hAnsi="Times New Roman" w:cs="Times New Roman"/>
          <w:color w:val="000000"/>
          <w:sz w:val="22"/>
          <w:szCs w:val="22"/>
        </w:rPr>
        <w:t xml:space="preserve"> This difficulty with identity and the boundaries of the personal ownership of the body is a concern which </w:t>
      </w:r>
      <w:proofErr w:type="spellStart"/>
      <w:r w:rsidRPr="004621C9">
        <w:rPr>
          <w:rFonts w:ascii="Times New Roman" w:eastAsia="Times New Roman" w:hAnsi="Times New Roman" w:cs="Times New Roman"/>
          <w:color w:val="000000"/>
          <w:sz w:val="22"/>
          <w:szCs w:val="22"/>
        </w:rPr>
        <w:t>Cawthorn</w:t>
      </w:r>
      <w:proofErr w:type="spellEnd"/>
      <w:r w:rsidRPr="004621C9">
        <w:rPr>
          <w:rFonts w:ascii="Times New Roman" w:eastAsia="Times New Roman" w:hAnsi="Times New Roman" w:cs="Times New Roman"/>
          <w:color w:val="000000"/>
          <w:sz w:val="22"/>
          <w:szCs w:val="22"/>
        </w:rPr>
        <w:t xml:space="preserve"> notes in Euripides’ work</w:t>
      </w:r>
      <w:r w:rsidR="0088338F">
        <w:rPr>
          <w:rFonts w:ascii="Times New Roman" w:eastAsia="Times New Roman" w:hAnsi="Times New Roman" w:cs="Times New Roman"/>
          <w:color w:val="000000"/>
          <w:sz w:val="22"/>
          <w:szCs w:val="22"/>
        </w:rPr>
        <w:t>.</w:t>
      </w:r>
      <w:r w:rsidR="0088338F">
        <w:rPr>
          <w:rStyle w:val="FootnoteReference"/>
          <w:rFonts w:ascii="Times New Roman" w:eastAsia="Times New Roman" w:hAnsi="Times New Roman" w:cs="Times New Roman"/>
          <w:color w:val="000000"/>
          <w:sz w:val="22"/>
          <w:szCs w:val="22"/>
        </w:rPr>
        <w:footnoteReference w:id="143"/>
      </w:r>
      <w:r w:rsidRPr="004621C9">
        <w:rPr>
          <w:rFonts w:ascii="Times New Roman" w:eastAsia="Times New Roman" w:hAnsi="Times New Roman" w:cs="Times New Roman"/>
          <w:color w:val="000000"/>
          <w:sz w:val="22"/>
          <w:szCs w:val="22"/>
        </w:rPr>
        <w:t xml:space="preserve"> </w:t>
      </w:r>
    </w:p>
    <w:p w14:paraId="1379FD94" w14:textId="77777777" w:rsidR="004621C9" w:rsidRPr="004621C9" w:rsidRDefault="004621C9" w:rsidP="004621C9">
      <w:pPr>
        <w:spacing w:after="240" w:line="360" w:lineRule="auto"/>
        <w:rPr>
          <w:rFonts w:ascii="Times New Roman" w:eastAsia="Times New Roman" w:hAnsi="Times New Roman" w:cs="Times New Roman"/>
          <w:color w:val="000000"/>
        </w:rPr>
      </w:pPr>
    </w:p>
    <w:p w14:paraId="4A01CDD6" w14:textId="39FA8492"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sz w:val="22"/>
          <w:szCs w:val="22"/>
        </w:rPr>
        <w:t xml:space="preserve">Both Electra and Helen are high status Spartan women, and as such the expectations of masculine and feminine in behaviour and appearance are at variants with those in Classical Athens. Spartan women were educated differently to Athenian women, and had similar lessons to the men, such as physical training and </w:t>
      </w:r>
      <w:proofErr w:type="spellStart"/>
      <w:r w:rsidRPr="004621C9">
        <w:rPr>
          <w:rFonts w:ascii="Times New Roman" w:eastAsia="Times New Roman" w:hAnsi="Times New Roman" w:cs="Times New Roman"/>
          <w:iCs/>
          <w:color w:val="000000"/>
          <w:sz w:val="22"/>
          <w:szCs w:val="22"/>
        </w:rPr>
        <w:t>mousike</w:t>
      </w:r>
      <w:proofErr w:type="spellEnd"/>
      <w:r w:rsidRPr="004621C9">
        <w:rPr>
          <w:rFonts w:ascii="Times New Roman" w:eastAsia="Times New Roman" w:hAnsi="Times New Roman" w:cs="Times New Roman"/>
          <w:color w:val="000000"/>
          <w:sz w:val="22"/>
          <w:szCs w:val="22"/>
        </w:rPr>
        <w:t>, they were considered to have most likely been the “healthiest of Greek women” in contrast to the much less active Athenian women.</w:t>
      </w:r>
      <w:r w:rsidR="0088338F">
        <w:rPr>
          <w:rStyle w:val="FootnoteReference"/>
          <w:rFonts w:ascii="Times New Roman" w:eastAsia="Times New Roman" w:hAnsi="Times New Roman" w:cs="Times New Roman"/>
          <w:color w:val="000000"/>
          <w:sz w:val="22"/>
          <w:szCs w:val="22"/>
        </w:rPr>
        <w:footnoteReference w:id="144"/>
      </w:r>
      <w:r w:rsidRPr="004621C9">
        <w:rPr>
          <w:rFonts w:ascii="Times New Roman" w:eastAsia="Times New Roman" w:hAnsi="Times New Roman" w:cs="Times New Roman"/>
          <w:color w:val="000000"/>
          <w:sz w:val="22"/>
          <w:szCs w:val="22"/>
        </w:rPr>
        <w:t xml:space="preserve"> As a result, it is possible that the characterisation of Helen and Electra given to them by Euripides for the consumption of a Classical Athenian audience are not so much portrayals of masculine or de-feminised women, but that they are foreign, other, and perceived as masculine through the filter of the Athenian audience. The ancient evidence of Spartan women, was written by non-Spartan authors, who probably had never visited Sparta</w:t>
      </w:r>
      <w:r w:rsidR="006E0F4C">
        <w:rPr>
          <w:rFonts w:ascii="Times New Roman" w:eastAsia="Times New Roman" w:hAnsi="Times New Roman" w:cs="Times New Roman"/>
          <w:color w:val="000000"/>
          <w:sz w:val="22"/>
          <w:szCs w:val="22"/>
        </w:rPr>
        <w:t>.</w:t>
      </w:r>
      <w:r w:rsidR="006E0F4C">
        <w:rPr>
          <w:rStyle w:val="FootnoteReference"/>
          <w:rFonts w:ascii="Times New Roman" w:eastAsia="Times New Roman" w:hAnsi="Times New Roman" w:cs="Times New Roman"/>
          <w:color w:val="000000"/>
          <w:sz w:val="22"/>
          <w:szCs w:val="22"/>
        </w:rPr>
        <w:footnoteReference w:id="145"/>
      </w:r>
      <w:r w:rsidRPr="004621C9">
        <w:rPr>
          <w:rFonts w:ascii="Times New Roman" w:eastAsia="Times New Roman" w:hAnsi="Times New Roman" w:cs="Times New Roman"/>
          <w:color w:val="000000"/>
          <w:sz w:val="22"/>
          <w:szCs w:val="22"/>
        </w:rPr>
        <w:t xml:space="preserve"> The subsequent differing definitions of masculine and feminine, or at least different expectations and reception of notions of masculine and feminine lead to a layering of narrative discourse. The history and the plays are written by men, and by Athenians, which is a male discourse and narrative and an Athenian discourse and narrative, providing the presentation of Spartan women’s experiences by Athenian males to an Athenian audience, which may or may not have included women</w:t>
      </w:r>
      <w:r w:rsidR="006E0F4C">
        <w:rPr>
          <w:rFonts w:ascii="Times New Roman" w:eastAsia="Times New Roman" w:hAnsi="Times New Roman" w:cs="Times New Roman"/>
          <w:color w:val="000000"/>
          <w:sz w:val="22"/>
          <w:szCs w:val="22"/>
        </w:rPr>
        <w:t>,</w:t>
      </w:r>
      <w:r w:rsidR="006E0F4C">
        <w:rPr>
          <w:rStyle w:val="FootnoteReference"/>
          <w:rFonts w:ascii="Times New Roman" w:eastAsia="Times New Roman" w:hAnsi="Times New Roman" w:cs="Times New Roman"/>
          <w:color w:val="000000"/>
          <w:sz w:val="22"/>
          <w:szCs w:val="22"/>
        </w:rPr>
        <w:footnoteReference w:id="146"/>
      </w:r>
      <w:r w:rsidRPr="004621C9">
        <w:rPr>
          <w:rFonts w:ascii="Times New Roman" w:eastAsia="Times New Roman" w:hAnsi="Times New Roman" w:cs="Times New Roman"/>
          <w:color w:val="000000"/>
          <w:sz w:val="22"/>
          <w:szCs w:val="22"/>
        </w:rPr>
        <w:t xml:space="preserve"> leads to a performative intersectionality that has little to do with the status and lived experience of Spartan women themselves. In addition to this, Euripides has merged the characters of his plays set in the Bronze Age with the female etiquette of Classical Athens:</w:t>
      </w:r>
    </w:p>
    <w:p w14:paraId="424277FD" w14:textId="77777777" w:rsidR="004621C9" w:rsidRPr="004621C9" w:rsidRDefault="004621C9" w:rsidP="004621C9">
      <w:pPr>
        <w:spacing w:line="360" w:lineRule="auto"/>
        <w:rPr>
          <w:rFonts w:ascii="Times New Roman" w:eastAsia="Times New Roman" w:hAnsi="Times New Roman" w:cs="Times New Roman"/>
          <w:color w:val="000000"/>
        </w:rPr>
      </w:pPr>
    </w:p>
    <w:p w14:paraId="0B01F84F" w14:textId="5B047388" w:rsidR="004621C9" w:rsidRPr="004621C9" w:rsidRDefault="004621C9" w:rsidP="00567317">
      <w:pPr>
        <w:spacing w:line="360" w:lineRule="auto"/>
        <w:ind w:left="927" w:right="567" w:hanging="360"/>
        <w:rPr>
          <w:rFonts w:ascii="Times New Roman" w:eastAsia="Times New Roman" w:hAnsi="Times New Roman" w:cs="Times New Roman"/>
          <w:color w:val="000000"/>
        </w:rPr>
      </w:pPr>
      <w:r w:rsidRPr="004621C9">
        <w:rPr>
          <w:rFonts w:ascii="Times New Roman" w:eastAsia="Times New Roman" w:hAnsi="Times New Roman" w:cs="Times New Roman"/>
          <w:color w:val="000000"/>
        </w:rPr>
        <w:t xml:space="preserve">“Although the dramatic date is the Bronze Age, the comments of various characters on questions of female etiquette in </w:t>
      </w:r>
      <w:proofErr w:type="spellStart"/>
      <w:r w:rsidRPr="004621C9">
        <w:rPr>
          <w:rFonts w:ascii="Times New Roman" w:eastAsia="Times New Roman" w:hAnsi="Times New Roman" w:cs="Times New Roman"/>
          <w:color w:val="000000"/>
        </w:rPr>
        <w:t>Euripidean</w:t>
      </w:r>
      <w:proofErr w:type="spellEnd"/>
      <w:r w:rsidRPr="004621C9">
        <w:rPr>
          <w:rFonts w:ascii="Times New Roman" w:eastAsia="Times New Roman" w:hAnsi="Times New Roman" w:cs="Times New Roman"/>
          <w:color w:val="000000"/>
        </w:rPr>
        <w:t xml:space="preserve"> tragedy anachronistically agree with the conventions of Classical Athens: women especially unmarried ones, should remain indoors; they should not adorn themselves nor go outdoors while their husbands are away, nor should they converse with men in public; out of doors a woman should wear a veil; she should not look at a man in the face, not even her husband.” </w:t>
      </w:r>
      <w:r w:rsidR="006E0F4C">
        <w:rPr>
          <w:rStyle w:val="FootnoteReference"/>
          <w:rFonts w:ascii="Times New Roman" w:eastAsia="Times New Roman" w:hAnsi="Times New Roman" w:cs="Times New Roman"/>
          <w:color w:val="000000"/>
        </w:rPr>
        <w:footnoteReference w:id="147"/>
      </w:r>
    </w:p>
    <w:p w14:paraId="659FA88B" w14:textId="77777777" w:rsidR="004621C9" w:rsidRPr="004621C9" w:rsidRDefault="004621C9" w:rsidP="004621C9">
      <w:pPr>
        <w:spacing w:line="360" w:lineRule="auto"/>
        <w:rPr>
          <w:rFonts w:ascii="Times New Roman" w:eastAsia="Times New Roman" w:hAnsi="Times New Roman" w:cs="Times New Roman"/>
          <w:color w:val="000000"/>
        </w:rPr>
      </w:pPr>
    </w:p>
    <w:p w14:paraId="3911BF07" w14:textId="77777777" w:rsidR="004621C9" w:rsidRPr="004621C9" w:rsidRDefault="004621C9" w:rsidP="004621C9">
      <w:pPr>
        <w:spacing w:line="360" w:lineRule="auto"/>
        <w:rPr>
          <w:rFonts w:ascii="Times New Roman" w:eastAsia="Times New Roman" w:hAnsi="Times New Roman" w:cs="Times New Roman"/>
          <w:color w:val="000000"/>
        </w:rPr>
      </w:pPr>
      <w:r w:rsidRPr="004621C9">
        <w:rPr>
          <w:rFonts w:ascii="Times New Roman" w:eastAsia="Times New Roman" w:hAnsi="Times New Roman" w:cs="Times New Roman"/>
          <w:color w:val="000000"/>
          <w:sz w:val="22"/>
          <w:szCs w:val="22"/>
        </w:rPr>
        <w:t>It is clear that whilst Helen conforms to these conventions, Electra does not. This is in contrast to the character of Sophocles and Aeschylus, whose female characters … [Pomeroy, 1975: 112]. </w:t>
      </w:r>
    </w:p>
    <w:p w14:paraId="78DA43E9" w14:textId="201DF433" w:rsidR="004621C9" w:rsidRPr="004621C9" w:rsidRDefault="004621C9" w:rsidP="004621C9">
      <w:pPr>
        <w:spacing w:line="360" w:lineRule="auto"/>
        <w:rPr>
          <w:rFonts w:ascii="Times New Roman" w:eastAsia="Times New Roman" w:hAnsi="Times New Roman" w:cs="Times New Roman"/>
          <w:color w:val="000000"/>
          <w:sz w:val="22"/>
          <w:szCs w:val="22"/>
        </w:rPr>
      </w:pPr>
      <w:r w:rsidRPr="004621C9">
        <w:rPr>
          <w:rFonts w:ascii="Times New Roman" w:eastAsia="Times New Roman" w:hAnsi="Times New Roman" w:cs="Times New Roman"/>
          <w:color w:val="000000"/>
        </w:rPr>
        <w:br/>
      </w:r>
      <w:r w:rsidRPr="004621C9">
        <w:rPr>
          <w:rFonts w:ascii="Times New Roman" w:eastAsia="Times New Roman" w:hAnsi="Times New Roman" w:cs="Times New Roman"/>
          <w:color w:val="000000"/>
          <w:sz w:val="22"/>
          <w:szCs w:val="22"/>
        </w:rPr>
        <w:t>The Athenian playwrights, although they had probably never visited Sparta, were keen to present Spartan women on the Athenian stage, “unlike Athenian women, whose voices were silenced, Spartans may perhaps be heard through several literary sources</w:t>
      </w:r>
      <w:r w:rsidR="006E0F4C">
        <w:rPr>
          <w:rFonts w:ascii="Times New Roman" w:eastAsia="Times New Roman" w:hAnsi="Times New Roman" w:cs="Times New Roman"/>
          <w:color w:val="000000"/>
          <w:sz w:val="22"/>
          <w:szCs w:val="22"/>
        </w:rPr>
        <w:t>.</w:t>
      </w:r>
      <w:r w:rsidRPr="004621C9">
        <w:rPr>
          <w:rFonts w:ascii="Times New Roman" w:eastAsia="Times New Roman" w:hAnsi="Times New Roman" w:cs="Times New Roman"/>
          <w:color w:val="000000"/>
          <w:sz w:val="22"/>
          <w:szCs w:val="22"/>
        </w:rPr>
        <w:t>”</w:t>
      </w:r>
      <w:r w:rsidR="006E0F4C">
        <w:rPr>
          <w:rStyle w:val="FootnoteReference"/>
          <w:rFonts w:ascii="Times New Roman" w:eastAsia="Times New Roman" w:hAnsi="Times New Roman" w:cs="Times New Roman"/>
          <w:color w:val="000000"/>
          <w:sz w:val="22"/>
          <w:szCs w:val="22"/>
        </w:rPr>
        <w:footnoteReference w:id="148"/>
      </w:r>
      <w:r w:rsidRPr="004621C9">
        <w:rPr>
          <w:rFonts w:ascii="Times New Roman" w:eastAsia="Times New Roman" w:hAnsi="Times New Roman" w:cs="Times New Roman"/>
          <w:color w:val="000000"/>
          <w:sz w:val="22"/>
          <w:szCs w:val="22"/>
        </w:rPr>
        <w:t xml:space="preserve"> </w:t>
      </w:r>
      <w:r w:rsidR="006E0F4C">
        <w:rPr>
          <w:rFonts w:ascii="Times New Roman" w:eastAsia="Times New Roman" w:hAnsi="Times New Roman" w:cs="Times New Roman"/>
          <w:color w:val="000000"/>
          <w:sz w:val="22"/>
          <w:szCs w:val="22"/>
        </w:rPr>
        <w:t xml:space="preserve"> </w:t>
      </w:r>
      <w:r w:rsidRPr="004621C9">
        <w:rPr>
          <w:rFonts w:ascii="Times New Roman" w:eastAsia="Times New Roman" w:hAnsi="Times New Roman" w:cs="Times New Roman"/>
          <w:color w:val="000000"/>
          <w:sz w:val="22"/>
          <w:szCs w:val="22"/>
        </w:rPr>
        <w:t xml:space="preserve">The foreignness of Spartan women presented opportunities to </w:t>
      </w:r>
      <w:r w:rsidRPr="004621C9">
        <w:rPr>
          <w:rFonts w:ascii="Times New Roman" w:eastAsia="Times New Roman" w:hAnsi="Times New Roman" w:cs="Times New Roman"/>
          <w:color w:val="000000"/>
          <w:sz w:val="22"/>
          <w:szCs w:val="22"/>
        </w:rPr>
        <w:lastRenderedPageBreak/>
        <w:t>dramatists to portray women in ways that were not permitted in discussing Athenian women. This enables the playwright to use the female body as a space for discussing and interpreting society itself.</w:t>
      </w:r>
      <w:r w:rsidR="006E0F4C">
        <w:rPr>
          <w:rStyle w:val="FootnoteReference"/>
          <w:rFonts w:ascii="Times New Roman" w:eastAsia="Times New Roman" w:hAnsi="Times New Roman" w:cs="Times New Roman"/>
          <w:color w:val="000000"/>
          <w:sz w:val="22"/>
          <w:szCs w:val="22"/>
        </w:rPr>
        <w:footnoteReference w:id="149"/>
      </w:r>
      <w:r w:rsidRPr="004621C9">
        <w:rPr>
          <w:rFonts w:ascii="Times New Roman" w:eastAsia="Times New Roman" w:hAnsi="Times New Roman" w:cs="Times New Roman"/>
          <w:color w:val="000000"/>
          <w:sz w:val="22"/>
          <w:szCs w:val="22"/>
        </w:rPr>
        <w:t xml:space="preserve"> It is possible to read both Helen and Electra as vehicles for exploring and sometimes disrupting ideals of masculine/feminine, Greek/barbarian, Athenian/Spartan, high status / low status and household / state.</w:t>
      </w:r>
      <w:r w:rsidR="00AA1E29">
        <w:rPr>
          <w:rStyle w:val="FootnoteReference"/>
          <w:rFonts w:ascii="Times New Roman" w:eastAsia="Times New Roman" w:hAnsi="Times New Roman" w:cs="Times New Roman"/>
          <w:color w:val="000000"/>
          <w:sz w:val="22"/>
          <w:szCs w:val="22"/>
        </w:rPr>
        <w:footnoteReference w:id="150"/>
      </w:r>
      <w:r w:rsidRPr="004621C9">
        <w:rPr>
          <w:rFonts w:ascii="Times New Roman" w:eastAsia="Times New Roman" w:hAnsi="Times New Roman" w:cs="Times New Roman"/>
          <w:color w:val="000000"/>
          <w:sz w:val="22"/>
          <w:szCs w:val="22"/>
        </w:rPr>
        <w:t xml:space="preserve"> The plays </w:t>
      </w:r>
      <w:r w:rsidRPr="004621C9">
        <w:rPr>
          <w:rFonts w:ascii="Times New Roman" w:eastAsia="Times New Roman" w:hAnsi="Times New Roman" w:cs="Times New Roman"/>
          <w:iCs/>
          <w:color w:val="000000"/>
          <w:sz w:val="22"/>
          <w:szCs w:val="22"/>
        </w:rPr>
        <w:t>Helen</w:t>
      </w:r>
      <w:r w:rsidRPr="004621C9">
        <w:rPr>
          <w:rFonts w:ascii="Times New Roman" w:eastAsia="Times New Roman" w:hAnsi="Times New Roman" w:cs="Times New Roman"/>
          <w:color w:val="000000"/>
          <w:sz w:val="22"/>
          <w:szCs w:val="22"/>
        </w:rPr>
        <w:t xml:space="preserve"> and </w:t>
      </w:r>
      <w:r w:rsidRPr="004621C9">
        <w:rPr>
          <w:rFonts w:ascii="Times New Roman" w:eastAsia="Times New Roman" w:hAnsi="Times New Roman" w:cs="Times New Roman"/>
          <w:iCs/>
          <w:color w:val="000000"/>
          <w:sz w:val="22"/>
          <w:szCs w:val="22"/>
        </w:rPr>
        <w:t>Electra</w:t>
      </w:r>
      <w:r w:rsidRPr="004621C9">
        <w:rPr>
          <w:rFonts w:ascii="Times New Roman" w:eastAsia="Times New Roman" w:hAnsi="Times New Roman" w:cs="Times New Roman"/>
          <w:color w:val="000000"/>
          <w:sz w:val="22"/>
          <w:szCs w:val="22"/>
        </w:rPr>
        <w:t xml:space="preserve"> may also reflect and serve as political vehicles. Electra was written c.420 BCE, at the end of the first part of the Peloponnesian War, and Helen was written in 412 BCE, a year after the end of the Peace of Nicias and the beginning of the second part of the Peloponnesian War. In choosing to write about Spartan women in a time that the Athenians were at war with Sparta, Euripides may be exploring the ramifications of a state exhausted by war. The phantom Helen created a war that did not need to take place, rendering the trauma to the state and loss of life meaningless. The real Helen’s sorrow at the war, and rejection of the beauty which caused it, allows Euripides to open up a theatrical space for the audience to explore disillusionment with the Peloponnesian War, however Allan disputes this reading.</w:t>
      </w:r>
      <w:r w:rsidR="009C7ABD">
        <w:rPr>
          <w:rStyle w:val="FootnoteReference"/>
          <w:rFonts w:ascii="Times New Roman" w:eastAsia="Times New Roman" w:hAnsi="Times New Roman" w:cs="Times New Roman"/>
          <w:color w:val="000000"/>
          <w:sz w:val="22"/>
          <w:szCs w:val="22"/>
        </w:rPr>
        <w:footnoteReference w:id="151"/>
      </w:r>
    </w:p>
    <w:p w14:paraId="14C8143C" w14:textId="5ABD0741" w:rsidR="004621C9" w:rsidRPr="004621C9" w:rsidRDefault="004621C9" w:rsidP="004621C9">
      <w:pPr>
        <w:spacing w:line="360" w:lineRule="auto"/>
        <w:rPr>
          <w:rFonts w:ascii="Times New Roman" w:eastAsia="Times New Roman" w:hAnsi="Times New Roman" w:cs="Times New Roman"/>
        </w:rPr>
      </w:pPr>
      <w:r w:rsidRPr="004621C9">
        <w:rPr>
          <w:rFonts w:ascii="Times New Roman" w:eastAsia="Times New Roman" w:hAnsi="Times New Roman" w:cs="Times New Roman"/>
        </w:rPr>
        <w:br w:type="page"/>
      </w:r>
    </w:p>
    <w:p w14:paraId="20CC3111" w14:textId="53371DE4" w:rsidR="004621C9" w:rsidRPr="004621C9" w:rsidRDefault="004621C9" w:rsidP="004621C9">
      <w:pPr>
        <w:pStyle w:val="Heading2"/>
        <w:spacing w:line="360" w:lineRule="auto"/>
        <w:rPr>
          <w:rFonts w:ascii="Times New Roman" w:eastAsia="Times New Roman" w:hAnsi="Times New Roman"/>
        </w:rPr>
      </w:pPr>
      <w:bookmarkStart w:id="4" w:name="_Toc47557330"/>
      <w:r w:rsidRPr="004621C9">
        <w:rPr>
          <w:rFonts w:ascii="Times New Roman" w:eastAsia="Times New Roman" w:hAnsi="Times New Roman"/>
        </w:rPr>
        <w:lastRenderedPageBreak/>
        <w:t>Conclusion</w:t>
      </w:r>
      <w:bookmarkEnd w:id="4"/>
    </w:p>
    <w:p w14:paraId="04828847" w14:textId="1EB2B41B" w:rsidR="004621C9" w:rsidRPr="004621C9" w:rsidRDefault="004621C9" w:rsidP="004621C9">
      <w:pPr>
        <w:spacing w:line="360" w:lineRule="auto"/>
        <w:rPr>
          <w:rFonts w:ascii="Times New Roman" w:hAnsi="Times New Roman"/>
        </w:rPr>
      </w:pPr>
    </w:p>
    <w:p w14:paraId="019AAAAF" w14:textId="7F3AFD78" w:rsidR="004621C9" w:rsidRPr="004621C9" w:rsidRDefault="004621C9" w:rsidP="004621C9">
      <w:pPr>
        <w:spacing w:line="360" w:lineRule="auto"/>
        <w:rPr>
          <w:rFonts w:ascii="Times New Roman" w:eastAsia="Times New Roman" w:hAnsi="Times New Roman" w:cs="Times New Roman"/>
          <w:color w:val="000000" w:themeColor="text1"/>
        </w:rPr>
      </w:pPr>
      <w:r w:rsidRPr="004621C9">
        <w:rPr>
          <w:rFonts w:ascii="Times New Roman" w:eastAsia="Times New Roman" w:hAnsi="Times New Roman" w:cs="Times New Roman"/>
          <w:color w:val="000000" w:themeColor="text1"/>
        </w:rPr>
        <w:t xml:space="preserve">This dissertation has considered the </w:t>
      </w:r>
      <w:proofErr w:type="spellStart"/>
      <w:r w:rsidRPr="004621C9">
        <w:rPr>
          <w:rFonts w:ascii="Times New Roman" w:eastAsia="Times New Roman" w:hAnsi="Times New Roman" w:cs="Times New Roman"/>
          <w:color w:val="000000" w:themeColor="text1"/>
        </w:rPr>
        <w:t>Euripidean</w:t>
      </w:r>
      <w:proofErr w:type="spellEnd"/>
      <w:r w:rsidRPr="004621C9">
        <w:rPr>
          <w:rFonts w:ascii="Times New Roman" w:eastAsia="Times New Roman" w:hAnsi="Times New Roman" w:cs="Times New Roman"/>
          <w:color w:val="000000" w:themeColor="text1"/>
        </w:rPr>
        <w:t xml:space="preserve"> plays </w:t>
      </w:r>
      <w:r w:rsidRPr="004621C9">
        <w:rPr>
          <w:rFonts w:ascii="Times New Roman" w:eastAsia="Times New Roman" w:hAnsi="Times New Roman" w:cs="Times New Roman"/>
          <w:i/>
          <w:iCs/>
          <w:color w:val="000000" w:themeColor="text1"/>
        </w:rPr>
        <w:t>Helen</w:t>
      </w:r>
      <w:r w:rsidRPr="004621C9">
        <w:rPr>
          <w:rFonts w:ascii="Times New Roman" w:eastAsia="Times New Roman" w:hAnsi="Times New Roman" w:cs="Times New Roman"/>
          <w:color w:val="000000" w:themeColor="text1"/>
        </w:rPr>
        <w:t xml:space="preserve"> and </w:t>
      </w:r>
      <w:r w:rsidRPr="004621C9">
        <w:rPr>
          <w:rFonts w:ascii="Times New Roman" w:eastAsia="Times New Roman" w:hAnsi="Times New Roman" w:cs="Times New Roman"/>
          <w:i/>
          <w:iCs/>
          <w:color w:val="000000" w:themeColor="text1"/>
        </w:rPr>
        <w:t>Electra</w:t>
      </w:r>
      <w:r w:rsidRPr="004621C9">
        <w:rPr>
          <w:rFonts w:ascii="Times New Roman" w:eastAsia="Times New Roman" w:hAnsi="Times New Roman" w:cs="Times New Roman"/>
          <w:color w:val="000000" w:themeColor="text1"/>
        </w:rPr>
        <w:t>, how the characters within do not just portray traits of their opposite gender, but break down the binaries of gender expectations and become fluid, evident not only in the dismantling of the gender binaries in the characters, but also in the play itself with the ideas of matters of the private, feminine sphere being brought into the public, masculine sphere of society.</w:t>
      </w:r>
      <w:r w:rsidR="009C7ABD">
        <w:rPr>
          <w:rStyle w:val="FootnoteReference"/>
          <w:rFonts w:ascii="Times New Roman" w:eastAsia="Times New Roman" w:hAnsi="Times New Roman" w:cs="Times New Roman"/>
          <w:color w:val="000000" w:themeColor="text1"/>
        </w:rPr>
        <w:footnoteReference w:id="152"/>
      </w:r>
      <w:r w:rsidRPr="004621C9">
        <w:rPr>
          <w:rFonts w:ascii="Times New Roman" w:eastAsia="Times New Roman" w:hAnsi="Times New Roman" w:cs="Times New Roman"/>
          <w:color w:val="000000" w:themeColor="text1"/>
        </w:rPr>
        <w:t xml:space="preserve"> This </w:t>
      </w:r>
      <w:proofErr w:type="spellStart"/>
      <w:r w:rsidRPr="004621C9">
        <w:rPr>
          <w:rFonts w:ascii="Times New Roman" w:eastAsia="Times New Roman" w:hAnsi="Times New Roman" w:cs="Times New Roman"/>
          <w:color w:val="000000" w:themeColor="text1"/>
        </w:rPr>
        <w:t>demasculinisation</w:t>
      </w:r>
      <w:proofErr w:type="spellEnd"/>
      <w:r w:rsidRPr="004621C9">
        <w:rPr>
          <w:rFonts w:ascii="Times New Roman" w:eastAsia="Times New Roman" w:hAnsi="Times New Roman" w:cs="Times New Roman"/>
          <w:color w:val="000000" w:themeColor="text1"/>
        </w:rPr>
        <w:t xml:space="preserve">/defeminisation; feminising/masculinising can be seen at play across all of the protagonists, to a greater degree in Electra and Orestes, and lesser but still significantly in Helen and Menelaus, within a wider context of a system of binaries, for example male/female; Athenian/Spartan; Mistress/slave; domestic space/public space; holding up the foundations of the Classical Athenian ideals. What the research has revealed is Euripides’ interest in breaking down and destabilising those binaries. It could be that it is this profound disturbance of the binary, the balance and the status quo, and that the power relationship between the genders, ultimately leads to tragedy, and the resumption of order is dependent on the re-establishing of those binary pillars. Further study could reveal a hierarchy of binaries, and for Euripides’ gender could be the base binary, holding the foundations of the Athenian world secure. Continuation of this study could also include analysis of other tragic playwrights, Sophocles and Aeschylus considering representations of Electra and other tragic characters in the context of these dynamic binaries, and tragic subjects may be as </w:t>
      </w:r>
      <w:proofErr w:type="spellStart"/>
      <w:r w:rsidRPr="004621C9">
        <w:rPr>
          <w:rFonts w:ascii="Times New Roman" w:eastAsia="Times New Roman" w:hAnsi="Times New Roman" w:cs="Times New Roman"/>
          <w:color w:val="000000" w:themeColor="text1"/>
        </w:rPr>
        <w:t>Cawthorn</w:t>
      </w:r>
      <w:proofErr w:type="spellEnd"/>
      <w:r w:rsidRPr="004621C9">
        <w:rPr>
          <w:rFonts w:ascii="Times New Roman" w:eastAsia="Times New Roman" w:hAnsi="Times New Roman" w:cs="Times New Roman"/>
          <w:color w:val="000000" w:themeColor="text1"/>
        </w:rPr>
        <w:t xml:space="preserve"> suggests “instead of male </w:t>
      </w:r>
      <w:r w:rsidRPr="004621C9">
        <w:rPr>
          <w:rFonts w:ascii="Times New Roman" w:eastAsia="Times New Roman" w:hAnsi="Times New Roman" w:cs="Times New Roman"/>
          <w:i/>
          <w:iCs/>
          <w:color w:val="000000" w:themeColor="text1"/>
        </w:rPr>
        <w:t>or</w:t>
      </w:r>
      <w:r w:rsidRPr="004621C9">
        <w:rPr>
          <w:rFonts w:ascii="Times New Roman" w:eastAsia="Times New Roman" w:hAnsi="Times New Roman" w:cs="Times New Roman"/>
          <w:color w:val="000000" w:themeColor="text1"/>
        </w:rPr>
        <w:t xml:space="preserve"> female … male</w:t>
      </w:r>
      <w:r w:rsidRPr="004621C9">
        <w:rPr>
          <w:rFonts w:ascii="Times New Roman" w:eastAsia="Times New Roman" w:hAnsi="Times New Roman" w:cs="Times New Roman"/>
          <w:i/>
          <w:iCs/>
          <w:color w:val="000000" w:themeColor="text1"/>
        </w:rPr>
        <w:t xml:space="preserve"> and</w:t>
      </w:r>
      <w:r w:rsidRPr="004621C9">
        <w:rPr>
          <w:rFonts w:ascii="Times New Roman" w:eastAsia="Times New Roman" w:hAnsi="Times New Roman" w:cs="Times New Roman"/>
          <w:color w:val="000000" w:themeColor="text1"/>
        </w:rPr>
        <w:t xml:space="preserve"> female.”</w:t>
      </w:r>
      <w:r w:rsidR="009C7ABD">
        <w:rPr>
          <w:rStyle w:val="FootnoteReference"/>
          <w:rFonts w:ascii="Times New Roman" w:eastAsia="Times New Roman" w:hAnsi="Times New Roman" w:cs="Times New Roman"/>
          <w:color w:val="000000" w:themeColor="text1"/>
        </w:rPr>
        <w:footnoteReference w:id="153"/>
      </w:r>
      <w:bookmarkStart w:id="5" w:name="_GoBack"/>
      <w:bookmarkEnd w:id="5"/>
    </w:p>
    <w:p w14:paraId="2592B233" w14:textId="77777777" w:rsidR="004621C9" w:rsidRPr="004621C9" w:rsidRDefault="004621C9" w:rsidP="004621C9">
      <w:pPr>
        <w:spacing w:after="240"/>
        <w:rPr>
          <w:rFonts w:ascii="Times New Roman" w:eastAsia="Times New Roman" w:hAnsi="Times New Roman" w:cs="Times New Roman"/>
        </w:rPr>
      </w:pPr>
    </w:p>
    <w:p w14:paraId="48B43F02" w14:textId="45E20957" w:rsidR="004621C9" w:rsidRPr="004621C9" w:rsidRDefault="004621C9" w:rsidP="004621C9">
      <w:pPr>
        <w:spacing w:line="360" w:lineRule="auto"/>
        <w:rPr>
          <w:rFonts w:ascii="Times New Roman" w:hAnsi="Times New Roman"/>
        </w:rPr>
      </w:pPr>
      <w:r w:rsidRPr="004621C9">
        <w:rPr>
          <w:rFonts w:ascii="Times New Roman" w:hAnsi="Times New Roman"/>
        </w:rPr>
        <w:br w:type="page"/>
      </w:r>
    </w:p>
    <w:p w14:paraId="0B8D31BD" w14:textId="1C52B582" w:rsidR="004621C9" w:rsidRPr="004621C9" w:rsidRDefault="004621C9" w:rsidP="004621C9">
      <w:pPr>
        <w:pStyle w:val="Heading2"/>
        <w:spacing w:line="360" w:lineRule="auto"/>
        <w:rPr>
          <w:rFonts w:ascii="Times New Roman" w:hAnsi="Times New Roman"/>
        </w:rPr>
      </w:pPr>
      <w:bookmarkStart w:id="6" w:name="_Toc47557331"/>
      <w:r w:rsidRPr="004621C9">
        <w:rPr>
          <w:rFonts w:ascii="Times New Roman" w:hAnsi="Times New Roman"/>
        </w:rPr>
        <w:lastRenderedPageBreak/>
        <w:t>Bibliography</w:t>
      </w:r>
      <w:bookmarkEnd w:id="6"/>
    </w:p>
    <w:p w14:paraId="71BFD5CC"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b/>
        </w:rPr>
        <w:t>Ancient</w:t>
      </w:r>
      <w:r>
        <w:rPr>
          <w:rFonts w:ascii="Times New Roman" w:hAnsi="Times New Roman" w:cs="Times New Roman"/>
          <w:b/>
        </w:rPr>
        <w:t xml:space="preserve"> Sources</w:t>
      </w:r>
      <w:r w:rsidRPr="00A57FA6">
        <w:rPr>
          <w:rFonts w:ascii="Times New Roman" w:hAnsi="Times New Roman" w:cs="Times New Roman"/>
        </w:rPr>
        <w:t>:</w:t>
      </w:r>
    </w:p>
    <w:p w14:paraId="6779DE54" w14:textId="77777777" w:rsidR="00FD3D9B" w:rsidRPr="00A57FA6" w:rsidRDefault="00FD3D9B" w:rsidP="00FD3D9B">
      <w:pPr>
        <w:spacing w:line="276" w:lineRule="auto"/>
        <w:rPr>
          <w:rFonts w:ascii="Times New Roman" w:hAnsi="Times New Roman" w:cs="Times New Roman"/>
        </w:rPr>
      </w:pPr>
    </w:p>
    <w:p w14:paraId="49533A05"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Euripides, </w:t>
      </w:r>
      <w:r w:rsidRPr="00583BEA">
        <w:rPr>
          <w:rFonts w:ascii="Times New Roman" w:hAnsi="Times New Roman" w:cs="Times New Roman"/>
          <w:i/>
        </w:rPr>
        <w:t>Electra</w:t>
      </w:r>
      <w:r w:rsidRPr="00A57FA6">
        <w:rPr>
          <w:rFonts w:ascii="Times New Roman" w:hAnsi="Times New Roman" w:cs="Times New Roman"/>
        </w:rPr>
        <w:t>. A. S. Way (trans.). 1912. London: Willian Heinemann</w:t>
      </w:r>
    </w:p>
    <w:p w14:paraId="18E5B52D" w14:textId="77777777" w:rsidR="00FD3D9B" w:rsidRPr="00A57FA6" w:rsidRDefault="00FD3D9B" w:rsidP="00FD3D9B">
      <w:pPr>
        <w:spacing w:line="276" w:lineRule="auto"/>
        <w:rPr>
          <w:rFonts w:ascii="Times New Roman" w:hAnsi="Times New Roman" w:cs="Times New Roman"/>
        </w:rPr>
      </w:pPr>
    </w:p>
    <w:p w14:paraId="3F642D47"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Euripides, </w:t>
      </w:r>
      <w:r w:rsidRPr="00583BEA">
        <w:rPr>
          <w:rFonts w:ascii="Times New Roman" w:hAnsi="Times New Roman" w:cs="Times New Roman"/>
          <w:i/>
        </w:rPr>
        <w:t>Helen</w:t>
      </w:r>
      <w:r w:rsidRPr="00A57FA6">
        <w:rPr>
          <w:rFonts w:ascii="Times New Roman" w:hAnsi="Times New Roman" w:cs="Times New Roman"/>
        </w:rPr>
        <w:t>. A. S. Way (trans.). 1912. Cambridge: Harvard University Press</w:t>
      </w:r>
    </w:p>
    <w:p w14:paraId="0129E3E6" w14:textId="77777777" w:rsidR="00FD3D9B" w:rsidRPr="00A57FA6" w:rsidRDefault="00FD3D9B" w:rsidP="00FD3D9B">
      <w:pPr>
        <w:spacing w:line="276" w:lineRule="auto"/>
        <w:rPr>
          <w:rFonts w:ascii="Times New Roman" w:hAnsi="Times New Roman" w:cs="Times New Roman"/>
        </w:rPr>
      </w:pPr>
    </w:p>
    <w:p w14:paraId="3F189FA2"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Euripides, </w:t>
      </w:r>
      <w:r w:rsidRPr="00583BEA">
        <w:rPr>
          <w:rFonts w:ascii="Times New Roman" w:hAnsi="Times New Roman" w:cs="Times New Roman"/>
          <w:i/>
        </w:rPr>
        <w:t>Medea and Other Plays</w:t>
      </w:r>
      <w:r w:rsidRPr="00A57FA6">
        <w:rPr>
          <w:rFonts w:ascii="Times New Roman" w:hAnsi="Times New Roman" w:cs="Times New Roman"/>
        </w:rPr>
        <w:t xml:space="preserve">. P. </w:t>
      </w:r>
      <w:proofErr w:type="spellStart"/>
      <w:r w:rsidRPr="00A57FA6">
        <w:rPr>
          <w:rFonts w:ascii="Times New Roman" w:hAnsi="Times New Roman" w:cs="Times New Roman"/>
        </w:rPr>
        <w:t>Vellacott</w:t>
      </w:r>
      <w:proofErr w:type="spellEnd"/>
      <w:r w:rsidRPr="00A57FA6">
        <w:rPr>
          <w:rFonts w:ascii="Times New Roman" w:hAnsi="Times New Roman" w:cs="Times New Roman"/>
        </w:rPr>
        <w:t xml:space="preserve"> (trans.). 1963. London: The Penguin Group</w:t>
      </w:r>
    </w:p>
    <w:p w14:paraId="2EB0E2B8" w14:textId="77777777" w:rsidR="00FD3D9B" w:rsidRPr="00A57FA6" w:rsidRDefault="00FD3D9B" w:rsidP="00FD3D9B">
      <w:pPr>
        <w:spacing w:line="276" w:lineRule="auto"/>
        <w:rPr>
          <w:rFonts w:ascii="Times New Roman" w:hAnsi="Times New Roman" w:cs="Times New Roman"/>
        </w:rPr>
      </w:pPr>
    </w:p>
    <w:p w14:paraId="52F67C1E"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Euripides, </w:t>
      </w:r>
      <w:r w:rsidRPr="00583BEA">
        <w:rPr>
          <w:rFonts w:ascii="Times New Roman" w:hAnsi="Times New Roman" w:cs="Times New Roman"/>
          <w:i/>
        </w:rPr>
        <w:t>The Bacchae and Other Plays</w:t>
      </w:r>
      <w:r w:rsidRPr="00A57FA6">
        <w:rPr>
          <w:rFonts w:ascii="Times New Roman" w:hAnsi="Times New Roman" w:cs="Times New Roman"/>
        </w:rPr>
        <w:t xml:space="preserve">. P. </w:t>
      </w:r>
      <w:proofErr w:type="spellStart"/>
      <w:r w:rsidRPr="00A57FA6">
        <w:rPr>
          <w:rFonts w:ascii="Times New Roman" w:hAnsi="Times New Roman" w:cs="Times New Roman"/>
        </w:rPr>
        <w:t>Vellacott</w:t>
      </w:r>
      <w:proofErr w:type="spellEnd"/>
      <w:r w:rsidRPr="00A57FA6">
        <w:rPr>
          <w:rFonts w:ascii="Times New Roman" w:hAnsi="Times New Roman" w:cs="Times New Roman"/>
        </w:rPr>
        <w:t xml:space="preserve"> (trans.). 1954. London: The Penguin Group</w:t>
      </w:r>
    </w:p>
    <w:p w14:paraId="55046B7B" w14:textId="77777777" w:rsidR="00FD3D9B" w:rsidRPr="00A57FA6" w:rsidRDefault="00FD3D9B" w:rsidP="00FD3D9B">
      <w:pPr>
        <w:spacing w:line="276" w:lineRule="auto"/>
        <w:rPr>
          <w:rFonts w:ascii="Times New Roman" w:hAnsi="Times New Roman" w:cs="Times New Roman"/>
        </w:rPr>
      </w:pPr>
    </w:p>
    <w:p w14:paraId="259C2CB2" w14:textId="77777777" w:rsidR="00FD3D9B"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Xenophon, </w:t>
      </w:r>
      <w:proofErr w:type="spellStart"/>
      <w:r w:rsidRPr="00583BEA">
        <w:rPr>
          <w:rFonts w:ascii="Times New Roman" w:hAnsi="Times New Roman" w:cs="Times New Roman"/>
          <w:i/>
        </w:rPr>
        <w:t>Oeconomicus</w:t>
      </w:r>
      <w:proofErr w:type="spellEnd"/>
      <w:r w:rsidRPr="00A57FA6">
        <w:rPr>
          <w:rFonts w:ascii="Times New Roman" w:hAnsi="Times New Roman" w:cs="Times New Roman"/>
        </w:rPr>
        <w:t>. E. C. Marchant (trans.). 1923. Cambridge: Harvard University Press</w:t>
      </w:r>
    </w:p>
    <w:p w14:paraId="736B686D" w14:textId="77777777" w:rsidR="00FD3D9B" w:rsidRPr="00A57FA6" w:rsidRDefault="00FD3D9B" w:rsidP="00FD3D9B">
      <w:pPr>
        <w:spacing w:line="276" w:lineRule="auto"/>
        <w:rPr>
          <w:rFonts w:ascii="Times New Roman" w:hAnsi="Times New Roman" w:cs="Times New Roman"/>
        </w:rPr>
      </w:pPr>
    </w:p>
    <w:p w14:paraId="7A920D8A" w14:textId="77777777" w:rsidR="00FD3D9B" w:rsidRPr="00A57FA6" w:rsidRDefault="00FD3D9B" w:rsidP="00FD3D9B">
      <w:pPr>
        <w:spacing w:line="276" w:lineRule="auto"/>
        <w:rPr>
          <w:rFonts w:ascii="Times New Roman" w:hAnsi="Times New Roman" w:cs="Times New Roman"/>
        </w:rPr>
      </w:pPr>
    </w:p>
    <w:p w14:paraId="501E4F5B"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b/>
        </w:rPr>
        <w:t>Modern</w:t>
      </w:r>
      <w:r>
        <w:rPr>
          <w:rFonts w:ascii="Times New Roman" w:hAnsi="Times New Roman" w:cs="Times New Roman"/>
          <w:b/>
        </w:rPr>
        <w:t xml:space="preserve"> Sources</w:t>
      </w:r>
      <w:r w:rsidRPr="00A57FA6">
        <w:rPr>
          <w:rFonts w:ascii="Times New Roman" w:hAnsi="Times New Roman" w:cs="Times New Roman"/>
        </w:rPr>
        <w:t>:</w:t>
      </w:r>
    </w:p>
    <w:p w14:paraId="35D74960" w14:textId="77777777" w:rsidR="00FD3D9B" w:rsidRPr="00A57FA6" w:rsidRDefault="00FD3D9B" w:rsidP="00FD3D9B">
      <w:pPr>
        <w:spacing w:line="276" w:lineRule="auto"/>
        <w:rPr>
          <w:rFonts w:ascii="Times New Roman" w:hAnsi="Times New Roman" w:cs="Times New Roman"/>
          <w:u w:val="single"/>
        </w:rPr>
      </w:pPr>
    </w:p>
    <w:p w14:paraId="1F26B042"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Allan, W. 2008. </w:t>
      </w:r>
      <w:r w:rsidRPr="00583BEA">
        <w:rPr>
          <w:rFonts w:ascii="Times New Roman" w:hAnsi="Times New Roman" w:cs="Times New Roman"/>
          <w:i/>
        </w:rPr>
        <w:t>Euripides Helen</w:t>
      </w:r>
      <w:r w:rsidRPr="00A57FA6">
        <w:rPr>
          <w:rFonts w:ascii="Times New Roman" w:hAnsi="Times New Roman" w:cs="Times New Roman"/>
        </w:rPr>
        <w:t>. Cambridge: Cambridge University Press</w:t>
      </w:r>
    </w:p>
    <w:p w14:paraId="2A449949" w14:textId="77777777" w:rsidR="00FD3D9B" w:rsidRPr="00A57FA6" w:rsidRDefault="00FD3D9B" w:rsidP="00FD3D9B">
      <w:pPr>
        <w:spacing w:line="276" w:lineRule="auto"/>
        <w:rPr>
          <w:rFonts w:ascii="Times New Roman" w:hAnsi="Times New Roman" w:cs="Times New Roman"/>
        </w:rPr>
      </w:pPr>
    </w:p>
    <w:p w14:paraId="24B96009"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Austin, N. </w:t>
      </w:r>
      <w:r w:rsidRPr="00583BEA">
        <w:rPr>
          <w:rFonts w:ascii="Times New Roman" w:hAnsi="Times New Roman" w:cs="Times New Roman"/>
          <w:i/>
        </w:rPr>
        <w:t>Helen of Troy and Her Shameless Phantom</w:t>
      </w:r>
      <w:r w:rsidRPr="00A57FA6">
        <w:rPr>
          <w:rFonts w:ascii="Times New Roman" w:hAnsi="Times New Roman" w:cs="Times New Roman"/>
        </w:rPr>
        <w:t>. Ithaca: Cornell University Press</w:t>
      </w:r>
    </w:p>
    <w:p w14:paraId="76A5FCED" w14:textId="77777777" w:rsidR="00FD3D9B" w:rsidRPr="00A57FA6" w:rsidRDefault="00FD3D9B" w:rsidP="00FD3D9B">
      <w:pPr>
        <w:spacing w:line="276" w:lineRule="auto"/>
        <w:rPr>
          <w:rFonts w:ascii="Times New Roman" w:hAnsi="Times New Roman" w:cs="Times New Roman"/>
        </w:rPr>
      </w:pPr>
    </w:p>
    <w:p w14:paraId="58E5111F"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Beard, M. 1993. ‘The Classical Woman’, </w:t>
      </w:r>
      <w:r w:rsidRPr="00583BEA">
        <w:rPr>
          <w:rFonts w:ascii="Times New Roman" w:hAnsi="Times New Roman" w:cs="Times New Roman"/>
          <w:i/>
        </w:rPr>
        <w:t>History</w:t>
      </w:r>
      <w:r w:rsidRPr="00A57FA6">
        <w:rPr>
          <w:rFonts w:ascii="Times New Roman" w:hAnsi="Times New Roman" w:cs="Times New Roman"/>
        </w:rPr>
        <w:t xml:space="preserve"> </w:t>
      </w:r>
      <w:r w:rsidRPr="00583BEA">
        <w:rPr>
          <w:rFonts w:ascii="Times New Roman" w:hAnsi="Times New Roman" w:cs="Times New Roman"/>
          <w:i/>
        </w:rPr>
        <w:t>Today</w:t>
      </w:r>
      <w:r w:rsidRPr="00A57FA6">
        <w:rPr>
          <w:rFonts w:ascii="Times New Roman" w:hAnsi="Times New Roman" w:cs="Times New Roman"/>
        </w:rPr>
        <w:t>. 43, pp. 29-36</w:t>
      </w:r>
    </w:p>
    <w:p w14:paraId="66CECA5F" w14:textId="77777777" w:rsidR="00FD3D9B" w:rsidRPr="00A57FA6" w:rsidRDefault="00FD3D9B" w:rsidP="00FD3D9B">
      <w:pPr>
        <w:spacing w:line="276" w:lineRule="auto"/>
        <w:rPr>
          <w:rFonts w:ascii="Times New Roman" w:hAnsi="Times New Roman" w:cs="Times New Roman"/>
        </w:rPr>
      </w:pPr>
    </w:p>
    <w:p w14:paraId="26367EDF"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Blessington</w:t>
      </w:r>
      <w:proofErr w:type="spellEnd"/>
      <w:r w:rsidRPr="00A57FA6">
        <w:rPr>
          <w:rFonts w:ascii="Times New Roman" w:hAnsi="Times New Roman" w:cs="Times New Roman"/>
        </w:rPr>
        <w:t xml:space="preserve">, F. C. </w:t>
      </w:r>
      <w:r>
        <w:rPr>
          <w:rFonts w:ascii="Times New Roman" w:hAnsi="Times New Roman" w:cs="Times New Roman"/>
        </w:rPr>
        <w:t>2</w:t>
      </w:r>
      <w:r w:rsidRPr="00A57FA6">
        <w:rPr>
          <w:rFonts w:ascii="Times New Roman" w:hAnsi="Times New Roman" w:cs="Times New Roman"/>
        </w:rPr>
        <w:t xml:space="preserve">015. </w:t>
      </w:r>
      <w:r w:rsidRPr="00583BEA">
        <w:rPr>
          <w:rFonts w:ascii="Times New Roman" w:hAnsi="Times New Roman" w:cs="Times New Roman"/>
          <w:i/>
        </w:rPr>
        <w:t>Trojan Women; Helen, Hecuba: three plays about women and the Trojan War</w:t>
      </w:r>
      <w:r w:rsidRPr="00A57FA6">
        <w:rPr>
          <w:rFonts w:ascii="Times New Roman" w:hAnsi="Times New Roman" w:cs="Times New Roman"/>
        </w:rPr>
        <w:t>. Madison: Wisconsin University Press</w:t>
      </w:r>
    </w:p>
    <w:p w14:paraId="13ADFB1E" w14:textId="77777777" w:rsidR="00FD3D9B" w:rsidRPr="00A57FA6" w:rsidRDefault="00FD3D9B" w:rsidP="00FD3D9B">
      <w:pPr>
        <w:spacing w:line="276" w:lineRule="auto"/>
        <w:rPr>
          <w:rFonts w:ascii="Times New Roman" w:hAnsi="Times New Roman" w:cs="Times New Roman"/>
          <w:u w:val="single"/>
        </w:rPr>
      </w:pPr>
    </w:p>
    <w:p w14:paraId="14877A07"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Bouvrie</w:t>
      </w:r>
      <w:proofErr w:type="spellEnd"/>
      <w:r w:rsidRPr="00A57FA6">
        <w:rPr>
          <w:rFonts w:ascii="Times New Roman" w:hAnsi="Times New Roman" w:cs="Times New Roman"/>
        </w:rPr>
        <w:t xml:space="preserve">, S. D. 1990. </w:t>
      </w:r>
      <w:r w:rsidRPr="00583BEA">
        <w:rPr>
          <w:rFonts w:ascii="Times New Roman" w:hAnsi="Times New Roman" w:cs="Times New Roman"/>
          <w:i/>
        </w:rPr>
        <w:t>Women in Greek Tragedy: An anthropological Approach</w:t>
      </w:r>
      <w:r w:rsidRPr="00A57FA6">
        <w:rPr>
          <w:rFonts w:ascii="Times New Roman" w:hAnsi="Times New Roman" w:cs="Times New Roman"/>
        </w:rPr>
        <w:t>. Oslo: Norwegian University Press</w:t>
      </w:r>
    </w:p>
    <w:p w14:paraId="2C612700" w14:textId="77777777" w:rsidR="00FD3D9B" w:rsidRPr="00A57FA6" w:rsidRDefault="00FD3D9B" w:rsidP="00FD3D9B">
      <w:pPr>
        <w:spacing w:line="276" w:lineRule="auto"/>
        <w:rPr>
          <w:rFonts w:ascii="Times New Roman" w:hAnsi="Times New Roman" w:cs="Times New Roman"/>
        </w:rPr>
      </w:pPr>
    </w:p>
    <w:p w14:paraId="2621F747"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Budin</w:t>
      </w:r>
      <w:proofErr w:type="spellEnd"/>
      <w:r w:rsidRPr="00A57FA6">
        <w:rPr>
          <w:rFonts w:ascii="Times New Roman" w:hAnsi="Times New Roman" w:cs="Times New Roman"/>
        </w:rPr>
        <w:t xml:space="preserve">, S. L. and </w:t>
      </w:r>
      <w:proofErr w:type="spellStart"/>
      <w:r w:rsidRPr="00A57FA6">
        <w:rPr>
          <w:rFonts w:ascii="Times New Roman" w:hAnsi="Times New Roman" w:cs="Times New Roman"/>
        </w:rPr>
        <w:t>Turfa</w:t>
      </w:r>
      <w:proofErr w:type="spellEnd"/>
      <w:r w:rsidRPr="00A57FA6">
        <w:rPr>
          <w:rFonts w:ascii="Times New Roman" w:hAnsi="Times New Roman" w:cs="Times New Roman"/>
        </w:rPr>
        <w:t xml:space="preserve">, J. M. 2016. </w:t>
      </w:r>
      <w:r w:rsidRPr="00583BEA">
        <w:rPr>
          <w:rFonts w:ascii="Times New Roman" w:hAnsi="Times New Roman" w:cs="Times New Roman"/>
          <w:i/>
        </w:rPr>
        <w:t>Women in Antiquity: real women across the ancient world</w:t>
      </w:r>
      <w:r w:rsidRPr="00A57FA6">
        <w:rPr>
          <w:rFonts w:ascii="Times New Roman" w:hAnsi="Times New Roman" w:cs="Times New Roman"/>
        </w:rPr>
        <w:t>. London: Routledge</w:t>
      </w:r>
    </w:p>
    <w:p w14:paraId="00183531" w14:textId="77777777" w:rsidR="00FD3D9B" w:rsidRPr="00A57FA6" w:rsidRDefault="00FD3D9B" w:rsidP="00FD3D9B">
      <w:pPr>
        <w:spacing w:line="276" w:lineRule="auto"/>
        <w:rPr>
          <w:rFonts w:ascii="Times New Roman" w:hAnsi="Times New Roman" w:cs="Times New Roman"/>
        </w:rPr>
      </w:pPr>
    </w:p>
    <w:p w14:paraId="3BBD3679"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Cawthorn</w:t>
      </w:r>
      <w:proofErr w:type="spellEnd"/>
      <w:r w:rsidRPr="00A57FA6">
        <w:rPr>
          <w:rFonts w:ascii="Times New Roman" w:hAnsi="Times New Roman" w:cs="Times New Roman"/>
        </w:rPr>
        <w:t xml:space="preserve">, K. 2008. </w:t>
      </w:r>
      <w:r w:rsidRPr="00583BEA">
        <w:rPr>
          <w:rFonts w:ascii="Times New Roman" w:hAnsi="Times New Roman" w:cs="Times New Roman"/>
          <w:i/>
        </w:rPr>
        <w:t>Becoming Female: The Male Body in Greek Tragedy</w:t>
      </w:r>
      <w:r w:rsidRPr="00A57FA6">
        <w:rPr>
          <w:rFonts w:ascii="Times New Roman" w:hAnsi="Times New Roman" w:cs="Times New Roman"/>
        </w:rPr>
        <w:t>. London: Bloomsbury</w:t>
      </w:r>
    </w:p>
    <w:p w14:paraId="64DF9719" w14:textId="77777777" w:rsidR="00FD3D9B" w:rsidRPr="00A57FA6" w:rsidRDefault="00FD3D9B" w:rsidP="00FD3D9B">
      <w:pPr>
        <w:spacing w:line="276" w:lineRule="auto"/>
        <w:rPr>
          <w:rFonts w:ascii="Times New Roman" w:hAnsi="Times New Roman" w:cs="Times New Roman"/>
        </w:rPr>
      </w:pPr>
    </w:p>
    <w:p w14:paraId="70B48B12"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Clatterbaugh</w:t>
      </w:r>
      <w:proofErr w:type="spellEnd"/>
      <w:r w:rsidRPr="00A57FA6">
        <w:rPr>
          <w:rFonts w:ascii="Times New Roman" w:hAnsi="Times New Roman" w:cs="Times New Roman"/>
        </w:rPr>
        <w:t xml:space="preserve">, K. 1997. </w:t>
      </w:r>
      <w:r w:rsidRPr="00583BEA">
        <w:rPr>
          <w:rFonts w:ascii="Times New Roman" w:hAnsi="Times New Roman" w:cs="Times New Roman"/>
          <w:i/>
        </w:rPr>
        <w:t>Contemporary Perspectives on Masculinity: Men, Women, and Politics in Modern Society</w:t>
      </w:r>
      <w:r w:rsidRPr="00A57FA6">
        <w:rPr>
          <w:rFonts w:ascii="Times New Roman" w:hAnsi="Times New Roman" w:cs="Times New Roman"/>
        </w:rPr>
        <w:t>. (2</w:t>
      </w:r>
      <w:r w:rsidRPr="00A57FA6">
        <w:rPr>
          <w:rFonts w:ascii="Times New Roman" w:hAnsi="Times New Roman" w:cs="Times New Roman"/>
          <w:vertAlign w:val="superscript"/>
        </w:rPr>
        <w:t>nd</w:t>
      </w:r>
      <w:r w:rsidRPr="00A57FA6">
        <w:rPr>
          <w:rFonts w:ascii="Times New Roman" w:hAnsi="Times New Roman" w:cs="Times New Roman"/>
        </w:rPr>
        <w:t xml:space="preserve"> ed.) New York: Routledge</w:t>
      </w:r>
    </w:p>
    <w:p w14:paraId="59482E71" w14:textId="77777777" w:rsidR="00FD3D9B" w:rsidRPr="00A57FA6" w:rsidRDefault="00FD3D9B" w:rsidP="00FD3D9B">
      <w:pPr>
        <w:spacing w:line="276" w:lineRule="auto"/>
        <w:rPr>
          <w:rFonts w:ascii="Times New Roman" w:hAnsi="Times New Roman" w:cs="Times New Roman"/>
        </w:rPr>
      </w:pPr>
    </w:p>
    <w:p w14:paraId="412A9D76"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Cohen, D. 1989. ‘Seclusion, separation, and the status of women in classical Athens’, </w:t>
      </w:r>
      <w:r w:rsidRPr="00583BEA">
        <w:rPr>
          <w:rFonts w:ascii="Times New Roman" w:hAnsi="Times New Roman" w:cs="Times New Roman"/>
          <w:i/>
        </w:rPr>
        <w:t>Greece</w:t>
      </w:r>
      <w:r w:rsidRPr="00A57FA6">
        <w:rPr>
          <w:rFonts w:ascii="Times New Roman" w:hAnsi="Times New Roman" w:cs="Times New Roman"/>
        </w:rPr>
        <w:t xml:space="preserve"> </w:t>
      </w:r>
      <w:r w:rsidRPr="00583BEA">
        <w:rPr>
          <w:rFonts w:ascii="Times New Roman" w:hAnsi="Times New Roman" w:cs="Times New Roman"/>
          <w:i/>
        </w:rPr>
        <w:t>and Rome</w:t>
      </w:r>
      <w:r w:rsidRPr="00A57FA6">
        <w:rPr>
          <w:rFonts w:ascii="Times New Roman" w:hAnsi="Times New Roman" w:cs="Times New Roman"/>
        </w:rPr>
        <w:t>. 36, pp. 3-16</w:t>
      </w:r>
    </w:p>
    <w:p w14:paraId="1AE78DBD" w14:textId="77777777" w:rsidR="00FD3D9B" w:rsidRPr="00A57FA6" w:rsidRDefault="00FD3D9B" w:rsidP="00FD3D9B">
      <w:pPr>
        <w:spacing w:line="276" w:lineRule="auto"/>
        <w:rPr>
          <w:rFonts w:ascii="Times New Roman" w:hAnsi="Times New Roman" w:cs="Times New Roman"/>
        </w:rPr>
      </w:pPr>
    </w:p>
    <w:p w14:paraId="40354548"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Connell, R. W. and Messerschmidt, J. W. 2005. ‘Hegemonic Masculinity: Rethinking the Concept’, in </w:t>
      </w:r>
      <w:r w:rsidRPr="00583BEA">
        <w:rPr>
          <w:rFonts w:ascii="Times New Roman" w:hAnsi="Times New Roman" w:cs="Times New Roman"/>
          <w:i/>
        </w:rPr>
        <w:t>Gender and Society</w:t>
      </w:r>
      <w:r w:rsidRPr="00A57FA6">
        <w:rPr>
          <w:rFonts w:ascii="Times New Roman" w:hAnsi="Times New Roman" w:cs="Times New Roman"/>
        </w:rPr>
        <w:t>. 19, 6, pp. 829 - 859</w:t>
      </w:r>
    </w:p>
    <w:p w14:paraId="56AFA8C8" w14:textId="77777777" w:rsidR="00FD3D9B" w:rsidRPr="00A57FA6" w:rsidRDefault="00FD3D9B" w:rsidP="00FD3D9B">
      <w:pPr>
        <w:spacing w:line="276" w:lineRule="auto"/>
        <w:rPr>
          <w:rFonts w:ascii="Times New Roman" w:hAnsi="Times New Roman" w:cs="Times New Roman"/>
          <w:u w:val="single"/>
        </w:rPr>
      </w:pPr>
    </w:p>
    <w:p w14:paraId="2BEAE164"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Dillon, J. 2004. ‘Euripides and the philosophy of his time’,</w:t>
      </w:r>
      <w:r>
        <w:rPr>
          <w:rFonts w:ascii="Times New Roman" w:hAnsi="Times New Roman" w:cs="Times New Roman"/>
        </w:rPr>
        <w:t xml:space="preserve"> in</w:t>
      </w:r>
      <w:r w:rsidRPr="00A57FA6">
        <w:rPr>
          <w:rFonts w:ascii="Times New Roman" w:hAnsi="Times New Roman" w:cs="Times New Roman"/>
        </w:rPr>
        <w:t xml:space="preserve"> </w:t>
      </w:r>
      <w:r w:rsidRPr="00583BEA">
        <w:rPr>
          <w:rFonts w:ascii="Times New Roman" w:hAnsi="Times New Roman" w:cs="Times New Roman"/>
          <w:i/>
        </w:rPr>
        <w:t>Classics Ireland</w:t>
      </w:r>
      <w:r w:rsidRPr="00A57FA6">
        <w:rPr>
          <w:rFonts w:ascii="Times New Roman" w:hAnsi="Times New Roman" w:cs="Times New Roman"/>
        </w:rPr>
        <w:t>. 11, pp. 47-73</w:t>
      </w:r>
    </w:p>
    <w:p w14:paraId="6CD57FE8" w14:textId="77777777" w:rsidR="00FD3D9B" w:rsidRPr="00A57FA6" w:rsidRDefault="00FD3D9B" w:rsidP="00FD3D9B">
      <w:pPr>
        <w:spacing w:line="276" w:lineRule="auto"/>
        <w:rPr>
          <w:rFonts w:ascii="Times New Roman" w:hAnsi="Times New Roman" w:cs="Times New Roman"/>
        </w:rPr>
      </w:pPr>
    </w:p>
    <w:p w14:paraId="5598EB87"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Fantham</w:t>
      </w:r>
      <w:proofErr w:type="spellEnd"/>
      <w:r w:rsidRPr="00A57FA6">
        <w:rPr>
          <w:rFonts w:ascii="Times New Roman" w:hAnsi="Times New Roman" w:cs="Times New Roman"/>
        </w:rPr>
        <w:t xml:space="preserve">, E. 1995. </w:t>
      </w:r>
      <w:r w:rsidRPr="00583BEA">
        <w:rPr>
          <w:rFonts w:ascii="Times New Roman" w:hAnsi="Times New Roman" w:cs="Times New Roman"/>
          <w:i/>
        </w:rPr>
        <w:t>Women in the classical world: Image and text</w:t>
      </w:r>
      <w:r w:rsidRPr="00A57FA6">
        <w:rPr>
          <w:rFonts w:ascii="Times New Roman" w:hAnsi="Times New Roman" w:cs="Times New Roman"/>
        </w:rPr>
        <w:t>. Oxford: Oxford University Press</w:t>
      </w:r>
    </w:p>
    <w:p w14:paraId="66908ACF" w14:textId="77777777" w:rsidR="00FD3D9B" w:rsidRPr="00A57FA6" w:rsidRDefault="00FD3D9B" w:rsidP="00FD3D9B">
      <w:pPr>
        <w:spacing w:line="276" w:lineRule="auto"/>
        <w:rPr>
          <w:rFonts w:ascii="Times New Roman" w:hAnsi="Times New Roman" w:cs="Times New Roman"/>
        </w:rPr>
      </w:pPr>
    </w:p>
    <w:p w14:paraId="522A0F33"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Ferguson, J. 1972. </w:t>
      </w:r>
      <w:r w:rsidRPr="00583BEA">
        <w:rPr>
          <w:rFonts w:ascii="Times New Roman" w:hAnsi="Times New Roman" w:cs="Times New Roman"/>
          <w:i/>
        </w:rPr>
        <w:t>A Companion to Greek Tragedy</w:t>
      </w:r>
      <w:r w:rsidRPr="00A57FA6">
        <w:rPr>
          <w:rFonts w:ascii="Times New Roman" w:hAnsi="Times New Roman" w:cs="Times New Roman"/>
        </w:rPr>
        <w:t>. Austin: University of Texas Press</w:t>
      </w:r>
    </w:p>
    <w:p w14:paraId="3295F5DD" w14:textId="77777777" w:rsidR="00FD3D9B" w:rsidRPr="00A57FA6" w:rsidRDefault="00FD3D9B" w:rsidP="00FD3D9B">
      <w:pPr>
        <w:spacing w:line="276" w:lineRule="auto"/>
        <w:rPr>
          <w:rFonts w:ascii="Times New Roman" w:hAnsi="Times New Roman" w:cs="Times New Roman"/>
        </w:rPr>
      </w:pPr>
    </w:p>
    <w:p w14:paraId="3E05ED10"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Foley, H, P. 2003. </w:t>
      </w:r>
      <w:r w:rsidRPr="00583BEA">
        <w:rPr>
          <w:rFonts w:ascii="Times New Roman" w:hAnsi="Times New Roman" w:cs="Times New Roman"/>
          <w:i/>
        </w:rPr>
        <w:t>Female Acts in Greek Tragedy</w:t>
      </w:r>
      <w:r w:rsidRPr="00A57FA6">
        <w:rPr>
          <w:rFonts w:ascii="Times New Roman" w:hAnsi="Times New Roman" w:cs="Times New Roman"/>
        </w:rPr>
        <w:t>. Princeton: Princeton University Press</w:t>
      </w:r>
    </w:p>
    <w:p w14:paraId="0464471F" w14:textId="77777777" w:rsidR="00FD3D9B" w:rsidRPr="00A57FA6" w:rsidRDefault="00FD3D9B" w:rsidP="00FD3D9B">
      <w:pPr>
        <w:spacing w:line="276" w:lineRule="auto"/>
        <w:rPr>
          <w:rFonts w:ascii="Times New Roman" w:hAnsi="Times New Roman" w:cs="Times New Roman"/>
        </w:rPr>
      </w:pPr>
    </w:p>
    <w:p w14:paraId="16092E9B"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Foxhall, L. and Salmon, J. 1998. </w:t>
      </w:r>
      <w:r w:rsidRPr="00583BEA">
        <w:rPr>
          <w:rFonts w:ascii="Times New Roman" w:hAnsi="Times New Roman" w:cs="Times New Roman"/>
          <w:i/>
        </w:rPr>
        <w:t>When Men Were Men: Masculinity, Power and Identity in Classical Antiquity</w:t>
      </w:r>
      <w:r w:rsidRPr="00A57FA6">
        <w:rPr>
          <w:rFonts w:ascii="Times New Roman" w:hAnsi="Times New Roman" w:cs="Times New Roman"/>
        </w:rPr>
        <w:t>. London: Routledge</w:t>
      </w:r>
    </w:p>
    <w:p w14:paraId="794DA894" w14:textId="77777777" w:rsidR="00FD3D9B" w:rsidRPr="00A57FA6" w:rsidRDefault="00FD3D9B" w:rsidP="00FD3D9B">
      <w:pPr>
        <w:spacing w:line="276" w:lineRule="auto"/>
        <w:rPr>
          <w:rFonts w:ascii="Times New Roman" w:hAnsi="Times New Roman" w:cs="Times New Roman"/>
        </w:rPr>
      </w:pPr>
    </w:p>
    <w:p w14:paraId="33491F6A"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Gardiner, J. 2002. </w:t>
      </w:r>
      <w:r w:rsidRPr="00583BEA">
        <w:rPr>
          <w:rFonts w:ascii="Times New Roman" w:hAnsi="Times New Roman" w:cs="Times New Roman"/>
          <w:i/>
        </w:rPr>
        <w:t>Masculinity Studies and Feminist Theory: New Directions</w:t>
      </w:r>
      <w:r w:rsidRPr="00A57FA6">
        <w:rPr>
          <w:rFonts w:ascii="Times New Roman" w:hAnsi="Times New Roman" w:cs="Times New Roman"/>
        </w:rPr>
        <w:t>. New York: Columbia University Press</w:t>
      </w:r>
    </w:p>
    <w:p w14:paraId="174703D8" w14:textId="77777777" w:rsidR="00FD3D9B" w:rsidRPr="00A57FA6" w:rsidRDefault="00FD3D9B" w:rsidP="00FD3D9B">
      <w:pPr>
        <w:spacing w:line="276" w:lineRule="auto"/>
        <w:rPr>
          <w:rFonts w:ascii="Times New Roman" w:hAnsi="Times New Roman" w:cs="Times New Roman"/>
        </w:rPr>
      </w:pPr>
    </w:p>
    <w:p w14:paraId="1A6B433F"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Gregory, J. W. 2005. </w:t>
      </w:r>
      <w:r w:rsidRPr="00583BEA">
        <w:rPr>
          <w:rFonts w:ascii="Times New Roman" w:hAnsi="Times New Roman" w:cs="Times New Roman"/>
          <w:i/>
        </w:rPr>
        <w:t>A Companion to Greek Tragedy</w:t>
      </w:r>
      <w:r w:rsidRPr="00A57FA6">
        <w:rPr>
          <w:rFonts w:ascii="Times New Roman" w:hAnsi="Times New Roman" w:cs="Times New Roman"/>
        </w:rPr>
        <w:t>. Oxford: Blackwell</w:t>
      </w:r>
    </w:p>
    <w:p w14:paraId="1FFF9032" w14:textId="77777777" w:rsidR="00FD3D9B" w:rsidRPr="00A57FA6" w:rsidRDefault="00FD3D9B" w:rsidP="00FD3D9B">
      <w:pPr>
        <w:spacing w:line="276" w:lineRule="auto"/>
        <w:rPr>
          <w:rFonts w:ascii="Times New Roman" w:hAnsi="Times New Roman" w:cs="Times New Roman"/>
        </w:rPr>
      </w:pPr>
    </w:p>
    <w:p w14:paraId="2A4B8C82"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Goward</w:t>
      </w:r>
      <w:proofErr w:type="spellEnd"/>
      <w:r w:rsidRPr="00A57FA6">
        <w:rPr>
          <w:rFonts w:ascii="Times New Roman" w:hAnsi="Times New Roman" w:cs="Times New Roman"/>
        </w:rPr>
        <w:t xml:space="preserve">, B. 1999. </w:t>
      </w:r>
      <w:r w:rsidRPr="00583BEA">
        <w:rPr>
          <w:rFonts w:ascii="Times New Roman" w:hAnsi="Times New Roman" w:cs="Times New Roman"/>
          <w:i/>
        </w:rPr>
        <w:t>Telling Tragedy: Narrative Technique in Aeschylus, Sophocles and Euripides</w:t>
      </w:r>
      <w:r w:rsidRPr="00A57FA6">
        <w:rPr>
          <w:rFonts w:ascii="Times New Roman" w:hAnsi="Times New Roman" w:cs="Times New Roman"/>
        </w:rPr>
        <w:t>. London: Duckworth</w:t>
      </w:r>
    </w:p>
    <w:p w14:paraId="2F5A0F80" w14:textId="77777777" w:rsidR="00FD3D9B" w:rsidRPr="00A57FA6" w:rsidRDefault="00FD3D9B" w:rsidP="00FD3D9B">
      <w:pPr>
        <w:spacing w:line="276" w:lineRule="auto"/>
        <w:rPr>
          <w:rFonts w:ascii="Times New Roman" w:hAnsi="Times New Roman" w:cs="Times New Roman"/>
          <w:u w:val="single"/>
        </w:rPr>
      </w:pPr>
    </w:p>
    <w:p w14:paraId="2D1164C9"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Hall, E. 1997. ‘The sociology of Athenian Tragedy’, in Easterling, P. E. (ed.) </w:t>
      </w:r>
      <w:r w:rsidRPr="00583BEA">
        <w:rPr>
          <w:rFonts w:ascii="Times New Roman" w:hAnsi="Times New Roman" w:cs="Times New Roman"/>
          <w:i/>
        </w:rPr>
        <w:t>The Cambridge Companion to Greek Tragedy</w:t>
      </w:r>
      <w:r w:rsidRPr="00A57FA6">
        <w:rPr>
          <w:rFonts w:ascii="Times New Roman" w:hAnsi="Times New Roman" w:cs="Times New Roman"/>
        </w:rPr>
        <w:t>. Cambridge: Cambridge University Press, pp. 91-126</w:t>
      </w:r>
    </w:p>
    <w:p w14:paraId="0F545135" w14:textId="77777777" w:rsidR="00FD3D9B" w:rsidRPr="00A57FA6" w:rsidRDefault="00FD3D9B" w:rsidP="00FD3D9B">
      <w:pPr>
        <w:spacing w:line="276" w:lineRule="auto"/>
        <w:rPr>
          <w:rFonts w:ascii="Times New Roman" w:hAnsi="Times New Roman" w:cs="Times New Roman"/>
        </w:rPr>
      </w:pPr>
    </w:p>
    <w:p w14:paraId="30BC1E18"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Harris, W. V. 2003. ‘The Rage of Women’, </w:t>
      </w:r>
      <w:r w:rsidRPr="00583BEA">
        <w:rPr>
          <w:rFonts w:ascii="Times New Roman" w:hAnsi="Times New Roman" w:cs="Times New Roman"/>
          <w:i/>
        </w:rPr>
        <w:t>Yale Classical Studies</w:t>
      </w:r>
      <w:r w:rsidRPr="00A57FA6">
        <w:rPr>
          <w:rFonts w:ascii="Times New Roman" w:hAnsi="Times New Roman" w:cs="Times New Roman"/>
        </w:rPr>
        <w:t>. 32, pp.121-143</w:t>
      </w:r>
    </w:p>
    <w:p w14:paraId="3BDB4F44" w14:textId="77777777" w:rsidR="00FD3D9B" w:rsidRPr="00A57FA6" w:rsidRDefault="00FD3D9B" w:rsidP="00FD3D9B">
      <w:pPr>
        <w:spacing w:line="276" w:lineRule="auto"/>
        <w:rPr>
          <w:rFonts w:ascii="Times New Roman" w:hAnsi="Times New Roman" w:cs="Times New Roman"/>
        </w:rPr>
      </w:pPr>
    </w:p>
    <w:p w14:paraId="677CC7A8"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Hawley, R. and </w:t>
      </w:r>
      <w:proofErr w:type="spellStart"/>
      <w:r w:rsidRPr="00A57FA6">
        <w:rPr>
          <w:rFonts w:ascii="Times New Roman" w:hAnsi="Times New Roman" w:cs="Times New Roman"/>
        </w:rPr>
        <w:t>Levick</w:t>
      </w:r>
      <w:proofErr w:type="spellEnd"/>
      <w:r w:rsidRPr="00A57FA6">
        <w:rPr>
          <w:rFonts w:ascii="Times New Roman" w:hAnsi="Times New Roman" w:cs="Times New Roman"/>
        </w:rPr>
        <w:t xml:space="preserve">, B. 1995. </w:t>
      </w:r>
      <w:r w:rsidRPr="00583BEA">
        <w:rPr>
          <w:rFonts w:ascii="Times New Roman" w:hAnsi="Times New Roman" w:cs="Times New Roman"/>
          <w:i/>
        </w:rPr>
        <w:t>Women in Antiquity: new assessments</w:t>
      </w:r>
      <w:r w:rsidRPr="00A57FA6">
        <w:rPr>
          <w:rFonts w:ascii="Times New Roman" w:hAnsi="Times New Roman" w:cs="Times New Roman"/>
        </w:rPr>
        <w:t>. London: Routledge</w:t>
      </w:r>
    </w:p>
    <w:p w14:paraId="39045DB6" w14:textId="77777777" w:rsidR="00FD3D9B" w:rsidRPr="00A57FA6" w:rsidRDefault="00FD3D9B" w:rsidP="00FD3D9B">
      <w:pPr>
        <w:spacing w:line="276" w:lineRule="auto"/>
        <w:rPr>
          <w:rFonts w:ascii="Times New Roman" w:hAnsi="Times New Roman" w:cs="Times New Roman"/>
          <w:u w:val="single"/>
        </w:rPr>
      </w:pPr>
    </w:p>
    <w:p w14:paraId="778BD53F"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Just, R. 1989. </w:t>
      </w:r>
      <w:r w:rsidRPr="00583BEA">
        <w:rPr>
          <w:rFonts w:ascii="Times New Roman" w:hAnsi="Times New Roman" w:cs="Times New Roman"/>
          <w:i/>
        </w:rPr>
        <w:t>Women in Athenian law and life</w:t>
      </w:r>
      <w:r w:rsidRPr="00A57FA6">
        <w:rPr>
          <w:rFonts w:ascii="Times New Roman" w:hAnsi="Times New Roman" w:cs="Times New Roman"/>
        </w:rPr>
        <w:t>. London: Routledge</w:t>
      </w:r>
    </w:p>
    <w:p w14:paraId="4A80D2B0" w14:textId="77777777" w:rsidR="00FD3D9B" w:rsidRPr="00A57FA6" w:rsidRDefault="00FD3D9B" w:rsidP="00FD3D9B">
      <w:pPr>
        <w:spacing w:line="276" w:lineRule="auto"/>
        <w:rPr>
          <w:rFonts w:ascii="Times New Roman" w:hAnsi="Times New Roman" w:cs="Times New Roman"/>
          <w:u w:val="single"/>
        </w:rPr>
      </w:pPr>
    </w:p>
    <w:p w14:paraId="4B1F8D11"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Katz, M. A. 1994. ‘The Character of Tragedy: Women and the Greek Imagination’, </w:t>
      </w:r>
      <w:r w:rsidRPr="00583BEA">
        <w:rPr>
          <w:rFonts w:ascii="Times New Roman" w:hAnsi="Times New Roman" w:cs="Times New Roman"/>
          <w:i/>
        </w:rPr>
        <w:t>Arethusa</w:t>
      </w:r>
      <w:r w:rsidRPr="00A57FA6">
        <w:rPr>
          <w:rFonts w:ascii="Times New Roman" w:hAnsi="Times New Roman" w:cs="Times New Roman"/>
        </w:rPr>
        <w:t>. 27, pp. 81-103</w:t>
      </w:r>
    </w:p>
    <w:p w14:paraId="1473AAEE" w14:textId="77777777" w:rsidR="00FD3D9B" w:rsidRPr="00A57FA6" w:rsidRDefault="00FD3D9B" w:rsidP="00FD3D9B">
      <w:pPr>
        <w:spacing w:line="276" w:lineRule="auto"/>
        <w:rPr>
          <w:rFonts w:ascii="Times New Roman" w:hAnsi="Times New Roman" w:cs="Times New Roman"/>
        </w:rPr>
      </w:pPr>
    </w:p>
    <w:p w14:paraId="34713990"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Lardinois</w:t>
      </w:r>
      <w:proofErr w:type="spellEnd"/>
      <w:r w:rsidRPr="00A57FA6">
        <w:rPr>
          <w:rFonts w:ascii="Times New Roman" w:hAnsi="Times New Roman" w:cs="Times New Roman"/>
        </w:rPr>
        <w:t xml:space="preserve">, A. and McClure, L. 2001. </w:t>
      </w:r>
      <w:r w:rsidRPr="00583BEA">
        <w:rPr>
          <w:rFonts w:ascii="Times New Roman" w:hAnsi="Times New Roman" w:cs="Times New Roman"/>
          <w:i/>
        </w:rPr>
        <w:t>Making Silence Speak: Women’s Voices in Greek Literature and Society</w:t>
      </w:r>
      <w:r w:rsidRPr="00A57FA6">
        <w:rPr>
          <w:rFonts w:ascii="Times New Roman" w:hAnsi="Times New Roman" w:cs="Times New Roman"/>
        </w:rPr>
        <w:t>. Princeton: Princeton University Press</w:t>
      </w:r>
    </w:p>
    <w:p w14:paraId="76BA1FA0" w14:textId="77777777" w:rsidR="00FD3D9B" w:rsidRPr="00A57FA6" w:rsidRDefault="00FD3D9B" w:rsidP="00FD3D9B">
      <w:pPr>
        <w:spacing w:line="276" w:lineRule="auto"/>
        <w:rPr>
          <w:rFonts w:ascii="Times New Roman" w:hAnsi="Times New Roman" w:cs="Times New Roman"/>
          <w:u w:val="single"/>
        </w:rPr>
      </w:pPr>
    </w:p>
    <w:p w14:paraId="5D5C46EB"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McAuslan</w:t>
      </w:r>
      <w:proofErr w:type="spellEnd"/>
      <w:r w:rsidRPr="00A57FA6">
        <w:rPr>
          <w:rFonts w:ascii="Times New Roman" w:hAnsi="Times New Roman" w:cs="Times New Roman"/>
        </w:rPr>
        <w:t xml:space="preserve">, I. and </w:t>
      </w:r>
      <w:proofErr w:type="spellStart"/>
      <w:r w:rsidRPr="00A57FA6">
        <w:rPr>
          <w:rFonts w:ascii="Times New Roman" w:hAnsi="Times New Roman" w:cs="Times New Roman"/>
        </w:rPr>
        <w:t>Walcot</w:t>
      </w:r>
      <w:proofErr w:type="spellEnd"/>
      <w:r w:rsidRPr="00A57FA6">
        <w:rPr>
          <w:rFonts w:ascii="Times New Roman" w:hAnsi="Times New Roman" w:cs="Times New Roman"/>
        </w:rPr>
        <w:t xml:space="preserve">, P. 1996. </w:t>
      </w:r>
      <w:r w:rsidRPr="00583BEA">
        <w:rPr>
          <w:rFonts w:ascii="Times New Roman" w:hAnsi="Times New Roman" w:cs="Times New Roman"/>
          <w:i/>
        </w:rPr>
        <w:t>Women in Antiquity</w:t>
      </w:r>
      <w:r w:rsidRPr="00A57FA6">
        <w:rPr>
          <w:rFonts w:ascii="Times New Roman" w:hAnsi="Times New Roman" w:cs="Times New Roman"/>
        </w:rPr>
        <w:t>. Oxford: Oxford University Press</w:t>
      </w:r>
    </w:p>
    <w:p w14:paraId="381980B6" w14:textId="77777777" w:rsidR="00FD3D9B" w:rsidRPr="00A57FA6" w:rsidRDefault="00FD3D9B" w:rsidP="00FD3D9B">
      <w:pPr>
        <w:spacing w:line="276" w:lineRule="auto"/>
        <w:rPr>
          <w:rFonts w:ascii="Times New Roman" w:hAnsi="Times New Roman" w:cs="Times New Roman"/>
          <w:u w:val="single"/>
        </w:rPr>
      </w:pPr>
    </w:p>
    <w:p w14:paraId="456B89B4"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McClure, L. K. 2015. ‘Tokens of Identity and Recognition in Greek Tragedy’, </w:t>
      </w:r>
      <w:r>
        <w:rPr>
          <w:rFonts w:ascii="Times New Roman" w:hAnsi="Times New Roman" w:cs="Times New Roman"/>
        </w:rPr>
        <w:t xml:space="preserve">in </w:t>
      </w:r>
      <w:r w:rsidRPr="00583BEA">
        <w:rPr>
          <w:rFonts w:ascii="Times New Roman" w:hAnsi="Times New Roman" w:cs="Times New Roman"/>
          <w:i/>
        </w:rPr>
        <w:t>Illinois Classical Studies</w:t>
      </w:r>
      <w:r w:rsidRPr="00A57FA6">
        <w:rPr>
          <w:rFonts w:ascii="Times New Roman" w:hAnsi="Times New Roman" w:cs="Times New Roman"/>
        </w:rPr>
        <w:t>. 40(2), pp. 219-236</w:t>
      </w:r>
    </w:p>
    <w:p w14:paraId="498E9216" w14:textId="77777777" w:rsidR="00FD3D9B" w:rsidRPr="00A57FA6" w:rsidRDefault="00FD3D9B" w:rsidP="00FD3D9B">
      <w:pPr>
        <w:spacing w:line="276" w:lineRule="auto"/>
        <w:rPr>
          <w:rFonts w:ascii="Times New Roman" w:hAnsi="Times New Roman" w:cs="Times New Roman"/>
          <w:u w:val="single"/>
        </w:rPr>
      </w:pPr>
    </w:p>
    <w:p w14:paraId="7D872BB5"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McHardy</w:t>
      </w:r>
      <w:proofErr w:type="spellEnd"/>
      <w:r w:rsidRPr="00A57FA6">
        <w:rPr>
          <w:rFonts w:ascii="Times New Roman" w:hAnsi="Times New Roman" w:cs="Times New Roman"/>
        </w:rPr>
        <w:t xml:space="preserve">, F. 1997. ‘Violent femmes: women and revenge in Greek tragedy’, </w:t>
      </w:r>
      <w:r>
        <w:rPr>
          <w:rFonts w:ascii="Times New Roman" w:hAnsi="Times New Roman" w:cs="Times New Roman"/>
        </w:rPr>
        <w:t xml:space="preserve">in </w:t>
      </w:r>
      <w:r w:rsidRPr="00583BEA">
        <w:rPr>
          <w:rFonts w:ascii="Times New Roman" w:hAnsi="Times New Roman" w:cs="Times New Roman"/>
          <w:i/>
        </w:rPr>
        <w:t>Pegasus</w:t>
      </w:r>
      <w:r w:rsidRPr="00A57FA6">
        <w:rPr>
          <w:rFonts w:ascii="Times New Roman" w:hAnsi="Times New Roman" w:cs="Times New Roman"/>
        </w:rPr>
        <w:t>. 40, pp. 22-27</w:t>
      </w:r>
    </w:p>
    <w:p w14:paraId="45A4B72A" w14:textId="77777777" w:rsidR="00FD3D9B" w:rsidRPr="00A57FA6" w:rsidRDefault="00FD3D9B" w:rsidP="00FD3D9B">
      <w:pPr>
        <w:spacing w:line="276" w:lineRule="auto"/>
        <w:rPr>
          <w:rFonts w:ascii="Times New Roman" w:hAnsi="Times New Roman" w:cs="Times New Roman"/>
        </w:rPr>
      </w:pPr>
    </w:p>
    <w:p w14:paraId="5B139C33"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Mossman, J. 2001. ‘Women’s Speech in Greek Tragedy: The Case of Electra and Clytemnestra in Euripides’ “Electra”’, in </w:t>
      </w:r>
      <w:r w:rsidRPr="00583BEA">
        <w:rPr>
          <w:rFonts w:ascii="Times New Roman" w:hAnsi="Times New Roman" w:cs="Times New Roman"/>
          <w:i/>
        </w:rPr>
        <w:t>Classical Quarterly</w:t>
      </w:r>
      <w:r w:rsidRPr="00A57FA6">
        <w:rPr>
          <w:rFonts w:ascii="Times New Roman" w:hAnsi="Times New Roman" w:cs="Times New Roman"/>
        </w:rPr>
        <w:t>. 52, 2, pp. 374 – 384</w:t>
      </w:r>
    </w:p>
    <w:p w14:paraId="1A5C377B" w14:textId="77777777" w:rsidR="00FD3D9B" w:rsidRPr="00A57FA6" w:rsidRDefault="00FD3D9B" w:rsidP="00FD3D9B">
      <w:pPr>
        <w:spacing w:line="276" w:lineRule="auto"/>
        <w:rPr>
          <w:rFonts w:ascii="Times New Roman" w:hAnsi="Times New Roman" w:cs="Times New Roman"/>
        </w:rPr>
      </w:pPr>
    </w:p>
    <w:p w14:paraId="5EC93330"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lastRenderedPageBreak/>
        <w:t xml:space="preserve">Powell, A. 1990. </w:t>
      </w:r>
      <w:r w:rsidRPr="00583BEA">
        <w:rPr>
          <w:rFonts w:ascii="Times New Roman" w:hAnsi="Times New Roman" w:cs="Times New Roman"/>
          <w:i/>
        </w:rPr>
        <w:t>Euripides, Women and Sexuality</w:t>
      </w:r>
      <w:r w:rsidRPr="00A57FA6">
        <w:rPr>
          <w:rFonts w:ascii="Times New Roman" w:hAnsi="Times New Roman" w:cs="Times New Roman"/>
        </w:rPr>
        <w:t>. London: Routledge</w:t>
      </w:r>
    </w:p>
    <w:p w14:paraId="67BD998B" w14:textId="77777777" w:rsidR="00FD3D9B" w:rsidRPr="00A57FA6" w:rsidRDefault="00FD3D9B" w:rsidP="00FD3D9B">
      <w:pPr>
        <w:spacing w:line="276" w:lineRule="auto"/>
        <w:rPr>
          <w:rFonts w:ascii="Times New Roman" w:hAnsi="Times New Roman" w:cs="Times New Roman"/>
        </w:rPr>
      </w:pPr>
    </w:p>
    <w:p w14:paraId="6FB852EB"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Roisman</w:t>
      </w:r>
      <w:proofErr w:type="spellEnd"/>
      <w:r w:rsidRPr="00A57FA6">
        <w:rPr>
          <w:rFonts w:ascii="Times New Roman" w:hAnsi="Times New Roman" w:cs="Times New Roman"/>
        </w:rPr>
        <w:t xml:space="preserve">, H. 2011. </w:t>
      </w:r>
      <w:r w:rsidRPr="00583BEA">
        <w:rPr>
          <w:rFonts w:ascii="Times New Roman" w:hAnsi="Times New Roman" w:cs="Times New Roman"/>
          <w:i/>
        </w:rPr>
        <w:t>Euripides’ Electra: A Commentary</w:t>
      </w:r>
      <w:r w:rsidRPr="00A57FA6">
        <w:rPr>
          <w:rFonts w:ascii="Times New Roman" w:hAnsi="Times New Roman" w:cs="Times New Roman"/>
        </w:rPr>
        <w:t>. Oklahoma: University of Oklahoma Press</w:t>
      </w:r>
    </w:p>
    <w:p w14:paraId="0D51F105" w14:textId="77777777" w:rsidR="00FD3D9B" w:rsidRPr="00A57FA6" w:rsidRDefault="00FD3D9B" w:rsidP="00FD3D9B">
      <w:pPr>
        <w:spacing w:line="276" w:lineRule="auto"/>
        <w:rPr>
          <w:rFonts w:ascii="Times New Roman" w:hAnsi="Times New Roman" w:cs="Times New Roman"/>
          <w:u w:val="single"/>
        </w:rPr>
      </w:pPr>
    </w:p>
    <w:p w14:paraId="1B97F2CF"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Roisman</w:t>
      </w:r>
      <w:proofErr w:type="spellEnd"/>
      <w:r w:rsidRPr="00A57FA6">
        <w:rPr>
          <w:rFonts w:ascii="Times New Roman" w:hAnsi="Times New Roman" w:cs="Times New Roman"/>
        </w:rPr>
        <w:t xml:space="preserve">, H. M. 2004. ‘Women’s Free Speech in Greek Tragedy’, in </w:t>
      </w:r>
      <w:proofErr w:type="spellStart"/>
      <w:r w:rsidRPr="00A57FA6">
        <w:rPr>
          <w:rFonts w:ascii="Times New Roman" w:hAnsi="Times New Roman" w:cs="Times New Roman"/>
        </w:rPr>
        <w:t>Sluiter</w:t>
      </w:r>
      <w:proofErr w:type="spellEnd"/>
      <w:r w:rsidRPr="00A57FA6">
        <w:rPr>
          <w:rFonts w:ascii="Times New Roman" w:hAnsi="Times New Roman" w:cs="Times New Roman"/>
        </w:rPr>
        <w:t xml:space="preserve">, I. and Rosen, R. M. (eds.) </w:t>
      </w:r>
      <w:r w:rsidRPr="00583BEA">
        <w:rPr>
          <w:rFonts w:ascii="Times New Roman" w:hAnsi="Times New Roman" w:cs="Times New Roman"/>
          <w:i/>
        </w:rPr>
        <w:t>Free Speech in Classical Antiquity</w:t>
      </w:r>
      <w:r w:rsidRPr="00A57FA6">
        <w:rPr>
          <w:rFonts w:ascii="Times New Roman" w:hAnsi="Times New Roman" w:cs="Times New Roman"/>
        </w:rPr>
        <w:t>. Leiden: Brill</w:t>
      </w:r>
    </w:p>
    <w:p w14:paraId="2F4AA633" w14:textId="77777777" w:rsidR="00FD3D9B" w:rsidRPr="00A57FA6" w:rsidRDefault="00FD3D9B" w:rsidP="00FD3D9B">
      <w:pPr>
        <w:spacing w:line="276" w:lineRule="auto"/>
        <w:rPr>
          <w:rFonts w:ascii="Times New Roman" w:hAnsi="Times New Roman" w:cs="Times New Roman"/>
        </w:rPr>
      </w:pPr>
    </w:p>
    <w:p w14:paraId="5DD6B271"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Seidler, V. J. 1994. </w:t>
      </w:r>
      <w:r w:rsidRPr="00583BEA">
        <w:rPr>
          <w:rFonts w:ascii="Times New Roman" w:hAnsi="Times New Roman" w:cs="Times New Roman"/>
          <w:i/>
        </w:rPr>
        <w:t>Unreasonable Men: Masculinity and social theory</w:t>
      </w:r>
      <w:r w:rsidRPr="00A57FA6">
        <w:rPr>
          <w:rFonts w:ascii="Times New Roman" w:hAnsi="Times New Roman" w:cs="Times New Roman"/>
        </w:rPr>
        <w:t>. London: Routledge</w:t>
      </w:r>
    </w:p>
    <w:p w14:paraId="10887092" w14:textId="77777777" w:rsidR="00FD3D9B" w:rsidRPr="00A57FA6" w:rsidRDefault="00FD3D9B" w:rsidP="00FD3D9B">
      <w:pPr>
        <w:spacing w:line="276" w:lineRule="auto"/>
        <w:rPr>
          <w:rFonts w:ascii="Times New Roman" w:hAnsi="Times New Roman" w:cs="Times New Roman"/>
          <w:u w:val="single"/>
        </w:rPr>
      </w:pPr>
    </w:p>
    <w:p w14:paraId="5D534A82" w14:textId="77777777" w:rsidR="00FD3D9B" w:rsidRPr="00A57FA6" w:rsidRDefault="00FD3D9B" w:rsidP="00FD3D9B">
      <w:pPr>
        <w:spacing w:line="276" w:lineRule="auto"/>
        <w:rPr>
          <w:rFonts w:ascii="Times New Roman" w:hAnsi="Times New Roman" w:cs="Times New Roman"/>
        </w:rPr>
      </w:pPr>
      <w:proofErr w:type="spellStart"/>
      <w:r w:rsidRPr="00A57FA6">
        <w:rPr>
          <w:rFonts w:ascii="Times New Roman" w:hAnsi="Times New Roman" w:cs="Times New Roman"/>
        </w:rPr>
        <w:t>Seltman</w:t>
      </w:r>
      <w:proofErr w:type="spellEnd"/>
      <w:r w:rsidRPr="00A57FA6">
        <w:rPr>
          <w:rFonts w:ascii="Times New Roman" w:hAnsi="Times New Roman" w:cs="Times New Roman"/>
        </w:rPr>
        <w:t xml:space="preserve">, C. 1956. </w:t>
      </w:r>
      <w:r w:rsidRPr="00583BEA">
        <w:rPr>
          <w:rFonts w:ascii="Times New Roman" w:hAnsi="Times New Roman" w:cs="Times New Roman"/>
          <w:i/>
        </w:rPr>
        <w:t>Women in Antiquity</w:t>
      </w:r>
      <w:r w:rsidRPr="00A57FA6">
        <w:rPr>
          <w:rFonts w:ascii="Times New Roman" w:hAnsi="Times New Roman" w:cs="Times New Roman"/>
        </w:rPr>
        <w:t>. London: Pan Books</w:t>
      </w:r>
    </w:p>
    <w:p w14:paraId="5F5E4347" w14:textId="77777777" w:rsidR="00FD3D9B" w:rsidRPr="00A57FA6" w:rsidRDefault="00FD3D9B" w:rsidP="00FD3D9B">
      <w:pPr>
        <w:spacing w:line="276" w:lineRule="auto"/>
        <w:rPr>
          <w:rFonts w:ascii="Times New Roman" w:hAnsi="Times New Roman" w:cs="Times New Roman"/>
        </w:rPr>
      </w:pPr>
    </w:p>
    <w:p w14:paraId="3E47E3C5" w14:textId="77777777" w:rsidR="00FD3D9B" w:rsidRPr="00A57FA6" w:rsidRDefault="00FD3D9B" w:rsidP="00FD3D9B">
      <w:pPr>
        <w:spacing w:line="276" w:lineRule="auto"/>
        <w:rPr>
          <w:rFonts w:ascii="Times New Roman" w:hAnsi="Times New Roman" w:cs="Times New Roman"/>
        </w:rPr>
      </w:pPr>
      <w:r w:rsidRPr="00A57FA6">
        <w:rPr>
          <w:rFonts w:ascii="Times New Roman" w:hAnsi="Times New Roman" w:cs="Times New Roman"/>
        </w:rPr>
        <w:t xml:space="preserve">Summons, B. 2005. ‘Gender Reversal in Greek Tragedy’, </w:t>
      </w:r>
      <w:r>
        <w:rPr>
          <w:rFonts w:ascii="Times New Roman" w:hAnsi="Times New Roman" w:cs="Times New Roman"/>
        </w:rPr>
        <w:t xml:space="preserve">in </w:t>
      </w:r>
      <w:r w:rsidRPr="00583BEA">
        <w:rPr>
          <w:rFonts w:ascii="Times New Roman" w:hAnsi="Times New Roman" w:cs="Times New Roman"/>
          <w:i/>
        </w:rPr>
        <w:t>Pegasus</w:t>
      </w:r>
      <w:r w:rsidRPr="00A57FA6">
        <w:rPr>
          <w:rFonts w:ascii="Times New Roman" w:hAnsi="Times New Roman" w:cs="Times New Roman"/>
        </w:rPr>
        <w:t>. 48, pp. 10-14</w:t>
      </w:r>
    </w:p>
    <w:p w14:paraId="66F9C266" w14:textId="77777777" w:rsidR="00FD3D9B" w:rsidRPr="00A57FA6" w:rsidRDefault="00FD3D9B" w:rsidP="00FD3D9B">
      <w:pPr>
        <w:spacing w:line="276" w:lineRule="auto"/>
        <w:rPr>
          <w:rFonts w:ascii="Times New Roman" w:hAnsi="Times New Roman" w:cs="Times New Roman"/>
        </w:rPr>
      </w:pPr>
    </w:p>
    <w:p w14:paraId="42B34EE1" w14:textId="1F703BBA" w:rsidR="004621C9" w:rsidRPr="00FD3D9B" w:rsidRDefault="00FD3D9B" w:rsidP="00FD3D9B">
      <w:pPr>
        <w:spacing w:line="276" w:lineRule="auto"/>
        <w:rPr>
          <w:rFonts w:ascii="Times New Roman" w:hAnsi="Times New Roman" w:cs="Times New Roman"/>
        </w:rPr>
      </w:pPr>
      <w:r w:rsidRPr="00A57FA6">
        <w:rPr>
          <w:rFonts w:ascii="Times New Roman" w:hAnsi="Times New Roman" w:cs="Times New Roman"/>
        </w:rPr>
        <w:t>Z</w:t>
      </w:r>
      <w:r>
        <w:rPr>
          <w:rFonts w:ascii="Times New Roman" w:hAnsi="Times New Roman" w:cs="Times New Roman"/>
        </w:rPr>
        <w:t>e</w:t>
      </w:r>
      <w:r w:rsidRPr="00A57FA6">
        <w:rPr>
          <w:rFonts w:ascii="Times New Roman" w:hAnsi="Times New Roman" w:cs="Times New Roman"/>
        </w:rPr>
        <w:t xml:space="preserve">itlin, F. I. 1996. </w:t>
      </w:r>
      <w:r w:rsidRPr="00583BEA">
        <w:rPr>
          <w:rFonts w:ascii="Times New Roman" w:hAnsi="Times New Roman" w:cs="Times New Roman"/>
          <w:i/>
        </w:rPr>
        <w:t>Playing the Other: gender and society in classical Greek literature</w:t>
      </w:r>
      <w:r w:rsidRPr="00A57FA6">
        <w:rPr>
          <w:rFonts w:ascii="Times New Roman" w:hAnsi="Times New Roman" w:cs="Times New Roman"/>
        </w:rPr>
        <w:t>. Chicago: University of Chicago Press</w:t>
      </w:r>
      <w:r w:rsidR="004621C9" w:rsidRPr="004621C9">
        <w:rPr>
          <w:rFonts w:ascii="Times New Roman" w:hAnsi="Times New Roman"/>
        </w:rPr>
        <w:br w:type="page"/>
      </w:r>
    </w:p>
    <w:p w14:paraId="6D838F05" w14:textId="45DB3555" w:rsidR="004621C9" w:rsidRPr="004621C9" w:rsidRDefault="004621C9" w:rsidP="004621C9">
      <w:pPr>
        <w:spacing w:line="360" w:lineRule="auto"/>
      </w:pPr>
      <w:r>
        <w:lastRenderedPageBreak/>
        <w:t>Conclusion</w:t>
      </w:r>
    </w:p>
    <w:sectPr w:rsidR="004621C9" w:rsidRPr="004621C9" w:rsidSect="004621C9">
      <w:footerReference w:type="even" r:id="rId7"/>
      <w:footerReference w:type="default" r:id="rId8"/>
      <w:pgSz w:w="11900" w:h="16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F80CE" w14:textId="77777777" w:rsidR="00620118" w:rsidRDefault="00620118" w:rsidP="004621C9">
      <w:r>
        <w:separator/>
      </w:r>
    </w:p>
  </w:endnote>
  <w:endnote w:type="continuationSeparator" w:id="0">
    <w:p w14:paraId="7D7C2932" w14:textId="77777777" w:rsidR="00620118" w:rsidRDefault="00620118" w:rsidP="00462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7357630"/>
      <w:docPartObj>
        <w:docPartGallery w:val="Page Numbers (Bottom of Page)"/>
        <w:docPartUnique/>
      </w:docPartObj>
    </w:sdtPr>
    <w:sdtContent>
      <w:p w14:paraId="30F2215C" w14:textId="4539325B" w:rsidR="004621C9" w:rsidRDefault="004621C9" w:rsidP="002E1B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9017EA" w14:textId="77777777" w:rsidR="004621C9" w:rsidRDefault="004621C9" w:rsidP="004621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8740492"/>
      <w:docPartObj>
        <w:docPartGallery w:val="Page Numbers (Bottom of Page)"/>
        <w:docPartUnique/>
      </w:docPartObj>
    </w:sdtPr>
    <w:sdtContent>
      <w:p w14:paraId="040EC99B" w14:textId="4EC62130" w:rsidR="004621C9" w:rsidRDefault="004621C9" w:rsidP="002E1B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7F9F4A" w14:textId="77777777" w:rsidR="004621C9" w:rsidRDefault="004621C9" w:rsidP="004621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10103" w14:textId="77777777" w:rsidR="00620118" w:rsidRDefault="00620118" w:rsidP="004621C9">
      <w:r>
        <w:separator/>
      </w:r>
    </w:p>
  </w:footnote>
  <w:footnote w:type="continuationSeparator" w:id="0">
    <w:p w14:paraId="618D44A6" w14:textId="77777777" w:rsidR="00620118" w:rsidRDefault="00620118" w:rsidP="004621C9">
      <w:r>
        <w:continuationSeparator/>
      </w:r>
    </w:p>
  </w:footnote>
  <w:footnote w:id="1">
    <w:p w14:paraId="6E6E0746" w14:textId="12361CAB" w:rsidR="00C33056" w:rsidRPr="00C33056" w:rsidRDefault="00C33056">
      <w:pPr>
        <w:pStyle w:val="FootnoteText"/>
      </w:pPr>
      <w:r>
        <w:rPr>
          <w:rStyle w:val="FootnoteReference"/>
        </w:rPr>
        <w:footnoteRef/>
      </w:r>
      <w:r>
        <w:t xml:space="preserve"> Euripides, </w:t>
      </w:r>
      <w:r>
        <w:rPr>
          <w:i/>
        </w:rPr>
        <w:t>Electra</w:t>
      </w:r>
    </w:p>
  </w:footnote>
  <w:footnote w:id="2">
    <w:p w14:paraId="4F471730" w14:textId="76AC26C9" w:rsidR="00C33056" w:rsidRPr="00C33056" w:rsidRDefault="00C33056">
      <w:pPr>
        <w:pStyle w:val="FootnoteText"/>
      </w:pPr>
      <w:r>
        <w:rPr>
          <w:rStyle w:val="FootnoteReference"/>
        </w:rPr>
        <w:footnoteRef/>
      </w:r>
      <w:r>
        <w:t xml:space="preserve"> Euripides, </w:t>
      </w:r>
      <w:r>
        <w:rPr>
          <w:i/>
        </w:rPr>
        <w:t>Helen</w:t>
      </w:r>
    </w:p>
  </w:footnote>
  <w:footnote w:id="3">
    <w:p w14:paraId="217C525B" w14:textId="000F8742" w:rsidR="00C33056" w:rsidRPr="00C33056" w:rsidRDefault="00C33056">
      <w:pPr>
        <w:pStyle w:val="FootnoteText"/>
      </w:pPr>
      <w:r>
        <w:rPr>
          <w:rStyle w:val="FootnoteReference"/>
        </w:rPr>
        <w:footnoteRef/>
      </w:r>
      <w:r>
        <w:t xml:space="preserve"> Xenophon’s </w:t>
      </w:r>
      <w:proofErr w:type="spellStart"/>
      <w:r w:rsidRPr="004621C9">
        <w:rPr>
          <w:rFonts w:ascii="Times New Roman" w:eastAsia="Times New Roman" w:hAnsi="Times New Roman" w:cs="Times New Roman"/>
          <w:i/>
          <w:iCs/>
          <w:color w:val="000000"/>
        </w:rPr>
        <w:t>Oeconomicus</w:t>
      </w:r>
      <w:proofErr w:type="spellEnd"/>
    </w:p>
  </w:footnote>
  <w:footnote w:id="4">
    <w:p w14:paraId="0035CCAB" w14:textId="6DEF44BD" w:rsidR="00C33056" w:rsidRDefault="00C33056">
      <w:pPr>
        <w:pStyle w:val="FootnoteText"/>
      </w:pPr>
      <w:r>
        <w:rPr>
          <w:rStyle w:val="FootnoteReference"/>
        </w:rPr>
        <w:footnoteRef/>
      </w:r>
      <w:r>
        <w:t xml:space="preserve"> Plato’s </w:t>
      </w:r>
      <w:r w:rsidRPr="004621C9">
        <w:rPr>
          <w:rFonts w:ascii="Times New Roman" w:eastAsia="Times New Roman" w:hAnsi="Times New Roman" w:cs="Times New Roman"/>
          <w:i/>
          <w:iCs/>
          <w:color w:val="000000"/>
        </w:rPr>
        <w:t>Republic</w:t>
      </w:r>
    </w:p>
  </w:footnote>
  <w:footnote w:id="5">
    <w:p w14:paraId="4C450D26" w14:textId="4524CB01" w:rsidR="00C33056" w:rsidRDefault="00C33056">
      <w:pPr>
        <w:pStyle w:val="FootnoteText"/>
      </w:pPr>
      <w:r>
        <w:rPr>
          <w:rStyle w:val="FootnoteReference"/>
        </w:rPr>
        <w:footnoteRef/>
      </w:r>
      <w:r>
        <w:t xml:space="preserve"> Foley, 1981: 135</w:t>
      </w:r>
    </w:p>
  </w:footnote>
  <w:footnote w:id="6">
    <w:p w14:paraId="22516149" w14:textId="2A59C741" w:rsidR="00C33056" w:rsidRDefault="00C33056">
      <w:pPr>
        <w:pStyle w:val="FootnoteText"/>
      </w:pPr>
      <w:r>
        <w:rPr>
          <w:rStyle w:val="FootnoteReference"/>
        </w:rPr>
        <w:footnoteRef/>
      </w:r>
      <w:r>
        <w:t xml:space="preserve"> </w:t>
      </w:r>
      <w:proofErr w:type="spellStart"/>
      <w:r>
        <w:t>Roisman</w:t>
      </w:r>
      <w:proofErr w:type="spellEnd"/>
      <w:r>
        <w:t>, 2011</w:t>
      </w:r>
    </w:p>
  </w:footnote>
  <w:footnote w:id="7">
    <w:p w14:paraId="4D5EF6BC" w14:textId="1A6C7C0B" w:rsidR="00C33056" w:rsidRDefault="00C33056">
      <w:pPr>
        <w:pStyle w:val="FootnoteText"/>
      </w:pPr>
      <w:r>
        <w:rPr>
          <w:rStyle w:val="FootnoteReference"/>
        </w:rPr>
        <w:footnoteRef/>
      </w:r>
      <w:r>
        <w:t xml:space="preserve"> Allan, 2008</w:t>
      </w:r>
    </w:p>
  </w:footnote>
  <w:footnote w:id="8">
    <w:p w14:paraId="6BB4BF95" w14:textId="265F1450" w:rsidR="00C33056" w:rsidRDefault="00C33056">
      <w:pPr>
        <w:pStyle w:val="FootnoteText"/>
      </w:pPr>
      <w:r>
        <w:rPr>
          <w:rStyle w:val="FootnoteReference"/>
        </w:rPr>
        <w:footnoteRef/>
      </w:r>
      <w:r>
        <w:t xml:space="preserve"> Pomeroy, 1975; Foley, 1981</w:t>
      </w:r>
    </w:p>
  </w:footnote>
  <w:footnote w:id="9">
    <w:p w14:paraId="5F7DBB78" w14:textId="263244D9" w:rsidR="00C33056" w:rsidRDefault="00C33056">
      <w:pPr>
        <w:pStyle w:val="FootnoteText"/>
      </w:pPr>
      <w:r>
        <w:rPr>
          <w:rStyle w:val="FootnoteReference"/>
        </w:rPr>
        <w:footnoteRef/>
      </w:r>
      <w:r>
        <w:t xml:space="preserve"> Foley, 1981: 135</w:t>
      </w:r>
    </w:p>
  </w:footnote>
  <w:footnote w:id="10">
    <w:p w14:paraId="335A2915" w14:textId="404B7B10" w:rsidR="00C33056" w:rsidRDefault="00C33056">
      <w:pPr>
        <w:pStyle w:val="FootnoteText"/>
      </w:pPr>
      <w:r>
        <w:rPr>
          <w:rStyle w:val="FootnoteReference"/>
        </w:rPr>
        <w:footnoteRef/>
      </w:r>
      <w:r>
        <w:t xml:space="preserve"> Foley, 1981: 135</w:t>
      </w:r>
    </w:p>
  </w:footnote>
  <w:footnote w:id="11">
    <w:p w14:paraId="33831E46" w14:textId="37A41F84" w:rsidR="00C33056" w:rsidRDefault="00C33056">
      <w:pPr>
        <w:pStyle w:val="FootnoteText"/>
      </w:pPr>
      <w:r>
        <w:rPr>
          <w:rStyle w:val="FootnoteReference"/>
        </w:rPr>
        <w:footnoteRef/>
      </w:r>
      <w:r>
        <w:t xml:space="preserve"> Connell, 2005; Butler, 1990</w:t>
      </w:r>
    </w:p>
  </w:footnote>
  <w:footnote w:id="12">
    <w:p w14:paraId="276D0340" w14:textId="49772DCE" w:rsidR="00C33056" w:rsidRDefault="00C33056">
      <w:pPr>
        <w:pStyle w:val="FootnoteText"/>
      </w:pPr>
      <w:r>
        <w:rPr>
          <w:rStyle w:val="FootnoteReference"/>
        </w:rPr>
        <w:footnoteRef/>
      </w:r>
      <w:r>
        <w:t xml:space="preserve"> </w:t>
      </w:r>
      <w:proofErr w:type="spellStart"/>
      <w:r>
        <w:t>Cawthorn</w:t>
      </w:r>
      <w:proofErr w:type="spellEnd"/>
      <w:r>
        <w:t>, 2008</w:t>
      </w:r>
    </w:p>
  </w:footnote>
  <w:footnote w:id="13">
    <w:p w14:paraId="0805D2A1" w14:textId="11E2C1F3" w:rsidR="00C33056" w:rsidRDefault="00C33056">
      <w:pPr>
        <w:pStyle w:val="FootnoteText"/>
      </w:pPr>
      <w:r>
        <w:rPr>
          <w:rStyle w:val="FootnoteReference"/>
        </w:rPr>
        <w:footnoteRef/>
      </w:r>
      <w:r>
        <w:t xml:space="preserve"> Lacey, 1968</w:t>
      </w:r>
    </w:p>
  </w:footnote>
  <w:footnote w:id="14">
    <w:p w14:paraId="5F00F7C5" w14:textId="73155149" w:rsidR="00C33056" w:rsidRDefault="00C33056">
      <w:pPr>
        <w:pStyle w:val="FootnoteText"/>
      </w:pPr>
      <w:r>
        <w:rPr>
          <w:rStyle w:val="FootnoteReference"/>
        </w:rPr>
        <w:footnoteRef/>
      </w:r>
      <w:r>
        <w:t xml:space="preserve"> Just, 1994; Foley, 1981; Pomeroy, 1975</w:t>
      </w:r>
    </w:p>
  </w:footnote>
  <w:footnote w:id="15">
    <w:p w14:paraId="06694660" w14:textId="2CDA7157" w:rsidR="00C33056" w:rsidRDefault="00C33056">
      <w:pPr>
        <w:pStyle w:val="FootnoteText"/>
      </w:pPr>
      <w:r>
        <w:rPr>
          <w:rStyle w:val="FootnoteReference"/>
        </w:rPr>
        <w:footnoteRef/>
      </w:r>
      <w:r>
        <w:t xml:space="preserve"> Pomeroy, 1975: 72</w:t>
      </w:r>
    </w:p>
  </w:footnote>
  <w:footnote w:id="16">
    <w:p w14:paraId="5BD87092" w14:textId="6ADD8F57" w:rsidR="00C33056" w:rsidRDefault="00C33056">
      <w:pPr>
        <w:pStyle w:val="FootnoteText"/>
      </w:pPr>
      <w:r>
        <w:rPr>
          <w:rStyle w:val="FootnoteReference"/>
        </w:rPr>
        <w:footnoteRef/>
      </w:r>
      <w:r>
        <w:t xml:space="preserve"> Just, 1994: 1, 3</w:t>
      </w:r>
    </w:p>
  </w:footnote>
  <w:footnote w:id="17">
    <w:p w14:paraId="2ABEECD4" w14:textId="289727D5" w:rsidR="00C33056" w:rsidRDefault="00C33056">
      <w:pPr>
        <w:pStyle w:val="FootnoteText"/>
      </w:pPr>
      <w:r>
        <w:rPr>
          <w:rStyle w:val="FootnoteReference"/>
        </w:rPr>
        <w:footnoteRef/>
      </w:r>
      <w:r>
        <w:t xml:space="preserve"> Cohen, 1989: 4</w:t>
      </w:r>
    </w:p>
  </w:footnote>
  <w:footnote w:id="18">
    <w:p w14:paraId="53C5DAA8" w14:textId="5A278F02" w:rsidR="00C33056" w:rsidRDefault="00C33056">
      <w:pPr>
        <w:pStyle w:val="FootnoteText"/>
      </w:pPr>
      <w:r>
        <w:rPr>
          <w:rStyle w:val="FootnoteReference"/>
        </w:rPr>
        <w:footnoteRef/>
      </w:r>
      <w:r>
        <w:t xml:space="preserve"> Cohen, 1989: 9</w:t>
      </w:r>
    </w:p>
  </w:footnote>
  <w:footnote w:id="19">
    <w:p w14:paraId="14D2F773" w14:textId="460FDAAB" w:rsidR="00C33056" w:rsidRDefault="00C33056">
      <w:pPr>
        <w:pStyle w:val="FootnoteText"/>
      </w:pPr>
      <w:r>
        <w:rPr>
          <w:rStyle w:val="FootnoteReference"/>
        </w:rPr>
        <w:footnoteRef/>
      </w:r>
      <w:r>
        <w:t xml:space="preserve"> Katz, 1995: 22</w:t>
      </w:r>
    </w:p>
  </w:footnote>
  <w:footnote w:id="20">
    <w:p w14:paraId="5870C47A" w14:textId="49D5B5DB" w:rsidR="00C33056" w:rsidRPr="00C33056" w:rsidRDefault="00C33056">
      <w:pPr>
        <w:pStyle w:val="FootnoteText"/>
      </w:pPr>
      <w:r>
        <w:rPr>
          <w:rStyle w:val="FootnoteReference"/>
        </w:rPr>
        <w:footnoteRef/>
      </w:r>
      <w:r>
        <w:t xml:space="preserve"> Marchant et al., 1923: 381 </w:t>
      </w:r>
    </w:p>
  </w:footnote>
  <w:footnote w:id="21">
    <w:p w14:paraId="3C905A50" w14:textId="3DA91E74" w:rsidR="00C33056" w:rsidRDefault="00C33056">
      <w:pPr>
        <w:pStyle w:val="FootnoteText"/>
      </w:pPr>
      <w:r>
        <w:rPr>
          <w:rStyle w:val="FootnoteReference"/>
        </w:rPr>
        <w:footnoteRef/>
      </w:r>
      <w:r>
        <w:t xml:space="preserve"> Foley, 1981: 149</w:t>
      </w:r>
    </w:p>
  </w:footnote>
  <w:footnote w:id="22">
    <w:p w14:paraId="04AD5B66" w14:textId="4E2B510B" w:rsidR="00C33056" w:rsidRPr="00C33056" w:rsidRDefault="00C33056">
      <w:pPr>
        <w:pStyle w:val="FootnoteText"/>
      </w:pPr>
      <w:r>
        <w:rPr>
          <w:rStyle w:val="FootnoteReference"/>
        </w:rPr>
        <w:footnoteRef/>
      </w:r>
      <w:r>
        <w:t xml:space="preserve"> Xenophon, </w:t>
      </w:r>
      <w:proofErr w:type="spellStart"/>
      <w:r>
        <w:rPr>
          <w:i/>
        </w:rPr>
        <w:t>Oeconomicus</w:t>
      </w:r>
      <w:proofErr w:type="spellEnd"/>
      <w:r>
        <w:t>. 7. 17</w:t>
      </w:r>
    </w:p>
  </w:footnote>
  <w:footnote w:id="23">
    <w:p w14:paraId="4610CD37" w14:textId="59B7FD99" w:rsidR="00C33056" w:rsidRPr="00C33056" w:rsidRDefault="00C33056">
      <w:pPr>
        <w:pStyle w:val="FootnoteText"/>
      </w:pPr>
      <w:r>
        <w:rPr>
          <w:rStyle w:val="FootnoteReference"/>
        </w:rPr>
        <w:footnoteRef/>
      </w:r>
      <w:r>
        <w:t xml:space="preserve"> Xenophon, </w:t>
      </w:r>
      <w:proofErr w:type="spellStart"/>
      <w:r>
        <w:rPr>
          <w:i/>
        </w:rPr>
        <w:t>Oeconomicus</w:t>
      </w:r>
      <w:proofErr w:type="spellEnd"/>
      <w:r>
        <w:t>: 7. 32 - 5</w:t>
      </w:r>
    </w:p>
  </w:footnote>
  <w:footnote w:id="24">
    <w:p w14:paraId="3B51A87A" w14:textId="5F3210DB" w:rsidR="00C33056" w:rsidRPr="00C33056" w:rsidRDefault="00C33056">
      <w:pPr>
        <w:pStyle w:val="FootnoteText"/>
      </w:pPr>
      <w:r>
        <w:rPr>
          <w:rStyle w:val="FootnoteReference"/>
        </w:rPr>
        <w:footnoteRef/>
      </w:r>
      <w:r>
        <w:t xml:space="preserve"> Xenophon, </w:t>
      </w:r>
      <w:proofErr w:type="spellStart"/>
      <w:r>
        <w:rPr>
          <w:i/>
        </w:rPr>
        <w:t>Oeconomicus</w:t>
      </w:r>
      <w:proofErr w:type="spellEnd"/>
      <w:r>
        <w:t>: 7. 37</w:t>
      </w:r>
    </w:p>
  </w:footnote>
  <w:footnote w:id="25">
    <w:p w14:paraId="4F86A052" w14:textId="772D620F" w:rsidR="00C33056" w:rsidRDefault="00C33056">
      <w:pPr>
        <w:pStyle w:val="FootnoteText"/>
      </w:pPr>
      <w:r>
        <w:rPr>
          <w:rStyle w:val="FootnoteReference"/>
        </w:rPr>
        <w:footnoteRef/>
      </w:r>
      <w:r>
        <w:t xml:space="preserve"> Cohen, 1989: 3</w:t>
      </w:r>
    </w:p>
  </w:footnote>
  <w:footnote w:id="26">
    <w:p w14:paraId="11911B59" w14:textId="3D5397AA" w:rsidR="00C33056" w:rsidRDefault="00C33056">
      <w:pPr>
        <w:pStyle w:val="FootnoteText"/>
      </w:pPr>
      <w:r>
        <w:rPr>
          <w:rStyle w:val="FootnoteReference"/>
        </w:rPr>
        <w:footnoteRef/>
      </w:r>
      <w:r>
        <w:t xml:space="preserve"> Cohen, 1989: 4</w:t>
      </w:r>
    </w:p>
  </w:footnote>
  <w:footnote w:id="27">
    <w:p w14:paraId="161B35B7" w14:textId="2EB1677D" w:rsidR="00C33056" w:rsidRDefault="00C33056">
      <w:pPr>
        <w:pStyle w:val="FootnoteText"/>
      </w:pPr>
      <w:r>
        <w:rPr>
          <w:rStyle w:val="FootnoteReference"/>
        </w:rPr>
        <w:footnoteRef/>
      </w:r>
      <w:r>
        <w:t xml:space="preserve"> Foley, 1981: 129; Just, 1994: 13</w:t>
      </w:r>
    </w:p>
  </w:footnote>
  <w:footnote w:id="28">
    <w:p w14:paraId="3EBA38ED" w14:textId="14726EED" w:rsidR="00C33056" w:rsidRDefault="00C33056">
      <w:pPr>
        <w:pStyle w:val="FootnoteText"/>
      </w:pPr>
      <w:r>
        <w:rPr>
          <w:rStyle w:val="FootnoteReference"/>
        </w:rPr>
        <w:footnoteRef/>
      </w:r>
      <w:r>
        <w:t xml:space="preserve"> Just, 1994: 1</w:t>
      </w:r>
    </w:p>
  </w:footnote>
  <w:footnote w:id="29">
    <w:p w14:paraId="0FC655F0" w14:textId="654FF9F0" w:rsidR="00C33056" w:rsidRDefault="00C33056">
      <w:pPr>
        <w:pStyle w:val="FootnoteText"/>
      </w:pPr>
      <w:r>
        <w:rPr>
          <w:rStyle w:val="FootnoteReference"/>
        </w:rPr>
        <w:footnoteRef/>
      </w:r>
      <w:r>
        <w:t xml:space="preserve"> Just, 1994: 13</w:t>
      </w:r>
    </w:p>
  </w:footnote>
  <w:footnote w:id="30">
    <w:p w14:paraId="3D520796" w14:textId="72EF19A7" w:rsidR="00C33056" w:rsidRDefault="00C33056">
      <w:pPr>
        <w:pStyle w:val="FootnoteText"/>
      </w:pPr>
      <w:r>
        <w:rPr>
          <w:rStyle w:val="FootnoteReference"/>
        </w:rPr>
        <w:footnoteRef/>
      </w:r>
      <w:r>
        <w:t xml:space="preserve"> Just, 1994: 21; Lacey, 1968: 173 - 4</w:t>
      </w:r>
    </w:p>
  </w:footnote>
  <w:footnote w:id="31">
    <w:p w14:paraId="2800513F" w14:textId="09479365" w:rsidR="00C33056" w:rsidRDefault="00C33056">
      <w:pPr>
        <w:pStyle w:val="FootnoteText"/>
      </w:pPr>
      <w:r>
        <w:rPr>
          <w:rStyle w:val="FootnoteReference"/>
        </w:rPr>
        <w:footnoteRef/>
      </w:r>
      <w:r>
        <w:t xml:space="preserve"> Foley, 1981: 129</w:t>
      </w:r>
    </w:p>
  </w:footnote>
  <w:footnote w:id="32">
    <w:p w14:paraId="2580CAEF" w14:textId="59283C76" w:rsidR="00C33056" w:rsidRDefault="00C33056">
      <w:pPr>
        <w:pStyle w:val="FootnoteText"/>
      </w:pPr>
      <w:r>
        <w:rPr>
          <w:rStyle w:val="FootnoteReference"/>
        </w:rPr>
        <w:footnoteRef/>
      </w:r>
      <w:r>
        <w:t xml:space="preserve"> Becker, 1866</w:t>
      </w:r>
    </w:p>
  </w:footnote>
  <w:footnote w:id="33">
    <w:p w14:paraId="43098467" w14:textId="71009715" w:rsidR="00C33056" w:rsidRDefault="00C33056">
      <w:pPr>
        <w:pStyle w:val="FootnoteText"/>
      </w:pPr>
      <w:r>
        <w:rPr>
          <w:rStyle w:val="FootnoteReference"/>
        </w:rPr>
        <w:footnoteRef/>
      </w:r>
      <w:r>
        <w:t xml:space="preserve"> Jacobs, 1830</w:t>
      </w:r>
    </w:p>
  </w:footnote>
  <w:footnote w:id="34">
    <w:p w14:paraId="4AA764A0" w14:textId="5640313A" w:rsidR="00C33056" w:rsidRDefault="00C33056">
      <w:pPr>
        <w:pStyle w:val="FootnoteText"/>
      </w:pPr>
      <w:r>
        <w:rPr>
          <w:rStyle w:val="FootnoteReference"/>
        </w:rPr>
        <w:footnoteRef/>
      </w:r>
      <w:r>
        <w:t xml:space="preserve"> Becker, 1966: 463</w:t>
      </w:r>
    </w:p>
  </w:footnote>
  <w:footnote w:id="35">
    <w:p w14:paraId="72A3D631" w14:textId="0C7338F2" w:rsidR="00C33056" w:rsidRDefault="00C33056">
      <w:pPr>
        <w:pStyle w:val="FootnoteText"/>
      </w:pPr>
      <w:r>
        <w:rPr>
          <w:rStyle w:val="FootnoteReference"/>
        </w:rPr>
        <w:footnoteRef/>
      </w:r>
      <w:r>
        <w:t xml:space="preserve"> Pomeroy, 1975</w:t>
      </w:r>
    </w:p>
  </w:footnote>
  <w:footnote w:id="36">
    <w:p w14:paraId="7AC2005C" w14:textId="21F86FE4" w:rsidR="00C33056" w:rsidRPr="00C33056" w:rsidRDefault="00C33056">
      <w:pPr>
        <w:pStyle w:val="FootnoteText"/>
      </w:pPr>
      <w:r>
        <w:rPr>
          <w:rStyle w:val="FootnoteReference"/>
        </w:rPr>
        <w:footnoteRef/>
      </w:r>
      <w:r>
        <w:t xml:space="preserve"> Lewis, 2002: 60; Xenophon, </w:t>
      </w:r>
      <w:proofErr w:type="spellStart"/>
      <w:r>
        <w:rPr>
          <w:i/>
        </w:rPr>
        <w:t>Oeconomicus</w:t>
      </w:r>
      <w:proofErr w:type="spellEnd"/>
      <w:r>
        <w:t>: 7.24; 7.37; Foley, 1981: 130</w:t>
      </w:r>
    </w:p>
  </w:footnote>
  <w:footnote w:id="37">
    <w:p w14:paraId="6AC4A5CF" w14:textId="63576169" w:rsidR="00C33056" w:rsidRDefault="00C33056">
      <w:pPr>
        <w:pStyle w:val="FootnoteText"/>
      </w:pPr>
      <w:r>
        <w:rPr>
          <w:rStyle w:val="FootnoteReference"/>
        </w:rPr>
        <w:footnoteRef/>
      </w:r>
      <w:r>
        <w:t xml:space="preserve"> Lewis, 2002: 56</w:t>
      </w:r>
    </w:p>
  </w:footnote>
  <w:footnote w:id="38">
    <w:p w14:paraId="1FF57111" w14:textId="06DE3A42" w:rsidR="00C33056" w:rsidRDefault="00C33056">
      <w:pPr>
        <w:pStyle w:val="FootnoteText"/>
      </w:pPr>
      <w:r>
        <w:rPr>
          <w:rStyle w:val="FootnoteReference"/>
        </w:rPr>
        <w:footnoteRef/>
      </w:r>
      <w:r>
        <w:t xml:space="preserve"> Lewis, 2002</w:t>
      </w:r>
    </w:p>
  </w:footnote>
  <w:footnote w:id="39">
    <w:p w14:paraId="70F83CAC" w14:textId="60099367" w:rsidR="00C33056" w:rsidRDefault="00C33056">
      <w:pPr>
        <w:pStyle w:val="FootnoteText"/>
      </w:pPr>
      <w:r>
        <w:rPr>
          <w:rStyle w:val="FootnoteReference"/>
        </w:rPr>
        <w:footnoteRef/>
      </w:r>
      <w:r>
        <w:t xml:space="preserve"> Foley, 1981: 130; Pomeroy, 1975: 73</w:t>
      </w:r>
    </w:p>
  </w:footnote>
  <w:footnote w:id="40">
    <w:p w14:paraId="5F16784D" w14:textId="4404BC3A" w:rsidR="00C33056" w:rsidRDefault="00C33056">
      <w:pPr>
        <w:pStyle w:val="FootnoteText"/>
      </w:pPr>
      <w:r>
        <w:rPr>
          <w:rStyle w:val="FootnoteReference"/>
        </w:rPr>
        <w:footnoteRef/>
      </w:r>
      <w:r>
        <w:t xml:space="preserve"> Foley, 1981: 120</w:t>
      </w:r>
    </w:p>
  </w:footnote>
  <w:footnote w:id="41">
    <w:p w14:paraId="4E6D010A" w14:textId="6F2435A3" w:rsidR="00C33056" w:rsidRDefault="00C33056">
      <w:pPr>
        <w:pStyle w:val="FootnoteText"/>
      </w:pPr>
      <w:r>
        <w:rPr>
          <w:rStyle w:val="FootnoteReference"/>
        </w:rPr>
        <w:footnoteRef/>
      </w:r>
      <w:r>
        <w:t xml:space="preserve"> Pomeroy, 1975: 79</w:t>
      </w:r>
    </w:p>
  </w:footnote>
  <w:footnote w:id="42">
    <w:p w14:paraId="6161BD36" w14:textId="09A36D85" w:rsidR="00C33056" w:rsidRDefault="00C33056">
      <w:pPr>
        <w:pStyle w:val="FootnoteText"/>
      </w:pPr>
      <w:r>
        <w:rPr>
          <w:rStyle w:val="FootnoteReference"/>
        </w:rPr>
        <w:footnoteRef/>
      </w:r>
      <w:r>
        <w:t xml:space="preserve"> </w:t>
      </w:r>
      <w:proofErr w:type="spellStart"/>
      <w:r>
        <w:t>Fantham</w:t>
      </w:r>
      <w:proofErr w:type="spellEnd"/>
      <w:r>
        <w:t xml:space="preserve"> et al., 1994: 70</w:t>
      </w:r>
    </w:p>
  </w:footnote>
  <w:footnote w:id="43">
    <w:p w14:paraId="779A2F75" w14:textId="6564067F" w:rsidR="00C33056" w:rsidRPr="00C33056" w:rsidRDefault="00C33056">
      <w:pPr>
        <w:pStyle w:val="FootnoteText"/>
      </w:pPr>
      <w:r>
        <w:rPr>
          <w:rStyle w:val="FootnoteReference"/>
        </w:rPr>
        <w:footnoteRef/>
      </w:r>
      <w:r>
        <w:t xml:space="preserve"> Xenophon, </w:t>
      </w:r>
      <w:proofErr w:type="spellStart"/>
      <w:r>
        <w:rPr>
          <w:i/>
        </w:rPr>
        <w:t>Oeconomicus</w:t>
      </w:r>
      <w:proofErr w:type="spellEnd"/>
      <w:r>
        <w:t>: 7</w:t>
      </w:r>
    </w:p>
  </w:footnote>
  <w:footnote w:id="44">
    <w:p w14:paraId="3AF3CBC2" w14:textId="701B63CE" w:rsidR="00C33056" w:rsidRPr="00C33056" w:rsidRDefault="00C33056">
      <w:pPr>
        <w:pStyle w:val="FootnoteText"/>
      </w:pPr>
      <w:r>
        <w:rPr>
          <w:rStyle w:val="FootnoteReference"/>
        </w:rPr>
        <w:footnoteRef/>
      </w:r>
      <w:r>
        <w:t xml:space="preserve"> Homer, </w:t>
      </w:r>
      <w:r>
        <w:rPr>
          <w:i/>
        </w:rPr>
        <w:t>Odyssey</w:t>
      </w:r>
      <w:r>
        <w:t>: 2</w:t>
      </w:r>
    </w:p>
  </w:footnote>
  <w:footnote w:id="45">
    <w:p w14:paraId="06ECD012" w14:textId="1DFAB485" w:rsidR="00C33056" w:rsidRPr="00C33056" w:rsidRDefault="00C33056">
      <w:pPr>
        <w:pStyle w:val="FootnoteText"/>
      </w:pPr>
      <w:r>
        <w:rPr>
          <w:rStyle w:val="FootnoteReference"/>
        </w:rPr>
        <w:footnoteRef/>
      </w:r>
      <w:r>
        <w:t xml:space="preserve"> Xenophon, </w:t>
      </w:r>
      <w:proofErr w:type="spellStart"/>
      <w:r>
        <w:rPr>
          <w:i/>
        </w:rPr>
        <w:t>Oeconomicus</w:t>
      </w:r>
      <w:proofErr w:type="spellEnd"/>
      <w:r>
        <w:t xml:space="preserve">: 7; Pomeroy, 1975; </w:t>
      </w:r>
      <w:proofErr w:type="spellStart"/>
      <w:r>
        <w:t>Fantham</w:t>
      </w:r>
      <w:proofErr w:type="spellEnd"/>
      <w:r>
        <w:t xml:space="preserve"> et al., 1994: 71</w:t>
      </w:r>
    </w:p>
  </w:footnote>
  <w:footnote w:id="46">
    <w:p w14:paraId="747111CC" w14:textId="0C4A720E" w:rsidR="00C33056" w:rsidRPr="00C33056" w:rsidRDefault="00C33056">
      <w:pPr>
        <w:pStyle w:val="FootnoteText"/>
      </w:pPr>
      <w:r>
        <w:rPr>
          <w:rStyle w:val="FootnoteReference"/>
        </w:rPr>
        <w:footnoteRef/>
      </w:r>
      <w:r>
        <w:t xml:space="preserve"> Xenophon, </w:t>
      </w:r>
      <w:proofErr w:type="spellStart"/>
      <w:r>
        <w:rPr>
          <w:i/>
        </w:rPr>
        <w:t>Oeconomicus</w:t>
      </w:r>
      <w:proofErr w:type="spellEnd"/>
      <w:r>
        <w:t>: 7. 31 - 2</w:t>
      </w:r>
    </w:p>
  </w:footnote>
  <w:footnote w:id="47">
    <w:p w14:paraId="11819B8E" w14:textId="6D241D84" w:rsidR="003854F5" w:rsidRDefault="003854F5">
      <w:pPr>
        <w:pStyle w:val="FootnoteText"/>
      </w:pPr>
      <w:r>
        <w:rPr>
          <w:rStyle w:val="FootnoteReference"/>
        </w:rPr>
        <w:footnoteRef/>
      </w:r>
      <w:r>
        <w:t xml:space="preserve"> Pomeroy, 2002: 141</w:t>
      </w:r>
    </w:p>
  </w:footnote>
  <w:footnote w:id="48">
    <w:p w14:paraId="55214C49" w14:textId="7A5C5B97" w:rsidR="003854F5" w:rsidRDefault="003854F5">
      <w:pPr>
        <w:pStyle w:val="FootnoteText"/>
      </w:pPr>
      <w:r>
        <w:rPr>
          <w:rStyle w:val="FootnoteReference"/>
        </w:rPr>
        <w:footnoteRef/>
      </w:r>
      <w:r>
        <w:t xml:space="preserve"> </w:t>
      </w:r>
      <w:proofErr w:type="spellStart"/>
      <w:r>
        <w:t>Mottier</w:t>
      </w:r>
      <w:proofErr w:type="spellEnd"/>
      <w:r>
        <w:t>, 2008: 7</w:t>
      </w:r>
    </w:p>
  </w:footnote>
  <w:footnote w:id="49">
    <w:p w14:paraId="65EF9456" w14:textId="08F0EF04" w:rsidR="003854F5" w:rsidRDefault="003854F5">
      <w:pPr>
        <w:pStyle w:val="FootnoteText"/>
      </w:pPr>
      <w:r>
        <w:rPr>
          <w:rStyle w:val="FootnoteReference"/>
        </w:rPr>
        <w:footnoteRef/>
      </w:r>
      <w:r>
        <w:t xml:space="preserve"> Connell and Messerschmidt, 2005; Butler, 1990</w:t>
      </w:r>
    </w:p>
  </w:footnote>
  <w:footnote w:id="50">
    <w:p w14:paraId="0284E522" w14:textId="37B3B545" w:rsidR="003854F5" w:rsidRDefault="003854F5">
      <w:pPr>
        <w:pStyle w:val="FootnoteText"/>
      </w:pPr>
      <w:r>
        <w:rPr>
          <w:rStyle w:val="FootnoteReference"/>
        </w:rPr>
        <w:footnoteRef/>
      </w:r>
      <w:r>
        <w:t xml:space="preserve"> Pomeroy, 1975: 71</w:t>
      </w:r>
    </w:p>
  </w:footnote>
  <w:footnote w:id="51">
    <w:p w14:paraId="233A7E6B" w14:textId="5F3EBE05" w:rsidR="003854F5" w:rsidRDefault="003854F5">
      <w:pPr>
        <w:pStyle w:val="FootnoteText"/>
      </w:pPr>
      <w:r>
        <w:rPr>
          <w:rStyle w:val="FootnoteReference"/>
        </w:rPr>
        <w:footnoteRef/>
      </w:r>
      <w:r>
        <w:t xml:space="preserve"> Lewis, 2002: 62</w:t>
      </w:r>
    </w:p>
  </w:footnote>
  <w:footnote w:id="52">
    <w:p w14:paraId="4920ADC4" w14:textId="3B692026" w:rsidR="003854F5" w:rsidRPr="003854F5" w:rsidRDefault="003854F5">
      <w:pPr>
        <w:pStyle w:val="FootnoteText"/>
      </w:pPr>
      <w:r>
        <w:rPr>
          <w:rStyle w:val="FootnoteReference"/>
        </w:rPr>
        <w:footnoteRef/>
      </w:r>
      <w:r>
        <w:t xml:space="preserve"> Xenophon, </w:t>
      </w:r>
      <w:proofErr w:type="spellStart"/>
      <w:r>
        <w:rPr>
          <w:i/>
        </w:rPr>
        <w:t>Oeconomicus</w:t>
      </w:r>
      <w:proofErr w:type="spellEnd"/>
      <w:r>
        <w:t>: 7. 26</w:t>
      </w:r>
    </w:p>
  </w:footnote>
  <w:footnote w:id="53">
    <w:p w14:paraId="2BE6C3AD" w14:textId="512D0BCA" w:rsidR="003854F5" w:rsidRPr="003854F5" w:rsidRDefault="003854F5">
      <w:pPr>
        <w:pStyle w:val="FootnoteText"/>
      </w:pPr>
      <w:r>
        <w:rPr>
          <w:rStyle w:val="FootnoteReference"/>
        </w:rPr>
        <w:footnoteRef/>
      </w:r>
      <w:r>
        <w:t xml:space="preserve"> Xenophon, </w:t>
      </w:r>
      <w:proofErr w:type="spellStart"/>
      <w:r>
        <w:rPr>
          <w:i/>
        </w:rPr>
        <w:t>Oeconomicus</w:t>
      </w:r>
      <w:proofErr w:type="spellEnd"/>
      <w:r>
        <w:t>: 7. 23 - 7</w:t>
      </w:r>
    </w:p>
  </w:footnote>
  <w:footnote w:id="54">
    <w:p w14:paraId="7CDD8F28" w14:textId="0D5F3719" w:rsidR="003854F5" w:rsidRPr="003854F5" w:rsidRDefault="003854F5">
      <w:pPr>
        <w:pStyle w:val="FootnoteText"/>
      </w:pPr>
      <w:r>
        <w:rPr>
          <w:rStyle w:val="FootnoteReference"/>
        </w:rPr>
        <w:footnoteRef/>
      </w:r>
      <w:r>
        <w:t xml:space="preserve"> Xenophon, </w:t>
      </w:r>
      <w:proofErr w:type="spellStart"/>
      <w:r>
        <w:rPr>
          <w:i/>
        </w:rPr>
        <w:t>Oeconomicus</w:t>
      </w:r>
      <w:proofErr w:type="spellEnd"/>
      <w:r>
        <w:t>: 7. 24 - 5</w:t>
      </w:r>
    </w:p>
  </w:footnote>
  <w:footnote w:id="55">
    <w:p w14:paraId="477475DC" w14:textId="73BA425F" w:rsidR="003854F5" w:rsidRPr="003854F5" w:rsidRDefault="003854F5">
      <w:pPr>
        <w:pStyle w:val="FootnoteText"/>
      </w:pPr>
      <w:r>
        <w:rPr>
          <w:rStyle w:val="FootnoteReference"/>
        </w:rPr>
        <w:footnoteRef/>
      </w:r>
      <w:r>
        <w:t xml:space="preserve"> Plato, </w:t>
      </w:r>
      <w:r>
        <w:rPr>
          <w:i/>
        </w:rPr>
        <w:t>Republic</w:t>
      </w:r>
      <w:r>
        <w:t>: 5. 451d - 452a</w:t>
      </w:r>
    </w:p>
  </w:footnote>
  <w:footnote w:id="56">
    <w:p w14:paraId="510D4BD6" w14:textId="51C95760" w:rsidR="003854F5" w:rsidRPr="003854F5" w:rsidRDefault="003854F5">
      <w:pPr>
        <w:pStyle w:val="FootnoteText"/>
      </w:pPr>
      <w:r>
        <w:rPr>
          <w:rStyle w:val="FootnoteReference"/>
        </w:rPr>
        <w:footnoteRef/>
      </w:r>
      <w:r>
        <w:t xml:space="preserve"> Plato, </w:t>
      </w:r>
      <w:r>
        <w:rPr>
          <w:i/>
        </w:rPr>
        <w:t>Republic</w:t>
      </w:r>
      <w:r>
        <w:t>: 5. 455c - 456b</w:t>
      </w:r>
    </w:p>
  </w:footnote>
  <w:footnote w:id="57">
    <w:p w14:paraId="4465C639" w14:textId="05F3A8BA" w:rsidR="003854F5" w:rsidRDefault="003854F5">
      <w:pPr>
        <w:pStyle w:val="FootnoteText"/>
      </w:pPr>
      <w:r>
        <w:rPr>
          <w:rStyle w:val="FootnoteReference"/>
        </w:rPr>
        <w:footnoteRef/>
      </w:r>
      <w:r>
        <w:t xml:space="preserve"> Dillon, 2004: 48</w:t>
      </w:r>
    </w:p>
  </w:footnote>
  <w:footnote w:id="58">
    <w:p w14:paraId="37F22BC0" w14:textId="3D1C0D62" w:rsidR="003854F5" w:rsidRDefault="003854F5">
      <w:pPr>
        <w:pStyle w:val="FootnoteText"/>
      </w:pPr>
      <w:r>
        <w:rPr>
          <w:rStyle w:val="FootnoteReference"/>
        </w:rPr>
        <w:footnoteRef/>
      </w:r>
      <w:r>
        <w:t xml:space="preserve"> Cohen, 1989: 4</w:t>
      </w:r>
    </w:p>
  </w:footnote>
  <w:footnote w:id="59">
    <w:p w14:paraId="5C4E05CF" w14:textId="667391EF" w:rsidR="003854F5" w:rsidRDefault="003854F5">
      <w:pPr>
        <w:pStyle w:val="FootnoteText"/>
      </w:pPr>
      <w:r>
        <w:rPr>
          <w:rStyle w:val="FootnoteReference"/>
        </w:rPr>
        <w:footnoteRef/>
      </w:r>
      <w:r>
        <w:t xml:space="preserve"> Allan, 2002: 2</w:t>
      </w:r>
    </w:p>
  </w:footnote>
  <w:footnote w:id="60">
    <w:p w14:paraId="3CFD5DD2" w14:textId="3CA7A001" w:rsidR="003854F5" w:rsidRDefault="003854F5">
      <w:pPr>
        <w:pStyle w:val="FootnoteText"/>
      </w:pPr>
      <w:r>
        <w:rPr>
          <w:rStyle w:val="FootnoteReference"/>
        </w:rPr>
        <w:footnoteRef/>
      </w:r>
      <w:r>
        <w:t xml:space="preserve"> Allan, 2002: 2</w:t>
      </w:r>
    </w:p>
  </w:footnote>
  <w:footnote w:id="61">
    <w:p w14:paraId="784376BD" w14:textId="421EF390" w:rsidR="003854F5" w:rsidRDefault="003854F5">
      <w:pPr>
        <w:pStyle w:val="FootnoteText"/>
      </w:pPr>
      <w:r>
        <w:rPr>
          <w:rStyle w:val="FootnoteReference"/>
        </w:rPr>
        <w:footnoteRef/>
      </w:r>
      <w:r>
        <w:t xml:space="preserve"> Dillon, 2004: 48</w:t>
      </w:r>
    </w:p>
  </w:footnote>
  <w:footnote w:id="62">
    <w:p w14:paraId="56ACD5E1" w14:textId="7559A176" w:rsidR="003854F5" w:rsidRDefault="003854F5">
      <w:pPr>
        <w:pStyle w:val="FootnoteText"/>
      </w:pPr>
      <w:r>
        <w:rPr>
          <w:rStyle w:val="FootnoteReference"/>
        </w:rPr>
        <w:footnoteRef/>
      </w:r>
      <w:r>
        <w:t xml:space="preserve"> Dillon, 2004: 62</w:t>
      </w:r>
    </w:p>
  </w:footnote>
  <w:footnote w:id="63">
    <w:p w14:paraId="5068B62C" w14:textId="1C01E188" w:rsidR="003854F5" w:rsidRPr="003854F5" w:rsidRDefault="003854F5">
      <w:pPr>
        <w:pStyle w:val="FootnoteText"/>
      </w:pPr>
      <w:r>
        <w:rPr>
          <w:rStyle w:val="FootnoteReference"/>
        </w:rPr>
        <w:footnoteRef/>
      </w:r>
      <w:r>
        <w:t xml:space="preserve"> Euripides, </w:t>
      </w:r>
      <w:r>
        <w:rPr>
          <w:i/>
        </w:rPr>
        <w:t>Electra</w:t>
      </w:r>
      <w:r>
        <w:t>: 1 - 53</w:t>
      </w:r>
    </w:p>
  </w:footnote>
  <w:footnote w:id="64">
    <w:p w14:paraId="4A04761B" w14:textId="67380287" w:rsidR="003854F5" w:rsidRPr="003854F5" w:rsidRDefault="003854F5">
      <w:pPr>
        <w:pStyle w:val="FootnoteText"/>
      </w:pPr>
      <w:r>
        <w:rPr>
          <w:rStyle w:val="FootnoteReference"/>
        </w:rPr>
        <w:footnoteRef/>
      </w:r>
      <w:r>
        <w:t xml:space="preserve"> Euripides, </w:t>
      </w:r>
      <w:r>
        <w:rPr>
          <w:i/>
        </w:rPr>
        <w:t>Electra</w:t>
      </w:r>
      <w:r>
        <w:t>: 487 - 699</w:t>
      </w:r>
    </w:p>
  </w:footnote>
  <w:footnote w:id="65">
    <w:p w14:paraId="497D0CDC" w14:textId="427E715A" w:rsidR="003854F5" w:rsidRPr="003854F5" w:rsidRDefault="003854F5">
      <w:pPr>
        <w:pStyle w:val="FootnoteText"/>
      </w:pPr>
      <w:r>
        <w:rPr>
          <w:rStyle w:val="FootnoteReference"/>
        </w:rPr>
        <w:footnoteRef/>
      </w:r>
      <w:r>
        <w:t xml:space="preserve"> Euripides, </w:t>
      </w:r>
      <w:r>
        <w:rPr>
          <w:i/>
        </w:rPr>
        <w:t>Electra</w:t>
      </w:r>
      <w:r>
        <w:t>: 880</w:t>
      </w:r>
    </w:p>
  </w:footnote>
  <w:footnote w:id="66">
    <w:p w14:paraId="61BDF049" w14:textId="220CBA2E" w:rsidR="003854F5" w:rsidRPr="003854F5" w:rsidRDefault="003854F5">
      <w:pPr>
        <w:pStyle w:val="FootnoteText"/>
      </w:pPr>
      <w:r>
        <w:rPr>
          <w:rStyle w:val="FootnoteReference"/>
        </w:rPr>
        <w:footnoteRef/>
      </w:r>
      <w:r>
        <w:t xml:space="preserve"> Euripides, </w:t>
      </w:r>
      <w:r>
        <w:rPr>
          <w:i/>
        </w:rPr>
        <w:t>Electra</w:t>
      </w:r>
      <w:r>
        <w:t>: 988 - 1176</w:t>
      </w:r>
    </w:p>
  </w:footnote>
  <w:footnote w:id="67">
    <w:p w14:paraId="2B7439BC" w14:textId="2FD8F002" w:rsidR="003854F5" w:rsidRPr="003854F5" w:rsidRDefault="003854F5">
      <w:pPr>
        <w:pStyle w:val="FootnoteText"/>
      </w:pPr>
      <w:r>
        <w:rPr>
          <w:rStyle w:val="FootnoteReference"/>
        </w:rPr>
        <w:footnoteRef/>
      </w:r>
      <w:r>
        <w:t xml:space="preserve"> Euripides, </w:t>
      </w:r>
      <w:r>
        <w:rPr>
          <w:i/>
        </w:rPr>
        <w:t>Electra</w:t>
      </w:r>
      <w:r>
        <w:t>: 487 - 502</w:t>
      </w:r>
    </w:p>
  </w:footnote>
  <w:footnote w:id="68">
    <w:p w14:paraId="28773F5F" w14:textId="397B7734" w:rsidR="003854F5" w:rsidRDefault="003854F5">
      <w:pPr>
        <w:pStyle w:val="FootnoteText"/>
      </w:pPr>
      <w:r>
        <w:rPr>
          <w:rStyle w:val="FootnoteReference"/>
        </w:rPr>
        <w:footnoteRef/>
      </w:r>
      <w:r>
        <w:t xml:space="preserve"> Pomeroy, 1975; </w:t>
      </w:r>
      <w:proofErr w:type="spellStart"/>
      <w:r>
        <w:t>Roisman</w:t>
      </w:r>
      <w:proofErr w:type="spellEnd"/>
      <w:r>
        <w:t>, 2011: 124</w:t>
      </w:r>
    </w:p>
  </w:footnote>
  <w:footnote w:id="69">
    <w:p w14:paraId="29F5FECA" w14:textId="71ECDB0A" w:rsidR="003854F5" w:rsidRPr="003854F5" w:rsidRDefault="003854F5">
      <w:pPr>
        <w:pStyle w:val="FootnoteText"/>
      </w:pPr>
      <w:r>
        <w:rPr>
          <w:rStyle w:val="FootnoteReference"/>
        </w:rPr>
        <w:footnoteRef/>
      </w:r>
      <w:r>
        <w:t xml:space="preserve"> Euripides, </w:t>
      </w:r>
      <w:r>
        <w:rPr>
          <w:i/>
        </w:rPr>
        <w:t>Electra</w:t>
      </w:r>
      <w:r>
        <w:t xml:space="preserve">: 107; </w:t>
      </w:r>
      <w:proofErr w:type="spellStart"/>
      <w:r>
        <w:t>Roisman</w:t>
      </w:r>
      <w:proofErr w:type="spellEnd"/>
      <w:r>
        <w:t>, 2011: 96</w:t>
      </w:r>
    </w:p>
  </w:footnote>
  <w:footnote w:id="70">
    <w:p w14:paraId="7EB41C6C" w14:textId="7F78B9AC" w:rsidR="003854F5" w:rsidRPr="003854F5" w:rsidRDefault="003854F5">
      <w:pPr>
        <w:pStyle w:val="FootnoteText"/>
      </w:pPr>
      <w:r>
        <w:rPr>
          <w:rStyle w:val="FootnoteReference"/>
        </w:rPr>
        <w:footnoteRef/>
      </w:r>
      <w:r>
        <w:t xml:space="preserve"> Euripides, </w:t>
      </w:r>
      <w:r>
        <w:rPr>
          <w:i/>
        </w:rPr>
        <w:t>Electra</w:t>
      </w:r>
      <w:r>
        <w:t xml:space="preserve">: 168 – 214; </w:t>
      </w:r>
      <w:proofErr w:type="spellStart"/>
      <w:r>
        <w:t>Roisman</w:t>
      </w:r>
      <w:proofErr w:type="spellEnd"/>
      <w:r>
        <w:t>, 2011: 124</w:t>
      </w:r>
    </w:p>
  </w:footnote>
  <w:footnote w:id="71">
    <w:p w14:paraId="02582864" w14:textId="2C506AF5" w:rsidR="003854F5" w:rsidRDefault="003854F5">
      <w:pPr>
        <w:pStyle w:val="FootnoteText"/>
      </w:pPr>
      <w:r>
        <w:rPr>
          <w:rStyle w:val="FootnoteReference"/>
        </w:rPr>
        <w:footnoteRef/>
      </w:r>
      <w:r>
        <w:t xml:space="preserve"> </w:t>
      </w:r>
      <w:proofErr w:type="spellStart"/>
      <w:r>
        <w:t>Roisman</w:t>
      </w:r>
      <w:proofErr w:type="spellEnd"/>
      <w:r>
        <w:t>, 2011: 122</w:t>
      </w:r>
    </w:p>
  </w:footnote>
  <w:footnote w:id="72">
    <w:p w14:paraId="2A87AF9C" w14:textId="4212164C" w:rsidR="003854F5" w:rsidRDefault="003854F5">
      <w:pPr>
        <w:pStyle w:val="FootnoteText"/>
      </w:pPr>
      <w:r>
        <w:rPr>
          <w:rStyle w:val="FootnoteReference"/>
        </w:rPr>
        <w:footnoteRef/>
      </w:r>
      <w:r>
        <w:t xml:space="preserve"> </w:t>
      </w:r>
      <w:proofErr w:type="spellStart"/>
      <w:r>
        <w:t>Roisman</w:t>
      </w:r>
      <w:proofErr w:type="spellEnd"/>
      <w:r>
        <w:t>, 2011: 102</w:t>
      </w:r>
    </w:p>
  </w:footnote>
  <w:footnote w:id="73">
    <w:p w14:paraId="3A2D6856" w14:textId="2115A649" w:rsidR="003854F5" w:rsidRDefault="003854F5">
      <w:pPr>
        <w:pStyle w:val="FootnoteText"/>
      </w:pPr>
      <w:r>
        <w:rPr>
          <w:rStyle w:val="FootnoteReference"/>
        </w:rPr>
        <w:footnoteRef/>
      </w:r>
      <w:r>
        <w:t xml:space="preserve"> Who are represented by a Chorus of young women</w:t>
      </w:r>
    </w:p>
  </w:footnote>
  <w:footnote w:id="74">
    <w:p w14:paraId="7AEDE608" w14:textId="4D3B592A" w:rsidR="003854F5" w:rsidRPr="003854F5" w:rsidRDefault="003854F5">
      <w:pPr>
        <w:pStyle w:val="FootnoteText"/>
      </w:pPr>
      <w:r>
        <w:rPr>
          <w:rStyle w:val="FootnoteReference"/>
        </w:rPr>
        <w:footnoteRef/>
      </w:r>
      <w:r>
        <w:t xml:space="preserve"> Euripides, </w:t>
      </w:r>
      <w:r>
        <w:rPr>
          <w:i/>
        </w:rPr>
        <w:t>Electra</w:t>
      </w:r>
      <w:r>
        <w:t>: 341 - 434</w:t>
      </w:r>
    </w:p>
  </w:footnote>
  <w:footnote w:id="75">
    <w:p w14:paraId="3DEC9F1F" w14:textId="377314CB" w:rsidR="003854F5" w:rsidRPr="003854F5" w:rsidRDefault="003854F5">
      <w:pPr>
        <w:pStyle w:val="FootnoteText"/>
      </w:pPr>
      <w:r>
        <w:rPr>
          <w:rStyle w:val="FootnoteReference"/>
        </w:rPr>
        <w:footnoteRef/>
      </w:r>
      <w:r>
        <w:t xml:space="preserve"> Xenophon, </w:t>
      </w:r>
      <w:proofErr w:type="spellStart"/>
      <w:r>
        <w:rPr>
          <w:i/>
        </w:rPr>
        <w:t>Oeconomicus</w:t>
      </w:r>
      <w:proofErr w:type="spellEnd"/>
      <w:r>
        <w:t xml:space="preserve">: 7. 23; Euripides, </w:t>
      </w:r>
      <w:r>
        <w:rPr>
          <w:i/>
        </w:rPr>
        <w:t>Electra</w:t>
      </w:r>
    </w:p>
  </w:footnote>
  <w:footnote w:id="76">
    <w:p w14:paraId="6C1279EB" w14:textId="1B64BDB7" w:rsidR="003854F5" w:rsidRPr="003854F5" w:rsidRDefault="003854F5">
      <w:pPr>
        <w:pStyle w:val="FootnoteText"/>
      </w:pPr>
      <w:r>
        <w:rPr>
          <w:rStyle w:val="FootnoteReference"/>
        </w:rPr>
        <w:footnoteRef/>
      </w:r>
      <w:r>
        <w:t xml:space="preserve"> Euripides, </w:t>
      </w:r>
      <w:r>
        <w:rPr>
          <w:i/>
        </w:rPr>
        <w:t>Electra</w:t>
      </w:r>
      <w:r>
        <w:t>: 487 - 502</w:t>
      </w:r>
    </w:p>
  </w:footnote>
  <w:footnote w:id="77">
    <w:p w14:paraId="5505A22D" w14:textId="1F810B6C" w:rsidR="003854F5" w:rsidRDefault="003854F5">
      <w:pPr>
        <w:pStyle w:val="FootnoteText"/>
      </w:pPr>
      <w:r>
        <w:rPr>
          <w:rStyle w:val="FootnoteReference"/>
        </w:rPr>
        <w:footnoteRef/>
      </w:r>
      <w:r>
        <w:t xml:space="preserve"> </w:t>
      </w:r>
      <w:proofErr w:type="spellStart"/>
      <w:r>
        <w:t>Roisman</w:t>
      </w:r>
      <w:proofErr w:type="spellEnd"/>
      <w:r>
        <w:t>, 2011: 161</w:t>
      </w:r>
    </w:p>
  </w:footnote>
  <w:footnote w:id="78">
    <w:p w14:paraId="1B887C82" w14:textId="15245866" w:rsidR="003854F5" w:rsidRPr="003854F5" w:rsidRDefault="003854F5">
      <w:pPr>
        <w:pStyle w:val="FootnoteText"/>
      </w:pPr>
      <w:r>
        <w:rPr>
          <w:rStyle w:val="FootnoteReference"/>
        </w:rPr>
        <w:footnoteRef/>
      </w:r>
      <w:r>
        <w:t xml:space="preserve"> Euripides, </w:t>
      </w:r>
      <w:r>
        <w:rPr>
          <w:i/>
        </w:rPr>
        <w:t>Electra</w:t>
      </w:r>
      <w:r>
        <w:t xml:space="preserve">: 503 – 7; </w:t>
      </w:r>
      <w:proofErr w:type="spellStart"/>
      <w:r>
        <w:t>Roisman</w:t>
      </w:r>
      <w:proofErr w:type="spellEnd"/>
      <w:r>
        <w:t>, 2011: 162</w:t>
      </w:r>
    </w:p>
  </w:footnote>
  <w:footnote w:id="79">
    <w:p w14:paraId="7363DADF" w14:textId="5FA12249" w:rsidR="003854F5" w:rsidRDefault="003854F5">
      <w:pPr>
        <w:pStyle w:val="FootnoteText"/>
      </w:pPr>
      <w:r>
        <w:rPr>
          <w:rStyle w:val="FootnoteReference"/>
        </w:rPr>
        <w:footnoteRef/>
      </w:r>
      <w:r>
        <w:t xml:space="preserve"> </w:t>
      </w:r>
      <w:proofErr w:type="spellStart"/>
      <w:r>
        <w:t>Roisman</w:t>
      </w:r>
      <w:proofErr w:type="spellEnd"/>
      <w:r>
        <w:t xml:space="preserve">, 2011: 164; </w:t>
      </w:r>
      <w:proofErr w:type="spellStart"/>
      <w:r>
        <w:t>Solmsen</w:t>
      </w:r>
      <w:proofErr w:type="spellEnd"/>
      <w:r>
        <w:t>, 1967: 44</w:t>
      </w:r>
    </w:p>
  </w:footnote>
  <w:footnote w:id="80">
    <w:p w14:paraId="786B81D8" w14:textId="303EF2AF" w:rsidR="003854F5" w:rsidRPr="003854F5" w:rsidRDefault="003854F5">
      <w:pPr>
        <w:pStyle w:val="FootnoteText"/>
      </w:pPr>
      <w:r>
        <w:rPr>
          <w:rStyle w:val="FootnoteReference"/>
        </w:rPr>
        <w:footnoteRef/>
      </w:r>
      <w:r>
        <w:t xml:space="preserve"> Aeschylus, </w:t>
      </w:r>
      <w:proofErr w:type="spellStart"/>
      <w:r>
        <w:rPr>
          <w:i/>
        </w:rPr>
        <w:t>Choephori</w:t>
      </w:r>
      <w:proofErr w:type="spellEnd"/>
    </w:p>
  </w:footnote>
  <w:footnote w:id="81">
    <w:p w14:paraId="182FE80C" w14:textId="7ADBE3BE" w:rsidR="003854F5" w:rsidRPr="003854F5" w:rsidRDefault="003854F5">
      <w:pPr>
        <w:pStyle w:val="FootnoteText"/>
      </w:pPr>
      <w:r>
        <w:rPr>
          <w:rStyle w:val="FootnoteReference"/>
        </w:rPr>
        <w:footnoteRef/>
      </w:r>
      <w:r>
        <w:t xml:space="preserve"> Euripides, </w:t>
      </w:r>
      <w:r>
        <w:rPr>
          <w:i/>
        </w:rPr>
        <w:t>Electra</w:t>
      </w:r>
      <w:r>
        <w:t>: 524 – 533; 536 – 539; 543 - 546</w:t>
      </w:r>
    </w:p>
  </w:footnote>
  <w:footnote w:id="82">
    <w:p w14:paraId="0B5C98D1" w14:textId="65450EAE" w:rsidR="003854F5" w:rsidRDefault="003854F5">
      <w:pPr>
        <w:pStyle w:val="FootnoteText"/>
      </w:pPr>
      <w:r>
        <w:rPr>
          <w:rStyle w:val="FootnoteReference"/>
        </w:rPr>
        <w:footnoteRef/>
      </w:r>
      <w:r>
        <w:t xml:space="preserve"> </w:t>
      </w:r>
      <w:proofErr w:type="spellStart"/>
      <w:r>
        <w:t>Roisman</w:t>
      </w:r>
      <w:proofErr w:type="spellEnd"/>
      <w:r>
        <w:t>, 2011: 122</w:t>
      </w:r>
    </w:p>
  </w:footnote>
  <w:footnote w:id="83">
    <w:p w14:paraId="23EFC28A" w14:textId="3BBE43DF" w:rsidR="00FD3D9B" w:rsidRPr="00FD3D9B" w:rsidRDefault="00FD3D9B">
      <w:pPr>
        <w:pStyle w:val="FootnoteText"/>
      </w:pPr>
      <w:r>
        <w:rPr>
          <w:rStyle w:val="FootnoteReference"/>
        </w:rPr>
        <w:footnoteRef/>
      </w:r>
      <w:r>
        <w:t xml:space="preserve"> Euripides, </w:t>
      </w:r>
      <w:r>
        <w:rPr>
          <w:i/>
        </w:rPr>
        <w:t>Electra</w:t>
      </w:r>
      <w:r>
        <w:t>: 579 - 650</w:t>
      </w:r>
    </w:p>
  </w:footnote>
  <w:footnote w:id="84">
    <w:p w14:paraId="7C830FD6" w14:textId="29AED00C" w:rsidR="00FD3D9B" w:rsidRPr="00FD3D9B" w:rsidRDefault="00FD3D9B">
      <w:pPr>
        <w:pStyle w:val="FootnoteText"/>
      </w:pPr>
      <w:r>
        <w:rPr>
          <w:rStyle w:val="FootnoteReference"/>
        </w:rPr>
        <w:footnoteRef/>
      </w:r>
      <w:r>
        <w:t xml:space="preserve"> Euripides, </w:t>
      </w:r>
      <w:r>
        <w:rPr>
          <w:i/>
        </w:rPr>
        <w:t>Electra</w:t>
      </w:r>
      <w:r>
        <w:t>: 647</w:t>
      </w:r>
    </w:p>
  </w:footnote>
  <w:footnote w:id="85">
    <w:p w14:paraId="683E8435" w14:textId="4CD40D18" w:rsidR="00FD3D9B" w:rsidRPr="00FD3D9B" w:rsidRDefault="00FD3D9B">
      <w:pPr>
        <w:pStyle w:val="FootnoteText"/>
      </w:pPr>
      <w:r>
        <w:rPr>
          <w:rStyle w:val="FootnoteReference"/>
        </w:rPr>
        <w:footnoteRef/>
      </w:r>
      <w:r>
        <w:t xml:space="preserve"> Euripides, </w:t>
      </w:r>
      <w:r>
        <w:rPr>
          <w:i/>
        </w:rPr>
        <w:t>Electra</w:t>
      </w:r>
      <w:r>
        <w:t>: 651 - 660</w:t>
      </w:r>
    </w:p>
  </w:footnote>
  <w:footnote w:id="86">
    <w:p w14:paraId="12E7D474" w14:textId="6884AF1A" w:rsidR="00FD3D9B" w:rsidRPr="00FD3D9B" w:rsidRDefault="00FD3D9B">
      <w:pPr>
        <w:pStyle w:val="FootnoteText"/>
      </w:pPr>
      <w:r>
        <w:rPr>
          <w:rStyle w:val="FootnoteReference"/>
        </w:rPr>
        <w:footnoteRef/>
      </w:r>
      <w:r>
        <w:t xml:space="preserve"> Euripides, </w:t>
      </w:r>
      <w:r>
        <w:rPr>
          <w:i/>
        </w:rPr>
        <w:t>Electra</w:t>
      </w:r>
      <w:r>
        <w:t>: 1004 - 1010</w:t>
      </w:r>
    </w:p>
  </w:footnote>
  <w:footnote w:id="87">
    <w:p w14:paraId="07B2F4F9" w14:textId="0595961F" w:rsidR="00FD3D9B" w:rsidRDefault="00FD3D9B">
      <w:pPr>
        <w:pStyle w:val="FootnoteText"/>
      </w:pPr>
      <w:r>
        <w:rPr>
          <w:rStyle w:val="FootnoteReference"/>
        </w:rPr>
        <w:footnoteRef/>
      </w:r>
      <w:r>
        <w:t xml:space="preserve"> </w:t>
      </w:r>
      <w:r w:rsidRPr="004621C9">
        <w:rPr>
          <w:rFonts w:ascii="Times New Roman" w:eastAsia="Times New Roman" w:hAnsi="Times New Roman" w:cs="Times New Roman"/>
          <w:color w:val="000000"/>
        </w:rPr>
        <w:t xml:space="preserve">Euripides, </w:t>
      </w:r>
      <w:r w:rsidRPr="004621C9">
        <w:rPr>
          <w:rFonts w:ascii="Times New Roman" w:eastAsia="Times New Roman" w:hAnsi="Times New Roman" w:cs="Times New Roman"/>
          <w:i/>
          <w:iCs/>
          <w:color w:val="000000"/>
        </w:rPr>
        <w:t>Electra</w:t>
      </w:r>
      <w:r w:rsidRPr="004621C9">
        <w:rPr>
          <w:rFonts w:ascii="Times New Roman" w:eastAsia="Times New Roman" w:hAnsi="Times New Roman" w:cs="Times New Roman"/>
          <w:color w:val="000000"/>
        </w:rPr>
        <w:t>: 898-9</w:t>
      </w:r>
    </w:p>
  </w:footnote>
  <w:footnote w:id="88">
    <w:p w14:paraId="5C8BF871" w14:textId="42607C4F" w:rsidR="00FD3D9B" w:rsidRPr="00FD3D9B" w:rsidRDefault="00FD3D9B">
      <w:pPr>
        <w:pStyle w:val="FootnoteText"/>
      </w:pPr>
      <w:r>
        <w:rPr>
          <w:rStyle w:val="FootnoteReference"/>
        </w:rPr>
        <w:footnoteRef/>
      </w:r>
      <w:r>
        <w:t xml:space="preserve"> Euripides, </w:t>
      </w:r>
      <w:r>
        <w:rPr>
          <w:i/>
        </w:rPr>
        <w:t>Electra</w:t>
      </w:r>
      <w:r>
        <w:t xml:space="preserve">; Xenophon, </w:t>
      </w:r>
      <w:proofErr w:type="spellStart"/>
      <w:r>
        <w:rPr>
          <w:i/>
        </w:rPr>
        <w:t>Oeconomicus</w:t>
      </w:r>
      <w:proofErr w:type="spellEnd"/>
      <w:r>
        <w:t>: 7. 23 - 6</w:t>
      </w:r>
    </w:p>
  </w:footnote>
  <w:footnote w:id="89">
    <w:p w14:paraId="3457DEE4" w14:textId="3AB0DAC7" w:rsidR="00FD3D9B" w:rsidRPr="00FD3D9B" w:rsidRDefault="00FD3D9B">
      <w:pPr>
        <w:pStyle w:val="FootnoteText"/>
      </w:pPr>
      <w:r>
        <w:rPr>
          <w:rStyle w:val="FootnoteReference"/>
        </w:rPr>
        <w:footnoteRef/>
      </w:r>
      <w:r>
        <w:t xml:space="preserve"> Euripides, </w:t>
      </w:r>
      <w:r>
        <w:rPr>
          <w:i/>
        </w:rPr>
        <w:t>Electra</w:t>
      </w:r>
      <w:r>
        <w:t>: 1004 - 1010</w:t>
      </w:r>
    </w:p>
  </w:footnote>
  <w:footnote w:id="90">
    <w:p w14:paraId="7206553D" w14:textId="1F74C92E" w:rsidR="00FD3D9B" w:rsidRPr="00FD3D9B" w:rsidRDefault="00FD3D9B">
      <w:pPr>
        <w:pStyle w:val="FootnoteText"/>
      </w:pPr>
      <w:r>
        <w:rPr>
          <w:rStyle w:val="FootnoteReference"/>
        </w:rPr>
        <w:footnoteRef/>
      </w:r>
      <w:r>
        <w:t xml:space="preserve"> Describing herself as “</w:t>
      </w:r>
      <w:proofErr w:type="spellStart"/>
      <w:r>
        <w:t>unfathered</w:t>
      </w:r>
      <w:proofErr w:type="spellEnd"/>
      <w:r>
        <w:t xml:space="preserve"> and forlorn”; Euripides, </w:t>
      </w:r>
      <w:r>
        <w:rPr>
          <w:i/>
        </w:rPr>
        <w:t>Electra</w:t>
      </w:r>
      <w:r>
        <w:t>: 1010</w:t>
      </w:r>
    </w:p>
  </w:footnote>
  <w:footnote w:id="91">
    <w:p w14:paraId="0ECF9216" w14:textId="7CED3E1C" w:rsidR="00FD3D9B" w:rsidRPr="00FD3D9B" w:rsidRDefault="00FD3D9B">
      <w:pPr>
        <w:pStyle w:val="FootnoteText"/>
      </w:pPr>
      <w:r>
        <w:rPr>
          <w:rStyle w:val="FootnoteReference"/>
        </w:rPr>
        <w:footnoteRef/>
      </w:r>
      <w:r>
        <w:t xml:space="preserve"> Euripides, </w:t>
      </w:r>
      <w:r>
        <w:rPr>
          <w:i/>
        </w:rPr>
        <w:t>Electra</w:t>
      </w:r>
      <w:r>
        <w:t xml:space="preserve">: </w:t>
      </w:r>
    </w:p>
  </w:footnote>
  <w:footnote w:id="92">
    <w:p w14:paraId="33734341" w14:textId="2B72DADA" w:rsidR="00FD3D9B" w:rsidRDefault="00FD3D9B">
      <w:pPr>
        <w:pStyle w:val="FootnoteText"/>
      </w:pPr>
      <w:r>
        <w:rPr>
          <w:rStyle w:val="FootnoteReference"/>
        </w:rPr>
        <w:footnoteRef/>
      </w:r>
      <w:r>
        <w:t xml:space="preserve"> </w:t>
      </w:r>
      <w:proofErr w:type="spellStart"/>
      <w:r>
        <w:t>Roisman</w:t>
      </w:r>
      <w:proofErr w:type="spellEnd"/>
      <w:r>
        <w:t>, 2011: 209</w:t>
      </w:r>
    </w:p>
  </w:footnote>
  <w:footnote w:id="93">
    <w:p w14:paraId="43E6526E" w14:textId="229727FC" w:rsidR="00FD3D9B" w:rsidRDefault="00FD3D9B">
      <w:pPr>
        <w:pStyle w:val="FootnoteText"/>
      </w:pPr>
      <w:r>
        <w:rPr>
          <w:rStyle w:val="FootnoteReference"/>
        </w:rPr>
        <w:footnoteRef/>
      </w:r>
      <w:r>
        <w:t xml:space="preserve"> </w:t>
      </w:r>
      <w:proofErr w:type="spellStart"/>
      <w:r>
        <w:t>Roisman</w:t>
      </w:r>
      <w:proofErr w:type="spellEnd"/>
      <w:r>
        <w:t>, 2011: 209</w:t>
      </w:r>
    </w:p>
  </w:footnote>
  <w:footnote w:id="94">
    <w:p w14:paraId="20B47183" w14:textId="5FEB3D43" w:rsidR="00FD3D9B" w:rsidRPr="00FD3D9B" w:rsidRDefault="00FD3D9B">
      <w:pPr>
        <w:pStyle w:val="FootnoteText"/>
      </w:pPr>
      <w:r>
        <w:rPr>
          <w:rStyle w:val="FootnoteReference"/>
        </w:rPr>
        <w:footnoteRef/>
      </w:r>
      <w:r>
        <w:t xml:space="preserve"> Euripides, </w:t>
      </w:r>
      <w:r>
        <w:rPr>
          <w:i/>
        </w:rPr>
        <w:t>Electra</w:t>
      </w:r>
      <w:r>
        <w:t>: 1060 - 1085</w:t>
      </w:r>
    </w:p>
  </w:footnote>
  <w:footnote w:id="95">
    <w:p w14:paraId="5A20A2E5" w14:textId="57E6A4B0" w:rsidR="00FD3D9B" w:rsidRPr="00FD3D9B" w:rsidRDefault="00FD3D9B">
      <w:pPr>
        <w:pStyle w:val="FootnoteText"/>
      </w:pPr>
      <w:r>
        <w:rPr>
          <w:rStyle w:val="FootnoteReference"/>
        </w:rPr>
        <w:footnoteRef/>
      </w:r>
      <w:r>
        <w:t xml:space="preserve"> Xenophon, </w:t>
      </w:r>
      <w:proofErr w:type="spellStart"/>
      <w:r>
        <w:rPr>
          <w:i/>
        </w:rPr>
        <w:t>Oeconomicus</w:t>
      </w:r>
      <w:proofErr w:type="spellEnd"/>
      <w:r>
        <w:t>: 7. 26</w:t>
      </w:r>
    </w:p>
  </w:footnote>
  <w:footnote w:id="96">
    <w:p w14:paraId="78AC0726" w14:textId="1B4AE277" w:rsidR="00FD3D9B" w:rsidRPr="00FD3D9B" w:rsidRDefault="00FD3D9B">
      <w:pPr>
        <w:pStyle w:val="FootnoteText"/>
      </w:pPr>
      <w:r>
        <w:rPr>
          <w:rStyle w:val="FootnoteReference"/>
        </w:rPr>
        <w:footnoteRef/>
      </w:r>
      <w:r>
        <w:t xml:space="preserve"> Xenophon, </w:t>
      </w:r>
      <w:proofErr w:type="spellStart"/>
      <w:r>
        <w:rPr>
          <w:i/>
        </w:rPr>
        <w:t>Oeconomicus</w:t>
      </w:r>
      <w:proofErr w:type="spellEnd"/>
      <w:r>
        <w:t>: 7. 23 - 6</w:t>
      </w:r>
    </w:p>
  </w:footnote>
  <w:footnote w:id="97">
    <w:p w14:paraId="1BE8A335" w14:textId="6CF1EA48" w:rsidR="00FD3D9B" w:rsidRPr="00FD3D9B" w:rsidRDefault="00FD3D9B">
      <w:pPr>
        <w:pStyle w:val="FootnoteText"/>
      </w:pPr>
      <w:r>
        <w:rPr>
          <w:rStyle w:val="FootnoteReference"/>
        </w:rPr>
        <w:footnoteRef/>
      </w:r>
      <w:r>
        <w:t xml:space="preserve"> Euripides, </w:t>
      </w:r>
      <w:r>
        <w:rPr>
          <w:i/>
        </w:rPr>
        <w:t>Electra</w:t>
      </w:r>
      <w:r>
        <w:t xml:space="preserve">: </w:t>
      </w:r>
    </w:p>
  </w:footnote>
  <w:footnote w:id="98">
    <w:p w14:paraId="752715E1" w14:textId="2C2F1CCF" w:rsidR="00FD3D9B" w:rsidRPr="00FD3D9B" w:rsidRDefault="00FD3D9B">
      <w:pPr>
        <w:pStyle w:val="FootnoteText"/>
      </w:pPr>
      <w:r>
        <w:rPr>
          <w:rStyle w:val="FootnoteReference"/>
        </w:rPr>
        <w:footnoteRef/>
      </w:r>
      <w:r>
        <w:t xml:space="preserve"> Euripides, </w:t>
      </w:r>
      <w:r>
        <w:rPr>
          <w:i/>
        </w:rPr>
        <w:t>Electra</w:t>
      </w:r>
      <w:r>
        <w:t>: 982</w:t>
      </w:r>
    </w:p>
  </w:footnote>
  <w:footnote w:id="99">
    <w:p w14:paraId="67B68D0B" w14:textId="2047393A" w:rsidR="00FD3D9B" w:rsidRPr="00FD3D9B" w:rsidRDefault="00FD3D9B">
      <w:pPr>
        <w:pStyle w:val="FootnoteText"/>
      </w:pPr>
      <w:r>
        <w:rPr>
          <w:rStyle w:val="FootnoteReference"/>
        </w:rPr>
        <w:footnoteRef/>
      </w:r>
      <w:r>
        <w:t xml:space="preserve"> Euripides, </w:t>
      </w:r>
      <w:r>
        <w:rPr>
          <w:i/>
        </w:rPr>
        <w:t>Electra</w:t>
      </w:r>
      <w:r>
        <w:t>: 1221</w:t>
      </w:r>
    </w:p>
  </w:footnote>
  <w:footnote w:id="100">
    <w:p w14:paraId="0ACDCC5B" w14:textId="099C0EC7" w:rsidR="00FD3D9B" w:rsidRPr="00FD3D9B" w:rsidRDefault="00FD3D9B">
      <w:pPr>
        <w:pStyle w:val="FootnoteText"/>
      </w:pPr>
      <w:r>
        <w:rPr>
          <w:rStyle w:val="FootnoteReference"/>
        </w:rPr>
        <w:footnoteRef/>
      </w:r>
      <w:r>
        <w:t xml:space="preserve"> Euripides, </w:t>
      </w:r>
      <w:r>
        <w:rPr>
          <w:i/>
        </w:rPr>
        <w:t>Electra</w:t>
      </w:r>
      <w:r>
        <w:t>: 1224 - 5</w:t>
      </w:r>
    </w:p>
  </w:footnote>
  <w:footnote w:id="101">
    <w:p w14:paraId="279FA0CB" w14:textId="552F38CA" w:rsidR="00FD3D9B" w:rsidRDefault="00FD3D9B">
      <w:pPr>
        <w:pStyle w:val="FootnoteText"/>
      </w:pPr>
      <w:r>
        <w:rPr>
          <w:rStyle w:val="FootnoteReference"/>
        </w:rPr>
        <w:footnoteRef/>
      </w:r>
      <w:r>
        <w:t xml:space="preserve"> Pomeroy, 1975: 72</w:t>
      </w:r>
    </w:p>
  </w:footnote>
  <w:footnote w:id="102">
    <w:p w14:paraId="29A0C891" w14:textId="1CA95959" w:rsidR="00FD3D9B" w:rsidRPr="00FD3D9B" w:rsidRDefault="00FD3D9B">
      <w:pPr>
        <w:pStyle w:val="FootnoteText"/>
      </w:pPr>
      <w:r>
        <w:rPr>
          <w:rStyle w:val="FootnoteReference"/>
        </w:rPr>
        <w:footnoteRef/>
      </w:r>
      <w:r>
        <w:t xml:space="preserve"> Euripides, </w:t>
      </w:r>
      <w:r>
        <w:rPr>
          <w:i/>
        </w:rPr>
        <w:t>Electra</w:t>
      </w:r>
      <w:r>
        <w:t>:</w:t>
      </w:r>
    </w:p>
  </w:footnote>
  <w:footnote w:id="103">
    <w:p w14:paraId="6888CE58" w14:textId="19CEAE9E" w:rsidR="00FD3D9B" w:rsidRPr="00FD3D9B" w:rsidRDefault="00FD3D9B">
      <w:pPr>
        <w:pStyle w:val="FootnoteText"/>
      </w:pPr>
      <w:r>
        <w:rPr>
          <w:rStyle w:val="FootnoteReference"/>
        </w:rPr>
        <w:footnoteRef/>
      </w:r>
      <w:r>
        <w:t xml:space="preserve"> Euripides, </w:t>
      </w:r>
      <w:r>
        <w:rPr>
          <w:i/>
        </w:rPr>
        <w:t>Electra</w:t>
      </w:r>
      <w:r>
        <w:t xml:space="preserve">: </w:t>
      </w:r>
    </w:p>
  </w:footnote>
  <w:footnote w:id="104">
    <w:p w14:paraId="36F2E782" w14:textId="3BC49A8F" w:rsidR="00FD3D9B" w:rsidRPr="00FD3D9B" w:rsidRDefault="00FD3D9B">
      <w:pPr>
        <w:pStyle w:val="FootnoteText"/>
      </w:pPr>
      <w:r>
        <w:rPr>
          <w:rStyle w:val="FootnoteReference"/>
        </w:rPr>
        <w:footnoteRef/>
      </w:r>
      <w:r>
        <w:t xml:space="preserve"> Euripides, </w:t>
      </w:r>
      <w:r>
        <w:rPr>
          <w:i/>
        </w:rPr>
        <w:t>Electra</w:t>
      </w:r>
      <w:r>
        <w:t xml:space="preserve">: </w:t>
      </w:r>
    </w:p>
  </w:footnote>
  <w:footnote w:id="105">
    <w:p w14:paraId="3565F9C3" w14:textId="2A666E08" w:rsidR="00FD3D9B" w:rsidRPr="00FD3D9B" w:rsidRDefault="00FD3D9B">
      <w:pPr>
        <w:pStyle w:val="FootnoteText"/>
      </w:pPr>
      <w:r>
        <w:rPr>
          <w:rStyle w:val="FootnoteReference"/>
        </w:rPr>
        <w:footnoteRef/>
      </w:r>
      <w:r>
        <w:t xml:space="preserve"> Euripides, </w:t>
      </w:r>
      <w:r>
        <w:rPr>
          <w:i/>
        </w:rPr>
        <w:t>Electra</w:t>
      </w:r>
      <w:r>
        <w:t xml:space="preserve">: </w:t>
      </w:r>
    </w:p>
  </w:footnote>
  <w:footnote w:id="106">
    <w:p w14:paraId="5046A160" w14:textId="08E394BB" w:rsidR="00FD3D9B" w:rsidRDefault="00FD3D9B">
      <w:pPr>
        <w:pStyle w:val="FootnoteText"/>
      </w:pPr>
      <w:r>
        <w:rPr>
          <w:rStyle w:val="FootnoteReference"/>
        </w:rPr>
        <w:footnoteRef/>
      </w:r>
      <w:r>
        <w:t xml:space="preserve"> Connell and Messerschmidt, 2005: 832</w:t>
      </w:r>
    </w:p>
  </w:footnote>
  <w:footnote w:id="107">
    <w:p w14:paraId="415CBCA3" w14:textId="70CA4EEE" w:rsidR="00FD3D9B" w:rsidRPr="00FD3D9B" w:rsidRDefault="00FD3D9B">
      <w:pPr>
        <w:pStyle w:val="FootnoteText"/>
      </w:pPr>
      <w:r>
        <w:rPr>
          <w:rStyle w:val="FootnoteReference"/>
        </w:rPr>
        <w:footnoteRef/>
      </w:r>
      <w:r>
        <w:t xml:space="preserve"> Euripides, </w:t>
      </w:r>
      <w:r>
        <w:rPr>
          <w:i/>
        </w:rPr>
        <w:t>Helen</w:t>
      </w:r>
      <w:r>
        <w:t>:</w:t>
      </w:r>
    </w:p>
  </w:footnote>
  <w:footnote w:id="108">
    <w:p w14:paraId="104E3E06" w14:textId="6925B62B" w:rsidR="00FD3D9B" w:rsidRPr="00FD3D9B" w:rsidRDefault="00FD3D9B">
      <w:pPr>
        <w:pStyle w:val="FootnoteText"/>
      </w:pPr>
      <w:r>
        <w:rPr>
          <w:rStyle w:val="FootnoteReference"/>
        </w:rPr>
        <w:footnoteRef/>
      </w:r>
      <w:r>
        <w:t xml:space="preserve"> Euripides, </w:t>
      </w:r>
      <w:r>
        <w:rPr>
          <w:i/>
        </w:rPr>
        <w:t>Helen</w:t>
      </w:r>
      <w:r>
        <w:t>:</w:t>
      </w:r>
    </w:p>
  </w:footnote>
  <w:footnote w:id="109">
    <w:p w14:paraId="44F1B296" w14:textId="6B3CC761" w:rsidR="00FD3D9B" w:rsidRPr="00FD3D9B" w:rsidRDefault="00FD3D9B">
      <w:pPr>
        <w:pStyle w:val="FootnoteText"/>
      </w:pPr>
      <w:r>
        <w:rPr>
          <w:rStyle w:val="FootnoteReference"/>
        </w:rPr>
        <w:footnoteRef/>
      </w:r>
      <w:r>
        <w:t xml:space="preserve"> Euripides, </w:t>
      </w:r>
      <w:r>
        <w:rPr>
          <w:i/>
        </w:rPr>
        <w:t>Helen</w:t>
      </w:r>
      <w:r>
        <w:t>:</w:t>
      </w:r>
    </w:p>
  </w:footnote>
  <w:footnote w:id="110">
    <w:p w14:paraId="121E0726" w14:textId="148DDE5C" w:rsidR="00FD3D9B" w:rsidRPr="00FD3D9B" w:rsidRDefault="00FD3D9B">
      <w:pPr>
        <w:pStyle w:val="FootnoteText"/>
      </w:pPr>
      <w:r>
        <w:rPr>
          <w:rStyle w:val="FootnoteReference"/>
        </w:rPr>
        <w:footnoteRef/>
      </w:r>
      <w:r>
        <w:t xml:space="preserve"> Euripides, </w:t>
      </w:r>
      <w:r>
        <w:rPr>
          <w:i/>
        </w:rPr>
        <w:t>Helen</w:t>
      </w:r>
    </w:p>
  </w:footnote>
  <w:footnote w:id="111">
    <w:p w14:paraId="529B6201" w14:textId="57AF7AE7" w:rsidR="00FD3D9B" w:rsidRPr="00FD3D9B" w:rsidRDefault="00FD3D9B">
      <w:pPr>
        <w:pStyle w:val="FootnoteText"/>
      </w:pPr>
      <w:r>
        <w:rPr>
          <w:rStyle w:val="FootnoteReference"/>
        </w:rPr>
        <w:footnoteRef/>
      </w:r>
      <w:r>
        <w:t xml:space="preserve"> Euripides, </w:t>
      </w:r>
      <w:r>
        <w:rPr>
          <w:i/>
        </w:rPr>
        <w:t>Helen</w:t>
      </w:r>
    </w:p>
  </w:footnote>
  <w:footnote w:id="112">
    <w:p w14:paraId="456E40CB" w14:textId="2FF48158" w:rsidR="00FD3D9B" w:rsidRPr="00FD3D9B" w:rsidRDefault="00FD3D9B">
      <w:pPr>
        <w:pStyle w:val="FootnoteText"/>
      </w:pPr>
      <w:r>
        <w:rPr>
          <w:rStyle w:val="FootnoteReference"/>
        </w:rPr>
        <w:footnoteRef/>
      </w:r>
      <w:r>
        <w:t xml:space="preserve"> Euripides, </w:t>
      </w:r>
      <w:r>
        <w:rPr>
          <w:i/>
        </w:rPr>
        <w:t>Helen</w:t>
      </w:r>
      <w:r>
        <w:t>:</w:t>
      </w:r>
    </w:p>
  </w:footnote>
  <w:footnote w:id="113">
    <w:p w14:paraId="5FFD4875" w14:textId="5E74E4B2" w:rsidR="00FD3D9B" w:rsidRPr="00FD3D9B" w:rsidRDefault="00FD3D9B">
      <w:pPr>
        <w:pStyle w:val="FootnoteText"/>
      </w:pPr>
      <w:r>
        <w:rPr>
          <w:rStyle w:val="FootnoteReference"/>
        </w:rPr>
        <w:footnoteRef/>
      </w:r>
      <w:r>
        <w:t xml:space="preserve"> Euripides, </w:t>
      </w:r>
      <w:r>
        <w:rPr>
          <w:i/>
        </w:rPr>
        <w:t>Helen</w:t>
      </w:r>
      <w:r>
        <w:t xml:space="preserve">: </w:t>
      </w:r>
    </w:p>
  </w:footnote>
  <w:footnote w:id="114">
    <w:p w14:paraId="57D9A600" w14:textId="163D777E" w:rsidR="00FD3D9B" w:rsidRPr="00FD3D9B" w:rsidRDefault="00FD3D9B">
      <w:pPr>
        <w:pStyle w:val="FootnoteText"/>
      </w:pPr>
      <w:r>
        <w:rPr>
          <w:rStyle w:val="FootnoteReference"/>
        </w:rPr>
        <w:footnoteRef/>
      </w:r>
      <w:r>
        <w:t xml:space="preserve"> Euripides, </w:t>
      </w:r>
      <w:r>
        <w:rPr>
          <w:i/>
        </w:rPr>
        <w:t>Helen</w:t>
      </w:r>
      <w:r>
        <w:t>:</w:t>
      </w:r>
    </w:p>
  </w:footnote>
  <w:footnote w:id="115">
    <w:p w14:paraId="2CB6700A" w14:textId="02709C66" w:rsidR="00685FAD" w:rsidRPr="00685FAD" w:rsidRDefault="00685FAD">
      <w:pPr>
        <w:pStyle w:val="FootnoteText"/>
      </w:pPr>
      <w:r>
        <w:rPr>
          <w:rStyle w:val="FootnoteReference"/>
        </w:rPr>
        <w:footnoteRef/>
      </w:r>
      <w:r>
        <w:t xml:space="preserve"> </w:t>
      </w:r>
      <w:proofErr w:type="spellStart"/>
      <w:r>
        <w:t>Eruipides</w:t>
      </w:r>
      <w:proofErr w:type="spellEnd"/>
      <w:r>
        <w:t xml:space="preserve">, </w:t>
      </w:r>
      <w:r>
        <w:rPr>
          <w:i/>
        </w:rPr>
        <w:t>Helen</w:t>
      </w:r>
      <w:r>
        <w:t xml:space="preserve">: </w:t>
      </w:r>
    </w:p>
  </w:footnote>
  <w:footnote w:id="116">
    <w:p w14:paraId="2DFEDC73" w14:textId="477C274E" w:rsidR="00685FAD" w:rsidRPr="00685FAD" w:rsidRDefault="00685FAD">
      <w:pPr>
        <w:pStyle w:val="FootnoteText"/>
      </w:pPr>
      <w:r>
        <w:rPr>
          <w:rStyle w:val="FootnoteReference"/>
        </w:rPr>
        <w:footnoteRef/>
      </w:r>
      <w:r>
        <w:t xml:space="preserve"> Euripides, </w:t>
      </w:r>
      <w:r>
        <w:rPr>
          <w:i/>
        </w:rPr>
        <w:t>Helen</w:t>
      </w:r>
      <w:r>
        <w:t>:</w:t>
      </w:r>
    </w:p>
  </w:footnote>
  <w:footnote w:id="117">
    <w:p w14:paraId="5C0072D2" w14:textId="61DE9452" w:rsidR="00685FAD" w:rsidRPr="00685FAD" w:rsidRDefault="00685FAD">
      <w:pPr>
        <w:pStyle w:val="FootnoteText"/>
      </w:pPr>
      <w:r>
        <w:rPr>
          <w:rStyle w:val="FootnoteReference"/>
        </w:rPr>
        <w:footnoteRef/>
      </w:r>
      <w:r>
        <w:t xml:space="preserve"> “My name is Helen. Now let me tell you of my misfortunes.” Euripides, </w:t>
      </w:r>
      <w:r>
        <w:rPr>
          <w:i/>
        </w:rPr>
        <w:t>Helen</w:t>
      </w:r>
      <w:r>
        <w:t xml:space="preserve">: </w:t>
      </w:r>
    </w:p>
  </w:footnote>
  <w:footnote w:id="118">
    <w:p w14:paraId="7583FD6A" w14:textId="167D9E62" w:rsidR="00685FAD" w:rsidRPr="00685FAD" w:rsidRDefault="00685FAD">
      <w:pPr>
        <w:pStyle w:val="FootnoteText"/>
      </w:pPr>
      <w:r>
        <w:rPr>
          <w:rStyle w:val="FootnoteReference"/>
        </w:rPr>
        <w:footnoteRef/>
      </w:r>
      <w:r>
        <w:t xml:space="preserve"> Euripides, </w:t>
      </w:r>
      <w:r>
        <w:rPr>
          <w:i/>
        </w:rPr>
        <w:t>Helen</w:t>
      </w:r>
      <w:r>
        <w:t xml:space="preserve">: </w:t>
      </w:r>
    </w:p>
  </w:footnote>
  <w:footnote w:id="119">
    <w:p w14:paraId="22AC17F9" w14:textId="20C277C8" w:rsidR="00685FAD" w:rsidRPr="00685FAD" w:rsidRDefault="00685FAD">
      <w:pPr>
        <w:pStyle w:val="FootnoteText"/>
      </w:pPr>
      <w:r>
        <w:rPr>
          <w:rStyle w:val="FootnoteReference"/>
        </w:rPr>
        <w:footnoteRef/>
      </w:r>
      <w:r>
        <w:t xml:space="preserve"> Euripides, </w:t>
      </w:r>
      <w:r>
        <w:rPr>
          <w:i/>
        </w:rPr>
        <w:t>Helen</w:t>
      </w:r>
      <w:r>
        <w:t xml:space="preserve">: </w:t>
      </w:r>
    </w:p>
  </w:footnote>
  <w:footnote w:id="120">
    <w:p w14:paraId="5F25595E" w14:textId="5E2F8C2A" w:rsidR="00685FAD" w:rsidRPr="00685FAD" w:rsidRDefault="00685FAD">
      <w:pPr>
        <w:pStyle w:val="FootnoteText"/>
      </w:pPr>
      <w:r>
        <w:rPr>
          <w:rStyle w:val="FootnoteReference"/>
        </w:rPr>
        <w:footnoteRef/>
      </w:r>
      <w:r>
        <w:t xml:space="preserve"> Euripides, </w:t>
      </w:r>
      <w:r>
        <w:rPr>
          <w:i/>
        </w:rPr>
        <w:t>Helen</w:t>
      </w:r>
      <w:r>
        <w:t>:</w:t>
      </w:r>
    </w:p>
  </w:footnote>
  <w:footnote w:id="121">
    <w:p w14:paraId="452AB19E" w14:textId="56808957" w:rsidR="00685FAD" w:rsidRPr="00685FAD" w:rsidRDefault="00685FAD">
      <w:pPr>
        <w:pStyle w:val="FootnoteText"/>
      </w:pPr>
      <w:r>
        <w:rPr>
          <w:rStyle w:val="FootnoteReference"/>
        </w:rPr>
        <w:footnoteRef/>
      </w:r>
      <w:r>
        <w:t xml:space="preserve"> Euripides, </w:t>
      </w:r>
      <w:r>
        <w:rPr>
          <w:i/>
        </w:rPr>
        <w:t>Helen</w:t>
      </w:r>
      <w:r>
        <w:t>:</w:t>
      </w:r>
    </w:p>
  </w:footnote>
  <w:footnote w:id="122">
    <w:p w14:paraId="0B088323" w14:textId="5F4C2A1D" w:rsidR="00685FAD" w:rsidRDefault="00685FAD">
      <w:pPr>
        <w:pStyle w:val="FootnoteText"/>
      </w:pPr>
      <w:r>
        <w:rPr>
          <w:rStyle w:val="FootnoteReference"/>
        </w:rPr>
        <w:footnoteRef/>
      </w:r>
      <w:r>
        <w:t xml:space="preserve"> Pippin, 1960: 151</w:t>
      </w:r>
    </w:p>
  </w:footnote>
  <w:footnote w:id="123">
    <w:p w14:paraId="43D2C5EF" w14:textId="7700459B" w:rsidR="00685FAD" w:rsidRDefault="00685FAD">
      <w:pPr>
        <w:pStyle w:val="FootnoteText"/>
      </w:pPr>
      <w:r>
        <w:rPr>
          <w:rStyle w:val="FootnoteReference"/>
        </w:rPr>
        <w:footnoteRef/>
      </w:r>
      <w:r>
        <w:t xml:space="preserve"> Pippin, 1960: 151</w:t>
      </w:r>
    </w:p>
  </w:footnote>
  <w:footnote w:id="124">
    <w:p w14:paraId="7B73D990" w14:textId="495D9750" w:rsidR="00545B68" w:rsidRPr="00545B68" w:rsidRDefault="00545B68">
      <w:pPr>
        <w:pStyle w:val="FootnoteText"/>
      </w:pPr>
      <w:r>
        <w:rPr>
          <w:rStyle w:val="FootnoteReference"/>
        </w:rPr>
        <w:footnoteRef/>
      </w:r>
      <w:r>
        <w:t xml:space="preserve"> Euripides, </w:t>
      </w:r>
      <w:r>
        <w:rPr>
          <w:i/>
        </w:rPr>
        <w:t>Helen</w:t>
      </w:r>
      <w:r>
        <w:t xml:space="preserve">: </w:t>
      </w:r>
    </w:p>
  </w:footnote>
  <w:footnote w:id="125">
    <w:p w14:paraId="6A355358" w14:textId="6E28687D" w:rsidR="00567317" w:rsidRDefault="00567317">
      <w:pPr>
        <w:pStyle w:val="FootnoteText"/>
      </w:pPr>
      <w:r>
        <w:rPr>
          <w:rStyle w:val="FootnoteReference"/>
        </w:rPr>
        <w:footnoteRef/>
      </w:r>
      <w:r>
        <w:t xml:space="preserve"> Butler, 1990:</w:t>
      </w:r>
    </w:p>
  </w:footnote>
  <w:footnote w:id="126">
    <w:p w14:paraId="377AA967" w14:textId="02C8BF8E" w:rsidR="00567317" w:rsidRDefault="00567317">
      <w:pPr>
        <w:pStyle w:val="FootnoteText"/>
      </w:pPr>
      <w:r>
        <w:rPr>
          <w:rStyle w:val="FootnoteReference"/>
        </w:rPr>
        <w:footnoteRef/>
      </w:r>
      <w:r>
        <w:t xml:space="preserve"> Ibid.</w:t>
      </w:r>
    </w:p>
  </w:footnote>
  <w:footnote w:id="127">
    <w:p w14:paraId="6751693E" w14:textId="0D6D178C" w:rsidR="00567317" w:rsidRDefault="00567317">
      <w:pPr>
        <w:pStyle w:val="FootnoteText"/>
      </w:pPr>
      <w:r>
        <w:rPr>
          <w:rStyle w:val="FootnoteReference"/>
        </w:rPr>
        <w:footnoteRef/>
      </w:r>
      <w:r>
        <w:t xml:space="preserve"> Pippin, 1960: 153</w:t>
      </w:r>
    </w:p>
  </w:footnote>
  <w:footnote w:id="128">
    <w:p w14:paraId="7FC48731" w14:textId="0399B8D7" w:rsidR="00567317" w:rsidRDefault="00567317">
      <w:pPr>
        <w:pStyle w:val="FootnoteText"/>
      </w:pPr>
      <w:r>
        <w:rPr>
          <w:rStyle w:val="FootnoteReference"/>
        </w:rPr>
        <w:footnoteRef/>
      </w:r>
      <w:r>
        <w:t xml:space="preserve"> </w:t>
      </w:r>
      <w:proofErr w:type="spellStart"/>
      <w:r>
        <w:t>Cawthorn</w:t>
      </w:r>
      <w:proofErr w:type="spellEnd"/>
      <w:r>
        <w:t>, 2008: 14</w:t>
      </w:r>
    </w:p>
  </w:footnote>
  <w:footnote w:id="129">
    <w:p w14:paraId="53797B68" w14:textId="6C9ABA6E" w:rsidR="00567317" w:rsidRPr="00567317" w:rsidRDefault="00567317">
      <w:pPr>
        <w:pStyle w:val="FootnoteText"/>
      </w:pPr>
      <w:r>
        <w:rPr>
          <w:rStyle w:val="FootnoteReference"/>
        </w:rPr>
        <w:footnoteRef/>
      </w:r>
      <w:r>
        <w:t xml:space="preserve"> Euripides, </w:t>
      </w:r>
      <w:r>
        <w:rPr>
          <w:i/>
        </w:rPr>
        <w:t>Electra</w:t>
      </w:r>
      <w:r>
        <w:t xml:space="preserve">: </w:t>
      </w:r>
    </w:p>
  </w:footnote>
  <w:footnote w:id="130">
    <w:p w14:paraId="6634E644" w14:textId="34402C2F" w:rsidR="00567317" w:rsidRDefault="00567317">
      <w:pPr>
        <w:pStyle w:val="FootnoteText"/>
      </w:pPr>
      <w:r>
        <w:rPr>
          <w:rStyle w:val="FootnoteReference"/>
        </w:rPr>
        <w:footnoteRef/>
      </w:r>
      <w:r>
        <w:t xml:space="preserve"> Foley, 1981: 135</w:t>
      </w:r>
    </w:p>
  </w:footnote>
  <w:footnote w:id="131">
    <w:p w14:paraId="3F83E9F2" w14:textId="6DFE16CB" w:rsidR="00567317" w:rsidRDefault="00567317">
      <w:pPr>
        <w:pStyle w:val="FootnoteText"/>
      </w:pPr>
      <w:r>
        <w:rPr>
          <w:rStyle w:val="FootnoteReference"/>
        </w:rPr>
        <w:footnoteRef/>
      </w:r>
      <w:r>
        <w:t xml:space="preserve"> </w:t>
      </w:r>
      <w:proofErr w:type="spellStart"/>
      <w:r>
        <w:t>Cawthorn</w:t>
      </w:r>
      <w:proofErr w:type="spellEnd"/>
      <w:r>
        <w:t>, 2008: 20</w:t>
      </w:r>
    </w:p>
  </w:footnote>
  <w:footnote w:id="132">
    <w:p w14:paraId="58F2612B" w14:textId="39A655A0" w:rsidR="00567317" w:rsidRDefault="00567317">
      <w:pPr>
        <w:pStyle w:val="FootnoteText"/>
      </w:pPr>
      <w:r>
        <w:rPr>
          <w:rStyle w:val="FootnoteReference"/>
        </w:rPr>
        <w:footnoteRef/>
      </w:r>
      <w:r>
        <w:t xml:space="preserve"> Connell and Messerschmidt, 2005: 832</w:t>
      </w:r>
    </w:p>
  </w:footnote>
  <w:footnote w:id="133">
    <w:p w14:paraId="4FC355B1" w14:textId="6876239A" w:rsidR="00567317" w:rsidRDefault="00567317">
      <w:pPr>
        <w:pStyle w:val="FootnoteText"/>
      </w:pPr>
      <w:r>
        <w:rPr>
          <w:rStyle w:val="FootnoteReference"/>
        </w:rPr>
        <w:footnoteRef/>
      </w:r>
      <w:r>
        <w:t xml:space="preserve"> </w:t>
      </w:r>
      <w:proofErr w:type="spellStart"/>
      <w:r>
        <w:t>Cawthorn</w:t>
      </w:r>
      <w:proofErr w:type="spellEnd"/>
      <w:r>
        <w:t>, 2008: 9</w:t>
      </w:r>
    </w:p>
  </w:footnote>
  <w:footnote w:id="134">
    <w:p w14:paraId="24D9351B" w14:textId="57FC4BD7" w:rsidR="00567317" w:rsidRDefault="00567317">
      <w:pPr>
        <w:pStyle w:val="FootnoteText"/>
      </w:pPr>
      <w:r>
        <w:rPr>
          <w:rStyle w:val="FootnoteReference"/>
        </w:rPr>
        <w:footnoteRef/>
      </w:r>
      <w:r>
        <w:t xml:space="preserve"> </w:t>
      </w:r>
      <w:proofErr w:type="spellStart"/>
      <w:r>
        <w:t>Cawthorn</w:t>
      </w:r>
      <w:proofErr w:type="spellEnd"/>
      <w:r>
        <w:t>, 2008: 17; 27</w:t>
      </w:r>
    </w:p>
  </w:footnote>
  <w:footnote w:id="135">
    <w:p w14:paraId="6BF7F7E3" w14:textId="581878C3" w:rsidR="00567317" w:rsidRDefault="00567317">
      <w:pPr>
        <w:pStyle w:val="FootnoteText"/>
      </w:pPr>
      <w:r>
        <w:rPr>
          <w:rStyle w:val="FootnoteReference"/>
        </w:rPr>
        <w:footnoteRef/>
      </w:r>
      <w:r>
        <w:t xml:space="preserve"> </w:t>
      </w:r>
      <w:proofErr w:type="spellStart"/>
      <w:r>
        <w:t>Fantham</w:t>
      </w:r>
      <w:proofErr w:type="spellEnd"/>
      <w:r>
        <w:t xml:space="preserve"> et al., 1994: 71</w:t>
      </w:r>
    </w:p>
  </w:footnote>
  <w:footnote w:id="136">
    <w:p w14:paraId="42866DD3" w14:textId="2F5F0BCE" w:rsidR="00567317" w:rsidRDefault="00567317">
      <w:pPr>
        <w:pStyle w:val="FootnoteText"/>
      </w:pPr>
      <w:r>
        <w:rPr>
          <w:rStyle w:val="FootnoteReference"/>
        </w:rPr>
        <w:footnoteRef/>
      </w:r>
      <w:r>
        <w:t xml:space="preserve"> Pomeroy, 1975: 112</w:t>
      </w:r>
    </w:p>
  </w:footnote>
  <w:footnote w:id="137">
    <w:p w14:paraId="2081E0F1" w14:textId="5308E976" w:rsidR="00567317" w:rsidRDefault="00567317">
      <w:pPr>
        <w:pStyle w:val="FootnoteText"/>
      </w:pPr>
      <w:r>
        <w:rPr>
          <w:rStyle w:val="FootnoteReference"/>
        </w:rPr>
        <w:footnoteRef/>
      </w:r>
      <w:r>
        <w:t xml:space="preserve"> Pomeroy, 1975: 95</w:t>
      </w:r>
    </w:p>
  </w:footnote>
  <w:footnote w:id="138">
    <w:p w14:paraId="3F8E2BA7" w14:textId="56AE8E32" w:rsidR="00567317" w:rsidRDefault="00567317">
      <w:pPr>
        <w:pStyle w:val="FootnoteText"/>
      </w:pPr>
      <w:r>
        <w:rPr>
          <w:rStyle w:val="FootnoteReference"/>
        </w:rPr>
        <w:footnoteRef/>
      </w:r>
      <w:r>
        <w:t xml:space="preserve"> Allan, 2002: </w:t>
      </w:r>
    </w:p>
  </w:footnote>
  <w:footnote w:id="139">
    <w:p w14:paraId="06C22351" w14:textId="3FE31ABD" w:rsidR="00567317" w:rsidRDefault="00567317">
      <w:pPr>
        <w:pStyle w:val="FootnoteText"/>
      </w:pPr>
      <w:r>
        <w:rPr>
          <w:rStyle w:val="FootnoteReference"/>
        </w:rPr>
        <w:footnoteRef/>
      </w:r>
      <w:r>
        <w:t xml:space="preserve"> Foley, 1981: 135</w:t>
      </w:r>
    </w:p>
  </w:footnote>
  <w:footnote w:id="140">
    <w:p w14:paraId="7042B1A6" w14:textId="3498D39B" w:rsidR="0088338F" w:rsidRDefault="0088338F">
      <w:pPr>
        <w:pStyle w:val="FootnoteText"/>
      </w:pPr>
      <w:r>
        <w:rPr>
          <w:rStyle w:val="FootnoteReference"/>
        </w:rPr>
        <w:footnoteRef/>
      </w:r>
      <w:r>
        <w:t xml:space="preserve"> </w:t>
      </w:r>
      <w:proofErr w:type="spellStart"/>
      <w:r>
        <w:t>Cawthorn</w:t>
      </w:r>
      <w:proofErr w:type="spellEnd"/>
      <w:r>
        <w:t>, 2008: 12</w:t>
      </w:r>
    </w:p>
  </w:footnote>
  <w:footnote w:id="141">
    <w:p w14:paraId="35E3B4D2" w14:textId="4CAEF237" w:rsidR="0088338F" w:rsidRDefault="0088338F">
      <w:pPr>
        <w:pStyle w:val="FootnoteText"/>
      </w:pPr>
      <w:r>
        <w:rPr>
          <w:rStyle w:val="FootnoteReference"/>
        </w:rPr>
        <w:footnoteRef/>
      </w:r>
      <w:r>
        <w:t xml:space="preserve"> </w:t>
      </w:r>
      <w:proofErr w:type="spellStart"/>
      <w:r>
        <w:t>Cawthorn</w:t>
      </w:r>
      <w:proofErr w:type="spellEnd"/>
      <w:r>
        <w:t>, 2008: 16</w:t>
      </w:r>
    </w:p>
  </w:footnote>
  <w:footnote w:id="142">
    <w:p w14:paraId="3A0447BF" w14:textId="1030672F" w:rsidR="0088338F" w:rsidRPr="0088338F" w:rsidRDefault="0088338F">
      <w:pPr>
        <w:pStyle w:val="FootnoteText"/>
      </w:pPr>
      <w:r>
        <w:rPr>
          <w:rStyle w:val="FootnoteReference"/>
        </w:rPr>
        <w:footnoteRef/>
      </w:r>
      <w:r>
        <w:t xml:space="preserve"> Euripides, </w:t>
      </w:r>
      <w:r>
        <w:rPr>
          <w:i/>
        </w:rPr>
        <w:t>Helen</w:t>
      </w:r>
      <w:r>
        <w:t xml:space="preserve">: </w:t>
      </w:r>
    </w:p>
  </w:footnote>
  <w:footnote w:id="143">
    <w:p w14:paraId="6044DBBD" w14:textId="5CA367F1" w:rsidR="0088338F" w:rsidRDefault="0088338F">
      <w:pPr>
        <w:pStyle w:val="FootnoteText"/>
      </w:pPr>
      <w:r>
        <w:rPr>
          <w:rStyle w:val="FootnoteReference"/>
        </w:rPr>
        <w:footnoteRef/>
      </w:r>
      <w:r>
        <w:t xml:space="preserve"> </w:t>
      </w:r>
      <w:proofErr w:type="spellStart"/>
      <w:r>
        <w:t>Cawthorn</w:t>
      </w:r>
      <w:proofErr w:type="spellEnd"/>
      <w:r>
        <w:t>, 208: 19</w:t>
      </w:r>
    </w:p>
  </w:footnote>
  <w:footnote w:id="144">
    <w:p w14:paraId="350B5340" w14:textId="4C929061" w:rsidR="0088338F" w:rsidRDefault="0088338F">
      <w:pPr>
        <w:pStyle w:val="FootnoteText"/>
      </w:pPr>
      <w:r>
        <w:rPr>
          <w:rStyle w:val="FootnoteReference"/>
        </w:rPr>
        <w:footnoteRef/>
      </w:r>
      <w:r>
        <w:t xml:space="preserve"> Pomeroy, 2002: 136</w:t>
      </w:r>
    </w:p>
  </w:footnote>
  <w:footnote w:id="145">
    <w:p w14:paraId="12D19397" w14:textId="3FFACFC1" w:rsidR="006E0F4C" w:rsidRDefault="006E0F4C">
      <w:pPr>
        <w:pStyle w:val="FootnoteText"/>
      </w:pPr>
      <w:r>
        <w:rPr>
          <w:rStyle w:val="FootnoteReference"/>
        </w:rPr>
        <w:footnoteRef/>
      </w:r>
      <w:r>
        <w:t xml:space="preserve"> Pomeroy, 2002: 140 - 1</w:t>
      </w:r>
    </w:p>
  </w:footnote>
  <w:footnote w:id="146">
    <w:p w14:paraId="7DE888EA" w14:textId="034C1578" w:rsidR="006E0F4C" w:rsidRDefault="006E0F4C">
      <w:pPr>
        <w:pStyle w:val="FootnoteText"/>
      </w:pPr>
      <w:r>
        <w:rPr>
          <w:rStyle w:val="FootnoteReference"/>
        </w:rPr>
        <w:footnoteRef/>
      </w:r>
      <w:r>
        <w:t xml:space="preserve"> Pomeroy, 1975: 80</w:t>
      </w:r>
    </w:p>
  </w:footnote>
  <w:footnote w:id="147">
    <w:p w14:paraId="10ED1DAD" w14:textId="216FD214" w:rsidR="006E0F4C" w:rsidRDefault="006E0F4C">
      <w:pPr>
        <w:pStyle w:val="FootnoteText"/>
      </w:pPr>
      <w:r>
        <w:rPr>
          <w:rStyle w:val="FootnoteReference"/>
        </w:rPr>
        <w:footnoteRef/>
      </w:r>
      <w:r>
        <w:t xml:space="preserve"> Pomeroy, 1975: 111</w:t>
      </w:r>
    </w:p>
  </w:footnote>
  <w:footnote w:id="148">
    <w:p w14:paraId="7E9D7AF6" w14:textId="2EFF5D3A" w:rsidR="006E0F4C" w:rsidRDefault="006E0F4C">
      <w:pPr>
        <w:pStyle w:val="FootnoteText"/>
      </w:pPr>
      <w:r>
        <w:rPr>
          <w:rStyle w:val="FootnoteReference"/>
        </w:rPr>
        <w:footnoteRef/>
      </w:r>
      <w:r>
        <w:t xml:space="preserve"> Pomeroy, 2002: 141</w:t>
      </w:r>
    </w:p>
  </w:footnote>
  <w:footnote w:id="149">
    <w:p w14:paraId="6D3C5C0E" w14:textId="52F3E689" w:rsidR="006E0F4C" w:rsidRDefault="006E0F4C">
      <w:pPr>
        <w:pStyle w:val="FootnoteText"/>
      </w:pPr>
      <w:r>
        <w:rPr>
          <w:rStyle w:val="FootnoteReference"/>
        </w:rPr>
        <w:footnoteRef/>
      </w:r>
      <w:r>
        <w:t xml:space="preserve"> </w:t>
      </w:r>
      <w:proofErr w:type="spellStart"/>
      <w:r>
        <w:t>Cawthorn</w:t>
      </w:r>
      <w:proofErr w:type="spellEnd"/>
      <w:r>
        <w:t>, 2008: 9</w:t>
      </w:r>
    </w:p>
  </w:footnote>
  <w:footnote w:id="150">
    <w:p w14:paraId="4B928F9A" w14:textId="5D570515" w:rsidR="00AA1E29" w:rsidRDefault="00AA1E29">
      <w:pPr>
        <w:pStyle w:val="FootnoteText"/>
      </w:pPr>
      <w:r>
        <w:rPr>
          <w:rStyle w:val="FootnoteReference"/>
        </w:rPr>
        <w:footnoteRef/>
      </w:r>
      <w:r>
        <w:t xml:space="preserve"> Pomeroy, 2002: 141; Foley, 1981: </w:t>
      </w:r>
      <w:r w:rsidR="009C7ABD">
        <w:t>157</w:t>
      </w:r>
    </w:p>
  </w:footnote>
  <w:footnote w:id="151">
    <w:p w14:paraId="5225215F" w14:textId="501CEF0C" w:rsidR="009C7ABD" w:rsidRDefault="009C7ABD">
      <w:pPr>
        <w:pStyle w:val="FootnoteText"/>
      </w:pPr>
      <w:r>
        <w:rPr>
          <w:rStyle w:val="FootnoteReference"/>
        </w:rPr>
        <w:footnoteRef/>
      </w:r>
      <w:r>
        <w:t xml:space="preserve"> Allan: 2008: 5 - 6</w:t>
      </w:r>
    </w:p>
  </w:footnote>
  <w:footnote w:id="152">
    <w:p w14:paraId="5B35C569" w14:textId="3CB63330" w:rsidR="009C7ABD" w:rsidRDefault="009C7ABD">
      <w:pPr>
        <w:pStyle w:val="FootnoteText"/>
      </w:pPr>
      <w:r>
        <w:rPr>
          <w:rStyle w:val="FootnoteReference"/>
        </w:rPr>
        <w:footnoteRef/>
      </w:r>
      <w:r>
        <w:t xml:space="preserve"> </w:t>
      </w:r>
      <w:proofErr w:type="spellStart"/>
      <w:r>
        <w:t>Cawthorn</w:t>
      </w:r>
      <w:proofErr w:type="spellEnd"/>
      <w:r>
        <w:t>, 2008: 27</w:t>
      </w:r>
    </w:p>
  </w:footnote>
  <w:footnote w:id="153">
    <w:p w14:paraId="3FA2ACF1" w14:textId="6B527E0D" w:rsidR="009C7ABD" w:rsidRDefault="009C7ABD">
      <w:pPr>
        <w:pStyle w:val="FootnoteText"/>
      </w:pPr>
      <w:r>
        <w:rPr>
          <w:rStyle w:val="FootnoteReference"/>
        </w:rPr>
        <w:footnoteRef/>
      </w:r>
      <w:r>
        <w:t xml:space="preserve"> </w:t>
      </w:r>
      <w:proofErr w:type="spellStart"/>
      <w:r>
        <w:t>Cawthorn</w:t>
      </w:r>
      <w:proofErr w:type="spellEnd"/>
      <w:r>
        <w:t>, 2008: 11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1A2"/>
    <w:rsid w:val="003854F5"/>
    <w:rsid w:val="004621C9"/>
    <w:rsid w:val="004C0C9B"/>
    <w:rsid w:val="00545B68"/>
    <w:rsid w:val="00567317"/>
    <w:rsid w:val="00620118"/>
    <w:rsid w:val="00685FAD"/>
    <w:rsid w:val="006E0F4C"/>
    <w:rsid w:val="007D6F1C"/>
    <w:rsid w:val="0088338F"/>
    <w:rsid w:val="009C7ABD"/>
    <w:rsid w:val="00AA1E29"/>
    <w:rsid w:val="00B231A2"/>
    <w:rsid w:val="00C33056"/>
    <w:rsid w:val="00CF3DF2"/>
    <w:rsid w:val="00E65D92"/>
    <w:rsid w:val="00FD3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02859"/>
  <w14:defaultImageDpi w14:val="32767"/>
  <w15:chartTrackingRefBased/>
  <w15:docId w15:val="{81E146E7-68FC-E64F-AB87-8DCC55DFF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231A2"/>
  </w:style>
  <w:style w:type="paragraph" w:styleId="Heading1">
    <w:name w:val="heading 1"/>
    <w:basedOn w:val="Normal"/>
    <w:next w:val="Normal"/>
    <w:link w:val="Heading1Char"/>
    <w:qFormat/>
    <w:rsid w:val="00B231A2"/>
    <w:pPr>
      <w:keepNext/>
      <w:spacing w:before="240" w:after="60"/>
      <w:outlineLvl w:val="0"/>
    </w:pPr>
    <w:rPr>
      <w:rFonts w:ascii="Arial" w:eastAsia="SimSun" w:hAnsi="Arial" w:cs="Arial"/>
      <w:b/>
      <w:bCs/>
      <w:kern w:val="32"/>
      <w:sz w:val="32"/>
      <w:szCs w:val="32"/>
      <w:lang w:eastAsia="zh-CN"/>
    </w:rPr>
  </w:style>
  <w:style w:type="paragraph" w:styleId="Heading2">
    <w:name w:val="heading 2"/>
    <w:basedOn w:val="Normal"/>
    <w:next w:val="Normal"/>
    <w:link w:val="Heading2Char"/>
    <w:uiPriority w:val="9"/>
    <w:unhideWhenUsed/>
    <w:qFormat/>
    <w:rsid w:val="004621C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B231A2"/>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31A2"/>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B231A2"/>
    <w:rPr>
      <w:rFonts w:ascii="Tahoma" w:eastAsia="SimSun" w:hAnsi="Tahoma" w:cs="Tahoma"/>
      <w:b/>
      <w:bCs/>
      <w:sz w:val="20"/>
      <w:szCs w:val="20"/>
      <w:lang w:eastAsia="zh-CN"/>
    </w:rPr>
  </w:style>
  <w:style w:type="paragraph" w:styleId="NormalWeb">
    <w:name w:val="Normal (Web)"/>
    <w:basedOn w:val="Normal"/>
    <w:uiPriority w:val="99"/>
    <w:rsid w:val="00B231A2"/>
    <w:pPr>
      <w:spacing w:before="100" w:beforeAutospacing="1" w:after="100" w:afterAutospacing="1"/>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4621C9"/>
    <w:rPr>
      <w:sz w:val="20"/>
      <w:szCs w:val="20"/>
    </w:rPr>
  </w:style>
  <w:style w:type="character" w:customStyle="1" w:styleId="FootnoteTextChar">
    <w:name w:val="Footnote Text Char"/>
    <w:basedOn w:val="DefaultParagraphFont"/>
    <w:link w:val="FootnoteText"/>
    <w:uiPriority w:val="99"/>
    <w:semiHidden/>
    <w:rsid w:val="004621C9"/>
    <w:rPr>
      <w:sz w:val="20"/>
      <w:szCs w:val="20"/>
    </w:rPr>
  </w:style>
  <w:style w:type="character" w:styleId="FootnoteReference">
    <w:name w:val="footnote reference"/>
    <w:basedOn w:val="DefaultParagraphFont"/>
    <w:uiPriority w:val="99"/>
    <w:semiHidden/>
    <w:unhideWhenUsed/>
    <w:rsid w:val="004621C9"/>
    <w:rPr>
      <w:vertAlign w:val="superscript"/>
    </w:rPr>
  </w:style>
  <w:style w:type="paragraph" w:styleId="TOCHeading">
    <w:name w:val="TOC Heading"/>
    <w:basedOn w:val="Heading1"/>
    <w:next w:val="Normal"/>
    <w:uiPriority w:val="39"/>
    <w:unhideWhenUsed/>
    <w:qFormat/>
    <w:rsid w:val="004621C9"/>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4621C9"/>
    <w:pPr>
      <w:spacing w:before="120"/>
    </w:pPr>
    <w:rPr>
      <w:b/>
      <w:bCs/>
      <w:i/>
      <w:iCs/>
    </w:rPr>
  </w:style>
  <w:style w:type="paragraph" w:styleId="TOC3">
    <w:name w:val="toc 3"/>
    <w:basedOn w:val="Normal"/>
    <w:next w:val="Normal"/>
    <w:autoRedefine/>
    <w:uiPriority w:val="39"/>
    <w:unhideWhenUsed/>
    <w:rsid w:val="004621C9"/>
    <w:pPr>
      <w:ind w:left="480"/>
    </w:pPr>
    <w:rPr>
      <w:sz w:val="20"/>
      <w:szCs w:val="20"/>
    </w:rPr>
  </w:style>
  <w:style w:type="character" w:styleId="Hyperlink">
    <w:name w:val="Hyperlink"/>
    <w:basedOn w:val="DefaultParagraphFont"/>
    <w:uiPriority w:val="99"/>
    <w:unhideWhenUsed/>
    <w:rsid w:val="004621C9"/>
    <w:rPr>
      <w:color w:val="0563C1" w:themeColor="hyperlink"/>
      <w:u w:val="single"/>
    </w:rPr>
  </w:style>
  <w:style w:type="paragraph" w:styleId="TOC2">
    <w:name w:val="toc 2"/>
    <w:basedOn w:val="Normal"/>
    <w:next w:val="Normal"/>
    <w:autoRedefine/>
    <w:uiPriority w:val="39"/>
    <w:unhideWhenUsed/>
    <w:rsid w:val="004621C9"/>
    <w:pPr>
      <w:spacing w:before="120"/>
      <w:ind w:left="240"/>
    </w:pPr>
    <w:rPr>
      <w:b/>
      <w:bCs/>
      <w:sz w:val="22"/>
      <w:szCs w:val="22"/>
    </w:rPr>
  </w:style>
  <w:style w:type="paragraph" w:styleId="TOC4">
    <w:name w:val="toc 4"/>
    <w:basedOn w:val="Normal"/>
    <w:next w:val="Normal"/>
    <w:autoRedefine/>
    <w:uiPriority w:val="39"/>
    <w:semiHidden/>
    <w:unhideWhenUsed/>
    <w:rsid w:val="004621C9"/>
    <w:pPr>
      <w:ind w:left="720"/>
    </w:pPr>
    <w:rPr>
      <w:sz w:val="20"/>
      <w:szCs w:val="20"/>
    </w:rPr>
  </w:style>
  <w:style w:type="paragraph" w:styleId="TOC5">
    <w:name w:val="toc 5"/>
    <w:basedOn w:val="Normal"/>
    <w:next w:val="Normal"/>
    <w:autoRedefine/>
    <w:uiPriority w:val="39"/>
    <w:semiHidden/>
    <w:unhideWhenUsed/>
    <w:rsid w:val="004621C9"/>
    <w:pPr>
      <w:ind w:left="960"/>
    </w:pPr>
    <w:rPr>
      <w:sz w:val="20"/>
      <w:szCs w:val="20"/>
    </w:rPr>
  </w:style>
  <w:style w:type="paragraph" w:styleId="TOC6">
    <w:name w:val="toc 6"/>
    <w:basedOn w:val="Normal"/>
    <w:next w:val="Normal"/>
    <w:autoRedefine/>
    <w:uiPriority w:val="39"/>
    <w:semiHidden/>
    <w:unhideWhenUsed/>
    <w:rsid w:val="004621C9"/>
    <w:pPr>
      <w:ind w:left="1200"/>
    </w:pPr>
    <w:rPr>
      <w:sz w:val="20"/>
      <w:szCs w:val="20"/>
    </w:rPr>
  </w:style>
  <w:style w:type="paragraph" w:styleId="TOC7">
    <w:name w:val="toc 7"/>
    <w:basedOn w:val="Normal"/>
    <w:next w:val="Normal"/>
    <w:autoRedefine/>
    <w:uiPriority w:val="39"/>
    <w:semiHidden/>
    <w:unhideWhenUsed/>
    <w:rsid w:val="004621C9"/>
    <w:pPr>
      <w:ind w:left="1440"/>
    </w:pPr>
    <w:rPr>
      <w:sz w:val="20"/>
      <w:szCs w:val="20"/>
    </w:rPr>
  </w:style>
  <w:style w:type="paragraph" w:styleId="TOC8">
    <w:name w:val="toc 8"/>
    <w:basedOn w:val="Normal"/>
    <w:next w:val="Normal"/>
    <w:autoRedefine/>
    <w:uiPriority w:val="39"/>
    <w:semiHidden/>
    <w:unhideWhenUsed/>
    <w:rsid w:val="004621C9"/>
    <w:pPr>
      <w:ind w:left="1680"/>
    </w:pPr>
    <w:rPr>
      <w:sz w:val="20"/>
      <w:szCs w:val="20"/>
    </w:rPr>
  </w:style>
  <w:style w:type="paragraph" w:styleId="TOC9">
    <w:name w:val="toc 9"/>
    <w:basedOn w:val="Normal"/>
    <w:next w:val="Normal"/>
    <w:autoRedefine/>
    <w:uiPriority w:val="39"/>
    <w:semiHidden/>
    <w:unhideWhenUsed/>
    <w:rsid w:val="004621C9"/>
    <w:pPr>
      <w:ind w:left="1920"/>
    </w:pPr>
    <w:rPr>
      <w:sz w:val="20"/>
      <w:szCs w:val="20"/>
    </w:rPr>
  </w:style>
  <w:style w:type="character" w:customStyle="1" w:styleId="Heading2Char">
    <w:name w:val="Heading 2 Char"/>
    <w:basedOn w:val="DefaultParagraphFont"/>
    <w:link w:val="Heading2"/>
    <w:uiPriority w:val="9"/>
    <w:rsid w:val="004621C9"/>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4621C9"/>
    <w:pPr>
      <w:tabs>
        <w:tab w:val="center" w:pos="4680"/>
        <w:tab w:val="right" w:pos="9360"/>
      </w:tabs>
    </w:pPr>
  </w:style>
  <w:style w:type="character" w:customStyle="1" w:styleId="FooterChar">
    <w:name w:val="Footer Char"/>
    <w:basedOn w:val="DefaultParagraphFont"/>
    <w:link w:val="Footer"/>
    <w:uiPriority w:val="99"/>
    <w:rsid w:val="004621C9"/>
  </w:style>
  <w:style w:type="character" w:styleId="PageNumber">
    <w:name w:val="page number"/>
    <w:basedOn w:val="DefaultParagraphFont"/>
    <w:uiPriority w:val="99"/>
    <w:semiHidden/>
    <w:unhideWhenUsed/>
    <w:rsid w:val="00462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137803">
      <w:bodyDiv w:val="1"/>
      <w:marLeft w:val="0"/>
      <w:marRight w:val="0"/>
      <w:marTop w:val="0"/>
      <w:marBottom w:val="0"/>
      <w:divBdr>
        <w:top w:val="none" w:sz="0" w:space="0" w:color="auto"/>
        <w:left w:val="none" w:sz="0" w:space="0" w:color="auto"/>
        <w:bottom w:val="none" w:sz="0" w:space="0" w:color="auto"/>
        <w:right w:val="none" w:sz="0" w:space="0" w:color="auto"/>
      </w:divBdr>
    </w:div>
    <w:div w:id="558320080">
      <w:bodyDiv w:val="1"/>
      <w:marLeft w:val="0"/>
      <w:marRight w:val="0"/>
      <w:marTop w:val="0"/>
      <w:marBottom w:val="0"/>
      <w:divBdr>
        <w:top w:val="none" w:sz="0" w:space="0" w:color="auto"/>
        <w:left w:val="none" w:sz="0" w:space="0" w:color="auto"/>
        <w:bottom w:val="none" w:sz="0" w:space="0" w:color="auto"/>
        <w:right w:val="none" w:sz="0" w:space="0" w:color="auto"/>
      </w:divBdr>
    </w:div>
    <w:div w:id="884416688">
      <w:bodyDiv w:val="1"/>
      <w:marLeft w:val="0"/>
      <w:marRight w:val="0"/>
      <w:marTop w:val="0"/>
      <w:marBottom w:val="0"/>
      <w:divBdr>
        <w:top w:val="none" w:sz="0" w:space="0" w:color="auto"/>
        <w:left w:val="none" w:sz="0" w:space="0" w:color="auto"/>
        <w:bottom w:val="none" w:sz="0" w:space="0" w:color="auto"/>
        <w:right w:val="none" w:sz="0" w:space="0" w:color="auto"/>
      </w:divBdr>
    </w:div>
    <w:div w:id="972364229">
      <w:bodyDiv w:val="1"/>
      <w:marLeft w:val="0"/>
      <w:marRight w:val="0"/>
      <w:marTop w:val="0"/>
      <w:marBottom w:val="0"/>
      <w:divBdr>
        <w:top w:val="none" w:sz="0" w:space="0" w:color="auto"/>
        <w:left w:val="none" w:sz="0" w:space="0" w:color="auto"/>
        <w:bottom w:val="none" w:sz="0" w:space="0" w:color="auto"/>
        <w:right w:val="none" w:sz="0" w:space="0" w:color="auto"/>
      </w:divBdr>
    </w:div>
    <w:div w:id="208155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FE26BB-2B57-A844-BC0F-557445842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30</Pages>
  <Words>9498</Words>
  <Characters>46164</Characters>
  <Application>Microsoft Office Word</Application>
  <DocSecurity>0</DocSecurity>
  <Lines>721</Lines>
  <Paragraphs>82</Paragraphs>
  <ScaleCrop>false</ScaleCrop>
  <Company/>
  <LinksUpToDate>false</LinksUpToDate>
  <CharactersWithSpaces>55580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Cawdell</dc:creator>
  <cp:keywords/>
  <dc:description/>
  <cp:lastModifiedBy>Elizabeth Cawdell</cp:lastModifiedBy>
  <cp:revision>12</cp:revision>
  <dcterms:created xsi:type="dcterms:W3CDTF">2020-08-04T11:16:00Z</dcterms:created>
  <dcterms:modified xsi:type="dcterms:W3CDTF">2020-08-05T22:56:00Z</dcterms:modified>
</cp:coreProperties>
</file>