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4F0DC" w14:textId="19280DA7" w:rsidR="00B42BAE" w:rsidRPr="00CD5CDB"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D5CDB">
        <w:rPr>
          <w:rFonts w:ascii="Trebuchet MS" w:eastAsia="Arial Unicode MS" w:hAnsi="Trebuchet MS" w:cs="Arial Unicode MS"/>
          <w:b/>
          <w:bCs/>
          <w:color w:val="4472C4" w:themeColor="accent1"/>
          <w:u w:color="000000"/>
          <w:bdr w:val="nil"/>
          <w:lang w:val="en-US" w:eastAsia="en-GB"/>
        </w:rPr>
        <w:t xml:space="preserve">AC 1.1 </w:t>
      </w:r>
    </w:p>
    <w:p w14:paraId="732BC465" w14:textId="0C640C2B" w:rsidR="00B42BAE" w:rsidRPr="00A37E18" w:rsidRDefault="00B42BAE" w:rsidP="00423149">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involvement and employee participation are related but distinct concepts within employment relations, playing an important role in building organisational relationships, particularly in the public sector. While the terms are sometimes used interchangeably, they differ in scope, formality and their implications for power and decision</w:t>
      </w:r>
      <w:r w:rsidR="00E53875">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w:t>
      </w:r>
    </w:p>
    <w:p w14:paraId="711A3938" w14:textId="28A9EFF6"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involvement refers to management</w:t>
      </w:r>
      <w:r w:rsidR="00CE179B">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 xml:space="preserve">led initiatives </w:t>
      </w:r>
      <w:r w:rsidR="00CE179B">
        <w:rPr>
          <w:rFonts w:ascii="Trebuchet MS" w:eastAsia="Arial Unicode MS" w:hAnsi="Trebuchet MS" w:cs="Arial Unicode MS"/>
          <w:color w:val="000000"/>
          <w:u w:color="000000"/>
          <w:bdr w:val="nil"/>
          <w:lang w:eastAsia="en-GB"/>
        </w:rPr>
        <w:t>aiming</w:t>
      </w:r>
      <w:r w:rsidRPr="00B42BAE">
        <w:rPr>
          <w:rFonts w:ascii="Trebuchet MS" w:eastAsia="Arial Unicode MS" w:hAnsi="Trebuchet MS" w:cs="Arial Unicode MS"/>
          <w:color w:val="000000"/>
          <w:u w:color="000000"/>
          <w:bdr w:val="nil"/>
          <w:lang w:eastAsia="en-GB"/>
        </w:rPr>
        <w:t xml:space="preserve"> to engage employees in improving organisational performance through information sharing, consultation and empowerment at individual </w:t>
      </w:r>
      <w:r w:rsidR="00CE179B">
        <w:rPr>
          <w:rFonts w:ascii="Trebuchet MS" w:eastAsia="Arial Unicode MS" w:hAnsi="Trebuchet MS" w:cs="Arial Unicode MS"/>
          <w:color w:val="000000"/>
          <w:u w:color="000000"/>
          <w:bdr w:val="nil"/>
          <w:lang w:eastAsia="en-GB"/>
        </w:rPr>
        <w:t>and</w:t>
      </w:r>
      <w:r w:rsidRPr="00B42BAE">
        <w:rPr>
          <w:rFonts w:ascii="Trebuchet MS" w:eastAsia="Arial Unicode MS" w:hAnsi="Trebuchet MS" w:cs="Arial Unicode MS"/>
          <w:color w:val="000000"/>
          <w:u w:color="000000"/>
          <w:bdr w:val="nil"/>
          <w:lang w:eastAsia="en-GB"/>
        </w:rPr>
        <w:t xml:space="preserve"> team level (CIPD, 2023). </w:t>
      </w:r>
      <w:r w:rsidR="00CD5E5F">
        <w:rPr>
          <w:rFonts w:ascii="Trebuchet MS" w:eastAsia="Arial Unicode MS" w:hAnsi="Trebuchet MS" w:cs="Arial Unicode MS"/>
          <w:color w:val="000000"/>
          <w:u w:color="000000"/>
          <w:bdr w:val="nil"/>
          <w:lang w:eastAsia="en-GB"/>
        </w:rPr>
        <w:t>I</w:t>
      </w:r>
      <w:r w:rsidRPr="00B42BAE">
        <w:rPr>
          <w:rFonts w:ascii="Trebuchet MS" w:eastAsia="Arial Unicode MS" w:hAnsi="Trebuchet MS" w:cs="Arial Unicode MS"/>
          <w:color w:val="000000"/>
          <w:u w:color="000000"/>
          <w:bdr w:val="nil"/>
          <w:lang w:eastAsia="en-GB"/>
        </w:rPr>
        <w:t xml:space="preserve">nvolvement often takes the form of staff surveys, improvement groups, team briefings and continuous improvement initiatives such as those associated with public service reform </w:t>
      </w:r>
      <w:r w:rsidR="00A62F2D">
        <w:rPr>
          <w:rFonts w:ascii="Trebuchet MS" w:eastAsia="Arial Unicode MS" w:hAnsi="Trebuchet MS" w:cs="Arial Unicode MS"/>
          <w:color w:val="000000"/>
          <w:u w:color="000000"/>
          <w:bdr w:val="nil"/>
          <w:lang w:eastAsia="en-GB"/>
        </w:rPr>
        <w:t>(White, 2003)</w:t>
      </w:r>
      <w:r w:rsidRPr="00B42BAE">
        <w:rPr>
          <w:rFonts w:ascii="Trebuchet MS" w:eastAsia="Arial Unicode MS" w:hAnsi="Trebuchet MS" w:cs="Arial Unicode MS"/>
          <w:color w:val="000000"/>
          <w:u w:color="000000"/>
          <w:bdr w:val="nil"/>
          <w:lang w:eastAsia="en-GB"/>
        </w:rPr>
        <w:t>. These mechanisms are typically informal and focus on enhancing commitment, motivation and service quality rather than redistributing decision</w:t>
      </w:r>
      <w:r w:rsidR="00724B8B">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 authority.</w:t>
      </w:r>
    </w:p>
    <w:p w14:paraId="16121427" w14:textId="67ACB25B"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participation, by contrast, involves more formal and collective mechanisms through which employees influence organisational decision-making, often via representative structures (Marchington et al., 2016). In the public sector, participation has traditionally been institutionalised through trade union recognition, joint consultative committees and partnership arrangements, particularly within local government, health services and education. Participation reflects a pluralist employment relations perspective, recognising divergent interests between employers and employees and providing structured channels for dialogue and negotiation.</w:t>
      </w:r>
    </w:p>
    <w:p w14:paraId="4E9BEAEB" w14:textId="51EA8996"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Both involvement and participation contribute to relationship building, but in different ways. Employee involvement tends to enhance day-to-day relationships between staff and line managers by fostering trust, communication and a sense of being valued. In public sector organisations, where intrinsic motivation and public service ethos are significant, involvement initiatives can strengthen psychological contracts and support collaborative cultures (Bach and Winegar, 2014).</w:t>
      </w:r>
    </w:p>
    <w:p w14:paraId="4E900F8A" w14:textId="18D8E7AD"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participation, meanwhile, builds relationships at an institutional level by legitimising employee voice and promoting fairness and transparency in decision</w:t>
      </w:r>
      <w:r w:rsidR="00CE09B4">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 In the UK public sector, where</w:t>
      </w:r>
      <w:r w:rsidR="00064B30">
        <w:rPr>
          <w:rFonts w:ascii="Trebuchet MS" w:eastAsia="Arial Unicode MS" w:hAnsi="Trebuchet MS" w:cs="Arial Unicode MS"/>
          <w:color w:val="000000"/>
          <w:u w:color="000000"/>
          <w:bdr w:val="nil"/>
          <w:lang w:eastAsia="en-GB"/>
        </w:rPr>
        <w:t xml:space="preserve"> workforce</w:t>
      </w:r>
      <w:r w:rsidRPr="00B42BAE">
        <w:rPr>
          <w:rFonts w:ascii="Trebuchet MS" w:eastAsia="Arial Unicode MS" w:hAnsi="Trebuchet MS" w:cs="Arial Unicode MS"/>
          <w:color w:val="000000"/>
          <w:u w:color="000000"/>
          <w:bdr w:val="nil"/>
          <w:lang w:eastAsia="en-GB"/>
        </w:rPr>
        <w:t xml:space="preserve"> change is often driven by austerity, restructuring and policy reform, robust participation mechanisms can help manage conflict, maintain morale and sustain long-term cooperation between management and trade unions (Heery and Noon, 2017).</w:t>
      </w:r>
    </w:p>
    <w:p w14:paraId="07B0F6A1" w14:textId="5929572B" w:rsidR="00B42BAE" w:rsidRPr="00B42BAE"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In practice, effective employment relations in the public sector rely on a combination of involvement and participation. Together, they create complementary channels of communication that strengthen trust, enhance organisational legitimacy and support more resilient workplace relationships.</w:t>
      </w:r>
    </w:p>
    <w:p w14:paraId="2BCEF771" w14:textId="4D607994" w:rsidR="00164C3D" w:rsidRPr="00164C3D" w:rsidRDefault="00C802AA"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u w:color="000000"/>
          <w:bdr w:val="nil"/>
          <w:lang w:eastAsia="en-GB"/>
        </w:rPr>
      </w:pPr>
      <w:r w:rsidRPr="00C0731C">
        <w:rPr>
          <w:rFonts w:ascii="Trebuchet MS" w:eastAsia="Arial Unicode MS" w:hAnsi="Trebuchet MS" w:cs="Arial Unicode MS"/>
          <w:u w:color="000000"/>
          <w:bdr w:val="nil"/>
          <w:lang w:eastAsia="en-GB"/>
        </w:rPr>
        <w:t>In Wales, t</w:t>
      </w:r>
      <w:r w:rsidR="00875326" w:rsidRPr="00875326">
        <w:rPr>
          <w:rFonts w:ascii="Trebuchet MS" w:eastAsia="Arial Unicode MS" w:hAnsi="Trebuchet MS" w:cs="Arial Unicode MS"/>
          <w:u w:color="000000"/>
          <w:bdr w:val="nil"/>
          <w:lang w:eastAsia="en-GB"/>
        </w:rPr>
        <w:t xml:space="preserve">he Social Partnership and Public Procurement (Wales) Act 2023 places </w:t>
      </w:r>
      <w:r w:rsidR="00872E5F" w:rsidRPr="00C0731C">
        <w:rPr>
          <w:rFonts w:ascii="Trebuchet MS" w:eastAsia="Arial Unicode MS" w:hAnsi="Trebuchet MS" w:cs="Arial Unicode MS"/>
          <w:u w:color="000000"/>
          <w:bdr w:val="nil"/>
          <w:lang w:eastAsia="en-GB"/>
        </w:rPr>
        <w:t xml:space="preserve">employee involvement and participation </w:t>
      </w:r>
      <w:r w:rsidR="00875326" w:rsidRPr="00875326">
        <w:rPr>
          <w:rFonts w:ascii="Trebuchet MS" w:eastAsia="Arial Unicode MS" w:hAnsi="Trebuchet MS" w:cs="Arial Unicode MS"/>
          <w:u w:color="000000"/>
          <w:bdr w:val="nil"/>
          <w:lang w:eastAsia="en-GB"/>
        </w:rPr>
        <w:t xml:space="preserve">on a legal footing, requiring specified public bodies to work with recognised trade unions </w:t>
      </w:r>
      <w:r w:rsidR="00872E5F" w:rsidRPr="00C0731C">
        <w:rPr>
          <w:rFonts w:ascii="Trebuchet MS" w:eastAsia="Arial Unicode MS" w:hAnsi="Trebuchet MS" w:cs="Arial Unicode MS"/>
          <w:u w:color="000000"/>
          <w:bdr w:val="nil"/>
          <w:lang w:eastAsia="en-GB"/>
        </w:rPr>
        <w:t>or em</w:t>
      </w:r>
      <w:r w:rsidR="00220CBF" w:rsidRPr="00C0731C">
        <w:rPr>
          <w:rFonts w:ascii="Trebuchet MS" w:eastAsia="Arial Unicode MS" w:hAnsi="Trebuchet MS" w:cs="Arial Unicode MS"/>
          <w:u w:color="000000"/>
          <w:bdr w:val="nil"/>
          <w:lang w:eastAsia="en-GB"/>
        </w:rPr>
        <w:t xml:space="preserve">ployee forums </w:t>
      </w:r>
      <w:r w:rsidR="00875326" w:rsidRPr="00875326">
        <w:rPr>
          <w:rFonts w:ascii="Trebuchet MS" w:eastAsia="Arial Unicode MS" w:hAnsi="Trebuchet MS" w:cs="Arial Unicode MS"/>
          <w:u w:color="000000"/>
          <w:bdr w:val="nil"/>
          <w:lang w:eastAsia="en-GB"/>
        </w:rPr>
        <w:t>when setting well</w:t>
      </w:r>
      <w:r w:rsidR="00875326" w:rsidRPr="00875326">
        <w:rPr>
          <w:rFonts w:ascii="Trebuchet MS" w:eastAsia="Arial Unicode MS" w:hAnsi="Trebuchet MS" w:cs="Arial Unicode MS"/>
          <w:u w:color="000000"/>
          <w:bdr w:val="nil"/>
          <w:lang w:eastAsia="en-GB"/>
        </w:rPr>
        <w:noBreakHyphen/>
        <w:t>being objectives and when making strategic decisions that affect the workforce</w:t>
      </w:r>
      <w:r w:rsidR="00C0731C" w:rsidRPr="00C0731C">
        <w:rPr>
          <w:rFonts w:ascii="Trebuchet MS" w:eastAsia="Arial Unicode MS" w:hAnsi="Trebuchet MS" w:cs="Arial Unicode MS"/>
          <w:u w:color="000000"/>
          <w:bdr w:val="nil"/>
          <w:lang w:eastAsia="en-GB"/>
        </w:rPr>
        <w:t xml:space="preserve">. This </w:t>
      </w:r>
      <w:r w:rsidR="00164C3D" w:rsidRPr="00164C3D">
        <w:rPr>
          <w:rFonts w:ascii="Trebuchet MS" w:eastAsia="Arial Unicode MS" w:hAnsi="Trebuchet MS" w:cs="Arial Unicode MS"/>
          <w:u w:color="000000"/>
          <w:bdr w:val="nil"/>
          <w:lang w:eastAsia="en-GB"/>
        </w:rPr>
        <w:t>represents an evolution from employee involvement and participation as optional mechanisms towards a legally embedded model of collective employee voice</w:t>
      </w:r>
      <w:r w:rsidR="00C0731C" w:rsidRPr="00C0731C">
        <w:rPr>
          <w:rFonts w:ascii="Trebuchet MS" w:eastAsia="Arial Unicode MS" w:hAnsi="Trebuchet MS" w:cs="Arial Unicode MS"/>
          <w:u w:color="000000"/>
          <w:bdr w:val="nil"/>
          <w:lang w:eastAsia="en-GB"/>
        </w:rPr>
        <w:t>.</w:t>
      </w:r>
    </w:p>
    <w:p w14:paraId="69C84A33" w14:textId="43D37CD7" w:rsidR="00B42BAE"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color w:val="000000"/>
          <w:u w:color="000000"/>
          <w:bdr w:val="nil"/>
          <w:lang w:val="en-US" w:eastAsia="en-GB"/>
        </w:rPr>
      </w:pPr>
    </w:p>
    <w:p w14:paraId="157A2BA8" w14:textId="77777777" w:rsidR="00423149" w:rsidRDefault="00423149" w:rsidP="00B42BAE">
      <w:pPr>
        <w:pBdr>
          <w:top w:val="nil"/>
          <w:left w:val="nil"/>
          <w:bottom w:val="nil"/>
          <w:right w:val="nil"/>
          <w:between w:val="nil"/>
          <w:bar w:val="nil"/>
        </w:pBdr>
        <w:spacing w:after="0" w:line="240" w:lineRule="auto"/>
        <w:rPr>
          <w:rFonts w:ascii="Trebuchet MS" w:eastAsia="Arial Unicode MS" w:hAnsi="Trebuchet MS" w:cs="Arial Unicode MS"/>
          <w:color w:val="000000"/>
          <w:u w:color="000000"/>
          <w:bdr w:val="nil"/>
          <w:lang w:val="en-US" w:eastAsia="en-GB"/>
        </w:rPr>
      </w:pPr>
    </w:p>
    <w:p w14:paraId="3AF2CE38" w14:textId="77777777" w:rsidR="00423149" w:rsidRDefault="00423149" w:rsidP="00B42BAE">
      <w:pPr>
        <w:pBdr>
          <w:top w:val="nil"/>
          <w:left w:val="nil"/>
          <w:bottom w:val="nil"/>
          <w:right w:val="nil"/>
          <w:between w:val="nil"/>
          <w:bar w:val="nil"/>
        </w:pBdr>
        <w:spacing w:after="0" w:line="240" w:lineRule="auto"/>
        <w:rPr>
          <w:rFonts w:ascii="Trebuchet MS" w:eastAsia="Arial Unicode MS" w:hAnsi="Trebuchet MS" w:cs="Arial Unicode MS"/>
          <w:color w:val="000000"/>
          <w:u w:color="000000"/>
          <w:bdr w:val="nil"/>
          <w:lang w:val="en-US" w:eastAsia="en-GB"/>
        </w:rPr>
      </w:pPr>
    </w:p>
    <w:p w14:paraId="53605BC6" w14:textId="77777777" w:rsidR="00423149" w:rsidRDefault="00423149" w:rsidP="00B42BAE">
      <w:pPr>
        <w:pBdr>
          <w:top w:val="nil"/>
          <w:left w:val="nil"/>
          <w:bottom w:val="nil"/>
          <w:right w:val="nil"/>
          <w:between w:val="nil"/>
          <w:bar w:val="nil"/>
        </w:pBdr>
        <w:spacing w:after="0" w:line="240" w:lineRule="auto"/>
        <w:rPr>
          <w:rFonts w:ascii="Trebuchet MS" w:eastAsia="Arial Unicode MS" w:hAnsi="Trebuchet MS" w:cs="Arial Unicode MS"/>
          <w:color w:val="000000"/>
          <w:u w:color="000000"/>
          <w:bdr w:val="nil"/>
          <w:lang w:val="en-US" w:eastAsia="en-GB"/>
        </w:rPr>
      </w:pPr>
    </w:p>
    <w:p w14:paraId="4AB7DE24" w14:textId="77777777" w:rsidR="00423149" w:rsidRDefault="00423149" w:rsidP="00B42BAE">
      <w:pPr>
        <w:pBdr>
          <w:top w:val="nil"/>
          <w:left w:val="nil"/>
          <w:bottom w:val="nil"/>
          <w:right w:val="nil"/>
          <w:between w:val="nil"/>
          <w:bar w:val="nil"/>
        </w:pBdr>
        <w:spacing w:after="0" w:line="240" w:lineRule="auto"/>
        <w:rPr>
          <w:rFonts w:ascii="Trebuchet MS" w:eastAsia="Arial Unicode MS" w:hAnsi="Trebuchet MS" w:cs="Arial Unicode MS"/>
          <w:color w:val="000000"/>
          <w:u w:color="000000"/>
          <w:bdr w:val="nil"/>
          <w:lang w:val="en-US" w:eastAsia="en-GB"/>
        </w:rPr>
      </w:pPr>
    </w:p>
    <w:p w14:paraId="303C8912" w14:textId="77777777" w:rsidR="00423149" w:rsidRPr="00A37E18" w:rsidRDefault="00423149" w:rsidP="00B42BAE">
      <w:pPr>
        <w:pBdr>
          <w:top w:val="nil"/>
          <w:left w:val="nil"/>
          <w:bottom w:val="nil"/>
          <w:right w:val="nil"/>
          <w:between w:val="nil"/>
          <w:bar w:val="nil"/>
        </w:pBdr>
        <w:spacing w:after="0" w:line="240" w:lineRule="auto"/>
        <w:rPr>
          <w:rFonts w:ascii="Trebuchet MS" w:eastAsia="Arial Unicode MS" w:hAnsi="Trebuchet MS" w:cs="Arial Unicode MS"/>
          <w:color w:val="000000"/>
          <w:u w:color="000000"/>
          <w:bdr w:val="nil"/>
          <w:lang w:val="en-US" w:eastAsia="en-GB"/>
        </w:rPr>
      </w:pPr>
    </w:p>
    <w:p w14:paraId="05D1A3EC" w14:textId="6565C876" w:rsidR="00B42BAE" w:rsidRPr="00CD5CDB"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D5CDB">
        <w:rPr>
          <w:rFonts w:ascii="Trebuchet MS" w:eastAsia="Arial Unicode MS" w:hAnsi="Trebuchet MS" w:cs="Arial Unicode MS"/>
          <w:b/>
          <w:bCs/>
          <w:color w:val="4472C4" w:themeColor="accent1"/>
          <w:u w:color="000000"/>
          <w:bdr w:val="nil"/>
          <w:lang w:val="en-US" w:eastAsia="en-GB"/>
        </w:rPr>
        <w:lastRenderedPageBreak/>
        <w:t>AC 1.2</w:t>
      </w:r>
    </w:p>
    <w:p w14:paraId="044E8F42" w14:textId="03F4BC5B"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Both union and non</w:t>
      </w:r>
      <w:r w:rsidRPr="00B440CE">
        <w:rPr>
          <w:rFonts w:ascii="Trebuchet MS" w:hAnsi="Trebuchet MS" w:cs="Segoe UI"/>
          <w:sz w:val="22"/>
          <w:szCs w:val="22"/>
        </w:rPr>
        <w:noBreakHyphen/>
        <w:t xml:space="preserve">union representation provide a </w:t>
      </w:r>
      <w:r w:rsidRPr="00B440CE">
        <w:rPr>
          <w:rStyle w:val="Strong"/>
          <w:rFonts w:ascii="Trebuchet MS" w:hAnsi="Trebuchet MS" w:cs="Segoe UI"/>
          <w:b w:val="0"/>
          <w:bCs w:val="0"/>
          <w:sz w:val="22"/>
          <w:szCs w:val="22"/>
        </w:rPr>
        <w:t>collective employee voice</w:t>
      </w:r>
      <w:r w:rsidRPr="00B440CE">
        <w:rPr>
          <w:rFonts w:ascii="Trebuchet MS" w:hAnsi="Trebuchet MS" w:cs="Segoe UI"/>
          <w:sz w:val="22"/>
          <w:szCs w:val="22"/>
        </w:rPr>
        <w:t>, enabling dialogue between employees and management on workplace issues. In public</w:t>
      </w:r>
      <w:r w:rsidR="009C0DCE" w:rsidRPr="00B440CE">
        <w:rPr>
          <w:rFonts w:ascii="Trebuchet MS" w:hAnsi="Trebuchet MS" w:cs="Segoe UI"/>
          <w:sz w:val="22"/>
          <w:szCs w:val="22"/>
        </w:rPr>
        <w:t xml:space="preserve"> </w:t>
      </w:r>
      <w:r w:rsidRPr="00B440CE">
        <w:rPr>
          <w:rFonts w:ascii="Trebuchet MS" w:hAnsi="Trebuchet MS" w:cs="Segoe UI"/>
          <w:sz w:val="22"/>
          <w:szCs w:val="22"/>
        </w:rPr>
        <w:t>sector organisations, this collective voice supports transparency and fairness, particularly in contexts characterised by political oversight, service pressures and frequent organisational change (Marchington et al., 2016).</w:t>
      </w:r>
    </w:p>
    <w:p w14:paraId="54DA940B"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Both forms of representation can also contribute to </w:t>
      </w:r>
      <w:r w:rsidRPr="00B440CE">
        <w:rPr>
          <w:rStyle w:val="Strong"/>
          <w:rFonts w:ascii="Trebuchet MS" w:hAnsi="Trebuchet MS" w:cs="Segoe UI"/>
          <w:b w:val="0"/>
          <w:bCs w:val="0"/>
          <w:sz w:val="22"/>
          <w:szCs w:val="22"/>
        </w:rPr>
        <w:t>relationship building</w:t>
      </w:r>
      <w:r w:rsidRPr="00B440CE">
        <w:rPr>
          <w:rFonts w:ascii="Trebuchet MS" w:hAnsi="Trebuchet MS" w:cs="Segoe UI"/>
          <w:sz w:val="22"/>
          <w:szCs w:val="22"/>
        </w:rPr>
        <w:t xml:space="preserve"> by facilitating communication, improving understanding and helping to resolve issues collaboratively. In public services, where professional commitment and public service motivation are significant, representative engagement can reinforce trust and cooperation between staff and management (CIPD, 2022).</w:t>
      </w:r>
    </w:p>
    <w:p w14:paraId="606E4542"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In addition, both union and non</w:t>
      </w:r>
      <w:r w:rsidRPr="00B440CE">
        <w:rPr>
          <w:rFonts w:ascii="Trebuchet MS" w:hAnsi="Trebuchet MS" w:cs="Segoe UI"/>
          <w:sz w:val="22"/>
          <w:szCs w:val="22"/>
        </w:rPr>
        <w:noBreakHyphen/>
        <w:t xml:space="preserve">union representatives play a role in </w:t>
      </w:r>
      <w:r w:rsidRPr="00B440CE">
        <w:rPr>
          <w:rStyle w:val="Strong"/>
          <w:rFonts w:ascii="Trebuchet MS" w:hAnsi="Trebuchet MS" w:cs="Segoe UI"/>
          <w:b w:val="0"/>
          <w:bCs w:val="0"/>
          <w:sz w:val="22"/>
          <w:szCs w:val="22"/>
        </w:rPr>
        <w:t>managing organisational change</w:t>
      </w:r>
      <w:r w:rsidRPr="00B440CE">
        <w:rPr>
          <w:rFonts w:ascii="Trebuchet MS" w:hAnsi="Trebuchet MS" w:cs="Segoe UI"/>
          <w:b/>
          <w:bCs/>
          <w:sz w:val="22"/>
          <w:szCs w:val="22"/>
        </w:rPr>
        <w:t>.</w:t>
      </w:r>
      <w:r w:rsidRPr="00B440CE">
        <w:rPr>
          <w:rFonts w:ascii="Trebuchet MS" w:hAnsi="Trebuchet MS" w:cs="Segoe UI"/>
          <w:sz w:val="22"/>
          <w:szCs w:val="22"/>
        </w:rPr>
        <w:t xml:space="preserve"> Public</w:t>
      </w:r>
      <w:r w:rsidRPr="00B440CE">
        <w:rPr>
          <w:rFonts w:ascii="Trebuchet MS" w:hAnsi="Trebuchet MS" w:cs="Segoe UI"/>
          <w:sz w:val="22"/>
          <w:szCs w:val="22"/>
        </w:rPr>
        <w:noBreakHyphen/>
        <w:t>sector reform, restructuring and austerity measures are recurring features of public services, and representative involvement can help reduce resistance by allowing employee views to be heard and concerns addressed (White, 2003).</w:t>
      </w:r>
    </w:p>
    <w:p w14:paraId="6E60A9D1" w14:textId="77777777" w:rsidR="009C49C9" w:rsidRPr="00B440CE" w:rsidRDefault="009C49C9" w:rsidP="00D45E63">
      <w:pPr>
        <w:pStyle w:val="NormalWeb"/>
        <w:jc w:val="both"/>
        <w:rPr>
          <w:rFonts w:ascii="Trebuchet MS" w:hAnsi="Trebuchet MS" w:cs="Segoe UI"/>
          <w:b/>
          <w:bCs/>
          <w:sz w:val="22"/>
          <w:szCs w:val="22"/>
        </w:rPr>
      </w:pPr>
      <w:r w:rsidRPr="00B440CE">
        <w:rPr>
          <w:rFonts w:ascii="Trebuchet MS" w:hAnsi="Trebuchet MS" w:cs="Segoe UI"/>
          <w:sz w:val="22"/>
          <w:szCs w:val="22"/>
        </w:rPr>
        <w:t>Despite these similarities, union and non</w:t>
      </w:r>
      <w:r w:rsidRPr="00B440CE">
        <w:rPr>
          <w:rFonts w:ascii="Trebuchet MS" w:hAnsi="Trebuchet MS" w:cs="Segoe UI"/>
          <w:sz w:val="22"/>
          <w:szCs w:val="22"/>
        </w:rPr>
        <w:noBreakHyphen/>
        <w:t xml:space="preserve">union representation differ markedly in the public sector due to questions of </w:t>
      </w:r>
      <w:r w:rsidRPr="00B440CE">
        <w:rPr>
          <w:rStyle w:val="Strong"/>
          <w:rFonts w:ascii="Trebuchet MS" w:hAnsi="Trebuchet MS" w:cs="Segoe UI"/>
          <w:b w:val="0"/>
          <w:bCs w:val="0"/>
          <w:sz w:val="22"/>
          <w:szCs w:val="22"/>
        </w:rPr>
        <w:t>independence, legitimacy and power</w:t>
      </w:r>
      <w:r w:rsidRPr="00B440CE">
        <w:rPr>
          <w:rFonts w:ascii="Trebuchet MS" w:hAnsi="Trebuchet MS" w:cs="Segoe UI"/>
          <w:b/>
          <w:bCs/>
          <w:sz w:val="22"/>
          <w:szCs w:val="22"/>
        </w:rPr>
        <w:t>.</w:t>
      </w:r>
    </w:p>
    <w:p w14:paraId="0D5FB2A3" w14:textId="2D7FC421"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Trade unions are </w:t>
      </w:r>
      <w:r w:rsidRPr="00B440CE">
        <w:rPr>
          <w:rStyle w:val="Strong"/>
          <w:rFonts w:ascii="Trebuchet MS" w:hAnsi="Trebuchet MS" w:cs="Segoe UI"/>
          <w:b w:val="0"/>
          <w:bCs w:val="0"/>
          <w:sz w:val="22"/>
          <w:szCs w:val="22"/>
        </w:rPr>
        <w:t>independent organisations</w:t>
      </w:r>
      <w:r w:rsidRPr="00B440CE">
        <w:rPr>
          <w:rFonts w:ascii="Trebuchet MS" w:hAnsi="Trebuchet MS" w:cs="Segoe UI"/>
          <w:sz w:val="22"/>
          <w:szCs w:val="22"/>
        </w:rPr>
        <w:t>, legally separate from the employer and accountable to their members. This independence strengthens their legitimacy and capacity to challenge management decisions, particularly in large and hierarchical public</w:t>
      </w:r>
      <w:r w:rsidR="00CD07BE" w:rsidRPr="00B440CE">
        <w:rPr>
          <w:rFonts w:ascii="Trebuchet MS" w:hAnsi="Trebuchet MS" w:cs="Segoe UI"/>
          <w:sz w:val="22"/>
          <w:szCs w:val="22"/>
        </w:rPr>
        <w:t xml:space="preserve"> </w:t>
      </w:r>
      <w:r w:rsidRPr="00B440CE">
        <w:rPr>
          <w:rFonts w:ascii="Trebuchet MS" w:hAnsi="Trebuchet MS" w:cs="Segoe UI"/>
          <w:sz w:val="22"/>
          <w:szCs w:val="22"/>
        </w:rPr>
        <w:t>sector bodies such as local authorities, NHS organisations and government departments (Heery and Noon, 2017). Non</w:t>
      </w:r>
      <w:r w:rsidRPr="00B440CE">
        <w:rPr>
          <w:rFonts w:ascii="Trebuchet MS" w:hAnsi="Trebuchet MS" w:cs="Segoe UI"/>
          <w:sz w:val="22"/>
          <w:szCs w:val="22"/>
        </w:rPr>
        <w:noBreakHyphen/>
        <w:t>union representatives, by contrast, are typically employees of the organisation and may be perceived as less autonomous, limiting their influence (Bach, 2011).</w:t>
      </w:r>
    </w:p>
    <w:p w14:paraId="2B54D209"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A key distinction lies in </w:t>
      </w:r>
      <w:r w:rsidRPr="00B440CE">
        <w:rPr>
          <w:rStyle w:val="Strong"/>
          <w:rFonts w:ascii="Trebuchet MS" w:hAnsi="Trebuchet MS" w:cs="Segoe UI"/>
          <w:b w:val="0"/>
          <w:bCs w:val="0"/>
          <w:sz w:val="22"/>
          <w:szCs w:val="22"/>
        </w:rPr>
        <w:t>collective bargaining</w:t>
      </w:r>
      <w:r w:rsidRPr="00B440CE">
        <w:rPr>
          <w:rFonts w:ascii="Trebuchet MS" w:hAnsi="Trebuchet MS" w:cs="Segoe UI"/>
          <w:sz w:val="22"/>
          <w:szCs w:val="22"/>
        </w:rPr>
        <w:t xml:space="preserve">. Trade unions </w:t>
      </w:r>
      <w:proofErr w:type="gramStart"/>
      <w:r w:rsidRPr="00B440CE">
        <w:rPr>
          <w:rFonts w:ascii="Trebuchet MS" w:hAnsi="Trebuchet MS" w:cs="Segoe UI"/>
          <w:sz w:val="22"/>
          <w:szCs w:val="22"/>
        </w:rPr>
        <w:t>are able to</w:t>
      </w:r>
      <w:proofErr w:type="gramEnd"/>
      <w:r w:rsidRPr="00B440CE">
        <w:rPr>
          <w:rFonts w:ascii="Trebuchet MS" w:hAnsi="Trebuchet MS" w:cs="Segoe UI"/>
          <w:sz w:val="22"/>
          <w:szCs w:val="22"/>
        </w:rPr>
        <w:t xml:space="preserve"> negotiate binding agreements on pay, terms and conditions, redistributing power within the employment relationship. This is especially important in the public sector, where national and sectoral bargaining arrangements remain influential (Bach and Edwards, 2013). Non</w:t>
      </w:r>
      <w:r w:rsidRPr="00B440CE">
        <w:rPr>
          <w:rFonts w:ascii="Trebuchet MS" w:hAnsi="Trebuchet MS" w:cs="Segoe UI"/>
          <w:sz w:val="22"/>
          <w:szCs w:val="22"/>
        </w:rPr>
        <w:noBreakHyphen/>
        <w:t>union representation is largely consultative, with final decision</w:t>
      </w:r>
      <w:r w:rsidRPr="00B440CE">
        <w:rPr>
          <w:rFonts w:ascii="Trebuchet MS" w:hAnsi="Trebuchet MS" w:cs="Segoe UI"/>
          <w:sz w:val="22"/>
          <w:szCs w:val="22"/>
        </w:rPr>
        <w:noBreakHyphen/>
        <w:t>making authority resting with management (Marchington et al., 2016).</w:t>
      </w:r>
    </w:p>
    <w:p w14:paraId="700A6D4C" w14:textId="61A2DA9D"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Union representation is also supported by stronger </w:t>
      </w:r>
      <w:r w:rsidRPr="00B440CE">
        <w:rPr>
          <w:rStyle w:val="Strong"/>
          <w:rFonts w:ascii="Trebuchet MS" w:hAnsi="Trebuchet MS" w:cs="Segoe UI"/>
          <w:b w:val="0"/>
          <w:bCs w:val="0"/>
          <w:sz w:val="22"/>
          <w:szCs w:val="22"/>
        </w:rPr>
        <w:t>legal and institutional frameworks</w:t>
      </w:r>
      <w:r w:rsidRPr="00B440CE">
        <w:rPr>
          <w:rFonts w:ascii="Trebuchet MS" w:hAnsi="Trebuchet MS" w:cs="Segoe UI"/>
          <w:sz w:val="22"/>
          <w:szCs w:val="22"/>
        </w:rPr>
        <w:t xml:space="preserve">. In Wales, this has been taken further through the </w:t>
      </w:r>
      <w:r w:rsidRPr="00B440CE">
        <w:rPr>
          <w:rStyle w:val="Strong"/>
          <w:rFonts w:ascii="Trebuchet MS" w:hAnsi="Trebuchet MS" w:cs="Segoe UI"/>
          <w:b w:val="0"/>
          <w:bCs w:val="0"/>
          <w:sz w:val="22"/>
          <w:szCs w:val="22"/>
        </w:rPr>
        <w:t>Social Partnership and Public Procurement (Wales) Act 2023</w:t>
      </w:r>
      <w:r w:rsidRPr="00B440CE">
        <w:rPr>
          <w:rFonts w:ascii="Trebuchet MS" w:hAnsi="Trebuchet MS" w:cs="Segoe UI"/>
          <w:b/>
          <w:bCs/>
          <w:sz w:val="22"/>
          <w:szCs w:val="22"/>
        </w:rPr>
        <w:t>,</w:t>
      </w:r>
      <w:r w:rsidRPr="00B440CE">
        <w:rPr>
          <w:rFonts w:ascii="Trebuchet MS" w:hAnsi="Trebuchet MS" w:cs="Segoe UI"/>
          <w:sz w:val="22"/>
          <w:szCs w:val="22"/>
        </w:rPr>
        <w:t xml:space="preserve"> which places a statutory duty on public bodies to work with recognised trade unions and to seek consensus or compromise on strategic decisions. This embeds union participation within public</w:t>
      </w:r>
      <w:r w:rsidRPr="00B440CE">
        <w:rPr>
          <w:rFonts w:ascii="Trebuchet MS" w:hAnsi="Trebuchet MS" w:cs="Segoe UI"/>
          <w:sz w:val="22"/>
          <w:szCs w:val="22"/>
        </w:rPr>
        <w:noBreakHyphen/>
        <w:t xml:space="preserve">sector governance rather than treating it as discretionary consultation (Welsh Government, 2025). </w:t>
      </w:r>
    </w:p>
    <w:p w14:paraId="0C492D02" w14:textId="52443876" w:rsidR="009C49C9" w:rsidRPr="00B440CE" w:rsidRDefault="00794449" w:rsidP="00D45E63">
      <w:pPr>
        <w:pStyle w:val="NormalWeb"/>
        <w:jc w:val="both"/>
        <w:rPr>
          <w:rFonts w:ascii="Trebuchet MS" w:hAnsi="Trebuchet MS" w:cs="Segoe UI"/>
          <w:sz w:val="22"/>
          <w:szCs w:val="22"/>
        </w:rPr>
      </w:pPr>
      <w:r w:rsidRPr="00B440CE">
        <w:rPr>
          <w:rFonts w:ascii="Trebuchet MS" w:hAnsi="Trebuchet MS" w:cs="Segoe UI"/>
          <w:sz w:val="22"/>
          <w:szCs w:val="22"/>
        </w:rPr>
        <w:t>In summary, b</w:t>
      </w:r>
      <w:r w:rsidR="009C49C9" w:rsidRPr="00B440CE">
        <w:rPr>
          <w:rFonts w:ascii="Trebuchet MS" w:hAnsi="Trebuchet MS" w:cs="Segoe UI"/>
          <w:sz w:val="22"/>
          <w:szCs w:val="22"/>
        </w:rPr>
        <w:t>oth union and non</w:t>
      </w:r>
      <w:r w:rsidR="009C49C9" w:rsidRPr="00B440CE">
        <w:rPr>
          <w:rFonts w:ascii="Trebuchet MS" w:hAnsi="Trebuchet MS" w:cs="Segoe UI"/>
          <w:sz w:val="22"/>
          <w:szCs w:val="22"/>
        </w:rPr>
        <w:noBreakHyphen/>
        <w:t xml:space="preserve">union representation support employee voice and relationship building in the public sector. However, trade unions provide a more </w:t>
      </w:r>
      <w:r w:rsidR="009C49C9" w:rsidRPr="00B440CE">
        <w:rPr>
          <w:rStyle w:val="Strong"/>
          <w:rFonts w:ascii="Trebuchet MS" w:hAnsi="Trebuchet MS" w:cs="Segoe UI"/>
          <w:b w:val="0"/>
          <w:bCs w:val="0"/>
          <w:sz w:val="22"/>
          <w:szCs w:val="22"/>
        </w:rPr>
        <w:t>independent, powerful and institutionally embedded form of representation</w:t>
      </w:r>
      <w:r w:rsidR="009C49C9" w:rsidRPr="00B440CE">
        <w:rPr>
          <w:rFonts w:ascii="Trebuchet MS" w:hAnsi="Trebuchet MS" w:cs="Segoe UI"/>
          <w:sz w:val="22"/>
          <w:szCs w:val="22"/>
        </w:rPr>
        <w:t>, particularly in Wales where social partnership elevates union participation into law. This strengthens legitimacy, trust and long</w:t>
      </w:r>
      <w:r w:rsidR="009C49C9" w:rsidRPr="00B440CE">
        <w:rPr>
          <w:rFonts w:ascii="Trebuchet MS" w:hAnsi="Trebuchet MS" w:cs="Segoe UI"/>
          <w:sz w:val="22"/>
          <w:szCs w:val="22"/>
        </w:rPr>
        <w:noBreakHyphen/>
        <w:t>term cooperation in managing public</w:t>
      </w:r>
      <w:r w:rsidR="009C49C9" w:rsidRPr="00B440CE">
        <w:rPr>
          <w:rFonts w:ascii="Trebuchet MS" w:hAnsi="Trebuchet MS" w:cs="Segoe UI"/>
          <w:sz w:val="22"/>
          <w:szCs w:val="22"/>
        </w:rPr>
        <w:noBreakHyphen/>
        <w:t>sector change.</w:t>
      </w:r>
    </w:p>
    <w:p w14:paraId="159935DA" w14:textId="4B646BED" w:rsidR="00B42BAE" w:rsidRPr="00B42BAE" w:rsidRDefault="00B42BAE" w:rsidP="006749D2">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eastAsia="en-GB"/>
        </w:rPr>
      </w:pPr>
    </w:p>
    <w:p w14:paraId="627260F7" w14:textId="71FC6C9C" w:rsidR="00B42BAE" w:rsidRDefault="00B42BAE" w:rsidP="00B42BAE">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val="en-US" w:eastAsia="en-GB"/>
        </w:rPr>
      </w:pPr>
    </w:p>
    <w:p w14:paraId="356CBCD2" w14:textId="77777777" w:rsidR="00423149" w:rsidRDefault="00423149" w:rsidP="00B42BAE">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val="en-US" w:eastAsia="en-GB"/>
        </w:rPr>
      </w:pPr>
    </w:p>
    <w:p w14:paraId="0B244DEE" w14:textId="77777777" w:rsidR="00423149" w:rsidRDefault="00423149" w:rsidP="00B42BAE">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val="en-US" w:eastAsia="en-GB"/>
        </w:rPr>
      </w:pPr>
    </w:p>
    <w:p w14:paraId="2BFAC38E" w14:textId="77777777" w:rsidR="00423149" w:rsidRDefault="00423149" w:rsidP="00B42BAE">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val="en-US" w:eastAsia="en-GB"/>
        </w:rPr>
      </w:pPr>
    </w:p>
    <w:p w14:paraId="2C51F5A5" w14:textId="77777777" w:rsidR="00423149" w:rsidRDefault="00423149" w:rsidP="00B42BAE">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val="en-US" w:eastAsia="en-GB"/>
        </w:rPr>
      </w:pPr>
    </w:p>
    <w:p w14:paraId="22680AA7" w14:textId="77777777" w:rsidR="00423149" w:rsidRDefault="00423149" w:rsidP="00B42BAE">
      <w:pPr>
        <w:pBdr>
          <w:top w:val="nil"/>
          <w:left w:val="nil"/>
          <w:bottom w:val="nil"/>
          <w:right w:val="nil"/>
          <w:between w:val="nil"/>
          <w:bar w:val="nil"/>
        </w:pBdr>
        <w:spacing w:after="0" w:line="240" w:lineRule="auto"/>
        <w:rPr>
          <w:rFonts w:ascii="Trebuchet MS" w:eastAsia="Trebuchet MS" w:hAnsi="Trebuchet MS" w:cs="Trebuchet MS"/>
          <w:color w:val="000000"/>
          <w:u w:color="000000"/>
          <w:bdr w:val="nil"/>
          <w:lang w:val="en-US" w:eastAsia="en-GB"/>
        </w:rPr>
      </w:pPr>
    </w:p>
    <w:p w14:paraId="6F6E4851" w14:textId="5827432F" w:rsidR="00B42BAE" w:rsidRPr="00D97335" w:rsidRDefault="00B42BAE" w:rsidP="00800DC2">
      <w:pPr>
        <w:pBdr>
          <w:top w:val="nil"/>
          <w:left w:val="nil"/>
          <w:bottom w:val="nil"/>
          <w:right w:val="nil"/>
          <w:between w:val="nil"/>
          <w:bar w:val="nil"/>
        </w:pBdr>
        <w:spacing w:after="0" w:line="360" w:lineRule="auto"/>
        <w:rPr>
          <w:rFonts w:ascii="Trebuchet MS" w:eastAsia="Arial" w:hAnsi="Trebuchet MS" w:cs="Arial"/>
          <w:b/>
          <w:bCs/>
          <w:color w:val="4472C4" w:themeColor="accent1"/>
          <w:u w:color="000000"/>
          <w:bdr w:val="nil"/>
          <w:lang w:val="en-US" w:eastAsia="en-GB"/>
        </w:rPr>
      </w:pPr>
      <w:r w:rsidRPr="00D97335">
        <w:rPr>
          <w:rFonts w:ascii="Trebuchet MS" w:eastAsia="Arial" w:hAnsi="Trebuchet MS" w:cs="Arial"/>
          <w:b/>
          <w:bCs/>
          <w:color w:val="4472C4" w:themeColor="accent1"/>
          <w:u w:color="000000"/>
          <w:bdr w:val="nil"/>
          <w:lang w:val="en-US" w:eastAsia="en-GB"/>
        </w:rPr>
        <w:lastRenderedPageBreak/>
        <w:t>AC 1.3</w:t>
      </w:r>
    </w:p>
    <w:p w14:paraId="707FCB1C" w14:textId="3C1933EC" w:rsidR="005462B2" w:rsidRPr="00A37E18" w:rsidRDefault="005462B2" w:rsidP="00BF2947">
      <w:pPr>
        <w:pStyle w:val="NormalWeb"/>
        <w:jc w:val="both"/>
        <w:rPr>
          <w:rFonts w:ascii="Trebuchet MS" w:hAnsi="Trebuchet MS" w:cs="Segoe UI"/>
          <w:sz w:val="22"/>
          <w:szCs w:val="22"/>
        </w:rPr>
      </w:pPr>
      <w:r w:rsidRPr="00A37E18">
        <w:rPr>
          <w:rFonts w:ascii="Trebuchet MS" w:hAnsi="Trebuchet MS" w:cs="Segoe UI"/>
          <w:sz w:val="22"/>
          <w:szCs w:val="22"/>
        </w:rPr>
        <w:t xml:space="preserve">The CIPD (2026) defines employee voice as employees’ ability to express views, concerns and ideas, and to influence decisions that affect their work. </w:t>
      </w:r>
    </w:p>
    <w:p w14:paraId="719FD234" w14:textId="2A2D1054" w:rsidR="005462B2" w:rsidRPr="00A37E18" w:rsidRDefault="000073AF" w:rsidP="00BF2947">
      <w:pPr>
        <w:pStyle w:val="NormalWeb"/>
        <w:jc w:val="both"/>
        <w:rPr>
          <w:rFonts w:ascii="Trebuchet MS" w:hAnsi="Trebuchet MS" w:cs="Segoe UI"/>
          <w:sz w:val="22"/>
          <w:szCs w:val="22"/>
        </w:rPr>
      </w:pPr>
      <w:r>
        <w:rPr>
          <w:rFonts w:ascii="Trebuchet MS" w:hAnsi="Trebuchet MS" w:cs="Segoe UI"/>
          <w:sz w:val="22"/>
          <w:szCs w:val="22"/>
        </w:rPr>
        <w:t xml:space="preserve">There is </w:t>
      </w:r>
      <w:r w:rsidR="005462B2" w:rsidRPr="00A37E18">
        <w:rPr>
          <w:rFonts w:ascii="Trebuchet MS" w:hAnsi="Trebuchet MS" w:cs="Segoe UI"/>
          <w:sz w:val="22"/>
          <w:szCs w:val="22"/>
        </w:rPr>
        <w:t xml:space="preserve">evidence </w:t>
      </w:r>
      <w:r>
        <w:rPr>
          <w:rFonts w:ascii="Trebuchet MS" w:hAnsi="Trebuchet MS" w:cs="Segoe UI"/>
          <w:sz w:val="22"/>
          <w:szCs w:val="22"/>
        </w:rPr>
        <w:t xml:space="preserve">to </w:t>
      </w:r>
      <w:r w:rsidR="00194225">
        <w:rPr>
          <w:rFonts w:ascii="Trebuchet MS" w:hAnsi="Trebuchet MS" w:cs="Segoe UI"/>
          <w:sz w:val="22"/>
          <w:szCs w:val="22"/>
        </w:rPr>
        <w:t>support</w:t>
      </w:r>
      <w:r w:rsidR="005462B2" w:rsidRPr="00A37E18">
        <w:rPr>
          <w:rFonts w:ascii="Trebuchet MS" w:hAnsi="Trebuchet MS" w:cs="Segoe UI"/>
          <w:sz w:val="22"/>
          <w:szCs w:val="22"/>
        </w:rPr>
        <w:t xml:space="preserve"> a positive relationship between effective employee voice and performance outcomes. CIPD research consistently demonstrates that organisations with effective voice mechanisms benefit from higher levels of engagement, improved decision</w:t>
      </w:r>
      <w:r w:rsidR="005462B2" w:rsidRPr="00A37E18">
        <w:rPr>
          <w:rFonts w:ascii="Trebuchet MS" w:hAnsi="Trebuchet MS" w:cs="Segoe UI"/>
          <w:sz w:val="22"/>
          <w:szCs w:val="22"/>
        </w:rPr>
        <w:noBreakHyphen/>
        <w:t xml:space="preserve">making and enhanced productivity (CIPD, 2026). The </w:t>
      </w:r>
      <w:r w:rsidR="005462B2" w:rsidRPr="009164E1">
        <w:rPr>
          <w:rStyle w:val="Strong"/>
          <w:rFonts w:ascii="Trebuchet MS" w:hAnsi="Trebuchet MS" w:cs="Segoe UI"/>
          <w:b w:val="0"/>
          <w:bCs w:val="0"/>
          <w:sz w:val="22"/>
          <w:szCs w:val="22"/>
        </w:rPr>
        <w:t>CIPD Good Work Index 2025</w:t>
      </w:r>
      <w:r w:rsidR="005462B2" w:rsidRPr="00A37E18">
        <w:rPr>
          <w:rFonts w:ascii="Trebuchet MS" w:hAnsi="Trebuchet MS" w:cs="Segoe UI"/>
          <w:sz w:val="22"/>
          <w:szCs w:val="22"/>
        </w:rPr>
        <w:t xml:space="preserve"> shows a significant association between employee voice and outcomes such as job satisfaction, discretionary effort, reduced absence and intention to stay, all of which underpin sustainable organisational performance (Young and Tong, 2025). In the public sector, where service quality is closely linked to employee motivation and wellbeing, </w:t>
      </w:r>
      <w:r w:rsidR="00D32DAE">
        <w:rPr>
          <w:rFonts w:ascii="Trebuchet MS" w:hAnsi="Trebuchet MS" w:cs="Segoe UI"/>
          <w:sz w:val="22"/>
          <w:szCs w:val="22"/>
        </w:rPr>
        <w:t>empl</w:t>
      </w:r>
      <w:r w:rsidR="000B7850">
        <w:rPr>
          <w:rFonts w:ascii="Trebuchet MS" w:hAnsi="Trebuchet MS" w:cs="Segoe UI"/>
          <w:sz w:val="22"/>
          <w:szCs w:val="22"/>
        </w:rPr>
        <w:t xml:space="preserve">oyee </w:t>
      </w:r>
      <w:r w:rsidR="005462B2" w:rsidRPr="00A37E18">
        <w:rPr>
          <w:rFonts w:ascii="Trebuchet MS" w:hAnsi="Trebuchet MS" w:cs="Segoe UI"/>
          <w:sz w:val="22"/>
          <w:szCs w:val="22"/>
        </w:rPr>
        <w:t>voice enables frontline staff to identify inefficiencies and risks early, improving service delivery and public value</w:t>
      </w:r>
      <w:r w:rsidR="002C3E0E">
        <w:rPr>
          <w:rFonts w:ascii="Trebuchet MS" w:hAnsi="Trebuchet MS" w:cs="Segoe UI"/>
          <w:sz w:val="22"/>
          <w:szCs w:val="22"/>
        </w:rPr>
        <w:t xml:space="preserve"> (Budd, 2004)</w:t>
      </w:r>
      <w:r w:rsidR="009C74C5">
        <w:rPr>
          <w:rFonts w:ascii="Trebuchet MS" w:hAnsi="Trebuchet MS" w:cs="Segoe UI"/>
          <w:sz w:val="22"/>
          <w:szCs w:val="22"/>
        </w:rPr>
        <w:t>.</w:t>
      </w:r>
    </w:p>
    <w:p w14:paraId="1B4FF76D" w14:textId="0C467371" w:rsidR="005462B2" w:rsidRDefault="003D6FE3" w:rsidP="00BF2947">
      <w:pPr>
        <w:pStyle w:val="NormalWeb"/>
        <w:jc w:val="both"/>
        <w:rPr>
          <w:rFonts w:ascii="Trebuchet MS" w:hAnsi="Trebuchet MS" w:cs="Segoe UI"/>
          <w:sz w:val="22"/>
          <w:szCs w:val="22"/>
        </w:rPr>
      </w:pPr>
      <w:r>
        <w:rPr>
          <w:rFonts w:ascii="Trebuchet MS" w:hAnsi="Trebuchet MS" w:cs="Segoe UI"/>
          <w:sz w:val="22"/>
          <w:szCs w:val="22"/>
        </w:rPr>
        <w:t>Employee</w:t>
      </w:r>
      <w:r w:rsidR="005462B2" w:rsidRPr="00A37E18">
        <w:rPr>
          <w:rFonts w:ascii="Trebuchet MS" w:hAnsi="Trebuchet MS" w:cs="Segoe UI"/>
          <w:sz w:val="22"/>
          <w:szCs w:val="22"/>
        </w:rPr>
        <w:t xml:space="preserve"> voice supports high</w:t>
      </w:r>
      <w:r w:rsidR="005462B2" w:rsidRPr="00A37E18">
        <w:rPr>
          <w:rFonts w:ascii="Trebuchet MS" w:hAnsi="Trebuchet MS" w:cs="Segoe UI"/>
          <w:sz w:val="22"/>
          <w:szCs w:val="22"/>
        </w:rPr>
        <w:noBreakHyphen/>
        <w:t>performance working by leveraging employee knowledge and fostering psychological safety. When employees feel safe to speak up, innovation and problem</w:t>
      </w:r>
      <w:r w:rsidR="005462B2" w:rsidRPr="00A37E18">
        <w:rPr>
          <w:rFonts w:ascii="Trebuchet MS" w:hAnsi="Trebuchet MS" w:cs="Segoe UI"/>
          <w:sz w:val="22"/>
          <w:szCs w:val="22"/>
        </w:rPr>
        <w:noBreakHyphen/>
        <w:t xml:space="preserve">solving improve, particularly during periods of organisational change (Morrison, 2023). </w:t>
      </w:r>
      <w:r w:rsidR="00F60C39">
        <w:rPr>
          <w:rFonts w:ascii="Trebuchet MS" w:hAnsi="Trebuchet MS" w:cs="Segoe UI"/>
          <w:sz w:val="22"/>
          <w:szCs w:val="22"/>
        </w:rPr>
        <w:t>P</w:t>
      </w:r>
      <w:r w:rsidR="005462B2" w:rsidRPr="00A37E18">
        <w:rPr>
          <w:rFonts w:ascii="Trebuchet MS" w:hAnsi="Trebuchet MS" w:cs="Segoe UI"/>
          <w:sz w:val="22"/>
          <w:szCs w:val="22"/>
        </w:rPr>
        <w:t>ublic sector research indicates that employee voice is especially beneficial under conditions of high stakeholder pressure, where employee insight helps organisations balance competing demands effectively (Kim and Cho, 2024).</w:t>
      </w:r>
    </w:p>
    <w:p w14:paraId="4E723667" w14:textId="6D4D24F4" w:rsidR="000B3C4D" w:rsidRPr="000B3C4D" w:rsidRDefault="000B3C4D" w:rsidP="00BF2947">
      <w:pPr>
        <w:pStyle w:val="jot-paragraph-element"/>
        <w:jc w:val="both"/>
        <w:rPr>
          <w:rFonts w:ascii="Trebuchet MS" w:hAnsi="Trebuchet MS"/>
          <w:sz w:val="22"/>
          <w:szCs w:val="22"/>
        </w:rPr>
      </w:pPr>
      <w:r w:rsidRPr="000B3C4D">
        <w:rPr>
          <w:rFonts w:ascii="Trebuchet MS" w:hAnsi="Trebuchet MS"/>
          <w:sz w:val="22"/>
          <w:szCs w:val="22"/>
        </w:rPr>
        <w:t>To demonstrate the strong link between employee engagement and trust performance, the case of Salford Royal NHS Foundation Trust provides compelling evidence</w:t>
      </w:r>
      <w:r w:rsidR="00CD45D8">
        <w:rPr>
          <w:rFonts w:ascii="Trebuchet MS" w:hAnsi="Trebuchet MS"/>
          <w:sz w:val="22"/>
          <w:szCs w:val="22"/>
        </w:rPr>
        <w:t xml:space="preserve"> (Dawson, 2014)</w:t>
      </w:r>
      <w:r w:rsidR="00BF2947">
        <w:rPr>
          <w:rFonts w:ascii="Trebuchet MS" w:hAnsi="Trebuchet MS"/>
          <w:sz w:val="22"/>
          <w:szCs w:val="22"/>
        </w:rPr>
        <w:t>.</w:t>
      </w:r>
      <w:r w:rsidRPr="000B3C4D">
        <w:rPr>
          <w:rFonts w:ascii="Trebuchet MS" w:hAnsi="Trebuchet MS"/>
          <w:sz w:val="22"/>
          <w:szCs w:val="22"/>
        </w:rPr>
        <w:t> The Trust consistently achieve</w:t>
      </w:r>
      <w:r w:rsidR="00747B9A">
        <w:rPr>
          <w:rFonts w:ascii="Trebuchet MS" w:hAnsi="Trebuchet MS"/>
          <w:sz w:val="22"/>
          <w:szCs w:val="22"/>
        </w:rPr>
        <w:t>d</w:t>
      </w:r>
      <w:r w:rsidRPr="000B3C4D">
        <w:rPr>
          <w:rFonts w:ascii="Trebuchet MS" w:hAnsi="Trebuchet MS"/>
          <w:sz w:val="22"/>
          <w:szCs w:val="22"/>
        </w:rPr>
        <w:t xml:space="preserve"> high levels of employee engagement, reflected in staff surveys where it rank</w:t>
      </w:r>
      <w:r w:rsidR="006465ED">
        <w:rPr>
          <w:rFonts w:ascii="Trebuchet MS" w:hAnsi="Trebuchet MS"/>
          <w:sz w:val="22"/>
          <w:szCs w:val="22"/>
        </w:rPr>
        <w:t>ed</w:t>
      </w:r>
      <w:r w:rsidRPr="000B3C4D">
        <w:rPr>
          <w:rFonts w:ascii="Trebuchet MS" w:hAnsi="Trebuchet MS"/>
          <w:sz w:val="22"/>
          <w:szCs w:val="22"/>
        </w:rPr>
        <w:t xml:space="preserve"> top among acute trusts in England. This engagement </w:t>
      </w:r>
      <w:r w:rsidR="006465ED">
        <w:rPr>
          <w:rFonts w:ascii="Trebuchet MS" w:hAnsi="Trebuchet MS"/>
          <w:sz w:val="22"/>
          <w:szCs w:val="22"/>
        </w:rPr>
        <w:t>was</w:t>
      </w:r>
      <w:r w:rsidRPr="000B3C4D">
        <w:rPr>
          <w:rFonts w:ascii="Trebuchet MS" w:hAnsi="Trebuchet MS"/>
          <w:sz w:val="22"/>
          <w:szCs w:val="22"/>
        </w:rPr>
        <w:t xml:space="preserve"> directly matched by exceptional organisational performance, including very high patient satisfaction and one of the lowest mortality rates in the country. The Trust recognise</w:t>
      </w:r>
      <w:r w:rsidR="006465ED">
        <w:rPr>
          <w:rFonts w:ascii="Trebuchet MS" w:hAnsi="Trebuchet MS"/>
          <w:sz w:val="22"/>
          <w:szCs w:val="22"/>
        </w:rPr>
        <w:t>d</w:t>
      </w:r>
      <w:r w:rsidRPr="000B3C4D">
        <w:rPr>
          <w:rFonts w:ascii="Trebuchet MS" w:hAnsi="Trebuchet MS"/>
          <w:sz w:val="22"/>
          <w:szCs w:val="22"/>
        </w:rPr>
        <w:t xml:space="preserve"> that employee engagement is crucial for improving services, and </w:t>
      </w:r>
      <w:r w:rsidR="006E3389">
        <w:rPr>
          <w:rFonts w:ascii="Trebuchet MS" w:hAnsi="Trebuchet MS"/>
          <w:sz w:val="22"/>
          <w:szCs w:val="22"/>
        </w:rPr>
        <w:t>supports</w:t>
      </w:r>
      <w:r w:rsidRPr="000B3C4D">
        <w:rPr>
          <w:rFonts w:ascii="Trebuchet MS" w:hAnsi="Trebuchet MS"/>
          <w:sz w:val="22"/>
          <w:szCs w:val="22"/>
        </w:rPr>
        <w:t xml:space="preserve"> a culture of devolved decision-making, visible leadership, and shared values. </w:t>
      </w:r>
      <w:r w:rsidR="00205800">
        <w:rPr>
          <w:rFonts w:ascii="Trebuchet MS" w:hAnsi="Trebuchet MS"/>
          <w:sz w:val="22"/>
          <w:szCs w:val="22"/>
        </w:rPr>
        <w:t>S</w:t>
      </w:r>
      <w:r w:rsidRPr="000B3C4D">
        <w:rPr>
          <w:rFonts w:ascii="Trebuchet MS" w:hAnsi="Trebuchet MS"/>
          <w:sz w:val="22"/>
          <w:szCs w:val="22"/>
        </w:rPr>
        <w:t>taff are actively involved in designing and implementing changes, which not only increases their motivation but also leads to better outcomes for patients. </w:t>
      </w:r>
    </w:p>
    <w:p w14:paraId="65D3BEAD" w14:textId="3F4D7974" w:rsidR="005462B2" w:rsidRPr="00A37E18" w:rsidRDefault="005462B2" w:rsidP="00BF2947">
      <w:pPr>
        <w:pStyle w:val="jot-paragraph-element"/>
        <w:jc w:val="both"/>
        <w:rPr>
          <w:rFonts w:ascii="Trebuchet MS" w:hAnsi="Trebuchet MS" w:cs="Segoe UI"/>
          <w:sz w:val="22"/>
          <w:szCs w:val="22"/>
        </w:rPr>
      </w:pPr>
      <w:r w:rsidRPr="00A37E18">
        <w:rPr>
          <w:rFonts w:ascii="Trebuchet MS" w:hAnsi="Trebuchet MS" w:cs="Segoe UI"/>
          <w:sz w:val="22"/>
          <w:szCs w:val="22"/>
        </w:rPr>
        <w:t>However, the relationship between employee voice and performance is not automatic. CIPD (2026) cautions that poorly implemented voice mechanisms may become tokenistic, generating cynicism rather than performance gains. Where employees perceive that feedback is ignored or that voice lacks real influence, trust deteriorates and engagement can fall, negatively affecting outcomes. This risk is particularly evident in large public sector organisations reliant on surveys or consultation exercises without visible follow</w:t>
      </w:r>
      <w:r w:rsidRPr="00A37E18">
        <w:rPr>
          <w:rFonts w:ascii="Trebuchet MS" w:hAnsi="Trebuchet MS" w:cs="Segoe UI"/>
          <w:sz w:val="22"/>
          <w:szCs w:val="22"/>
        </w:rPr>
        <w:noBreakHyphen/>
        <w:t>up action.</w:t>
      </w:r>
    </w:p>
    <w:p w14:paraId="0746E7E4" w14:textId="27C1E97E" w:rsidR="005462B2" w:rsidRPr="00A37E18" w:rsidRDefault="006E300E" w:rsidP="00BF2947">
      <w:pPr>
        <w:pStyle w:val="NormalWeb"/>
        <w:jc w:val="both"/>
        <w:rPr>
          <w:rFonts w:ascii="Trebuchet MS" w:hAnsi="Trebuchet MS" w:cs="Segoe UI"/>
          <w:sz w:val="22"/>
          <w:szCs w:val="22"/>
        </w:rPr>
      </w:pPr>
      <w:r>
        <w:rPr>
          <w:rFonts w:ascii="Trebuchet MS" w:hAnsi="Trebuchet MS" w:cs="Segoe UI"/>
          <w:sz w:val="22"/>
          <w:szCs w:val="22"/>
        </w:rPr>
        <w:t>Performance</w:t>
      </w:r>
      <w:r w:rsidR="005462B2" w:rsidRPr="00A37E18">
        <w:rPr>
          <w:rFonts w:ascii="Trebuchet MS" w:hAnsi="Trebuchet MS" w:cs="Segoe UI"/>
          <w:sz w:val="22"/>
          <w:szCs w:val="22"/>
        </w:rPr>
        <w:t xml:space="preserve"> improvements linked to employee voice </w:t>
      </w:r>
      <w:r>
        <w:rPr>
          <w:rFonts w:ascii="Trebuchet MS" w:hAnsi="Trebuchet MS" w:cs="Segoe UI"/>
          <w:sz w:val="22"/>
          <w:szCs w:val="22"/>
        </w:rPr>
        <w:t>depend</w:t>
      </w:r>
      <w:r w:rsidR="005462B2" w:rsidRPr="00A37E18">
        <w:rPr>
          <w:rFonts w:ascii="Trebuchet MS" w:hAnsi="Trebuchet MS" w:cs="Segoe UI"/>
          <w:sz w:val="22"/>
          <w:szCs w:val="22"/>
        </w:rPr>
        <w:t xml:space="preserve"> on leadership capability and organisational culture. Recent studies highlight management responsiveness</w:t>
      </w:r>
      <w:r w:rsidR="00E0646E">
        <w:rPr>
          <w:rFonts w:ascii="Trebuchet MS" w:hAnsi="Trebuchet MS" w:cs="Segoe UI"/>
          <w:sz w:val="22"/>
          <w:szCs w:val="22"/>
        </w:rPr>
        <w:t xml:space="preserve">, </w:t>
      </w:r>
      <w:r w:rsidR="005462B2" w:rsidRPr="00A37E18">
        <w:rPr>
          <w:rFonts w:ascii="Trebuchet MS" w:hAnsi="Trebuchet MS" w:cs="Segoe UI"/>
          <w:sz w:val="22"/>
          <w:szCs w:val="22"/>
        </w:rPr>
        <w:t xml:space="preserve">“closing the feedback loop” </w:t>
      </w:r>
      <w:r w:rsidR="00E0646E">
        <w:rPr>
          <w:rFonts w:ascii="Trebuchet MS" w:hAnsi="Trebuchet MS" w:cs="Segoe UI"/>
          <w:sz w:val="22"/>
          <w:szCs w:val="22"/>
        </w:rPr>
        <w:t xml:space="preserve">and </w:t>
      </w:r>
      <w:r w:rsidR="0032455A">
        <w:rPr>
          <w:rFonts w:ascii="Trebuchet MS" w:hAnsi="Trebuchet MS" w:cs="Segoe UI"/>
          <w:sz w:val="22"/>
          <w:szCs w:val="22"/>
        </w:rPr>
        <w:t xml:space="preserve">leadership which builds trust </w:t>
      </w:r>
      <w:r w:rsidR="005462B2" w:rsidRPr="00A37E18">
        <w:rPr>
          <w:rFonts w:ascii="Trebuchet MS" w:hAnsi="Trebuchet MS" w:cs="Segoe UI"/>
          <w:sz w:val="22"/>
          <w:szCs w:val="22"/>
        </w:rPr>
        <w:t xml:space="preserve">as essential mediating factors between voice and performance (CIPD, 2025; </w:t>
      </w:r>
      <w:proofErr w:type="spellStart"/>
      <w:r w:rsidR="005462B2" w:rsidRPr="00A37E18">
        <w:rPr>
          <w:rFonts w:ascii="Trebuchet MS" w:hAnsi="Trebuchet MS" w:cs="Segoe UI"/>
          <w:sz w:val="22"/>
          <w:szCs w:val="22"/>
        </w:rPr>
        <w:t>Idrissu</w:t>
      </w:r>
      <w:proofErr w:type="spellEnd"/>
      <w:r w:rsidR="005462B2" w:rsidRPr="00A37E18">
        <w:rPr>
          <w:rFonts w:ascii="Trebuchet MS" w:hAnsi="Trebuchet MS" w:cs="Segoe UI"/>
          <w:sz w:val="22"/>
          <w:szCs w:val="22"/>
        </w:rPr>
        <w:t>, 2025). Without these conditions, the potential benefits of voice may not be realised.</w:t>
      </w:r>
    </w:p>
    <w:p w14:paraId="0B0F86A0" w14:textId="77777777" w:rsidR="006E300E" w:rsidRDefault="006E300E" w:rsidP="00650E3C">
      <w:pPr>
        <w:pStyle w:val="NormalWeb"/>
        <w:spacing w:line="300" w:lineRule="atLeast"/>
        <w:rPr>
          <w:rFonts w:ascii="Trebuchet MS" w:eastAsia="Arial" w:hAnsi="Trebuchet MS" w:cs="Arial"/>
          <w:color w:val="4472C4" w:themeColor="accent1"/>
          <w:sz w:val="22"/>
          <w:szCs w:val="22"/>
          <w:u w:color="000000"/>
          <w:bdr w:val="nil"/>
          <w:lang w:val="en-US"/>
        </w:rPr>
      </w:pPr>
    </w:p>
    <w:p w14:paraId="65B4C07E" w14:textId="77777777" w:rsidR="00381A34" w:rsidRDefault="00381A34" w:rsidP="00650E3C">
      <w:pPr>
        <w:pStyle w:val="NormalWeb"/>
        <w:spacing w:line="300" w:lineRule="atLeast"/>
        <w:rPr>
          <w:rFonts w:ascii="Trebuchet MS" w:eastAsia="Arial" w:hAnsi="Trebuchet MS" w:cs="Arial"/>
          <w:color w:val="4472C4" w:themeColor="accent1"/>
          <w:sz w:val="22"/>
          <w:szCs w:val="22"/>
          <w:u w:color="000000"/>
          <w:bdr w:val="nil"/>
          <w:lang w:val="en-US"/>
        </w:rPr>
      </w:pPr>
    </w:p>
    <w:p w14:paraId="2D6E5B61" w14:textId="77777777" w:rsidR="00063719" w:rsidRDefault="00063719" w:rsidP="00423149">
      <w:pPr>
        <w:pStyle w:val="NormalWeb"/>
        <w:spacing w:line="300" w:lineRule="atLeast"/>
        <w:rPr>
          <w:rFonts w:ascii="Trebuchet MS" w:eastAsia="Arial" w:hAnsi="Trebuchet MS" w:cs="Arial"/>
          <w:color w:val="4472C4" w:themeColor="accent1"/>
          <w:sz w:val="22"/>
          <w:szCs w:val="22"/>
          <w:u w:color="000000"/>
          <w:bdr w:val="nil"/>
          <w:lang w:val="en-US"/>
        </w:rPr>
      </w:pPr>
    </w:p>
    <w:p w14:paraId="3FD49B71" w14:textId="77777777" w:rsidR="00423149" w:rsidRDefault="00423149" w:rsidP="00423149">
      <w:pPr>
        <w:pStyle w:val="NormalWeb"/>
        <w:spacing w:line="300" w:lineRule="atLeast"/>
        <w:rPr>
          <w:rFonts w:ascii="Trebuchet MS" w:eastAsia="Arial" w:hAnsi="Trebuchet MS" w:cs="Arial"/>
          <w:color w:val="4472C4" w:themeColor="accent1"/>
          <w:sz w:val="22"/>
          <w:szCs w:val="22"/>
          <w:u w:color="000000"/>
          <w:bdr w:val="nil"/>
          <w:lang w:val="en-US"/>
        </w:rPr>
      </w:pPr>
    </w:p>
    <w:p w14:paraId="4EFDB3D2" w14:textId="37547E84" w:rsidR="00B42BAE" w:rsidRPr="006D52FF" w:rsidRDefault="00B42BAE" w:rsidP="00650E3C">
      <w:pPr>
        <w:pStyle w:val="NormalWeb"/>
        <w:spacing w:line="300" w:lineRule="atLeast"/>
        <w:rPr>
          <w:rFonts w:ascii="Trebuchet MS" w:eastAsia="Arial" w:hAnsi="Trebuchet MS" w:cs="Arial"/>
          <w:b/>
          <w:bCs/>
          <w:color w:val="4472C4" w:themeColor="accent1"/>
          <w:sz w:val="22"/>
          <w:szCs w:val="22"/>
          <w:u w:color="000000"/>
          <w:bdr w:val="nil"/>
          <w:lang w:val="en-US"/>
        </w:rPr>
      </w:pPr>
      <w:r w:rsidRPr="006D52FF">
        <w:rPr>
          <w:rFonts w:ascii="Trebuchet MS" w:eastAsia="Arial" w:hAnsi="Trebuchet MS" w:cs="Arial"/>
          <w:b/>
          <w:bCs/>
          <w:color w:val="4472C4" w:themeColor="accent1"/>
          <w:sz w:val="22"/>
          <w:szCs w:val="22"/>
          <w:u w:color="000000"/>
          <w:bdr w:val="nil"/>
          <w:lang w:val="en-US"/>
        </w:rPr>
        <w:lastRenderedPageBreak/>
        <w:t>AC 1.4</w:t>
      </w:r>
    </w:p>
    <w:p w14:paraId="06A3F8CF" w14:textId="3172F34F"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CIPD defines better working lives as work that is productive, inclusive and fair, where people experience good job quality, wellbeing and opportunities to develop, while organisations achieve sustainable performance (CIPD, 2025a). </w:t>
      </w:r>
    </w:p>
    <w:p w14:paraId="5B8CCCDA"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At the core of better working lives is the </w:t>
      </w:r>
      <w:r w:rsidRPr="00A37E18">
        <w:rPr>
          <w:rStyle w:val="Emphasis"/>
          <w:rFonts w:ascii="Trebuchet MS" w:hAnsi="Trebuchet MS" w:cs="Segoe UI"/>
          <w:sz w:val="22"/>
          <w:szCs w:val="22"/>
        </w:rPr>
        <w:t>Good Work</w:t>
      </w:r>
      <w:r w:rsidRPr="00A37E18">
        <w:rPr>
          <w:rFonts w:ascii="Trebuchet MS" w:hAnsi="Trebuchet MS" w:cs="Segoe UI"/>
          <w:sz w:val="22"/>
          <w:szCs w:val="22"/>
        </w:rPr>
        <w:t xml:space="preserve"> agenda. The CIPD’s Good Work Index identifies key dimensions of job quality, including pay and benefits, job design, work–life balance, wellbeing, relationships at work, employee voice and development opportunities (Young and Tong, 2025). Evidence from the UK shows that employees who experience higher job quality are more engaged, healthier and more productive, demonstrating a clear link between better working lives and organisational effectiveness.</w:t>
      </w:r>
    </w:p>
    <w:p w14:paraId="439BB51D"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Designing better working lives requires deliberate and integrated people management practices. One critical design principle is effective job design. Roles should provide clarity, manageable workloads, autonomy and opportunities for skills use and progression. Poorly designed work, particularly in the public sector, has been associated with stress, absence and reduced service quality (CIPD, 2025a). Human-centred job design therefore plays a key role in improving both wellbeing and performance.</w:t>
      </w:r>
    </w:p>
    <w:p w14:paraId="47800548" w14:textId="74E7EC2D"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Another essential element is employee voice. CIPD (2026) emphasises that better working lives depend on employees being able to express concerns and influence decisions that affect their work. Designing meaningful voice mechanisms</w:t>
      </w:r>
      <w:r w:rsidR="00680683">
        <w:rPr>
          <w:rFonts w:ascii="Trebuchet MS" w:hAnsi="Trebuchet MS" w:cs="Segoe UI"/>
          <w:sz w:val="22"/>
          <w:szCs w:val="22"/>
        </w:rPr>
        <w:t xml:space="preserve"> </w:t>
      </w:r>
      <w:r w:rsidRPr="00A37E18">
        <w:rPr>
          <w:rFonts w:ascii="Trebuchet MS" w:hAnsi="Trebuchet MS" w:cs="Segoe UI"/>
          <w:sz w:val="22"/>
          <w:szCs w:val="22"/>
        </w:rPr>
        <w:t>such as regular team dialogue, consultation forums and responsive feedback processes</w:t>
      </w:r>
      <w:r w:rsidR="00680683">
        <w:rPr>
          <w:rFonts w:ascii="Trebuchet MS" w:hAnsi="Trebuchet MS" w:cs="Segoe UI"/>
          <w:sz w:val="22"/>
          <w:szCs w:val="22"/>
        </w:rPr>
        <w:t xml:space="preserve"> </w:t>
      </w:r>
      <w:r w:rsidRPr="00A37E18">
        <w:rPr>
          <w:rFonts w:ascii="Trebuchet MS" w:hAnsi="Trebuchet MS" w:cs="Segoe UI"/>
          <w:sz w:val="22"/>
          <w:szCs w:val="22"/>
        </w:rPr>
        <w:t>enhances trust, fairness and engagement, which are fundamental to positive working lives.</w:t>
      </w:r>
    </w:p>
    <w:p w14:paraId="15577CA4"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Leadership and line management capability are also central to delivering better working lives. Research shows that supportive line managers significantly improve employee wellbeing, motivation and retention (CIPD, 2025b). Organisations must therefore invest in management development, ensuring managers have the skills and capacity to support people effectively.</w:t>
      </w:r>
    </w:p>
    <w:p w14:paraId="58555F1E"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Finally, designing better working lives requires fair organisational policies, including flexible working, inclusive employment practices and support for health and wellbeing. For UK organisations, particularly in the public sector, this approach supports resilience, workforce sustainability and improved service outcomes.</w:t>
      </w:r>
    </w:p>
    <w:p w14:paraId="545CB5A8" w14:textId="30C61DC0" w:rsidR="00A071C2" w:rsidRPr="00A071C2" w:rsidRDefault="00A071C2" w:rsidP="00A071C2">
      <w:pPr>
        <w:pStyle w:val="NormalWeb"/>
        <w:jc w:val="both"/>
        <w:rPr>
          <w:rFonts w:ascii="Trebuchet MS" w:hAnsi="Trebuchet MS" w:cs="Segoe UI"/>
          <w:sz w:val="22"/>
          <w:szCs w:val="22"/>
        </w:rPr>
      </w:pPr>
      <w:r w:rsidRPr="00A071C2">
        <w:rPr>
          <w:rFonts w:ascii="Trebuchet MS" w:hAnsi="Trebuchet MS" w:cs="Segoe UI"/>
          <w:sz w:val="22"/>
          <w:szCs w:val="22"/>
        </w:rPr>
        <w:t>The practical impact of better working lives on both wellbeing and performance is illustrated through a public</w:t>
      </w:r>
      <w:r w:rsidRPr="00A071C2">
        <w:rPr>
          <w:rFonts w:ascii="Trebuchet MS" w:hAnsi="Trebuchet MS" w:cs="Segoe UI"/>
          <w:sz w:val="22"/>
          <w:szCs w:val="22"/>
        </w:rPr>
        <w:noBreakHyphen/>
        <w:t xml:space="preserve">sector case study in Figure </w:t>
      </w:r>
      <w:r w:rsidR="00AE35AF" w:rsidRPr="00AE35AF">
        <w:rPr>
          <w:rFonts w:ascii="Trebuchet MS" w:hAnsi="Trebuchet MS" w:cs="Segoe UI"/>
          <w:sz w:val="22"/>
          <w:szCs w:val="22"/>
        </w:rPr>
        <w:t>1</w:t>
      </w:r>
      <w:r w:rsidRPr="00A071C2">
        <w:rPr>
          <w:rFonts w:ascii="Trebuchet MS" w:hAnsi="Trebuchet MS" w:cs="Segoe UI"/>
          <w:sz w:val="22"/>
          <w:szCs w:val="22"/>
        </w:rPr>
        <w:t>, reinforcing the argument that job design and employee voice are critical enablers of sustainable performance.</w:t>
      </w:r>
    </w:p>
    <w:p w14:paraId="5351FE1D" w14:textId="77777777" w:rsidR="00CA731D" w:rsidRDefault="00B64194" w:rsidP="001E7938">
      <w:pPr>
        <w:pStyle w:val="NormalWeb"/>
        <w:jc w:val="both"/>
        <w:rPr>
          <w:rFonts w:ascii="Trebuchet MS" w:hAnsi="Trebuchet MS" w:cs="Segoe UI"/>
          <w:sz w:val="16"/>
          <w:szCs w:val="16"/>
        </w:rPr>
      </w:pPr>
      <w:r w:rsidRPr="00B64194">
        <w:rPr>
          <w:rFonts w:ascii="Trebuchet MS" w:hAnsi="Trebuchet MS" w:cs="Segoe UI"/>
          <w:noProof/>
          <w:sz w:val="22"/>
          <w:szCs w:val="22"/>
        </w:rPr>
        <w:drawing>
          <wp:inline distT="0" distB="0" distL="0" distR="0" wp14:anchorId="5BB447CB" wp14:editId="6ED3768C">
            <wp:extent cx="5825905" cy="181483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25102" cy="1845731"/>
                    </a:xfrm>
                    <a:prstGeom prst="rect">
                      <a:avLst/>
                    </a:prstGeom>
                  </pic:spPr>
                </pic:pic>
              </a:graphicData>
            </a:graphic>
          </wp:inline>
        </w:drawing>
      </w:r>
      <w:r w:rsidR="008E2ED2" w:rsidRPr="008E2ED2">
        <w:rPr>
          <w:rFonts w:ascii="Trebuchet MS" w:hAnsi="Trebuchet MS" w:cs="Segoe UI"/>
          <w:sz w:val="16"/>
          <w:szCs w:val="16"/>
        </w:rPr>
        <w:t xml:space="preserve">Figure </w:t>
      </w:r>
      <w:r w:rsidR="008E2ED2">
        <w:rPr>
          <w:rFonts w:ascii="Trebuchet MS" w:hAnsi="Trebuchet MS" w:cs="Segoe UI"/>
          <w:sz w:val="16"/>
          <w:szCs w:val="16"/>
        </w:rPr>
        <w:t>1</w:t>
      </w:r>
      <w:r w:rsidR="008E2ED2" w:rsidRPr="008E2ED2">
        <w:rPr>
          <w:rFonts w:ascii="Trebuchet MS" w:hAnsi="Trebuchet MS" w:cs="Segoe UI"/>
          <w:sz w:val="16"/>
          <w:szCs w:val="16"/>
        </w:rPr>
        <w:t>: Work redesign, wellbeing and performance outcomes at North Bristol NHS Trust (adapted from NHS Employers, 2020)</w:t>
      </w:r>
    </w:p>
    <w:p w14:paraId="0FFC996F" w14:textId="24C9230A" w:rsidR="005462B2" w:rsidRPr="001E7938" w:rsidRDefault="00642EDA" w:rsidP="00CA731D">
      <w:pPr>
        <w:pStyle w:val="NormalWeb"/>
        <w:jc w:val="both"/>
        <w:rPr>
          <w:rFonts w:ascii="Trebuchet MS" w:eastAsia="Trebuchet MS" w:hAnsi="Trebuchet MS" w:cs="Trebuchet MS"/>
          <w:color w:val="000000"/>
          <w:sz w:val="22"/>
          <w:szCs w:val="22"/>
          <w:u w:color="000000"/>
          <w:bdr w:val="nil"/>
          <w14:textOutline w14:w="0" w14:cap="flat" w14:cmpd="sng" w14:algn="ctr">
            <w14:noFill/>
            <w14:prstDash w14:val="solid"/>
            <w14:bevel/>
          </w14:textOutline>
        </w:rPr>
      </w:pPr>
      <w:r w:rsidRPr="001E7938">
        <w:rPr>
          <w:rFonts w:ascii="Trebuchet MS" w:hAnsi="Trebuchet MS" w:cs="Segoe UI"/>
          <w:sz w:val="22"/>
          <w:szCs w:val="22"/>
        </w:rPr>
        <w:lastRenderedPageBreak/>
        <w:t>In summary, b</w:t>
      </w:r>
      <w:r w:rsidRPr="00642EDA">
        <w:rPr>
          <w:rFonts w:ascii="Trebuchet MS" w:hAnsi="Trebuchet MS" w:cs="Segoe UI"/>
          <w:sz w:val="22"/>
          <w:szCs w:val="22"/>
        </w:rPr>
        <w:t>etter working lives are achieved through fair, inclusive and well</w:t>
      </w:r>
      <w:r w:rsidRPr="00642EDA">
        <w:rPr>
          <w:rFonts w:ascii="Trebuchet MS" w:hAnsi="Trebuchet MS" w:cs="Segoe UI"/>
          <w:sz w:val="22"/>
          <w:szCs w:val="22"/>
        </w:rPr>
        <w:noBreakHyphen/>
        <w:t>designed work that prioritises job quality, employee voice and supportive leadership, enabling higher wellbeing and engagement while delivering sustainable performance, as evidenced by improved outcomes at North Bristol NHS Trust.</w:t>
      </w:r>
    </w:p>
    <w:p w14:paraId="0805D28F" w14:textId="626B74F0" w:rsidR="00711272" w:rsidRPr="00711272" w:rsidRDefault="00B42BAE" w:rsidP="00711272">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711272">
        <w:rPr>
          <w:rFonts w:ascii="Trebuchet MS" w:eastAsia="Arial Unicode MS" w:hAnsi="Trebuchet MS" w:cs="Arial Unicode MS"/>
          <w:b/>
          <w:bCs/>
          <w:color w:val="4472C4" w:themeColor="accent1"/>
          <w:u w:color="000000"/>
          <w:bdr w:val="nil"/>
          <w:lang w:val="en-US" w:eastAsia="en-GB"/>
        </w:rPr>
        <w:t>AC 2.1</w:t>
      </w:r>
    </w:p>
    <w:p w14:paraId="6F878373" w14:textId="57BA3D83" w:rsidR="00711272" w:rsidRDefault="00711272" w:rsidP="00711272">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p>
    <w:p w14:paraId="016DE30A" w14:textId="7D04CE54" w:rsidR="00CD0415" w:rsidRPr="009A38D4" w:rsidRDefault="00752B54" w:rsidP="003C77EC">
      <w:pPr>
        <w:pBdr>
          <w:top w:val="nil"/>
          <w:left w:val="nil"/>
          <w:bottom w:val="nil"/>
          <w:right w:val="nil"/>
          <w:between w:val="nil"/>
          <w:bar w:val="nil"/>
        </w:pBdr>
        <w:spacing w:after="0" w:line="240" w:lineRule="auto"/>
        <w:jc w:val="both"/>
        <w:rPr>
          <w:rFonts w:ascii="Trebuchet MS" w:hAnsi="Trebuchet MS" w:cs="Segoe UI"/>
        </w:rPr>
      </w:pPr>
      <w:r w:rsidRPr="009A38D4">
        <w:rPr>
          <w:rFonts w:ascii="Trebuchet MS" w:hAnsi="Trebuchet MS" w:cs="Segoe UI"/>
        </w:rPr>
        <w:t>C</w:t>
      </w:r>
      <w:r w:rsidR="00CD0415" w:rsidRPr="009A38D4">
        <w:rPr>
          <w:rFonts w:ascii="Trebuchet MS" w:hAnsi="Trebuchet MS" w:cs="Segoe UI"/>
        </w:rPr>
        <w:t xml:space="preserve">onflict and </w:t>
      </w:r>
      <w:r w:rsidRPr="009A38D4">
        <w:rPr>
          <w:rFonts w:ascii="Trebuchet MS" w:hAnsi="Trebuchet MS" w:cs="Segoe UI"/>
        </w:rPr>
        <w:t>m</w:t>
      </w:r>
      <w:r w:rsidR="00CD0415" w:rsidRPr="009A38D4">
        <w:rPr>
          <w:rFonts w:ascii="Trebuchet MS" w:hAnsi="Trebuchet MS" w:cs="Segoe UI"/>
        </w:rPr>
        <w:t xml:space="preserve">isbehaviour are both common features of </w:t>
      </w:r>
      <w:r w:rsidRPr="009A38D4">
        <w:rPr>
          <w:rFonts w:ascii="Trebuchet MS" w:hAnsi="Trebuchet MS" w:cs="Segoe UI"/>
        </w:rPr>
        <w:t xml:space="preserve">organisational </w:t>
      </w:r>
      <w:r w:rsidR="00CD0415" w:rsidRPr="009A38D4">
        <w:rPr>
          <w:rFonts w:ascii="Trebuchet MS" w:hAnsi="Trebuchet MS" w:cs="Segoe UI"/>
        </w:rPr>
        <w:t xml:space="preserve">employment relationships, but they differ in their nature, causes and implications for people management. Understanding this </w:t>
      </w:r>
      <w:r w:rsidR="00AC491A" w:rsidRPr="009A38D4">
        <w:rPr>
          <w:rFonts w:ascii="Trebuchet MS" w:hAnsi="Trebuchet MS" w:cs="Segoe UI"/>
        </w:rPr>
        <w:t>difference</w:t>
      </w:r>
      <w:r w:rsidR="00CD0415" w:rsidRPr="009A38D4">
        <w:rPr>
          <w:rFonts w:ascii="Trebuchet MS" w:hAnsi="Trebuchet MS" w:cs="Segoe UI"/>
        </w:rPr>
        <w:t xml:space="preserve"> is essential for managers and HR professionals </w:t>
      </w:r>
      <w:r w:rsidR="00AC491A" w:rsidRPr="009A38D4">
        <w:rPr>
          <w:rFonts w:ascii="Trebuchet MS" w:hAnsi="Trebuchet MS" w:cs="Segoe UI"/>
        </w:rPr>
        <w:t>in</w:t>
      </w:r>
      <w:r w:rsidR="00CD0415" w:rsidRPr="009A38D4">
        <w:rPr>
          <w:rFonts w:ascii="Trebuchet MS" w:hAnsi="Trebuchet MS" w:cs="Segoe UI"/>
        </w:rPr>
        <w:t xml:space="preserve"> maintain</w:t>
      </w:r>
      <w:r w:rsidR="00AC491A" w:rsidRPr="009A38D4">
        <w:rPr>
          <w:rFonts w:ascii="Trebuchet MS" w:hAnsi="Trebuchet MS" w:cs="Segoe UI"/>
        </w:rPr>
        <w:t>ing</w:t>
      </w:r>
      <w:r w:rsidR="00CD0415" w:rsidRPr="009A38D4">
        <w:rPr>
          <w:rFonts w:ascii="Trebuchet MS" w:hAnsi="Trebuchet MS" w:cs="Segoe UI"/>
        </w:rPr>
        <w:t xml:space="preserve"> effective employment relations and positive working environments.</w:t>
      </w:r>
    </w:p>
    <w:p w14:paraId="3FA97582" w14:textId="2620F24F" w:rsidR="002C7362" w:rsidRPr="002C7362" w:rsidRDefault="002C7362" w:rsidP="003C77EC">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Organisational conflict refers to situations in which individuals or groups perceive incompati</w:t>
      </w:r>
      <w:r w:rsidR="00F3559E" w:rsidRPr="009A38D4">
        <w:rPr>
          <w:rFonts w:ascii="Trebuchet MS" w:eastAsia="Times New Roman" w:hAnsi="Trebuchet MS" w:cs="Segoe UI"/>
          <w:lang w:eastAsia="en-GB"/>
        </w:rPr>
        <w:t>ble</w:t>
      </w:r>
      <w:r w:rsidRPr="002C7362">
        <w:rPr>
          <w:rFonts w:ascii="Trebuchet MS" w:eastAsia="Times New Roman" w:hAnsi="Trebuchet MS" w:cs="Segoe UI"/>
          <w:lang w:eastAsia="en-GB"/>
        </w:rPr>
        <w:t xml:space="preserve"> goals, values, interests or expectations. Buchanan and Huczynski (2019) define conflict as a process in which one party believes another </w:t>
      </w:r>
      <w:proofErr w:type="gramStart"/>
      <w:r w:rsidRPr="002C7362">
        <w:rPr>
          <w:rFonts w:ascii="Trebuchet MS" w:eastAsia="Times New Roman" w:hAnsi="Trebuchet MS" w:cs="Segoe UI"/>
          <w:lang w:eastAsia="en-GB"/>
        </w:rPr>
        <w:t>has</w:t>
      </w:r>
      <w:r w:rsidR="00CC7476" w:rsidRPr="009A38D4">
        <w:rPr>
          <w:rFonts w:ascii="Trebuchet MS" w:eastAsia="Times New Roman" w:hAnsi="Trebuchet MS" w:cs="Segoe UI"/>
          <w:lang w:eastAsia="en-GB"/>
        </w:rPr>
        <w:t>, or</w:t>
      </w:r>
      <w:proofErr w:type="gramEnd"/>
      <w:r w:rsidR="00CC7476" w:rsidRPr="009A38D4">
        <w:rPr>
          <w:rFonts w:ascii="Trebuchet MS" w:eastAsia="Times New Roman" w:hAnsi="Trebuchet MS" w:cs="Segoe UI"/>
          <w:lang w:eastAsia="en-GB"/>
        </w:rPr>
        <w:t xml:space="preserve"> may</w:t>
      </w:r>
      <w:r w:rsidRPr="002C7362">
        <w:rPr>
          <w:rFonts w:ascii="Trebuchet MS" w:eastAsia="Times New Roman" w:hAnsi="Trebuchet MS" w:cs="Segoe UI"/>
          <w:lang w:eastAsia="en-GB"/>
        </w:rPr>
        <w:t xml:space="preserve"> negatively affect something of significance to them. Conflict is therefore a normal</w:t>
      </w:r>
      <w:r w:rsidR="00962357"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often </w:t>
      </w:r>
      <w:r w:rsidR="009A38D4">
        <w:rPr>
          <w:rFonts w:ascii="Trebuchet MS" w:eastAsia="Times New Roman" w:hAnsi="Trebuchet MS" w:cs="Segoe UI"/>
          <w:lang w:eastAsia="en-GB"/>
        </w:rPr>
        <w:t>unavoidabl</w:t>
      </w:r>
      <w:r w:rsidR="00473C8D">
        <w:rPr>
          <w:rFonts w:ascii="Trebuchet MS" w:eastAsia="Times New Roman" w:hAnsi="Trebuchet MS" w:cs="Segoe UI"/>
          <w:lang w:eastAsia="en-GB"/>
        </w:rPr>
        <w:t>e</w:t>
      </w:r>
      <w:r w:rsidRPr="002C7362">
        <w:rPr>
          <w:rFonts w:ascii="Trebuchet MS" w:eastAsia="Times New Roman" w:hAnsi="Trebuchet MS" w:cs="Segoe UI"/>
          <w:lang w:eastAsia="en-GB"/>
        </w:rPr>
        <w:t xml:space="preserve"> feature of organisational life, particularly in complex and resource</w:t>
      </w:r>
      <w:r w:rsidR="001065D4"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constrained environments such as </w:t>
      </w:r>
      <w:r w:rsidR="001065D4" w:rsidRPr="009A38D4">
        <w:rPr>
          <w:rFonts w:ascii="Trebuchet MS" w:eastAsia="Times New Roman" w:hAnsi="Trebuchet MS" w:cs="Segoe UI"/>
          <w:lang w:eastAsia="en-GB"/>
        </w:rPr>
        <w:t>the</w:t>
      </w:r>
      <w:r w:rsidRPr="002C7362">
        <w:rPr>
          <w:rFonts w:ascii="Trebuchet MS" w:eastAsia="Times New Roman" w:hAnsi="Trebuchet MS" w:cs="Segoe UI"/>
          <w:lang w:eastAsia="en-GB"/>
        </w:rPr>
        <w:t xml:space="preserve"> public sector.</w:t>
      </w:r>
    </w:p>
    <w:p w14:paraId="630DC0A2" w14:textId="0B36C5AE"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The CIPD similarly defines workplace conflict as a spectrum ranging from low</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level disagreements to serious relationship breakdowns (CIPD, 2024). </w:t>
      </w:r>
      <w:r w:rsidR="00A12A14" w:rsidRPr="009A38D4">
        <w:rPr>
          <w:rFonts w:ascii="Trebuchet MS" w:eastAsia="Times New Roman" w:hAnsi="Trebuchet MS" w:cs="Segoe UI"/>
          <w:lang w:eastAsia="en-GB"/>
        </w:rPr>
        <w:t>Conflict</w:t>
      </w:r>
      <w:r w:rsidRPr="002C7362">
        <w:rPr>
          <w:rFonts w:ascii="Trebuchet MS" w:eastAsia="Times New Roman" w:hAnsi="Trebuchet MS" w:cs="Segoe UI"/>
          <w:lang w:eastAsia="en-GB"/>
        </w:rPr>
        <w:t xml:space="preserve"> does not necessarily involve intentional wrongdoing or rule</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breaking. Task or process conflict, for example, may arise from differing professional perspectives or role ambiguity and can be constructive when managed effectively. Research suggests that well</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managed task conflict can enhance decision</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making and organisational learning. However, poorly managed relationship conflict is associated with negative impacts, including stress, reduced collaboration, sickness absence and lower engagement, particularly when disputes remain unresolved (Buchanan and Huczynski, 2019; CIPD, 2024). As a result, the organisational impact of conflict largely depends on how it is addressed, with early informal resolution mitigating harm and supporting wellbeing.</w:t>
      </w:r>
    </w:p>
    <w:p w14:paraId="21A400D6" w14:textId="77777777"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In contrast, organisational misbehaviour involves intentional breaches of organisational rules, norms or values. Vardi and Wiener (1996) define misbehaviour as any deliberate action by organisational members that violates core organisational expectations. Ackroyd and Thompson (2022) argue that misbehaviour should not simply be viewed as individual deviance, but rather as behaviour shaped by organisational power relations, poor leadership or perceived injustice. Examples include bullying, harassment, discrimination, sabotage or abuse of authority, all of which involve a clear element of intent.</w:t>
      </w:r>
    </w:p>
    <w:p w14:paraId="2BC0E07E" w14:textId="2ABA1A89"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The organisational impact of misbehaviour is typically more severe and immediate than that of conflict. CIPD evidence highlights strong links between misbehaviour</w:t>
      </w:r>
      <w:r w:rsidR="00F450F1">
        <w:rPr>
          <w:rFonts w:ascii="Trebuchet MS" w:eastAsia="Times New Roman" w:hAnsi="Trebuchet MS" w:cs="Segoe UI"/>
          <w:lang w:eastAsia="en-GB"/>
        </w:rPr>
        <w:t xml:space="preserve">, </w:t>
      </w:r>
      <w:r w:rsidRPr="002C7362">
        <w:rPr>
          <w:rFonts w:ascii="Trebuchet MS" w:eastAsia="Times New Roman" w:hAnsi="Trebuchet MS" w:cs="Segoe UI"/>
          <w:lang w:eastAsia="en-GB"/>
        </w:rPr>
        <w:t>particularly bullying and harassment</w:t>
      </w:r>
      <w:r w:rsidR="00F450F1">
        <w:rPr>
          <w:rFonts w:ascii="Trebuchet MS" w:eastAsia="Times New Roman" w:hAnsi="Trebuchet MS" w:cs="Segoe UI"/>
          <w:lang w:eastAsia="en-GB"/>
        </w:rPr>
        <w:t xml:space="preserve"> </w:t>
      </w:r>
      <w:r w:rsidRPr="002C7362">
        <w:rPr>
          <w:rFonts w:ascii="Trebuchet MS" w:eastAsia="Times New Roman" w:hAnsi="Trebuchet MS" w:cs="Segoe UI"/>
          <w:lang w:eastAsia="en-GB"/>
        </w:rPr>
        <w:t>and reduced psychological safety, increased stress, higher turnover and reputational and legal risk for organisations (CIPD, 2024). In public</w:t>
      </w:r>
      <w:r w:rsidRPr="002C7362">
        <w:rPr>
          <w:rFonts w:ascii="Trebuchet MS" w:eastAsia="Times New Roman" w:hAnsi="Trebuchet MS" w:cs="Segoe UI"/>
          <w:lang w:eastAsia="en-GB"/>
        </w:rPr>
        <w:noBreakHyphen/>
        <w:t xml:space="preserve">sector contexts, failure to address misbehaviour effectively can undermine trust in leadership and damage service delivery. Consequently, CIPD and </w:t>
      </w:r>
      <w:proofErr w:type="spellStart"/>
      <w:r w:rsidRPr="002C7362">
        <w:rPr>
          <w:rFonts w:ascii="Trebuchet MS" w:eastAsia="Times New Roman" w:hAnsi="Trebuchet MS" w:cs="Segoe UI"/>
          <w:lang w:eastAsia="en-GB"/>
        </w:rPr>
        <w:t>Acas</w:t>
      </w:r>
      <w:proofErr w:type="spellEnd"/>
      <w:r w:rsidRPr="002C7362">
        <w:rPr>
          <w:rFonts w:ascii="Trebuchet MS" w:eastAsia="Times New Roman" w:hAnsi="Trebuchet MS" w:cs="Segoe UI"/>
          <w:lang w:eastAsia="en-GB"/>
        </w:rPr>
        <w:t xml:space="preserve"> guidance emphasise that misbehaviour requires formal investigation and proportionate disciplinary action to protect individuals and uphold organisational standards (</w:t>
      </w:r>
      <w:proofErr w:type="spellStart"/>
      <w:r w:rsidRPr="002C7362">
        <w:rPr>
          <w:rFonts w:ascii="Trebuchet MS" w:eastAsia="Times New Roman" w:hAnsi="Trebuchet MS" w:cs="Segoe UI"/>
          <w:lang w:eastAsia="en-GB"/>
        </w:rPr>
        <w:t>Acas</w:t>
      </w:r>
      <w:proofErr w:type="spellEnd"/>
      <w:r w:rsidRPr="002C7362">
        <w:rPr>
          <w:rFonts w:ascii="Trebuchet MS" w:eastAsia="Times New Roman" w:hAnsi="Trebuchet MS" w:cs="Segoe UI"/>
          <w:lang w:eastAsia="en-GB"/>
        </w:rPr>
        <w:t>, 2019).</w:t>
      </w:r>
    </w:p>
    <w:p w14:paraId="217117F1" w14:textId="6E41F951"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In summary, organisational conflict is a common, relational and context</w:t>
      </w:r>
      <w:r w:rsidR="00AA73C2">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dependent occurrence that can be either constructive or damaging depending on </w:t>
      </w:r>
      <w:r w:rsidR="00BA63C5">
        <w:rPr>
          <w:rFonts w:ascii="Trebuchet MS" w:eastAsia="Times New Roman" w:hAnsi="Trebuchet MS" w:cs="Segoe UI"/>
          <w:lang w:eastAsia="en-GB"/>
        </w:rPr>
        <w:t>its management</w:t>
      </w:r>
      <w:r w:rsidRPr="002C7362">
        <w:rPr>
          <w:rFonts w:ascii="Trebuchet MS" w:eastAsia="Times New Roman" w:hAnsi="Trebuchet MS" w:cs="Segoe UI"/>
          <w:lang w:eastAsia="en-GB"/>
        </w:rPr>
        <w:t>, while organisational misbehaviour involves deliberate rule</w:t>
      </w:r>
      <w:r w:rsidR="003842D5">
        <w:rPr>
          <w:rFonts w:ascii="Trebuchet MS" w:eastAsia="Times New Roman" w:hAnsi="Trebuchet MS" w:cs="Segoe UI"/>
          <w:lang w:eastAsia="en-GB"/>
        </w:rPr>
        <w:t xml:space="preserve"> </w:t>
      </w:r>
      <w:r w:rsidRPr="002C7362">
        <w:rPr>
          <w:rFonts w:ascii="Trebuchet MS" w:eastAsia="Times New Roman" w:hAnsi="Trebuchet MS" w:cs="Segoe UI"/>
          <w:lang w:eastAsia="en-GB"/>
        </w:rPr>
        <w:t>breaking with consistently negative consequences for individuals and organisations. Distinguishing between the two enables people professionals to respond proportionately</w:t>
      </w:r>
      <w:r w:rsidR="00D5413C">
        <w:rPr>
          <w:rFonts w:ascii="Trebuchet MS" w:eastAsia="Times New Roman" w:hAnsi="Trebuchet MS" w:cs="Segoe UI"/>
          <w:lang w:eastAsia="en-GB"/>
        </w:rPr>
        <w:t>.</w:t>
      </w:r>
    </w:p>
    <w:p w14:paraId="3872CA81" w14:textId="77777777" w:rsidR="006A6597" w:rsidRPr="009A38D4" w:rsidRDefault="006A6597" w:rsidP="005462B2">
      <w:pPr>
        <w:pStyle w:val="NormalWeb"/>
        <w:spacing w:line="300" w:lineRule="atLeast"/>
        <w:rPr>
          <w:rFonts w:ascii="Trebuchet MS" w:hAnsi="Trebuchet MS" w:cs="Segoe UI"/>
          <w:sz w:val="22"/>
          <w:szCs w:val="22"/>
        </w:rPr>
      </w:pPr>
    </w:p>
    <w:p w14:paraId="4874E250" w14:textId="4DE709C3" w:rsidR="00B42BAE"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r w:rsidRPr="00B42BAE">
        <w:rPr>
          <w:rFonts w:ascii="Trebuchet MS" w:eastAsia="Arial Unicode MS" w:hAnsi="Trebuchet MS" w:cs="Arial Unicode MS"/>
          <w:color w:val="4472C4" w:themeColor="accent1"/>
          <w:u w:color="000000"/>
          <w:bdr w:val="nil"/>
          <w:lang w:val="en-US" w:eastAsia="en-GB"/>
        </w:rPr>
        <w:lastRenderedPageBreak/>
        <w:t xml:space="preserve">Assess emerging trends in the types of conflict and industrial sanctions. (AC 2.2) </w:t>
      </w:r>
    </w:p>
    <w:p w14:paraId="47D8DB9C" w14:textId="77777777" w:rsidR="00EF09B3" w:rsidRDefault="00EF09B3" w:rsidP="00B42BAE">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p>
    <w:p w14:paraId="4883A72D" w14:textId="3378AE6F" w:rsidR="00EF09B3" w:rsidRPr="0020544B" w:rsidRDefault="00210084"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In</w:t>
      </w:r>
      <w:r w:rsidR="00EF09B3" w:rsidRPr="00EF09B3">
        <w:rPr>
          <w:rFonts w:ascii="Trebuchet MS" w:eastAsia="Times New Roman" w:hAnsi="Trebuchet MS" w:cs="Segoe UI"/>
          <w:lang w:eastAsia="en-GB"/>
        </w:rPr>
        <w:t xml:space="preserve"> assess</w:t>
      </w:r>
      <w:r w:rsidRPr="0020544B">
        <w:rPr>
          <w:rFonts w:ascii="Trebuchet MS" w:eastAsia="Times New Roman" w:hAnsi="Trebuchet MS" w:cs="Segoe UI"/>
          <w:lang w:eastAsia="en-GB"/>
        </w:rPr>
        <w:t>ing</w:t>
      </w:r>
      <w:r w:rsidR="00EF09B3" w:rsidRPr="00EF09B3">
        <w:rPr>
          <w:rFonts w:ascii="Trebuchet MS" w:eastAsia="Times New Roman" w:hAnsi="Trebuchet MS" w:cs="Segoe UI"/>
          <w:lang w:eastAsia="en-GB"/>
        </w:rPr>
        <w:t xml:space="preserve"> emerging trends, </w:t>
      </w:r>
      <w:r w:rsidR="00B26AFF" w:rsidRPr="0020544B">
        <w:rPr>
          <w:rFonts w:ascii="Trebuchet MS" w:eastAsia="Times New Roman" w:hAnsi="Trebuchet MS" w:cs="Segoe UI"/>
          <w:lang w:eastAsia="en-GB"/>
        </w:rPr>
        <w:t>F</w:t>
      </w:r>
      <w:r w:rsidR="00EF09B3" w:rsidRPr="00EF09B3">
        <w:rPr>
          <w:rFonts w:ascii="Trebuchet MS" w:eastAsia="Times New Roman" w:hAnsi="Trebuchet MS" w:cs="Segoe UI"/>
          <w:lang w:eastAsia="en-GB"/>
        </w:rPr>
        <w:t xml:space="preserve">igure </w:t>
      </w:r>
      <w:r w:rsidR="00B26AFF" w:rsidRPr="0020544B">
        <w:rPr>
          <w:rFonts w:ascii="Trebuchet MS" w:eastAsia="Times New Roman" w:hAnsi="Trebuchet MS" w:cs="Segoe UI"/>
          <w:lang w:eastAsia="en-GB"/>
        </w:rPr>
        <w:t>2</w:t>
      </w:r>
      <w:r w:rsidR="002F009E" w:rsidRPr="0020544B">
        <w:rPr>
          <w:rFonts w:ascii="Trebuchet MS" w:eastAsia="Times New Roman" w:hAnsi="Trebuchet MS" w:cs="Segoe UI"/>
          <w:lang w:eastAsia="en-GB"/>
        </w:rPr>
        <w:t xml:space="preserve">, drawn from </w:t>
      </w:r>
      <w:r w:rsidRPr="0020544B">
        <w:rPr>
          <w:rFonts w:ascii="Trebuchet MS" w:eastAsia="Times New Roman" w:hAnsi="Trebuchet MS" w:cs="Segoe UI"/>
          <w:lang w:eastAsia="en-GB"/>
        </w:rPr>
        <w:t xml:space="preserve">recently published </w:t>
      </w:r>
      <w:r w:rsidR="002F009E" w:rsidRPr="0020544B">
        <w:rPr>
          <w:rFonts w:ascii="Trebuchet MS" w:eastAsia="Times New Roman" w:hAnsi="Trebuchet MS" w:cs="Segoe UI"/>
          <w:lang w:eastAsia="en-GB"/>
        </w:rPr>
        <w:t xml:space="preserve">ONS </w:t>
      </w:r>
      <w:r w:rsidRPr="0020544B">
        <w:rPr>
          <w:rFonts w:ascii="Trebuchet MS" w:eastAsia="Times New Roman" w:hAnsi="Trebuchet MS" w:cs="Segoe UI"/>
          <w:lang w:eastAsia="en-GB"/>
        </w:rPr>
        <w:t>l</w:t>
      </w:r>
      <w:r w:rsidR="002F009E" w:rsidRPr="0020544B">
        <w:rPr>
          <w:rFonts w:ascii="Trebuchet MS" w:eastAsia="Times New Roman" w:hAnsi="Trebuchet MS" w:cs="Segoe UI"/>
          <w:lang w:eastAsia="en-GB"/>
        </w:rPr>
        <w:t xml:space="preserve">abour </w:t>
      </w:r>
      <w:r w:rsidRPr="0020544B">
        <w:rPr>
          <w:rFonts w:ascii="Trebuchet MS" w:eastAsia="Times New Roman" w:hAnsi="Trebuchet MS" w:cs="Segoe UI"/>
          <w:lang w:eastAsia="en-GB"/>
        </w:rPr>
        <w:t>disputes data,</w:t>
      </w:r>
      <w:r w:rsidR="00B26AFF" w:rsidRPr="0020544B">
        <w:rPr>
          <w:rFonts w:ascii="Trebuchet MS" w:eastAsia="Times New Roman" w:hAnsi="Trebuchet MS" w:cs="Segoe UI"/>
          <w:lang w:eastAsia="en-GB"/>
        </w:rPr>
        <w:t xml:space="preserve"> places</w:t>
      </w:r>
      <w:r w:rsidR="00EF09B3" w:rsidRPr="00EF09B3">
        <w:rPr>
          <w:rFonts w:ascii="Trebuchet MS" w:eastAsia="Times New Roman" w:hAnsi="Trebuchet MS" w:cs="Segoe UI"/>
          <w:lang w:eastAsia="en-GB"/>
        </w:rPr>
        <w:t xml:space="preserve"> recent patterns of industrial action within a long</w:t>
      </w:r>
      <w:r w:rsidR="00EF09B3" w:rsidRPr="00EF09B3">
        <w:rPr>
          <w:rFonts w:ascii="Trebuchet MS" w:eastAsia="Times New Roman" w:hAnsi="Trebuchet MS" w:cs="Segoe UI"/>
          <w:lang w:eastAsia="en-GB"/>
        </w:rPr>
        <w:noBreakHyphen/>
        <w:t xml:space="preserve">term historical context. It shows that industrial conflict peaked sharply during the 1970s, before entering a prolonged period of decline through </w:t>
      </w:r>
      <w:r w:rsidR="001D6068" w:rsidRPr="0020544B">
        <w:rPr>
          <w:rFonts w:ascii="Trebuchet MS" w:eastAsia="Times New Roman" w:hAnsi="Trebuchet MS" w:cs="Segoe UI"/>
          <w:lang w:eastAsia="en-GB"/>
        </w:rPr>
        <w:t>subsequent decades</w:t>
      </w:r>
      <w:r w:rsidR="00EF09B3" w:rsidRPr="00EF09B3">
        <w:rPr>
          <w:rFonts w:ascii="Trebuchet MS" w:eastAsia="Times New Roman" w:hAnsi="Trebuchet MS" w:cs="Segoe UI"/>
          <w:lang w:eastAsia="en-GB"/>
        </w:rPr>
        <w:t xml:space="preserve">. </w:t>
      </w:r>
    </w:p>
    <w:p w14:paraId="5D94ACB8" w14:textId="77777777" w:rsidR="00F2185A" w:rsidRPr="0020544B" w:rsidRDefault="00F2185A" w:rsidP="0020544B">
      <w:pPr>
        <w:spacing w:before="100" w:beforeAutospacing="1" w:after="100" w:afterAutospacing="1" w:line="240" w:lineRule="auto"/>
        <w:jc w:val="both"/>
        <w:rPr>
          <w:rFonts w:ascii="Trebuchet MS" w:eastAsia="Times New Roman" w:hAnsi="Trebuchet MS" w:cs="Segoe UI"/>
          <w:lang w:eastAsia="en-GB"/>
        </w:rPr>
      </w:pPr>
    </w:p>
    <w:p w14:paraId="639A990C" w14:textId="2A4CA7FC" w:rsidR="000B58AD" w:rsidRPr="0020544B" w:rsidRDefault="00F2185A"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rebuchet MS" w:hAnsi="Trebuchet MS" w:cs="Trebuchet MS"/>
          <w:b/>
          <w:bCs/>
          <w:noProof/>
          <w:color w:val="000000"/>
          <w:u w:color="000000"/>
          <w:bdr w:val="nil"/>
          <w:lang w:eastAsia="en-GB"/>
          <w14:textOutline w14:w="0" w14:cap="flat" w14:cmpd="sng" w14:algn="ctr">
            <w14:noFill/>
            <w14:prstDash w14:val="solid"/>
            <w14:bevel/>
          </w14:textOutline>
        </w:rPr>
        <w:drawing>
          <wp:inline distT="0" distB="0" distL="0" distR="0" wp14:anchorId="59D53A39" wp14:editId="68B53BC8">
            <wp:extent cx="5731510" cy="19151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915160"/>
                    </a:xfrm>
                    <a:prstGeom prst="rect">
                      <a:avLst/>
                    </a:prstGeom>
                  </pic:spPr>
                </pic:pic>
              </a:graphicData>
            </a:graphic>
          </wp:inline>
        </w:drawing>
      </w:r>
    </w:p>
    <w:p w14:paraId="056D50FC" w14:textId="77777777" w:rsidR="00CF2402" w:rsidRPr="00CF2402" w:rsidRDefault="00CF2402" w:rsidP="0020544B">
      <w:pPr>
        <w:spacing w:before="100" w:beforeAutospacing="1" w:after="100" w:afterAutospacing="1" w:line="240" w:lineRule="auto"/>
        <w:jc w:val="both"/>
        <w:rPr>
          <w:rFonts w:ascii="Trebuchet MS" w:eastAsia="Times New Roman" w:hAnsi="Trebuchet MS" w:cs="Segoe UI"/>
          <w:lang w:eastAsia="en-GB"/>
        </w:rPr>
      </w:pPr>
      <w:r w:rsidRPr="00CF2402">
        <w:rPr>
          <w:rFonts w:ascii="Trebuchet MS" w:eastAsia="Times New Roman" w:hAnsi="Trebuchet MS" w:cs="Segoe UI"/>
          <w:lang w:eastAsia="en-GB"/>
        </w:rPr>
        <w:t>The decline in industrial conflict after the 1970s reflects major changes in UK employment relations, including tighter trade union legislation, deindustrialisation and a shift towards individualised employment practices. These developments reduced union power and collective strike action, leading to historically low levels of industrial conflict by the 2010s (The Conversation, 2025; Economics Help, 2025; IEA, 2024).</w:t>
      </w:r>
    </w:p>
    <w:p w14:paraId="410D5830" w14:textId="3592BAAB" w:rsidR="003321AE" w:rsidRPr="003321AE" w:rsidRDefault="0097509A" w:rsidP="0020544B">
      <w:pPr>
        <w:spacing w:before="100" w:beforeAutospacing="1" w:after="100" w:afterAutospacing="1" w:line="240" w:lineRule="auto"/>
        <w:jc w:val="both"/>
        <w:rPr>
          <w:rFonts w:ascii="Trebuchet MS" w:eastAsia="Times New Roman" w:hAnsi="Trebuchet MS" w:cs="Segoe UI"/>
          <w:lang w:eastAsia="en-GB"/>
        </w:rPr>
      </w:pPr>
      <w:r w:rsidRPr="00EF09B3">
        <w:rPr>
          <w:rFonts w:ascii="Trebuchet MS" w:eastAsia="Times New Roman" w:hAnsi="Trebuchet MS" w:cs="Segoe UI"/>
          <w:lang w:eastAsia="en-GB"/>
        </w:rPr>
        <w:t xml:space="preserve">While levels recorded in the 2020s remain historically modest, </w:t>
      </w:r>
      <w:r w:rsidRPr="0020544B">
        <w:rPr>
          <w:rFonts w:ascii="Trebuchet MS" w:eastAsia="Times New Roman" w:hAnsi="Trebuchet MS" w:cs="Segoe UI"/>
          <w:lang w:eastAsia="en-GB"/>
        </w:rPr>
        <w:t>Figure 3, drawn from the same data sour</w:t>
      </w:r>
      <w:r w:rsidR="00680771" w:rsidRPr="0020544B">
        <w:rPr>
          <w:rFonts w:ascii="Trebuchet MS" w:eastAsia="Times New Roman" w:hAnsi="Trebuchet MS" w:cs="Segoe UI"/>
          <w:lang w:eastAsia="en-GB"/>
        </w:rPr>
        <w:t>c</w:t>
      </w:r>
      <w:r w:rsidRPr="0020544B">
        <w:rPr>
          <w:rFonts w:ascii="Trebuchet MS" w:eastAsia="Times New Roman" w:hAnsi="Trebuchet MS" w:cs="Segoe UI"/>
          <w:lang w:eastAsia="en-GB"/>
        </w:rPr>
        <w:t xml:space="preserve">e but focussing on quarterly movements from the 1990s </w:t>
      </w:r>
      <w:r w:rsidR="00EB5CFB" w:rsidRPr="0020544B">
        <w:rPr>
          <w:rFonts w:ascii="Trebuchet MS" w:eastAsia="Times New Roman" w:hAnsi="Trebuchet MS" w:cs="Segoe UI"/>
          <w:lang w:eastAsia="en-GB"/>
        </w:rPr>
        <w:t>to present day</w:t>
      </w:r>
      <w:r w:rsidR="00AB2050" w:rsidRPr="0020544B">
        <w:rPr>
          <w:rFonts w:ascii="Trebuchet MS" w:eastAsia="Times New Roman" w:hAnsi="Trebuchet MS" w:cs="Segoe UI"/>
          <w:lang w:eastAsia="en-GB"/>
        </w:rPr>
        <w:t>,</w:t>
      </w:r>
      <w:r w:rsidR="00EB5CFB" w:rsidRPr="0020544B">
        <w:rPr>
          <w:rFonts w:ascii="Trebuchet MS" w:eastAsia="Times New Roman" w:hAnsi="Trebuchet MS" w:cs="Segoe UI"/>
          <w:lang w:eastAsia="en-GB"/>
        </w:rPr>
        <w:t xml:space="preserve"> </w:t>
      </w:r>
      <w:r w:rsidRPr="0020544B">
        <w:rPr>
          <w:rFonts w:ascii="Trebuchet MS" w:eastAsia="Times New Roman" w:hAnsi="Trebuchet MS" w:cs="Segoe UI"/>
          <w:lang w:eastAsia="en-GB"/>
        </w:rPr>
        <w:t xml:space="preserve">clearly shows </w:t>
      </w:r>
      <w:r w:rsidR="003321AE" w:rsidRPr="003321AE">
        <w:rPr>
          <w:rFonts w:ascii="Trebuchet MS" w:eastAsia="Times New Roman" w:hAnsi="Trebuchet MS" w:cs="Segoe UI"/>
          <w:lang w:eastAsia="en-GB"/>
        </w:rPr>
        <w:t>a renewed resurgence in public</w:t>
      </w:r>
      <w:r w:rsidR="003321AE" w:rsidRPr="003321AE">
        <w:rPr>
          <w:rFonts w:ascii="Trebuchet MS" w:eastAsia="Times New Roman" w:hAnsi="Trebuchet MS" w:cs="Segoe UI"/>
          <w:lang w:eastAsia="en-GB"/>
        </w:rPr>
        <w:noBreakHyphen/>
        <w:t xml:space="preserve">sector industrial conflict following a prolonged period of low activity. </w:t>
      </w:r>
    </w:p>
    <w:p w14:paraId="1D18B0D8" w14:textId="4F1CC6B9" w:rsidR="00A168D2" w:rsidRPr="0020544B" w:rsidRDefault="00AB698F"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noProof/>
          <w:lang w:eastAsia="en-GB"/>
        </w:rPr>
        <w:drawing>
          <wp:inline distT="0" distB="0" distL="0" distR="0" wp14:anchorId="1E007CA1" wp14:editId="1317DABA">
            <wp:extent cx="5731510" cy="18535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53565"/>
                    </a:xfrm>
                    <a:prstGeom prst="rect">
                      <a:avLst/>
                    </a:prstGeom>
                  </pic:spPr>
                </pic:pic>
              </a:graphicData>
            </a:graphic>
          </wp:inline>
        </w:drawing>
      </w:r>
    </w:p>
    <w:p w14:paraId="0FAA3898" w14:textId="11480241" w:rsidR="00A168D2" w:rsidRPr="0020544B" w:rsidRDefault="00914D89"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Statistics shows a sharp rise in working days lost to strikes since 2022, with disputes largely driven by pay erosion and cost</w:t>
      </w:r>
      <w:r w:rsidRPr="0020544B">
        <w:rPr>
          <w:rFonts w:ascii="Trebuchet MS" w:eastAsia="Times New Roman" w:hAnsi="Trebuchet MS" w:cs="Segoe UI"/>
          <w:lang w:eastAsia="en-GB"/>
        </w:rPr>
        <w:noBreakHyphen/>
        <w:t>of</w:t>
      </w:r>
      <w:r w:rsidRPr="0020544B">
        <w:rPr>
          <w:rFonts w:ascii="Trebuchet MS" w:eastAsia="Times New Roman" w:hAnsi="Trebuchet MS" w:cs="Segoe UI"/>
          <w:lang w:eastAsia="en-GB"/>
        </w:rPr>
        <w:noBreakHyphen/>
        <w:t>living pressures (ONS, 2023). Industrial action in sectors such as health, education and transport continued into 2024 and 2025, highlighting renewed union activity after decades of relative decline. However, the nature of action has changed, with unions increasingly favouring short, targeted or rolling strikes to maximise impact while limiting financial loss for members (DWF Group, 2025).</w:t>
      </w:r>
    </w:p>
    <w:p w14:paraId="1AB769EA" w14:textId="20CAA6C6" w:rsidR="00636F3C" w:rsidRPr="0020544B" w:rsidRDefault="0065410C" w:rsidP="0020544B">
      <w:pPr>
        <w:spacing w:before="100" w:beforeAutospacing="1" w:after="100" w:afterAutospacing="1" w:line="240" w:lineRule="auto"/>
        <w:jc w:val="both"/>
        <w:rPr>
          <w:rFonts w:ascii="Trebuchet MS" w:eastAsia="Times New Roman" w:hAnsi="Trebuchet MS" w:cs="Segoe UI"/>
          <w:lang w:eastAsia="en-GB"/>
        </w:rPr>
      </w:pPr>
      <w:proofErr w:type="spellStart"/>
      <w:r w:rsidRPr="0065410C">
        <w:rPr>
          <w:rFonts w:ascii="Trebuchet MS" w:eastAsia="Times New Roman" w:hAnsi="Trebuchet MS" w:cs="Segoe UI"/>
          <w:lang w:eastAsia="en-GB"/>
        </w:rPr>
        <w:t>Acas</w:t>
      </w:r>
      <w:proofErr w:type="spellEnd"/>
      <w:r w:rsidRPr="0065410C">
        <w:rPr>
          <w:rFonts w:ascii="Trebuchet MS" w:eastAsia="Times New Roman" w:hAnsi="Trebuchet MS" w:cs="Segoe UI"/>
          <w:lang w:eastAsia="en-GB"/>
        </w:rPr>
        <w:t xml:space="preserve"> and CIPD evidence suggest </w:t>
      </w:r>
      <w:r w:rsidR="005E2677" w:rsidRPr="0020544B">
        <w:rPr>
          <w:rFonts w:ascii="Trebuchet MS" w:eastAsia="Times New Roman" w:hAnsi="Trebuchet MS" w:cs="Segoe UI"/>
          <w:lang w:eastAsia="en-GB"/>
        </w:rPr>
        <w:t>a</w:t>
      </w:r>
      <w:r w:rsidRPr="0065410C">
        <w:rPr>
          <w:rFonts w:ascii="Trebuchet MS" w:eastAsia="Times New Roman" w:hAnsi="Trebuchet MS" w:cs="Segoe UI"/>
          <w:lang w:eastAsia="en-GB"/>
        </w:rPr>
        <w:t xml:space="preserve"> </w:t>
      </w:r>
      <w:r w:rsidR="00306A68" w:rsidRPr="0020544B">
        <w:rPr>
          <w:rFonts w:ascii="Trebuchet MS" w:eastAsia="Times New Roman" w:hAnsi="Trebuchet MS" w:cs="Segoe UI"/>
          <w:lang w:eastAsia="en-GB"/>
        </w:rPr>
        <w:t xml:space="preserve">resurgence in </w:t>
      </w:r>
      <w:r w:rsidR="00AB7636" w:rsidRPr="0020544B">
        <w:rPr>
          <w:rFonts w:ascii="Trebuchet MS" w:eastAsia="Times New Roman" w:hAnsi="Trebuchet MS" w:cs="Segoe UI"/>
          <w:lang w:eastAsia="en-GB"/>
        </w:rPr>
        <w:t xml:space="preserve">the number of industrial disputes </w:t>
      </w:r>
      <w:r w:rsidRPr="0065410C">
        <w:rPr>
          <w:rFonts w:ascii="Trebuchet MS" w:eastAsia="Times New Roman" w:hAnsi="Trebuchet MS" w:cs="Segoe UI"/>
          <w:lang w:eastAsia="en-GB"/>
        </w:rPr>
        <w:t xml:space="preserve">follows a prolonged period in which workplace conflict was increasingly individualised, with </w:t>
      </w:r>
      <w:r w:rsidRPr="0065410C">
        <w:rPr>
          <w:rFonts w:ascii="Trebuchet MS" w:eastAsia="Times New Roman" w:hAnsi="Trebuchet MS" w:cs="Segoe UI"/>
          <w:lang w:eastAsia="en-GB"/>
        </w:rPr>
        <w:lastRenderedPageBreak/>
        <w:t xml:space="preserve">grievances and tribunal claims rising sharply as collective sanctions declined (ONS, 2026; </w:t>
      </w:r>
      <w:proofErr w:type="spellStart"/>
      <w:r w:rsidRPr="0065410C">
        <w:rPr>
          <w:rFonts w:ascii="Trebuchet MS" w:eastAsia="Times New Roman" w:hAnsi="Trebuchet MS" w:cs="Segoe UI"/>
          <w:lang w:eastAsia="en-GB"/>
        </w:rPr>
        <w:t>Acas</w:t>
      </w:r>
      <w:proofErr w:type="spellEnd"/>
      <w:r w:rsidRPr="0065410C">
        <w:rPr>
          <w:rFonts w:ascii="Trebuchet MS" w:eastAsia="Times New Roman" w:hAnsi="Trebuchet MS" w:cs="Segoe UI"/>
          <w:lang w:eastAsia="en-GB"/>
        </w:rPr>
        <w:t xml:space="preserve">, 2025). </w:t>
      </w:r>
    </w:p>
    <w:p w14:paraId="0A47ED61" w14:textId="6E45601C" w:rsidR="00832107" w:rsidRPr="00832107" w:rsidRDefault="00F32C56"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The graph shown below</w:t>
      </w:r>
      <w:r w:rsidR="00412DE0" w:rsidRPr="0020544B">
        <w:rPr>
          <w:rFonts w:ascii="Trebuchet MS" w:eastAsia="Times New Roman" w:hAnsi="Trebuchet MS" w:cs="Segoe UI"/>
          <w:lang w:eastAsia="en-GB"/>
        </w:rPr>
        <w:t xml:space="preserve"> (</w:t>
      </w:r>
      <w:r w:rsidR="00832107" w:rsidRPr="0020544B">
        <w:rPr>
          <w:rFonts w:ascii="Trebuchet MS" w:eastAsia="Times New Roman" w:hAnsi="Trebuchet MS" w:cs="Segoe UI"/>
          <w:lang w:eastAsia="en-GB"/>
        </w:rPr>
        <w:t>Figure 3</w:t>
      </w:r>
      <w:r w:rsidR="00412DE0" w:rsidRPr="0020544B">
        <w:rPr>
          <w:rFonts w:ascii="Trebuchet MS" w:eastAsia="Times New Roman" w:hAnsi="Trebuchet MS" w:cs="Segoe UI"/>
          <w:lang w:eastAsia="en-GB"/>
        </w:rPr>
        <w:t>)</w:t>
      </w:r>
      <w:r w:rsidR="00832107" w:rsidRPr="0020544B">
        <w:rPr>
          <w:rFonts w:ascii="Trebuchet MS" w:eastAsia="Times New Roman" w:hAnsi="Trebuchet MS" w:cs="Segoe UI"/>
          <w:lang w:eastAsia="en-GB"/>
        </w:rPr>
        <w:t xml:space="preserve">, based </w:t>
      </w:r>
      <w:r w:rsidRPr="0020544B">
        <w:rPr>
          <w:rFonts w:ascii="Trebuchet MS" w:eastAsia="Times New Roman" w:hAnsi="Trebuchet MS" w:cs="Segoe UI"/>
          <w:lang w:eastAsia="en-GB"/>
        </w:rPr>
        <w:t>on Ministry of Justice statistics</w:t>
      </w:r>
      <w:r w:rsidR="00832107" w:rsidRPr="00832107">
        <w:rPr>
          <w:rFonts w:ascii="Trebuchet MS" w:eastAsia="Times New Roman" w:hAnsi="Trebuchet MS" w:cs="Segoe UI"/>
          <w:lang w:eastAsia="en-GB"/>
        </w:rPr>
        <w:t xml:space="preserve"> show a sustained upward trend in employment tribunal claims over the past decade</w:t>
      </w:r>
      <w:r w:rsidR="00412DE0" w:rsidRPr="0020544B">
        <w:rPr>
          <w:rFonts w:ascii="Trebuchet MS" w:eastAsia="Times New Roman" w:hAnsi="Trebuchet MS" w:cs="Segoe UI"/>
          <w:lang w:eastAsia="en-GB"/>
        </w:rPr>
        <w:t xml:space="preserve"> (</w:t>
      </w:r>
      <w:r w:rsidR="00832107" w:rsidRPr="00832107">
        <w:rPr>
          <w:rFonts w:ascii="Trebuchet MS" w:eastAsia="Times New Roman" w:hAnsi="Trebuchet MS" w:cs="Segoe UI"/>
          <w:lang w:eastAsia="en-GB"/>
        </w:rPr>
        <w:t>with a brief dip during 2020–21 linked to COVID</w:t>
      </w:r>
      <w:r w:rsidR="00832107" w:rsidRPr="00832107">
        <w:rPr>
          <w:rFonts w:ascii="Trebuchet MS" w:eastAsia="Times New Roman" w:hAnsi="Trebuchet MS" w:cs="Segoe UI"/>
          <w:lang w:eastAsia="en-GB"/>
        </w:rPr>
        <w:noBreakHyphen/>
        <w:t>19 disruption</w:t>
      </w:r>
      <w:r w:rsidR="00412DE0" w:rsidRPr="0020544B">
        <w:rPr>
          <w:rFonts w:ascii="Trebuchet MS" w:eastAsia="Times New Roman" w:hAnsi="Trebuchet MS" w:cs="Segoe UI"/>
          <w:lang w:eastAsia="en-GB"/>
        </w:rPr>
        <w:t xml:space="preserve">) </w:t>
      </w:r>
      <w:r w:rsidR="00832107" w:rsidRPr="00832107">
        <w:rPr>
          <w:rFonts w:ascii="Trebuchet MS" w:eastAsia="Times New Roman" w:hAnsi="Trebuchet MS" w:cs="Segoe UI"/>
          <w:lang w:eastAsia="en-GB"/>
        </w:rPr>
        <w:t>indicating a growing reliance on individual, legalised forms of conflict at a time when collective industrial action had been comparatively subdued.</w:t>
      </w:r>
    </w:p>
    <w:p w14:paraId="06C4494E" w14:textId="77777777" w:rsidR="00832107" w:rsidRPr="0020544B" w:rsidRDefault="00832107" w:rsidP="0020544B">
      <w:pPr>
        <w:spacing w:before="100" w:beforeAutospacing="1" w:after="100" w:afterAutospacing="1" w:line="240" w:lineRule="auto"/>
        <w:jc w:val="both"/>
        <w:rPr>
          <w:rFonts w:ascii="Trebuchet MS" w:eastAsia="Times New Roman" w:hAnsi="Trebuchet MS" w:cs="Segoe UI"/>
          <w:lang w:eastAsia="en-GB"/>
        </w:rPr>
      </w:pPr>
    </w:p>
    <w:p w14:paraId="4C09AC5D" w14:textId="77777777" w:rsidR="00636F3C" w:rsidRPr="0020544B" w:rsidRDefault="00636F3C" w:rsidP="0020544B">
      <w:pPr>
        <w:spacing w:before="100" w:beforeAutospacing="1" w:after="100" w:afterAutospacing="1" w:line="240" w:lineRule="auto"/>
        <w:jc w:val="both"/>
        <w:rPr>
          <w:rFonts w:ascii="Trebuchet MS" w:eastAsia="Times New Roman" w:hAnsi="Trebuchet MS" w:cs="Segoe UI"/>
          <w:lang w:eastAsia="en-GB"/>
        </w:rPr>
      </w:pPr>
    </w:p>
    <w:p w14:paraId="1C4F1A03" w14:textId="63359EFC" w:rsidR="00636F3C" w:rsidRPr="0020544B" w:rsidRDefault="00FE32A3"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noProof/>
          <w:lang w:eastAsia="en-GB"/>
        </w:rPr>
        <w:drawing>
          <wp:inline distT="0" distB="0" distL="0" distR="0" wp14:anchorId="1B211CCA" wp14:editId="3B8219B0">
            <wp:extent cx="5731510" cy="1915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15795"/>
                    </a:xfrm>
                    <a:prstGeom prst="rect">
                      <a:avLst/>
                    </a:prstGeom>
                  </pic:spPr>
                </pic:pic>
              </a:graphicData>
            </a:graphic>
          </wp:inline>
        </w:drawing>
      </w:r>
    </w:p>
    <w:p w14:paraId="12274713" w14:textId="77777777" w:rsidR="0020544B" w:rsidRPr="0020544B" w:rsidRDefault="0020544B" w:rsidP="0020544B">
      <w:pPr>
        <w:spacing w:before="100" w:beforeAutospacing="1" w:after="100" w:afterAutospacing="1" w:line="240" w:lineRule="auto"/>
        <w:jc w:val="both"/>
        <w:rPr>
          <w:rFonts w:ascii="Trebuchet MS" w:eastAsia="Times New Roman" w:hAnsi="Trebuchet MS" w:cs="Segoe UI"/>
          <w:lang w:eastAsia="en-GB"/>
        </w:rPr>
      </w:pPr>
      <w:proofErr w:type="spellStart"/>
      <w:r w:rsidRPr="0020544B">
        <w:rPr>
          <w:rFonts w:ascii="Trebuchet MS" w:eastAsia="Times New Roman" w:hAnsi="Trebuchet MS" w:cs="Segoe UI"/>
          <w:lang w:eastAsia="en-GB"/>
        </w:rPr>
        <w:t>Acas</w:t>
      </w:r>
      <w:proofErr w:type="spellEnd"/>
      <w:r w:rsidRPr="0020544B">
        <w:rPr>
          <w:rFonts w:ascii="Trebuchet MS" w:eastAsia="Times New Roman" w:hAnsi="Trebuchet MS" w:cs="Segoe UI"/>
          <w:lang w:eastAsia="en-GB"/>
        </w:rPr>
        <w:t xml:space="preserve"> (2025) reports record levels of workplace conflict, with two in five working</w:t>
      </w:r>
      <w:r w:rsidRPr="0020544B">
        <w:rPr>
          <w:rFonts w:ascii="Trebuchet MS" w:eastAsia="Times New Roman" w:hAnsi="Trebuchet MS" w:cs="Segoe UI"/>
          <w:lang w:eastAsia="en-GB"/>
        </w:rPr>
        <w:noBreakHyphen/>
        <w:t>age adults affected, reflecting a shift towards individual grievances linked to workload, wellbeing, discrimination and management practices. In the public sector, this has contributed to rising grievance and employment tribunal cases, indicating a move away from collective resolution towards formal legal and procedural routes (</w:t>
      </w:r>
      <w:proofErr w:type="spellStart"/>
      <w:r w:rsidRPr="0020544B">
        <w:rPr>
          <w:rFonts w:ascii="Trebuchet MS" w:eastAsia="Times New Roman" w:hAnsi="Trebuchet MS" w:cs="Segoe UI"/>
          <w:lang w:eastAsia="en-GB"/>
        </w:rPr>
        <w:t>Acas</w:t>
      </w:r>
      <w:proofErr w:type="spellEnd"/>
      <w:r w:rsidRPr="0020544B">
        <w:rPr>
          <w:rFonts w:ascii="Trebuchet MS" w:eastAsia="Times New Roman" w:hAnsi="Trebuchet MS" w:cs="Segoe UI"/>
          <w:lang w:eastAsia="en-GB"/>
        </w:rPr>
        <w:t>, 2025).</w:t>
      </w:r>
    </w:p>
    <w:p w14:paraId="4873EBB4" w14:textId="208DADCB" w:rsidR="005462B2" w:rsidRPr="0020544B" w:rsidRDefault="005462B2"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A further trend is the increasing use of informal and digital expressions of conflict, including social media activism, whistleblowing and online campaigns</w:t>
      </w:r>
      <w:r w:rsidR="00012592" w:rsidRPr="0020544B">
        <w:rPr>
          <w:rFonts w:ascii="Trebuchet MS" w:eastAsia="Times New Roman" w:hAnsi="Trebuchet MS" w:cs="Segoe UI"/>
          <w:lang w:eastAsia="en-GB"/>
        </w:rPr>
        <w:t>,</w:t>
      </w:r>
      <w:r w:rsidRPr="0020544B">
        <w:rPr>
          <w:rFonts w:ascii="Trebuchet MS" w:eastAsia="Times New Roman" w:hAnsi="Trebuchet MS" w:cs="Segoe UI"/>
          <w:lang w:eastAsia="en-GB"/>
        </w:rPr>
        <w:t xml:space="preserve"> allow</w:t>
      </w:r>
      <w:r w:rsidR="00012592" w:rsidRPr="0020544B">
        <w:rPr>
          <w:rFonts w:ascii="Trebuchet MS" w:eastAsia="Times New Roman" w:hAnsi="Trebuchet MS" w:cs="Segoe UI"/>
          <w:lang w:eastAsia="en-GB"/>
        </w:rPr>
        <w:t>ing</w:t>
      </w:r>
      <w:r w:rsidRPr="0020544B">
        <w:rPr>
          <w:rFonts w:ascii="Trebuchet MS" w:eastAsia="Times New Roman" w:hAnsi="Trebuchet MS" w:cs="Segoe UI"/>
          <w:lang w:eastAsia="en-GB"/>
        </w:rPr>
        <w:t xml:space="preserve"> employees to exert reputational pressure without using formal </w:t>
      </w:r>
      <w:r w:rsidR="00664598" w:rsidRPr="0020544B">
        <w:rPr>
          <w:rFonts w:ascii="Trebuchet MS" w:eastAsia="Times New Roman" w:hAnsi="Trebuchet MS" w:cs="Segoe UI"/>
          <w:lang w:eastAsia="en-GB"/>
        </w:rPr>
        <w:t>means</w:t>
      </w:r>
      <w:r w:rsidRPr="0020544B">
        <w:rPr>
          <w:rFonts w:ascii="Trebuchet MS" w:eastAsia="Times New Roman" w:hAnsi="Trebuchet MS" w:cs="Segoe UI"/>
          <w:lang w:eastAsia="en-GB"/>
        </w:rPr>
        <w:t>, reflecting changing expectations around employee voice and transparency (CIPD, 2024).</w:t>
      </w:r>
    </w:p>
    <w:p w14:paraId="6848B423" w14:textId="77777777" w:rsidR="005462B2" w:rsidRPr="00A37E18" w:rsidRDefault="005462B2" w:rsidP="00B42BAE">
      <w:pPr>
        <w:pBdr>
          <w:top w:val="nil"/>
          <w:left w:val="nil"/>
          <w:bottom w:val="nil"/>
          <w:right w:val="nil"/>
          <w:between w:val="nil"/>
          <w:bar w:val="nil"/>
        </w:pBdr>
        <w:spacing w:after="0" w:line="240" w:lineRule="auto"/>
        <w:rPr>
          <w:rFonts w:ascii="Trebuchet MS" w:eastAsia="Trebuchet MS" w:hAnsi="Trebuchet MS" w:cs="Trebuchet MS"/>
          <w:b/>
          <w:bCs/>
          <w:color w:val="000000"/>
          <w:u w:color="000000"/>
          <w:bdr w:val="nil"/>
          <w:lang w:eastAsia="en-GB"/>
          <w14:textOutline w14:w="0" w14:cap="flat" w14:cmpd="sng" w14:algn="ctr">
            <w14:noFill/>
            <w14:prstDash w14:val="solid"/>
            <w14:bevel/>
          </w14:textOutline>
        </w:rPr>
      </w:pPr>
    </w:p>
    <w:p w14:paraId="72BA9B81" w14:textId="44474A32" w:rsidR="00B42BAE"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r w:rsidRPr="00B42BAE">
        <w:rPr>
          <w:rFonts w:ascii="Trebuchet MS" w:eastAsia="Arial Unicode MS" w:hAnsi="Trebuchet MS" w:cs="Arial Unicode MS"/>
          <w:color w:val="4472C4" w:themeColor="accent1"/>
          <w:u w:color="000000"/>
          <w:bdr w:val="nil"/>
          <w:lang w:val="en-US" w:eastAsia="en-GB"/>
        </w:rPr>
        <w:t>Distinguish between third-party conciliation, mediation and arbitration. (AC 2.3)</w:t>
      </w:r>
    </w:p>
    <w:p w14:paraId="30BCEA1E" w14:textId="5FC78785" w:rsidR="00610347" w:rsidRPr="00610347" w:rsidRDefault="002463E0" w:rsidP="0097543D">
      <w:pPr>
        <w:spacing w:before="100" w:beforeAutospacing="1" w:after="100" w:afterAutospacing="1" w:line="300" w:lineRule="atLeast"/>
        <w:jc w:val="both"/>
        <w:rPr>
          <w:rFonts w:ascii="Trebuchet MS" w:eastAsia="Times New Roman" w:hAnsi="Trebuchet MS" w:cs="Segoe UI"/>
          <w:lang w:eastAsia="en-GB"/>
        </w:rPr>
      </w:pPr>
      <w:r w:rsidRPr="0097543D">
        <w:rPr>
          <w:rFonts w:ascii="Trebuchet MS" w:eastAsia="Times New Roman" w:hAnsi="Trebuchet MS" w:cs="Segoe UI"/>
          <w:lang w:eastAsia="en-GB"/>
        </w:rPr>
        <w:t>These</w:t>
      </w:r>
      <w:r w:rsidR="00490F83" w:rsidRPr="0097543D">
        <w:rPr>
          <w:rFonts w:ascii="Trebuchet MS" w:eastAsia="Times New Roman" w:hAnsi="Trebuchet MS" w:cs="Segoe UI"/>
          <w:lang w:eastAsia="en-GB"/>
        </w:rPr>
        <w:t xml:space="preserve"> are all f</w:t>
      </w:r>
      <w:r w:rsidR="006613EB" w:rsidRPr="0097543D">
        <w:rPr>
          <w:rFonts w:ascii="Trebuchet MS" w:eastAsia="Times New Roman" w:hAnsi="Trebuchet MS" w:cs="Segoe UI"/>
          <w:lang w:eastAsia="en-GB"/>
        </w:rPr>
        <w:t>o</w:t>
      </w:r>
      <w:r w:rsidR="00490F83" w:rsidRPr="0097543D">
        <w:rPr>
          <w:rFonts w:ascii="Trebuchet MS" w:eastAsia="Times New Roman" w:hAnsi="Trebuchet MS" w:cs="Segoe UI"/>
          <w:lang w:eastAsia="en-GB"/>
        </w:rPr>
        <w:t xml:space="preserve">rms of </w:t>
      </w:r>
      <w:r w:rsidR="006613EB" w:rsidRPr="0097543D">
        <w:rPr>
          <w:rFonts w:ascii="Trebuchet MS" w:eastAsia="Times New Roman" w:hAnsi="Trebuchet MS" w:cs="Segoe UI"/>
          <w:lang w:eastAsia="en-GB"/>
        </w:rPr>
        <w:t>a</w:t>
      </w:r>
      <w:r w:rsidR="006613EB" w:rsidRPr="00610347">
        <w:rPr>
          <w:rFonts w:ascii="Trebuchet MS" w:eastAsia="Times New Roman" w:hAnsi="Trebuchet MS" w:cs="Segoe UI"/>
          <w:lang w:eastAsia="en-GB"/>
        </w:rPr>
        <w:t>lternative dispute resolution (ADR)</w:t>
      </w:r>
      <w:r w:rsidR="0070590E" w:rsidRPr="0097543D">
        <w:rPr>
          <w:rFonts w:ascii="Trebuchet MS" w:eastAsia="Times New Roman" w:hAnsi="Trebuchet MS" w:cs="Segoe UI"/>
          <w:lang w:eastAsia="en-GB"/>
        </w:rPr>
        <w:t xml:space="preserve"> and </w:t>
      </w:r>
      <w:r w:rsidR="001E5FF3" w:rsidRPr="0097543D">
        <w:rPr>
          <w:rFonts w:ascii="Trebuchet MS" w:eastAsia="Times New Roman" w:hAnsi="Trebuchet MS" w:cs="Segoe UI"/>
          <w:lang w:eastAsia="en-GB"/>
        </w:rPr>
        <w:t>are</w:t>
      </w:r>
      <w:r w:rsidR="00610347" w:rsidRPr="00610347">
        <w:rPr>
          <w:rFonts w:ascii="Trebuchet MS" w:eastAsia="Times New Roman" w:hAnsi="Trebuchet MS" w:cs="Segoe UI"/>
          <w:lang w:eastAsia="en-GB"/>
        </w:rPr>
        <w:t xml:space="preserve"> distinguished </w:t>
      </w:r>
      <w:r w:rsidR="00D24271" w:rsidRPr="0097543D">
        <w:rPr>
          <w:rFonts w:ascii="Trebuchet MS" w:eastAsia="Times New Roman" w:hAnsi="Trebuchet MS" w:cs="Segoe UI"/>
          <w:lang w:eastAsia="en-GB"/>
        </w:rPr>
        <w:t>mainly</w:t>
      </w:r>
      <w:r w:rsidR="00610347" w:rsidRPr="00610347">
        <w:rPr>
          <w:rFonts w:ascii="Trebuchet MS" w:eastAsia="Times New Roman" w:hAnsi="Trebuchet MS" w:cs="Segoe UI"/>
          <w:lang w:eastAsia="en-GB"/>
        </w:rPr>
        <w:t xml:space="preserve"> by their degree of formality, the authority of the third party, and their relationship to the legal system. </w:t>
      </w:r>
      <w:r w:rsidR="00300CF0" w:rsidRPr="0097543D">
        <w:rPr>
          <w:rFonts w:ascii="Trebuchet MS" w:eastAsia="Times New Roman" w:hAnsi="Trebuchet MS" w:cs="Segoe UI"/>
          <w:lang w:eastAsia="en-GB"/>
        </w:rPr>
        <w:t>They can be seen</w:t>
      </w:r>
      <w:r w:rsidR="00610347" w:rsidRPr="00610347">
        <w:rPr>
          <w:rFonts w:ascii="Trebuchet MS" w:eastAsia="Times New Roman" w:hAnsi="Trebuchet MS" w:cs="Segoe UI"/>
          <w:lang w:eastAsia="en-GB"/>
        </w:rPr>
        <w:t xml:space="preserve"> as operating along a </w:t>
      </w:r>
      <w:r w:rsidR="00D24271" w:rsidRPr="0097543D">
        <w:rPr>
          <w:rFonts w:ascii="Trebuchet MS" w:eastAsia="Times New Roman" w:hAnsi="Trebuchet MS" w:cs="Segoe UI"/>
          <w:lang w:eastAsia="en-GB"/>
        </w:rPr>
        <w:t>scale of formality</w:t>
      </w:r>
      <w:r w:rsidR="00610347" w:rsidRPr="00610347">
        <w:rPr>
          <w:rFonts w:ascii="Trebuchet MS" w:eastAsia="Times New Roman" w:hAnsi="Trebuchet MS" w:cs="Segoe UI"/>
          <w:lang w:eastAsia="en-GB"/>
        </w:rPr>
        <w:t>, with mediation as the least formal, conciliation occupying a middle position, and arbitration representing the most formal.</w:t>
      </w:r>
    </w:p>
    <w:p w14:paraId="09E6214A" w14:textId="04A6D63B" w:rsidR="006C7D14" w:rsidRPr="006C7D14" w:rsidRDefault="006C7D14" w:rsidP="0097543D">
      <w:pPr>
        <w:spacing w:after="0" w:line="300" w:lineRule="atLeast"/>
        <w:jc w:val="both"/>
        <w:rPr>
          <w:rFonts w:ascii="Trebuchet MS" w:eastAsia="Times New Roman" w:hAnsi="Trebuchet MS" w:cs="Segoe UI"/>
          <w:lang w:eastAsia="en-GB"/>
        </w:rPr>
      </w:pPr>
      <w:r w:rsidRPr="006C7D14">
        <w:rPr>
          <w:rFonts w:ascii="Trebuchet MS" w:eastAsia="Times New Roman" w:hAnsi="Trebuchet MS" w:cs="Segoe UI"/>
          <w:lang w:eastAsia="en-GB"/>
        </w:rPr>
        <w:t>Mediation is a voluntary, flexible, and informal process in which an impartial third party facilitates communication between individuals in dispute without exercising authority over the outcome. Mediators do not impose decisions, judge the merits of cases, or determine settlement terms. Instead, they create a safe and confidential space where parties can clarify issues, explore perspectives, and collaboratively develop mutually acceptable solutions, while decision</w:t>
      </w:r>
      <w:r w:rsidRPr="006C7D14">
        <w:rPr>
          <w:rFonts w:ascii="Trebuchet MS" w:eastAsia="Times New Roman" w:hAnsi="Trebuchet MS" w:cs="Segoe UI"/>
          <w:lang w:eastAsia="en-GB"/>
        </w:rPr>
        <w:noBreakHyphen/>
        <w:t>making responsibility remains with the participants (CIPD, 2025)</w:t>
      </w:r>
    </w:p>
    <w:p w14:paraId="5A6E4CB9" w14:textId="27CEFC50" w:rsidR="00610347" w:rsidRPr="00610347" w:rsidRDefault="00610347" w:rsidP="0097543D">
      <w:pPr>
        <w:spacing w:before="100" w:beforeAutospacing="1" w:after="100" w:afterAutospacing="1" w:line="300" w:lineRule="atLeast"/>
        <w:jc w:val="both"/>
        <w:rPr>
          <w:rFonts w:ascii="Trebuchet MS" w:eastAsia="Times New Roman" w:hAnsi="Trebuchet MS" w:cs="Segoe UI"/>
          <w:lang w:eastAsia="en-GB"/>
        </w:rPr>
      </w:pPr>
      <w:r w:rsidRPr="00610347">
        <w:rPr>
          <w:rFonts w:ascii="Trebuchet MS" w:eastAsia="Times New Roman" w:hAnsi="Trebuchet MS" w:cs="Segoe UI"/>
          <w:lang w:eastAsia="en-GB"/>
        </w:rPr>
        <w:lastRenderedPageBreak/>
        <w:t>Mediation is characterised by minimal procedural constraints: there are typically no formal rules of evidence, no fixed stages, and no requirement that agreement be reached. Outcomes are not automatically legally binding and may remain informal unless the parties choose to formalise them. This intentional informality supports party autonomy and makes mediation particularly suitable for relational, organisational, and workplace disputes (Queen Mary University of London, 2021).</w:t>
      </w:r>
    </w:p>
    <w:p w14:paraId="54824E84" w14:textId="668C9756" w:rsidR="00610347" w:rsidRPr="00610347" w:rsidRDefault="00610347" w:rsidP="0097543D">
      <w:pPr>
        <w:spacing w:before="100" w:beforeAutospacing="1" w:after="100" w:afterAutospacing="1" w:line="300" w:lineRule="atLeast"/>
        <w:jc w:val="both"/>
        <w:rPr>
          <w:rFonts w:ascii="Trebuchet MS" w:eastAsia="Times New Roman" w:hAnsi="Trebuchet MS" w:cs="Segoe UI"/>
          <w:lang w:eastAsia="en-GB"/>
        </w:rPr>
      </w:pPr>
      <w:r w:rsidRPr="00610347">
        <w:rPr>
          <w:rFonts w:ascii="Trebuchet MS" w:eastAsia="Times New Roman" w:hAnsi="Trebuchet MS" w:cs="Segoe UI"/>
          <w:lang w:eastAsia="en-GB"/>
        </w:rPr>
        <w:t>Conciliation, while sharing mediation’s non</w:t>
      </w:r>
      <w:r w:rsidRPr="00610347">
        <w:rPr>
          <w:rFonts w:ascii="Trebuchet MS" w:eastAsia="Times New Roman" w:hAnsi="Trebuchet MS" w:cs="Segoe UI"/>
          <w:lang w:eastAsia="en-GB"/>
        </w:rPr>
        <w:noBreakHyphen/>
        <w:t>adversarial ethos, is generally more structured and outcome</w:t>
      </w:r>
      <w:r w:rsidRPr="00610347">
        <w:rPr>
          <w:rFonts w:ascii="Trebuchet MS" w:eastAsia="Times New Roman" w:hAnsi="Trebuchet MS" w:cs="Segoe UI"/>
          <w:lang w:eastAsia="en-GB"/>
        </w:rPr>
        <w:noBreakHyphen/>
        <w:t>focused. In the UK, conciliation is closely associated with statutory frameworks, most notably through ACAS in employment disputes. ACAS conciliation, especially Early Conciliation, is embedded within employment law and functions as a mandatory precursor to most Employment Tribunal claims (ACAS, n.d.). The conciliator plays a more interventionist role than a mediator, often relaying offers between parties, reality</w:t>
      </w:r>
      <w:r w:rsidRPr="00610347">
        <w:rPr>
          <w:rFonts w:ascii="Trebuchet MS" w:eastAsia="Times New Roman" w:hAnsi="Trebuchet MS" w:cs="Segoe UI"/>
          <w:lang w:eastAsia="en-GB"/>
        </w:rPr>
        <w:noBreakHyphen/>
        <w:t xml:space="preserve">testing positions, and suggesting potential settlement terms. Although conciliatory processes preserve voluntariness in settlement, their institutional embedding and legal consequences make them more formal than mediation (Latreille and </w:t>
      </w:r>
      <w:proofErr w:type="spellStart"/>
      <w:r w:rsidRPr="00610347">
        <w:rPr>
          <w:rFonts w:ascii="Trebuchet MS" w:eastAsia="Times New Roman" w:hAnsi="Trebuchet MS" w:cs="Segoe UI"/>
          <w:lang w:eastAsia="en-GB"/>
        </w:rPr>
        <w:t>Saundry</w:t>
      </w:r>
      <w:proofErr w:type="spellEnd"/>
      <w:r w:rsidRPr="00610347">
        <w:rPr>
          <w:rFonts w:ascii="Trebuchet MS" w:eastAsia="Times New Roman" w:hAnsi="Trebuchet MS" w:cs="Segoe UI"/>
          <w:lang w:eastAsia="en-GB"/>
        </w:rPr>
        <w:t>, 2016).</w:t>
      </w:r>
    </w:p>
    <w:p w14:paraId="6AD6967D" w14:textId="6F9E14DC" w:rsidR="003A6CDF" w:rsidRPr="003A6CDF" w:rsidRDefault="003A6CDF" w:rsidP="0097543D">
      <w:pPr>
        <w:spacing w:after="0" w:line="300" w:lineRule="atLeast"/>
        <w:jc w:val="both"/>
        <w:rPr>
          <w:rFonts w:ascii="Trebuchet MS" w:eastAsia="Times New Roman" w:hAnsi="Trebuchet MS" w:cs="Segoe UI"/>
          <w:lang w:eastAsia="en-GB"/>
        </w:rPr>
      </w:pPr>
      <w:r w:rsidRPr="003A6CDF">
        <w:rPr>
          <w:rFonts w:ascii="Trebuchet MS" w:eastAsia="Times New Roman" w:hAnsi="Trebuchet MS" w:cs="Segoe UI"/>
          <w:lang w:eastAsia="en-GB"/>
        </w:rPr>
        <w:t>In contrast, arbitration represents the most formal mechanism within the spectrum of alternative dispute resolution and differs fundamentally from mediation and conciliation in its adjudicative nature. In arbitration, the arbitrator performs a quasi</w:t>
      </w:r>
      <w:r w:rsidRPr="003A6CDF">
        <w:rPr>
          <w:rFonts w:ascii="Trebuchet MS" w:eastAsia="Times New Roman" w:hAnsi="Trebuchet MS" w:cs="Segoe UI"/>
          <w:lang w:eastAsia="en-GB"/>
        </w:rPr>
        <w:noBreakHyphen/>
        <w:t>judicial role, considering the parties’ submissions and evidence before issuing a decision that is final and legally binding. In England and Wales, arbitration is governed by the Arbitration Act 1996, which establishes a comprehensive statutory framework governing arbitral proceedings, the powers of arbitrators, and the enforceability of awards. Although arbitration offers advantages such as confidentiality and greater procedural flexibility when compared with litigation, it closely mirrors court processes in its emphasis on finality and the limited degree of party control over outcomes. Consequently, arbitration occupies the most formal position within the ADR continuum (Daniels, 202</w:t>
      </w:r>
      <w:r w:rsidR="00890B34" w:rsidRPr="0097543D">
        <w:rPr>
          <w:rFonts w:ascii="Trebuchet MS" w:eastAsia="Times New Roman" w:hAnsi="Trebuchet MS" w:cs="Segoe UI"/>
          <w:lang w:eastAsia="en-GB"/>
        </w:rPr>
        <w:t>5</w:t>
      </w:r>
      <w:r w:rsidRPr="003A6CDF">
        <w:rPr>
          <w:rFonts w:ascii="Trebuchet MS" w:eastAsia="Times New Roman" w:hAnsi="Trebuchet MS" w:cs="Segoe UI"/>
          <w:lang w:eastAsia="en-GB"/>
        </w:rPr>
        <w:t>).</w:t>
      </w:r>
    </w:p>
    <w:p w14:paraId="5B47EFE6" w14:textId="04A0E50B" w:rsidR="003250B4" w:rsidRPr="003250B4" w:rsidRDefault="003250B4" w:rsidP="003250B4">
      <w:pPr>
        <w:spacing w:after="0" w:line="300" w:lineRule="atLeast"/>
        <w:rPr>
          <w:rFonts w:ascii="Segoe UI" w:eastAsia="Times New Roman" w:hAnsi="Segoe UI" w:cs="Segoe UI"/>
          <w:sz w:val="21"/>
          <w:szCs w:val="21"/>
          <w:lang w:eastAsia="en-GB"/>
        </w:rPr>
      </w:pPr>
    </w:p>
    <w:p w14:paraId="115CD3AF" w14:textId="77777777" w:rsidR="00890B34" w:rsidRPr="00B42BAE" w:rsidRDefault="00890B34" w:rsidP="00B42BAE">
      <w:pPr>
        <w:pBdr>
          <w:top w:val="nil"/>
          <w:left w:val="nil"/>
          <w:bottom w:val="nil"/>
          <w:right w:val="nil"/>
          <w:between w:val="nil"/>
          <w:bar w:val="nil"/>
        </w:pBdr>
        <w:spacing w:after="0" w:line="240" w:lineRule="auto"/>
        <w:rPr>
          <w:rFonts w:ascii="Trebuchet MS" w:eastAsia="Arial Unicode MS" w:hAnsi="Trebuchet MS" w:cs="Arial Unicode MS"/>
          <w:b/>
          <w:bCs/>
          <w:color w:val="000000"/>
          <w:u w:color="000000"/>
          <w:bdr w:val="nil"/>
          <w:lang w:val="en-US" w:eastAsia="en-GB"/>
        </w:rPr>
      </w:pPr>
    </w:p>
    <w:p w14:paraId="4078D0AF" w14:textId="76BDFBD5" w:rsidR="00B42BAE" w:rsidRPr="00B42BAE"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B42BAE">
        <w:rPr>
          <w:rFonts w:ascii="Trebuchet MS" w:eastAsia="Arial Unicode MS" w:hAnsi="Trebuchet MS" w:cs="Arial Unicode MS"/>
          <w:color w:val="4472C4" w:themeColor="accent1"/>
          <w:u w:color="000000"/>
          <w:bdr w:val="nil"/>
          <w:lang w:val="en-US" w:eastAsia="en-GB"/>
        </w:rPr>
        <w:t>Explain the principles of legislation relating to unfair dismissal in respect of capability and misconduct issues. (AC 3.1)</w:t>
      </w:r>
    </w:p>
    <w:p w14:paraId="34169189" w14:textId="53217B77" w:rsidR="00243DC9" w:rsidRPr="005462B2" w:rsidRDefault="005462B2" w:rsidP="00243DC9">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 xml:space="preserve">Capability </w:t>
      </w:r>
      <w:r w:rsidR="00E254D9">
        <w:rPr>
          <w:rFonts w:ascii="Trebuchet MS" w:eastAsia="Times New Roman" w:hAnsi="Trebuchet MS" w:cs="Segoe UI"/>
          <w:lang w:eastAsia="en-GB"/>
        </w:rPr>
        <w:t>and conduct are</w:t>
      </w:r>
      <w:r w:rsidRPr="005462B2">
        <w:rPr>
          <w:rFonts w:ascii="Trebuchet MS" w:eastAsia="Times New Roman" w:hAnsi="Trebuchet MS" w:cs="Segoe UI"/>
          <w:lang w:eastAsia="en-GB"/>
        </w:rPr>
        <w:t xml:space="preserve"> </w:t>
      </w:r>
      <w:r w:rsidR="00E254D9">
        <w:rPr>
          <w:rFonts w:ascii="Trebuchet MS" w:eastAsia="Times New Roman" w:hAnsi="Trebuchet MS" w:cs="Segoe UI"/>
          <w:lang w:eastAsia="en-GB"/>
        </w:rPr>
        <w:t>two</w:t>
      </w:r>
      <w:r w:rsidRPr="005462B2">
        <w:rPr>
          <w:rFonts w:ascii="Trebuchet MS" w:eastAsia="Times New Roman" w:hAnsi="Trebuchet MS" w:cs="Segoe UI"/>
          <w:lang w:eastAsia="en-GB"/>
        </w:rPr>
        <w:t xml:space="preserve"> of the five potentially fair reasons for dismissal set out in section 98 of the ERA 1996</w:t>
      </w:r>
      <w:r w:rsidR="00CE1C3F">
        <w:rPr>
          <w:rFonts w:ascii="Trebuchet MS" w:eastAsia="Times New Roman" w:hAnsi="Trebuchet MS" w:cs="Segoe UI"/>
          <w:lang w:eastAsia="en-GB"/>
        </w:rPr>
        <w:t>.</w:t>
      </w:r>
      <w:r w:rsidR="00243DC9" w:rsidRPr="00243DC9">
        <w:rPr>
          <w:rFonts w:ascii="Trebuchet MS" w:eastAsia="Times New Roman" w:hAnsi="Trebuchet MS" w:cs="Segoe UI"/>
          <w:lang w:eastAsia="en-GB"/>
        </w:rPr>
        <w:t xml:space="preserve"> </w:t>
      </w:r>
      <w:r w:rsidR="00243DC9" w:rsidRPr="005462B2">
        <w:rPr>
          <w:rFonts w:ascii="Trebuchet MS" w:eastAsia="Times New Roman" w:hAnsi="Trebuchet MS" w:cs="Segoe UI"/>
          <w:lang w:eastAsia="en-GB"/>
        </w:rPr>
        <w:t xml:space="preserve">To be lawful, a dismissal must be for a potentially fair </w:t>
      </w:r>
      <w:proofErr w:type="gramStart"/>
      <w:r w:rsidR="00243DC9" w:rsidRPr="005462B2">
        <w:rPr>
          <w:rFonts w:ascii="Trebuchet MS" w:eastAsia="Times New Roman" w:hAnsi="Trebuchet MS" w:cs="Segoe UI"/>
          <w:lang w:eastAsia="en-GB"/>
        </w:rPr>
        <w:t>reason</w:t>
      </w:r>
      <w:proofErr w:type="gramEnd"/>
      <w:r w:rsidR="00243DC9" w:rsidRPr="005462B2">
        <w:rPr>
          <w:rFonts w:ascii="Trebuchet MS" w:eastAsia="Times New Roman" w:hAnsi="Trebuchet MS" w:cs="Segoe UI"/>
          <w:lang w:eastAsia="en-GB"/>
        </w:rPr>
        <w:t xml:space="preserve"> and the employer must act reasonably in all the circumstances.</w:t>
      </w:r>
    </w:p>
    <w:p w14:paraId="799AF153" w14:textId="033D1D42" w:rsidR="005462B2" w:rsidRPr="00B937FE" w:rsidRDefault="008B6A9E" w:rsidP="005462B2">
      <w:pPr>
        <w:spacing w:before="100" w:beforeAutospacing="1" w:after="100" w:afterAutospacing="1" w:line="300" w:lineRule="atLeast"/>
        <w:rPr>
          <w:rFonts w:ascii="Trebuchet MS" w:eastAsia="Times New Roman" w:hAnsi="Trebuchet MS" w:cs="Segoe UI"/>
          <w:lang w:eastAsia="en-GB"/>
        </w:rPr>
      </w:pPr>
      <w:r>
        <w:rPr>
          <w:rFonts w:ascii="Trebuchet MS" w:eastAsia="Times New Roman" w:hAnsi="Trebuchet MS" w:cs="Segoe UI"/>
          <w:lang w:eastAsia="en-GB"/>
        </w:rPr>
        <w:t>Daniels (</w:t>
      </w:r>
      <w:r w:rsidR="00DD525E">
        <w:rPr>
          <w:rFonts w:ascii="Trebuchet MS" w:eastAsia="Times New Roman" w:hAnsi="Trebuchet MS" w:cs="Segoe UI"/>
          <w:lang w:eastAsia="en-GB"/>
        </w:rPr>
        <w:t>2025) refer</w:t>
      </w:r>
      <w:r w:rsidR="001461BE">
        <w:rPr>
          <w:rFonts w:ascii="Trebuchet MS" w:eastAsia="Times New Roman" w:hAnsi="Trebuchet MS" w:cs="Segoe UI"/>
          <w:lang w:eastAsia="en-GB"/>
        </w:rPr>
        <w:t>ences</w:t>
      </w:r>
      <w:r w:rsidR="00DD525E">
        <w:rPr>
          <w:rFonts w:ascii="Trebuchet MS" w:eastAsia="Times New Roman" w:hAnsi="Trebuchet MS" w:cs="Segoe UI"/>
          <w:lang w:eastAsia="en-GB"/>
        </w:rPr>
        <w:t xml:space="preserve"> the ERA (1996) in </w:t>
      </w:r>
      <w:r w:rsidR="00F354B3">
        <w:rPr>
          <w:rFonts w:ascii="Trebuchet MS" w:eastAsia="Times New Roman" w:hAnsi="Trebuchet MS" w:cs="Segoe UI"/>
          <w:lang w:eastAsia="en-GB"/>
        </w:rPr>
        <w:t>defining</w:t>
      </w:r>
      <w:r w:rsidR="00DD525E">
        <w:rPr>
          <w:rFonts w:ascii="Trebuchet MS" w:eastAsia="Times New Roman" w:hAnsi="Trebuchet MS" w:cs="Segoe UI"/>
          <w:lang w:eastAsia="en-GB"/>
        </w:rPr>
        <w:t xml:space="preserve"> </w:t>
      </w:r>
      <w:r w:rsidR="00F354B3">
        <w:rPr>
          <w:rFonts w:ascii="Trebuchet MS" w:eastAsia="Times New Roman" w:hAnsi="Trebuchet MS" w:cs="Segoe UI"/>
          <w:lang w:eastAsia="en-GB"/>
        </w:rPr>
        <w:t>capability</w:t>
      </w:r>
      <w:r w:rsidR="00DD525E">
        <w:rPr>
          <w:rFonts w:ascii="Trebuchet MS" w:eastAsia="Times New Roman" w:hAnsi="Trebuchet MS" w:cs="Segoe UI"/>
          <w:lang w:eastAsia="en-GB"/>
        </w:rPr>
        <w:t xml:space="preserve"> as skill, aptitude, health or any other physical or mental quality</w:t>
      </w:r>
      <w:r w:rsidR="001461BE">
        <w:rPr>
          <w:rFonts w:ascii="Trebuchet MS" w:eastAsia="Times New Roman" w:hAnsi="Trebuchet MS" w:cs="Segoe UI"/>
          <w:lang w:eastAsia="en-GB"/>
        </w:rPr>
        <w:t xml:space="preserve"> with </w:t>
      </w:r>
      <w:r w:rsidR="008B2F08">
        <w:rPr>
          <w:rFonts w:ascii="Trebuchet MS" w:eastAsia="Times New Roman" w:hAnsi="Trebuchet MS" w:cs="Segoe UI"/>
          <w:lang w:eastAsia="en-GB"/>
        </w:rPr>
        <w:t>qualifications</w:t>
      </w:r>
      <w:r w:rsidR="001461BE">
        <w:rPr>
          <w:rFonts w:ascii="Trebuchet MS" w:eastAsia="Times New Roman" w:hAnsi="Trebuchet MS" w:cs="Segoe UI"/>
          <w:lang w:eastAsia="en-GB"/>
        </w:rPr>
        <w:t xml:space="preserve"> defined as </w:t>
      </w:r>
      <w:r w:rsidR="00D72E7C">
        <w:rPr>
          <w:rFonts w:ascii="Trebuchet MS" w:eastAsia="Times New Roman" w:hAnsi="Trebuchet MS" w:cs="Segoe UI"/>
          <w:lang w:eastAsia="en-GB"/>
        </w:rPr>
        <w:t xml:space="preserve">any degree, diploma or other academic, technical or professional qualification relevant to the position which the </w:t>
      </w:r>
      <w:r w:rsidR="0049757E">
        <w:rPr>
          <w:rFonts w:ascii="Trebuchet MS" w:eastAsia="Times New Roman" w:hAnsi="Trebuchet MS" w:cs="Segoe UI"/>
          <w:lang w:eastAsia="en-GB"/>
        </w:rPr>
        <w:t>employee</w:t>
      </w:r>
      <w:r w:rsidR="00D72E7C">
        <w:rPr>
          <w:rFonts w:ascii="Trebuchet MS" w:eastAsia="Times New Roman" w:hAnsi="Trebuchet MS" w:cs="Segoe UI"/>
          <w:lang w:eastAsia="en-GB"/>
        </w:rPr>
        <w:t xml:space="preserve"> holds.</w:t>
      </w:r>
      <w:r w:rsidR="00B937FE">
        <w:rPr>
          <w:rFonts w:ascii="Trebuchet MS" w:eastAsia="Times New Roman" w:hAnsi="Trebuchet MS" w:cs="Segoe UI"/>
          <w:lang w:eastAsia="en-GB"/>
        </w:rPr>
        <w:t xml:space="preserve"> </w:t>
      </w:r>
      <w:r w:rsidR="005462B2" w:rsidRPr="005462B2">
        <w:rPr>
          <w:rFonts w:ascii="Trebuchet MS" w:eastAsia="Times New Roman" w:hAnsi="Trebuchet MS" w:cs="Segoe UI"/>
          <w:lang w:eastAsia="en-GB"/>
        </w:rPr>
        <w:t xml:space="preserve">In capability cases, the key legal principle is that dismissal must be </w:t>
      </w:r>
      <w:r w:rsidR="005462B2" w:rsidRPr="00B937FE">
        <w:rPr>
          <w:rFonts w:ascii="Trebuchet MS" w:eastAsia="Times New Roman" w:hAnsi="Trebuchet MS" w:cs="Segoe UI"/>
          <w:lang w:eastAsia="en-GB"/>
        </w:rPr>
        <w:t>a last resort following a fair and supportive process.</w:t>
      </w:r>
    </w:p>
    <w:p w14:paraId="4828EA53" w14:textId="77777777" w:rsid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Employers are expected to identify performance concerns clearly, provide adequate training, support and reasonable time for improvement, and consider adjustments where appropriate. For ill</w:t>
      </w:r>
      <w:r w:rsidRPr="005462B2">
        <w:rPr>
          <w:rFonts w:ascii="Trebuchet MS" w:eastAsia="Times New Roman" w:hAnsi="Trebuchet MS" w:cs="Segoe UI"/>
          <w:lang w:eastAsia="en-GB"/>
        </w:rPr>
        <w:noBreakHyphen/>
        <w:t>health capability cases, employers must also consider medical evidence and engage with the employee before reaching a decision. Failure to follow a structured capability procedure, including warnings and review periods, is likely to render the dismissal unfair, even where performance issues are genuine (CIPD, 2024).</w:t>
      </w:r>
    </w:p>
    <w:p w14:paraId="1306250F" w14:textId="77777777" w:rsidR="00524456" w:rsidRDefault="00524456" w:rsidP="00E20CD3">
      <w:pPr>
        <w:spacing w:before="100" w:beforeAutospacing="1" w:after="100" w:afterAutospacing="1" w:line="300" w:lineRule="atLeast"/>
        <w:rPr>
          <w:rFonts w:ascii="Trebuchet MS" w:eastAsia="Times New Roman" w:hAnsi="Trebuchet MS" w:cs="Segoe UI"/>
          <w:lang w:eastAsia="en-GB"/>
        </w:rPr>
      </w:pPr>
      <w:r w:rsidRPr="00524456">
        <w:rPr>
          <w:rFonts w:ascii="Trebuchet MS" w:eastAsia="Times New Roman" w:hAnsi="Trebuchet MS" w:cs="Segoe UI"/>
          <w:lang w:eastAsia="en-GB"/>
        </w:rPr>
        <w:lastRenderedPageBreak/>
        <w:t xml:space="preserve">The fairness of a dismissal on capability grounds turns on whether the employer acted reasonably </w:t>
      </w:r>
      <w:proofErr w:type="gramStart"/>
      <w:r w:rsidRPr="00524456">
        <w:rPr>
          <w:rFonts w:ascii="Trebuchet MS" w:eastAsia="Times New Roman" w:hAnsi="Trebuchet MS" w:cs="Segoe UI"/>
          <w:lang w:eastAsia="en-GB"/>
        </w:rPr>
        <w:t>in light of</w:t>
      </w:r>
      <w:proofErr w:type="gramEnd"/>
      <w:r w:rsidRPr="00524456">
        <w:rPr>
          <w:rFonts w:ascii="Trebuchet MS" w:eastAsia="Times New Roman" w:hAnsi="Trebuchet MS" w:cs="Segoe UI"/>
          <w:lang w:eastAsia="en-GB"/>
        </w:rPr>
        <w:t xml:space="preserve"> the information available at the time. This requires a balanced, evidence</w:t>
      </w:r>
      <w:r w:rsidRPr="00524456">
        <w:rPr>
          <w:rFonts w:ascii="Trebuchet MS" w:eastAsia="Times New Roman" w:hAnsi="Trebuchet MS" w:cs="Segoe UI"/>
          <w:lang w:eastAsia="en-GB"/>
        </w:rPr>
        <w:noBreakHyphen/>
        <w:t>based approach, taking account of medical evidence, operational pressures, the prospect of improvement, and the availability of alternative roles or adjustments.</w:t>
      </w:r>
    </w:p>
    <w:p w14:paraId="19FDA05B" w14:textId="2E068FF5" w:rsidR="00CC7EDC" w:rsidRPr="00524456" w:rsidRDefault="00CC7EDC" w:rsidP="00E20CD3">
      <w:pPr>
        <w:spacing w:before="100" w:beforeAutospacing="1" w:after="100" w:afterAutospacing="1" w:line="300" w:lineRule="atLeast"/>
        <w:rPr>
          <w:rFonts w:ascii="Trebuchet MS" w:eastAsia="Times New Roman" w:hAnsi="Trebuchet MS" w:cs="Segoe UI"/>
          <w:lang w:eastAsia="en-GB"/>
        </w:rPr>
      </w:pPr>
      <w:r>
        <w:rPr>
          <w:rFonts w:ascii="Trebuchet MS" w:eastAsia="Times New Roman" w:hAnsi="Trebuchet MS" w:cs="Segoe UI"/>
          <w:lang w:eastAsia="en-GB"/>
        </w:rPr>
        <w:t>I</w:t>
      </w:r>
      <w:r w:rsidRPr="00B937FE">
        <w:rPr>
          <w:rFonts w:ascii="Trebuchet MS" w:eastAsia="Times New Roman" w:hAnsi="Trebuchet MS" w:cs="Segoe UI"/>
          <w:lang w:eastAsia="en-GB"/>
        </w:rPr>
        <w:t xml:space="preserve">n assessing the fairness of a dismissal on grounds of capability, it is </w:t>
      </w:r>
      <w:r w:rsidR="00154DA1">
        <w:rPr>
          <w:rFonts w:ascii="Trebuchet MS" w:eastAsia="Times New Roman" w:hAnsi="Trebuchet MS" w:cs="Segoe UI"/>
          <w:lang w:eastAsia="en-GB"/>
        </w:rPr>
        <w:t>usefu</w:t>
      </w:r>
      <w:r w:rsidR="00D118F9">
        <w:rPr>
          <w:rFonts w:ascii="Trebuchet MS" w:eastAsia="Times New Roman" w:hAnsi="Trebuchet MS" w:cs="Segoe UI"/>
          <w:lang w:eastAsia="en-GB"/>
        </w:rPr>
        <w:t>l</w:t>
      </w:r>
      <w:r w:rsidRPr="00B937FE">
        <w:rPr>
          <w:rFonts w:ascii="Trebuchet MS" w:eastAsia="Times New Roman" w:hAnsi="Trebuchet MS" w:cs="Segoe UI"/>
          <w:lang w:eastAsia="en-GB"/>
        </w:rPr>
        <w:t xml:space="preserve"> to have regard to </w:t>
      </w:r>
      <w:proofErr w:type="gramStart"/>
      <w:r w:rsidRPr="00B937FE">
        <w:rPr>
          <w:rFonts w:ascii="Trebuchet MS" w:eastAsia="Times New Roman" w:hAnsi="Trebuchet MS" w:cs="Segoe UI"/>
          <w:lang w:eastAsia="en-GB"/>
        </w:rPr>
        <w:t>a number of</w:t>
      </w:r>
      <w:proofErr w:type="gramEnd"/>
      <w:r w:rsidRPr="00B937FE">
        <w:rPr>
          <w:rFonts w:ascii="Trebuchet MS" w:eastAsia="Times New Roman" w:hAnsi="Trebuchet MS" w:cs="Segoe UI"/>
          <w:lang w:eastAsia="en-GB"/>
        </w:rPr>
        <w:t xml:space="preserve"> key legal </w:t>
      </w:r>
      <w:r w:rsidR="00B215C5">
        <w:rPr>
          <w:rFonts w:ascii="Trebuchet MS" w:eastAsia="Times New Roman" w:hAnsi="Trebuchet MS" w:cs="Segoe UI"/>
          <w:lang w:eastAsia="en-GB"/>
        </w:rPr>
        <w:t>cases</w:t>
      </w:r>
      <w:r w:rsidR="007579FD">
        <w:rPr>
          <w:rFonts w:ascii="Trebuchet MS" w:eastAsia="Times New Roman" w:hAnsi="Trebuchet MS" w:cs="Segoe UI"/>
          <w:lang w:eastAsia="en-GB"/>
        </w:rPr>
        <w:t>, four of which</w:t>
      </w:r>
      <w:r w:rsidR="00D118F9">
        <w:rPr>
          <w:rFonts w:ascii="Trebuchet MS" w:eastAsia="Times New Roman" w:hAnsi="Trebuchet MS" w:cs="Segoe UI"/>
          <w:lang w:eastAsia="en-GB"/>
        </w:rPr>
        <w:t xml:space="preserve"> </w:t>
      </w:r>
      <w:r w:rsidR="00583832">
        <w:rPr>
          <w:rFonts w:ascii="Trebuchet MS" w:eastAsia="Times New Roman" w:hAnsi="Trebuchet MS" w:cs="Segoe UI"/>
          <w:lang w:eastAsia="en-GB"/>
        </w:rPr>
        <w:t>are</w:t>
      </w:r>
      <w:r w:rsidR="00D118F9">
        <w:rPr>
          <w:rFonts w:ascii="Trebuchet MS" w:eastAsia="Times New Roman" w:hAnsi="Trebuchet MS" w:cs="Segoe UI"/>
          <w:lang w:eastAsia="en-GB"/>
        </w:rPr>
        <w:t xml:space="preserve"> outlined in Figure </w:t>
      </w:r>
      <w:r w:rsidR="00B215C5">
        <w:rPr>
          <w:rFonts w:ascii="Trebuchet MS" w:eastAsia="Times New Roman" w:hAnsi="Trebuchet MS" w:cs="Segoe UI"/>
          <w:lang w:eastAsia="en-GB"/>
        </w:rPr>
        <w:t>5.</w:t>
      </w:r>
    </w:p>
    <w:p w14:paraId="689946D4" w14:textId="39A74E5D" w:rsidR="00820A92" w:rsidRDefault="00956183" w:rsidP="00091D44">
      <w:pPr>
        <w:spacing w:before="100" w:beforeAutospacing="1" w:after="100" w:afterAutospacing="1" w:line="300" w:lineRule="atLeast"/>
        <w:rPr>
          <w:rFonts w:ascii="Trebuchet MS" w:eastAsia="Times New Roman" w:hAnsi="Trebuchet MS" w:cs="Segoe UI"/>
          <w:b/>
          <w:bCs/>
          <w:lang w:eastAsia="en-GB"/>
        </w:rPr>
      </w:pPr>
      <w:r>
        <w:rPr>
          <w:rFonts w:ascii="Trebuchet MS" w:eastAsia="Times New Roman" w:hAnsi="Trebuchet MS" w:cs="Segoe UI"/>
          <w:b/>
          <w:bCs/>
          <w:noProof/>
          <w:lang w:eastAsia="en-GB"/>
        </w:rPr>
        <w:drawing>
          <wp:inline distT="0" distB="0" distL="0" distR="0" wp14:anchorId="67FE0860" wp14:editId="1F150761">
            <wp:extent cx="5486400" cy="1783582"/>
            <wp:effectExtent l="57150" t="0" r="76200" b="0"/>
            <wp:docPr id="89515578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41E4C57" w14:textId="1DE90B0E" w:rsidR="00B937FE" w:rsidRPr="00B937FE" w:rsidRDefault="00B937FE" w:rsidP="00B937FE">
      <w:pPr>
        <w:spacing w:before="100" w:beforeAutospacing="1" w:after="100" w:afterAutospacing="1" w:line="300" w:lineRule="atLeast"/>
        <w:rPr>
          <w:rFonts w:ascii="Trebuchet MS" w:eastAsia="Times New Roman" w:hAnsi="Trebuchet MS" w:cs="Segoe UI"/>
          <w:lang w:eastAsia="en-GB"/>
        </w:rPr>
      </w:pPr>
      <w:r w:rsidRPr="00B937FE">
        <w:rPr>
          <w:rFonts w:ascii="Trebuchet MS" w:eastAsia="Times New Roman" w:hAnsi="Trebuchet MS" w:cs="Segoe UI"/>
          <w:lang w:eastAsia="en-GB"/>
        </w:rPr>
        <w:t>Collectively, these cases demonstrate that a fair capability dismissal requires a careful, evidence</w:t>
      </w:r>
      <w:r w:rsidRPr="00B937FE">
        <w:rPr>
          <w:rFonts w:ascii="Trebuchet MS" w:eastAsia="Times New Roman" w:hAnsi="Trebuchet MS" w:cs="Segoe UI"/>
          <w:lang w:eastAsia="en-GB"/>
        </w:rPr>
        <w:noBreakHyphen/>
        <w:t>based and reasonable process.</w:t>
      </w:r>
    </w:p>
    <w:p w14:paraId="64B23EA7"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Tribunals will assess whether the employer acted reasonably in treating capability as a sufficient reason for dismissal and whether they followed their own procedures consistently. In the public sector, additional duties may apply, such as the obligation to make reasonable adjustments under equality legislation where a disability is involved.</w:t>
      </w:r>
    </w:p>
    <w:p w14:paraId="03791CC5"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 xml:space="preserve">Misconduct is another potentially fair reason under section 98 ERA 1996 and relates to unacceptable behaviour, such as breach of policies, insubordination, or dishonesty. The key legal principle governing misconduct dismissals is derived from the </w:t>
      </w:r>
      <w:r w:rsidRPr="005462B2">
        <w:rPr>
          <w:rFonts w:ascii="Trebuchet MS" w:eastAsia="Times New Roman" w:hAnsi="Trebuchet MS" w:cs="Segoe UI"/>
          <w:i/>
          <w:iCs/>
          <w:lang w:eastAsia="en-GB"/>
        </w:rPr>
        <w:t>Burchell</w:t>
      </w:r>
      <w:r w:rsidRPr="005462B2">
        <w:rPr>
          <w:rFonts w:ascii="Trebuchet MS" w:eastAsia="Times New Roman" w:hAnsi="Trebuchet MS" w:cs="Segoe UI"/>
          <w:lang w:eastAsia="en-GB"/>
        </w:rPr>
        <w:t xml:space="preserve"> test, which requires employers to demonstrate that they held a genuine belief in the employee’s guilt, based on reasonable grounds, following a reasonable investigation (British Home Stores Ltd v Burchell, 1978).</w:t>
      </w:r>
    </w:p>
    <w:p w14:paraId="58516378"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Unlike capability, misconduct may justify summary dismissal in cases of gross misconduct. However, fairness still depends on procedure. Employers must carry out an impartial investigation, inform the employee of the allegations, allow them to respond, and apply sanctions proportionately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2015). A failure in procedural fairness, even where misconduct occurred, can result in a finding of unfair dismissal.</w:t>
      </w:r>
    </w:p>
    <w:p w14:paraId="45AE69A1" w14:textId="6A87AF92" w:rsidR="00B42BAE" w:rsidRPr="00B42BAE" w:rsidRDefault="00B42BAE" w:rsidP="008C64CA">
      <w:pPr>
        <w:pBdr>
          <w:top w:val="nil"/>
          <w:left w:val="nil"/>
          <w:bottom w:val="nil"/>
          <w:right w:val="nil"/>
          <w:between w:val="nil"/>
          <w:bar w:val="nil"/>
        </w:pBdr>
        <w:spacing w:before="100" w:beforeAutospacing="1" w:after="100" w:afterAutospacing="1" w:line="240" w:lineRule="auto"/>
        <w:rPr>
          <w:rFonts w:ascii="Trebuchet MS" w:eastAsia="Arial Unicode MS" w:hAnsi="Trebuchet MS" w:cs="Arial Unicode MS"/>
          <w:b/>
          <w:bCs/>
          <w:color w:val="4472C4" w:themeColor="accent1"/>
          <w:u w:color="000000"/>
          <w:bdr w:val="nil"/>
          <w:lang w:val="en-US" w:eastAsia="en-GB"/>
        </w:rPr>
      </w:pPr>
      <w:proofErr w:type="spellStart"/>
      <w:r w:rsidRPr="00B42BAE">
        <w:rPr>
          <w:rFonts w:ascii="Trebuchet MS" w:eastAsia="Arial Unicode MS" w:hAnsi="Trebuchet MS" w:cs="Arial Unicode MS"/>
          <w:color w:val="4472C4" w:themeColor="accent1"/>
          <w:u w:color="000000"/>
          <w:bdr w:val="nil"/>
          <w:lang w:val="en-US" w:eastAsia="en-GB"/>
        </w:rPr>
        <w:t>Analyse</w:t>
      </w:r>
      <w:proofErr w:type="spellEnd"/>
      <w:r w:rsidRPr="00B42BAE">
        <w:rPr>
          <w:rFonts w:ascii="Trebuchet MS" w:eastAsia="Arial Unicode MS" w:hAnsi="Trebuchet MS" w:cs="Arial Unicode MS"/>
          <w:color w:val="4472C4" w:themeColor="accent1"/>
          <w:u w:color="000000"/>
          <w:bdr w:val="nil"/>
          <w:lang w:val="en-US" w:eastAsia="en-GB"/>
        </w:rPr>
        <w:t xml:space="preserve"> </w:t>
      </w:r>
      <w:r w:rsidRPr="00B42BAE">
        <w:rPr>
          <w:rFonts w:ascii="Trebuchet MS" w:eastAsia="Arial Unicode MS" w:hAnsi="Trebuchet MS" w:cs="Arial Unicode MS"/>
          <w:b/>
          <w:bCs/>
          <w:color w:val="4472C4" w:themeColor="accent1"/>
          <w:u w:color="000000"/>
          <w:bdr w:val="nil"/>
          <w:lang w:val="en-US" w:eastAsia="en-GB"/>
        </w:rPr>
        <w:t>three</w:t>
      </w:r>
      <w:r w:rsidRPr="00B42BAE">
        <w:rPr>
          <w:rFonts w:ascii="Trebuchet MS" w:eastAsia="Arial Unicode MS" w:hAnsi="Trebuchet MS" w:cs="Arial Unicode MS"/>
          <w:color w:val="4472C4" w:themeColor="accent1"/>
          <w:u w:color="000000"/>
          <w:bdr w:val="nil"/>
          <w:lang w:val="en-US" w:eastAsia="en-GB"/>
        </w:rPr>
        <w:t xml:space="preserve"> key causes of employee grievances. (AC 3.2)</w:t>
      </w:r>
    </w:p>
    <w:p w14:paraId="497494CB" w14:textId="0EE0BB4D" w:rsidR="005462B2" w:rsidRPr="005462B2" w:rsidRDefault="005462B2" w:rsidP="003B4A73">
      <w:pPr>
        <w:spacing w:before="100" w:beforeAutospacing="1" w:after="100" w:afterAutospacing="1" w:line="240" w:lineRule="auto"/>
        <w:rPr>
          <w:rFonts w:ascii="Trebuchet MS" w:eastAsia="Times New Roman" w:hAnsi="Trebuchet MS" w:cs="Segoe UI"/>
          <w:lang w:eastAsia="en-GB"/>
        </w:rPr>
      </w:pPr>
      <w:r w:rsidRPr="005462B2">
        <w:rPr>
          <w:rFonts w:ascii="Trebuchet MS" w:eastAsia="Times New Roman" w:hAnsi="Trebuchet MS" w:cs="Segoe UI"/>
          <w:lang w:eastAsia="en-GB"/>
        </w:rPr>
        <w:t>Employee grievances arise when individuals believe they have been treated unfairly or have experienced a breach of their rights or expectations at work. In the UK, grievances are a critical employee relations issue</w:t>
      </w:r>
      <w:r w:rsidR="00755847">
        <w:rPr>
          <w:rFonts w:ascii="Trebuchet MS" w:eastAsia="Times New Roman" w:hAnsi="Trebuchet MS" w:cs="Segoe UI"/>
          <w:lang w:eastAsia="en-GB"/>
        </w:rPr>
        <w:t>.</w:t>
      </w:r>
      <w:r w:rsidRPr="005462B2">
        <w:rPr>
          <w:rFonts w:ascii="Trebuchet MS" w:eastAsia="Times New Roman" w:hAnsi="Trebuchet MS" w:cs="Segoe UI"/>
          <w:lang w:eastAsia="en-GB"/>
        </w:rPr>
        <w:t xml:space="preserve">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xml:space="preserve"> and CIPD highlight</w:t>
      </w:r>
      <w:r w:rsidR="0009246D">
        <w:rPr>
          <w:rFonts w:ascii="Trebuchet MS" w:eastAsia="Times New Roman" w:hAnsi="Trebuchet MS" w:cs="Segoe UI"/>
          <w:lang w:eastAsia="en-GB"/>
        </w:rPr>
        <w:t xml:space="preserve"> t</w:t>
      </w:r>
      <w:r w:rsidRPr="005462B2">
        <w:rPr>
          <w:rFonts w:ascii="Trebuchet MS" w:eastAsia="Times New Roman" w:hAnsi="Trebuchet MS" w:cs="Segoe UI"/>
          <w:lang w:eastAsia="en-GB"/>
        </w:rPr>
        <w:t xml:space="preserve">hree </w:t>
      </w:r>
      <w:r w:rsidR="00A050B6">
        <w:rPr>
          <w:rFonts w:ascii="Trebuchet MS" w:eastAsia="Times New Roman" w:hAnsi="Trebuchet MS" w:cs="Segoe UI"/>
          <w:lang w:eastAsia="en-GB"/>
        </w:rPr>
        <w:t>common</w:t>
      </w:r>
      <w:r w:rsidRPr="005462B2">
        <w:rPr>
          <w:rFonts w:ascii="Trebuchet MS" w:eastAsia="Times New Roman" w:hAnsi="Trebuchet MS" w:cs="Segoe UI"/>
          <w:lang w:eastAsia="en-GB"/>
        </w:rPr>
        <w:t xml:space="preserve"> causes of employee grievances </w:t>
      </w:r>
      <w:r w:rsidR="0030644E">
        <w:rPr>
          <w:rFonts w:ascii="Trebuchet MS" w:eastAsia="Times New Roman" w:hAnsi="Trebuchet MS" w:cs="Segoe UI"/>
          <w:lang w:eastAsia="en-GB"/>
        </w:rPr>
        <w:t>as being</w:t>
      </w:r>
      <w:r w:rsidRPr="005462B2">
        <w:rPr>
          <w:rFonts w:ascii="Trebuchet MS" w:eastAsia="Times New Roman" w:hAnsi="Trebuchet MS" w:cs="Segoe UI"/>
          <w:lang w:eastAsia="en-GB"/>
        </w:rPr>
        <w:t xml:space="preserve"> line management behaviour, employment terms and conditions, and </w:t>
      </w:r>
      <w:r w:rsidR="005C453E">
        <w:rPr>
          <w:rFonts w:ascii="Trebuchet MS" w:eastAsia="Times New Roman" w:hAnsi="Trebuchet MS" w:cs="Segoe UI"/>
          <w:lang w:eastAsia="en-GB"/>
        </w:rPr>
        <w:t>organisation change</w:t>
      </w:r>
      <w:r w:rsidR="0009246D" w:rsidRPr="0009246D">
        <w:rPr>
          <w:rFonts w:ascii="Trebuchet MS" w:eastAsia="Times New Roman" w:hAnsi="Trebuchet MS" w:cs="Segoe UI"/>
          <w:lang w:eastAsia="en-GB"/>
        </w:rPr>
        <w:t xml:space="preserve"> </w:t>
      </w:r>
      <w:r w:rsidR="0041579D">
        <w:rPr>
          <w:rFonts w:ascii="Trebuchet MS" w:eastAsia="Times New Roman" w:hAnsi="Trebuchet MS" w:cs="Segoe UI"/>
          <w:lang w:eastAsia="en-GB"/>
        </w:rPr>
        <w:t>(</w:t>
      </w:r>
      <w:proofErr w:type="spellStart"/>
      <w:r w:rsidR="0009246D" w:rsidRPr="005462B2">
        <w:rPr>
          <w:rFonts w:ascii="Trebuchet MS" w:eastAsia="Times New Roman" w:hAnsi="Trebuchet MS" w:cs="Segoe UI"/>
          <w:lang w:eastAsia="en-GB"/>
        </w:rPr>
        <w:t>Acas</w:t>
      </w:r>
      <w:proofErr w:type="spellEnd"/>
      <w:r w:rsidR="0009246D" w:rsidRPr="005462B2">
        <w:rPr>
          <w:rFonts w:ascii="Trebuchet MS" w:eastAsia="Times New Roman" w:hAnsi="Trebuchet MS" w:cs="Segoe UI"/>
          <w:lang w:eastAsia="en-GB"/>
        </w:rPr>
        <w:t>, 2015; CIPD, 2024)</w:t>
      </w:r>
    </w:p>
    <w:p w14:paraId="0D814CB7" w14:textId="730D0948" w:rsidR="005462B2" w:rsidRPr="005462B2" w:rsidRDefault="0041579D" w:rsidP="005462B2">
      <w:pPr>
        <w:spacing w:before="100" w:beforeAutospacing="1" w:after="100" w:afterAutospacing="1" w:line="300" w:lineRule="atLeast"/>
        <w:rPr>
          <w:rFonts w:ascii="Trebuchet MS" w:eastAsia="Times New Roman" w:hAnsi="Trebuchet MS" w:cs="Segoe UI"/>
          <w:lang w:eastAsia="en-GB"/>
        </w:rPr>
      </w:pPr>
      <w:r>
        <w:rPr>
          <w:rFonts w:ascii="Trebuchet MS" w:eastAsia="Times New Roman" w:hAnsi="Trebuchet MS" w:cs="Segoe UI"/>
          <w:lang w:eastAsia="en-GB"/>
        </w:rPr>
        <w:t>Poor</w:t>
      </w:r>
      <w:r w:rsidR="005462B2" w:rsidRPr="005462B2">
        <w:rPr>
          <w:rFonts w:ascii="Trebuchet MS" w:eastAsia="Times New Roman" w:hAnsi="Trebuchet MS" w:cs="Segoe UI"/>
          <w:lang w:eastAsia="en-GB"/>
        </w:rPr>
        <w:t xml:space="preserve"> line management behaviour includes bullying, harassment, unfair treatment, inconsistent decision</w:t>
      </w:r>
      <w:r w:rsidR="005462B2" w:rsidRPr="005462B2">
        <w:rPr>
          <w:rFonts w:ascii="Trebuchet MS" w:eastAsia="Times New Roman" w:hAnsi="Trebuchet MS" w:cs="Segoe UI"/>
          <w:lang w:eastAsia="en-GB"/>
        </w:rPr>
        <w:noBreakHyphen/>
        <w:t xml:space="preserve">making and weak people management capability. CIPD (2024) </w:t>
      </w:r>
      <w:r w:rsidR="005462B2" w:rsidRPr="005462B2">
        <w:rPr>
          <w:rFonts w:ascii="Trebuchet MS" w:eastAsia="Times New Roman" w:hAnsi="Trebuchet MS" w:cs="Segoe UI"/>
          <w:lang w:eastAsia="en-GB"/>
        </w:rPr>
        <w:lastRenderedPageBreak/>
        <w:t>research shows that many grievances stem not from policy failings but from the way managers apply policies in practice. Where managers lack confidence or skill in managing performance, absence or conduct, employees may perceive decisions as biased or punitive.</w:t>
      </w:r>
    </w:p>
    <w:p w14:paraId="3468B6F0"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This issue is particularly acute in the public sector, where managers often balance operational responsibilities with people management duties, increasing the risk of conflict escalation. Poor manager–employee relationships undermine trust and psychological safety, making formal grievance procedures more likely when informal resolution could otherwise have occurred.</w:t>
      </w:r>
    </w:p>
    <w:p w14:paraId="77314A8F" w14:textId="452371F2"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Disputes around pay, workload, working hours and contractual terms are another major cause of grievances. While pay levels may be externally constrained</w:t>
      </w:r>
      <w:r w:rsidR="0042470D">
        <w:rPr>
          <w:rFonts w:ascii="Trebuchet MS" w:eastAsia="Times New Roman" w:hAnsi="Trebuchet MS" w:cs="Segoe UI"/>
          <w:lang w:eastAsia="en-GB"/>
        </w:rPr>
        <w:t xml:space="preserve">, </w:t>
      </w:r>
      <w:r w:rsidRPr="005462B2">
        <w:rPr>
          <w:rFonts w:ascii="Trebuchet MS" w:eastAsia="Times New Roman" w:hAnsi="Trebuchet MS" w:cs="Segoe UI"/>
          <w:lang w:eastAsia="en-GB"/>
        </w:rPr>
        <w:t>particularly in the public sector</w:t>
      </w:r>
      <w:r w:rsidR="0042470D">
        <w:rPr>
          <w:rFonts w:ascii="Trebuchet MS" w:eastAsia="Times New Roman" w:hAnsi="Trebuchet MS" w:cs="Segoe UI"/>
          <w:lang w:eastAsia="en-GB"/>
        </w:rPr>
        <w:t xml:space="preserve">, </w:t>
      </w:r>
      <w:r w:rsidRPr="005462B2">
        <w:rPr>
          <w:rFonts w:ascii="Trebuchet MS" w:eastAsia="Times New Roman" w:hAnsi="Trebuchet MS" w:cs="Segoe UI"/>
          <w:lang w:eastAsia="en-GB"/>
        </w:rPr>
        <w:t xml:space="preserve">employees may still raise grievances about perceived inequities, pay progression, or inconsistent application of terms and conditions. According to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xml:space="preserve"> (2015), grievances often arise where changes to terms are poorly communicated or implemented without sufficient consultation.</w:t>
      </w:r>
    </w:p>
    <w:p w14:paraId="390651CD"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These grievances are frequently linked to the psychological contract. When employees believe that organisational promises regarding fairness, reward or security have been broken, dissatisfaction may crystallise into formal complaints. This can be exacerbated during periods of pay restraint or cost</w:t>
      </w:r>
      <w:r w:rsidRPr="005462B2">
        <w:rPr>
          <w:rFonts w:ascii="Trebuchet MS" w:eastAsia="Times New Roman" w:hAnsi="Trebuchet MS" w:cs="Segoe UI"/>
          <w:lang w:eastAsia="en-GB"/>
        </w:rPr>
        <w:noBreakHyphen/>
        <w:t>of</w:t>
      </w:r>
      <w:r w:rsidRPr="005462B2">
        <w:rPr>
          <w:rFonts w:ascii="Trebuchet MS" w:eastAsia="Times New Roman" w:hAnsi="Trebuchet MS" w:cs="Segoe UI"/>
          <w:lang w:eastAsia="en-GB"/>
        </w:rPr>
        <w:noBreakHyphen/>
        <w:t>living pressure, where expectations and realities diverge sharply.</w:t>
      </w:r>
    </w:p>
    <w:p w14:paraId="4F1F3FF6"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Organisational change is a growing source of employee grievances. Restructuring, role redesign, redundancies and increased workloads can generate uncertainty, stress and perceptions of unfair treatment. CIPD (2024) highlights that poorly managed change, particularly where employee voice is limited, significantly increases the likelihood of grievances.</w:t>
      </w:r>
    </w:p>
    <w:p w14:paraId="7CE592B6" w14:textId="77777777"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Employees may raise grievances if they feel selection processes are unfair, workloads are unmanageable, or consultation has been tokenistic. In the public sector, prolonged periods of reform and resource pressure intensify these risks, making grievance procedures a mechanism for employees to seek voice and redress.</w:t>
      </w:r>
    </w:p>
    <w:p w14:paraId="6BFD6491" w14:textId="32AC1703" w:rsidR="005462B2" w:rsidRPr="005462B2" w:rsidRDefault="005462B2" w:rsidP="005462B2">
      <w:pPr>
        <w:spacing w:before="100" w:beforeAutospacing="1" w:after="100" w:afterAutospacing="1" w:line="300" w:lineRule="atLeast"/>
        <w:rPr>
          <w:rFonts w:ascii="Trebuchet MS" w:eastAsia="Times New Roman" w:hAnsi="Trebuchet MS" w:cs="Segoe UI"/>
          <w:lang w:eastAsia="en-GB"/>
        </w:rPr>
      </w:pPr>
      <w:r w:rsidRPr="005462B2">
        <w:rPr>
          <w:rFonts w:ascii="Trebuchet MS" w:eastAsia="Times New Roman" w:hAnsi="Trebuchet MS" w:cs="Segoe UI"/>
          <w:lang w:eastAsia="en-GB"/>
        </w:rPr>
        <w:t>In summary, grievances commonly arise from poor management behaviour, disputes over employment terms, and the impact of organisational change. Addressing these root causes through management capability, effective communication and early conflict resolution is essential for maintaining positive employee relations.</w:t>
      </w:r>
    </w:p>
    <w:p w14:paraId="3C02DBB0" w14:textId="77777777" w:rsidR="00B42BAE" w:rsidRDefault="00B42BAE"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634A1677"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1658C90A"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1B398C96"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01FE2C14"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4E304DE3"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72FA98EC"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5AA3C8B2" w14:textId="77777777" w:rsidR="00B84DC5"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23BF7B1D" w14:textId="77777777" w:rsidR="00B84DC5" w:rsidRPr="00A37E18" w:rsidRDefault="00B84DC5" w:rsidP="00B42BAE">
      <w:pPr>
        <w:pBdr>
          <w:top w:val="nil"/>
          <w:left w:val="nil"/>
          <w:bottom w:val="nil"/>
          <w:right w:val="nil"/>
          <w:between w:val="nil"/>
          <w:bar w:val="nil"/>
        </w:pBdr>
        <w:spacing w:after="0" w:line="264" w:lineRule="auto"/>
        <w:rPr>
          <w:rFonts w:ascii="Trebuchet MS" w:eastAsia="Arial" w:hAnsi="Trebuchet MS" w:cs="Arial"/>
          <w:color w:val="000000"/>
          <w:u w:color="000000"/>
          <w:bdr w:val="nil"/>
          <w:lang w:val="en-US" w:eastAsia="en-GB"/>
        </w:rPr>
      </w:pPr>
    </w:p>
    <w:p w14:paraId="4364BED8" w14:textId="1E123834" w:rsidR="00B42BAE" w:rsidRPr="00B42BAE" w:rsidRDefault="00B42BAE" w:rsidP="00B42BAE">
      <w:pPr>
        <w:pBdr>
          <w:top w:val="nil"/>
          <w:left w:val="nil"/>
          <w:bottom w:val="nil"/>
          <w:right w:val="nil"/>
          <w:between w:val="nil"/>
          <w:bar w:val="nil"/>
        </w:pBdr>
        <w:spacing w:after="0" w:line="264" w:lineRule="auto"/>
        <w:rPr>
          <w:rFonts w:ascii="Trebuchet MS" w:eastAsia="Arial" w:hAnsi="Trebuchet MS" w:cs="Arial"/>
          <w:color w:val="4472C4" w:themeColor="accent1"/>
          <w:u w:color="000000"/>
          <w:bdr w:val="nil"/>
          <w:lang w:val="en-US" w:eastAsia="en-GB"/>
        </w:rPr>
      </w:pPr>
      <w:r w:rsidRPr="00B42BAE">
        <w:rPr>
          <w:rFonts w:ascii="Trebuchet MS" w:eastAsia="Arial" w:hAnsi="Trebuchet MS" w:cs="Arial"/>
          <w:color w:val="4472C4" w:themeColor="accent1"/>
          <w:u w:color="000000"/>
          <w:bdr w:val="nil"/>
          <w:lang w:val="en-US" w:eastAsia="en-GB"/>
        </w:rPr>
        <w:lastRenderedPageBreak/>
        <w:t xml:space="preserve">Advise on the importance of handling grievances effectively. (AC 3.3).  </w:t>
      </w:r>
    </w:p>
    <w:p w14:paraId="1C7B2595" w14:textId="77777777" w:rsidR="005462B2" w:rsidRPr="00A37E18"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Handling employee grievances effectively is a fundamental aspect of good employee relations and people management practice. A grievance arises when an employee feels they have been treated unfairly or believes that a concern has not been appropriately addressed. The way organisations respond to grievances has significant implications for trust, morale, legal compliance and organisational performance.</w:t>
      </w:r>
    </w:p>
    <w:p w14:paraId="3B5D947B" w14:textId="77777777" w:rsidR="005462B2" w:rsidRPr="00A37E18"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 xml:space="preserve">One key reason for handling grievances effectively is to </w:t>
      </w:r>
      <w:r w:rsidRPr="00A37E18">
        <w:rPr>
          <w:rStyle w:val="Strong"/>
          <w:rFonts w:ascii="Trebuchet MS" w:hAnsi="Trebuchet MS" w:cs="Segoe UI"/>
          <w:b w:val="0"/>
          <w:bCs w:val="0"/>
          <w:sz w:val="22"/>
          <w:szCs w:val="22"/>
        </w:rPr>
        <w:t>maintain positive working relationships and trust</w:t>
      </w:r>
      <w:r w:rsidRPr="00A37E18">
        <w:rPr>
          <w:rFonts w:ascii="Trebuchet MS" w:hAnsi="Trebuchet MS" w:cs="Segoe UI"/>
          <w:b/>
          <w:bCs/>
          <w:sz w:val="22"/>
          <w:szCs w:val="22"/>
        </w:rPr>
        <w:t>.</w:t>
      </w:r>
      <w:r w:rsidRPr="00A37E18">
        <w:rPr>
          <w:rFonts w:ascii="Trebuchet MS" w:hAnsi="Trebuchet MS" w:cs="Segoe UI"/>
          <w:sz w:val="22"/>
          <w:szCs w:val="22"/>
        </w:rPr>
        <w:t xml:space="preserve"> When employees feel that their concerns are listened to and treated fairly, it reinforces perceptions of organisational justice. CIPD (2024) emphasises that fair and transparent grievance handling helps preserve the psychological contract between employer and employee, reducing the likelihood of disengagement, absenteeism or conflict escalation. Conversely, poorly managed grievances can damage relationships irreparably and lead to long</w:t>
      </w:r>
      <w:r w:rsidRPr="00A37E18">
        <w:rPr>
          <w:rFonts w:ascii="Trebuchet MS" w:hAnsi="Trebuchet MS" w:cs="Segoe UI"/>
          <w:sz w:val="22"/>
          <w:szCs w:val="22"/>
        </w:rPr>
        <w:noBreakHyphen/>
        <w:t>term hostility.</w:t>
      </w:r>
    </w:p>
    <w:p w14:paraId="1015F3E0" w14:textId="77777777" w:rsidR="005462B2" w:rsidRPr="00A37E18"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 xml:space="preserve">Effective grievance handling is also critical to </w:t>
      </w:r>
      <w:r w:rsidRPr="00A37E18">
        <w:rPr>
          <w:rStyle w:val="Strong"/>
          <w:rFonts w:ascii="Trebuchet MS" w:hAnsi="Trebuchet MS" w:cs="Segoe UI"/>
          <w:b w:val="0"/>
          <w:bCs w:val="0"/>
          <w:sz w:val="22"/>
          <w:szCs w:val="22"/>
        </w:rPr>
        <w:t>preventing escalation and formal disputes</w:t>
      </w:r>
      <w:r w:rsidRPr="00A37E18">
        <w:rPr>
          <w:rFonts w:ascii="Trebuchet MS" w:hAnsi="Trebuchet MS" w:cs="Segoe UI"/>
          <w:b/>
          <w:bCs/>
          <w:sz w:val="22"/>
          <w:szCs w:val="22"/>
        </w:rPr>
        <w:t>.</w:t>
      </w:r>
      <w:r w:rsidRPr="00A37E18">
        <w:rPr>
          <w:rFonts w:ascii="Trebuchet MS" w:hAnsi="Trebuchet MS" w:cs="Segoe UI"/>
          <w:sz w:val="22"/>
          <w:szCs w:val="22"/>
        </w:rPr>
        <w:t xml:space="preserve"> </w:t>
      </w:r>
      <w:proofErr w:type="spellStart"/>
      <w:r w:rsidRPr="00A37E18">
        <w:rPr>
          <w:rFonts w:ascii="Trebuchet MS" w:hAnsi="Trebuchet MS" w:cs="Segoe UI"/>
          <w:sz w:val="22"/>
          <w:szCs w:val="22"/>
        </w:rPr>
        <w:t>Acas</w:t>
      </w:r>
      <w:proofErr w:type="spellEnd"/>
      <w:r w:rsidRPr="00A37E18">
        <w:rPr>
          <w:rFonts w:ascii="Trebuchet MS" w:hAnsi="Trebuchet MS" w:cs="Segoe UI"/>
          <w:sz w:val="22"/>
          <w:szCs w:val="22"/>
        </w:rPr>
        <w:t xml:space="preserve"> (2015) highlights that unresolved grievances often develop into more serious issues, such as employment tribunal claims, industrial action or prolonged sickness absence. Early, fair and informal resolution where possible can save organisations considerable time, cost and reputational damage. This is particularly important in the public sector, where formal disputes can disrupt service delivery and attract public scrutiny.</w:t>
      </w:r>
    </w:p>
    <w:p w14:paraId="35398CE7" w14:textId="77777777" w:rsidR="005462B2" w:rsidRPr="00A37E18"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 xml:space="preserve">Another important consideration is </w:t>
      </w:r>
      <w:r w:rsidRPr="00A37E18">
        <w:rPr>
          <w:rStyle w:val="Strong"/>
          <w:rFonts w:ascii="Trebuchet MS" w:hAnsi="Trebuchet MS" w:cs="Segoe UI"/>
          <w:b w:val="0"/>
          <w:bCs w:val="0"/>
          <w:sz w:val="22"/>
          <w:szCs w:val="22"/>
        </w:rPr>
        <w:t>legal and procedural compliance</w:t>
      </w:r>
      <w:r w:rsidRPr="00A37E18">
        <w:rPr>
          <w:rFonts w:ascii="Trebuchet MS" w:hAnsi="Trebuchet MS" w:cs="Segoe UI"/>
          <w:sz w:val="22"/>
          <w:szCs w:val="22"/>
        </w:rPr>
        <w:t xml:space="preserve">. Employers have a responsibility to follow fair processes consistent with the </w:t>
      </w:r>
      <w:proofErr w:type="spellStart"/>
      <w:r w:rsidRPr="00A37E18">
        <w:rPr>
          <w:rFonts w:ascii="Trebuchet MS" w:hAnsi="Trebuchet MS" w:cs="Segoe UI"/>
          <w:sz w:val="22"/>
          <w:szCs w:val="22"/>
        </w:rPr>
        <w:t>Acas</w:t>
      </w:r>
      <w:proofErr w:type="spellEnd"/>
      <w:r w:rsidRPr="00A37E18">
        <w:rPr>
          <w:rFonts w:ascii="Trebuchet MS" w:hAnsi="Trebuchet MS" w:cs="Segoe UI"/>
          <w:sz w:val="22"/>
          <w:szCs w:val="22"/>
        </w:rPr>
        <w:t xml:space="preserve"> Code of Practice on disciplinary and grievance procedures. While failure to follow the Code does not automatically result in liability, employment tribunals may increase compensation awards where employers have acted unreasonably. Handling grievances effectively therefore reduces legal risk and demonstrates that the organisation takes its duty of care seriously (</w:t>
      </w:r>
      <w:proofErr w:type="spellStart"/>
      <w:r w:rsidRPr="00A37E18">
        <w:rPr>
          <w:rFonts w:ascii="Trebuchet MS" w:hAnsi="Trebuchet MS" w:cs="Segoe UI"/>
          <w:sz w:val="22"/>
          <w:szCs w:val="22"/>
        </w:rPr>
        <w:t>Acas</w:t>
      </w:r>
      <w:proofErr w:type="spellEnd"/>
      <w:r w:rsidRPr="00A37E18">
        <w:rPr>
          <w:rFonts w:ascii="Trebuchet MS" w:hAnsi="Trebuchet MS" w:cs="Segoe UI"/>
          <w:sz w:val="22"/>
          <w:szCs w:val="22"/>
        </w:rPr>
        <w:t>, 2015).</w:t>
      </w:r>
    </w:p>
    <w:p w14:paraId="7BDF3A0E" w14:textId="77777777" w:rsidR="005462B2" w:rsidRPr="00A37E18"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 xml:space="preserve">From an organisational perspective, grievance data can provide valuable </w:t>
      </w:r>
      <w:r w:rsidRPr="00A37E18">
        <w:rPr>
          <w:rStyle w:val="Strong"/>
          <w:rFonts w:ascii="Trebuchet MS" w:hAnsi="Trebuchet MS" w:cs="Segoe UI"/>
          <w:b w:val="0"/>
          <w:bCs w:val="0"/>
          <w:sz w:val="22"/>
          <w:szCs w:val="22"/>
        </w:rPr>
        <w:t>management and cultural insight</w:t>
      </w:r>
      <w:r w:rsidRPr="00A37E18">
        <w:rPr>
          <w:rFonts w:ascii="Trebuchet MS" w:hAnsi="Trebuchet MS" w:cs="Segoe UI"/>
          <w:sz w:val="22"/>
          <w:szCs w:val="22"/>
        </w:rPr>
        <w:t>. Patterns in grievances may highlight systemic issues such as poor management capability, excessive workloads or discrimination risks. CIPD (2024) notes that organisations that learn from grievances can improve policies, management training and working practices, contributing to better working lives overall.</w:t>
      </w:r>
    </w:p>
    <w:p w14:paraId="3DC31782" w14:textId="77777777" w:rsidR="005462B2" w:rsidRPr="00A37E18"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 xml:space="preserve">Finally, effective grievance handling supports </w:t>
      </w:r>
      <w:r w:rsidRPr="00A37E18">
        <w:rPr>
          <w:rStyle w:val="Strong"/>
          <w:rFonts w:ascii="Trebuchet MS" w:hAnsi="Trebuchet MS" w:cs="Segoe UI"/>
          <w:b w:val="0"/>
          <w:bCs w:val="0"/>
          <w:sz w:val="22"/>
          <w:szCs w:val="22"/>
        </w:rPr>
        <w:t>employee wellbeing and engagement</w:t>
      </w:r>
      <w:r w:rsidRPr="00A37E18">
        <w:rPr>
          <w:rFonts w:ascii="Trebuchet MS" w:hAnsi="Trebuchet MS" w:cs="Segoe UI"/>
          <w:b/>
          <w:bCs/>
          <w:sz w:val="22"/>
          <w:szCs w:val="22"/>
        </w:rPr>
        <w:t xml:space="preserve">. </w:t>
      </w:r>
      <w:r w:rsidRPr="00A37E18">
        <w:rPr>
          <w:rFonts w:ascii="Trebuchet MS" w:hAnsi="Trebuchet MS" w:cs="Segoe UI"/>
          <w:sz w:val="22"/>
          <w:szCs w:val="22"/>
        </w:rPr>
        <w:t>Conflict and unresolved concerns are significant sources of stress, which can negatively affect mental health and productivity. By addressing grievances promptly and sensitively, organisations demonstrate empathy and commitment to employee wellbeing, supporting retention and performance.</w:t>
      </w:r>
    </w:p>
    <w:p w14:paraId="0069A9C7" w14:textId="77777777" w:rsidR="005462B2" w:rsidRDefault="005462B2" w:rsidP="005462B2">
      <w:pPr>
        <w:pStyle w:val="NormalWeb"/>
        <w:spacing w:line="300" w:lineRule="atLeast"/>
        <w:rPr>
          <w:rFonts w:ascii="Trebuchet MS" w:hAnsi="Trebuchet MS" w:cs="Segoe UI"/>
          <w:sz w:val="22"/>
          <w:szCs w:val="22"/>
        </w:rPr>
      </w:pPr>
      <w:r w:rsidRPr="00A37E18">
        <w:rPr>
          <w:rFonts w:ascii="Trebuchet MS" w:hAnsi="Trebuchet MS" w:cs="Segoe UI"/>
          <w:sz w:val="22"/>
          <w:szCs w:val="22"/>
        </w:rPr>
        <w:t>In summary, handling grievances effectively is not merely a procedural requirement but a strategic people management activity. It supports trust, reduces risk, improves organisational learning and promotes healthy, sustainable employment relationships.</w:t>
      </w:r>
    </w:p>
    <w:p w14:paraId="24C1EE2A" w14:textId="77777777" w:rsidR="005D54BB" w:rsidRPr="00A37E18" w:rsidRDefault="005D54BB" w:rsidP="005462B2">
      <w:pPr>
        <w:pStyle w:val="NormalWeb"/>
        <w:spacing w:line="300" w:lineRule="atLeast"/>
        <w:rPr>
          <w:rFonts w:ascii="Trebuchet MS" w:hAnsi="Trebuchet MS" w:cs="Segoe UI"/>
          <w:sz w:val="22"/>
          <w:szCs w:val="22"/>
        </w:rPr>
      </w:pPr>
    </w:p>
    <w:p w14:paraId="77E3DDF2" w14:textId="50DECC2D" w:rsidR="008C64CA" w:rsidRPr="00A37E18" w:rsidRDefault="008C64CA" w:rsidP="008C64CA">
      <w:pPr>
        <w:spacing w:before="100" w:beforeAutospacing="1" w:after="100" w:afterAutospacing="1" w:line="300" w:lineRule="atLeast"/>
        <w:rPr>
          <w:rFonts w:ascii="Trebuchet MS" w:eastAsia="Times New Roman" w:hAnsi="Trebuchet MS" w:cs="Segoe UI"/>
          <w:b/>
          <w:bCs/>
          <w:lang w:eastAsia="en-GB"/>
        </w:rPr>
      </w:pPr>
      <w:r w:rsidRPr="00A37E18">
        <w:rPr>
          <w:rFonts w:ascii="Trebuchet MS" w:eastAsia="Times New Roman" w:hAnsi="Trebuchet MS" w:cs="Segoe UI"/>
          <w:b/>
          <w:bCs/>
          <w:lang w:eastAsia="en-GB"/>
        </w:rPr>
        <w:lastRenderedPageBreak/>
        <w:t>Bibliography</w:t>
      </w:r>
    </w:p>
    <w:p w14:paraId="2DFC52F2" w14:textId="77777777" w:rsidR="00246BB9" w:rsidRPr="00246BB9" w:rsidRDefault="00246BB9" w:rsidP="00246BB9">
      <w:pPr>
        <w:ind w:left="360"/>
        <w:rPr>
          <w:rFonts w:ascii="Trebuchet MS" w:hAnsi="Trebuchet MS"/>
        </w:rPr>
      </w:pPr>
      <w:proofErr w:type="spellStart"/>
      <w:r w:rsidRPr="00246BB9">
        <w:rPr>
          <w:rFonts w:ascii="Trebuchet MS" w:hAnsi="Trebuchet MS"/>
        </w:rPr>
        <w:t>Acas</w:t>
      </w:r>
      <w:proofErr w:type="spellEnd"/>
      <w:r w:rsidRPr="00246BB9">
        <w:rPr>
          <w:rFonts w:ascii="Trebuchet MS" w:hAnsi="Trebuchet MS"/>
        </w:rPr>
        <w:t xml:space="preserve"> (2015) </w:t>
      </w:r>
      <w:r w:rsidRPr="00246BB9">
        <w:rPr>
          <w:rFonts w:ascii="Trebuchet MS" w:hAnsi="Trebuchet MS"/>
          <w:i/>
          <w:iCs/>
        </w:rPr>
        <w:t>Code of practice on disciplinary and grievance procedures</w:t>
      </w:r>
      <w:r w:rsidRPr="00246BB9">
        <w:rPr>
          <w:rFonts w:ascii="Trebuchet MS" w:hAnsi="Trebuchet MS"/>
        </w:rPr>
        <w:t>. London: Advisory, Conciliation and Arbitration Service.</w:t>
      </w:r>
    </w:p>
    <w:p w14:paraId="4406E0EF" w14:textId="77777777" w:rsidR="00246BB9" w:rsidRPr="00246BB9" w:rsidRDefault="00246BB9" w:rsidP="00246BB9">
      <w:pPr>
        <w:ind w:left="360"/>
        <w:rPr>
          <w:rFonts w:ascii="Trebuchet MS" w:hAnsi="Trebuchet MS"/>
        </w:rPr>
      </w:pPr>
      <w:proofErr w:type="spellStart"/>
      <w:r w:rsidRPr="00246BB9">
        <w:rPr>
          <w:rFonts w:ascii="Trebuchet MS" w:hAnsi="Trebuchet MS"/>
        </w:rPr>
        <w:t>Acas</w:t>
      </w:r>
      <w:proofErr w:type="spellEnd"/>
      <w:r w:rsidRPr="00246BB9">
        <w:rPr>
          <w:rFonts w:ascii="Trebuchet MS" w:hAnsi="Trebuchet MS"/>
        </w:rPr>
        <w:t xml:space="preserve"> (2024) </w:t>
      </w:r>
      <w:proofErr w:type="spellStart"/>
      <w:proofErr w:type="gramStart"/>
      <w:r w:rsidRPr="00246BB9">
        <w:rPr>
          <w:rFonts w:ascii="Trebuchet MS" w:hAnsi="Trebuchet MS"/>
          <w:i/>
          <w:iCs/>
        </w:rPr>
        <w:t>Acas</w:t>
      </w:r>
      <w:proofErr w:type="spellEnd"/>
      <w:proofErr w:type="gramEnd"/>
      <w:r w:rsidRPr="00246BB9">
        <w:rPr>
          <w:rFonts w:ascii="Trebuchet MS" w:hAnsi="Trebuchet MS"/>
          <w:i/>
          <w:iCs/>
        </w:rPr>
        <w:t xml:space="preserve"> conciliation explained</w:t>
      </w:r>
      <w:r w:rsidRPr="00246BB9">
        <w:rPr>
          <w:rFonts w:ascii="Trebuchet MS" w:hAnsi="Trebuchet MS"/>
        </w:rPr>
        <w:t>. London: Advisory, Conciliation and Arbitration Service.</w:t>
      </w:r>
    </w:p>
    <w:p w14:paraId="56F0148D" w14:textId="77777777" w:rsidR="00246BB9" w:rsidRPr="00246BB9" w:rsidRDefault="00246BB9" w:rsidP="00246BB9">
      <w:pPr>
        <w:ind w:left="360"/>
        <w:rPr>
          <w:rFonts w:ascii="Trebuchet MS" w:hAnsi="Trebuchet MS"/>
        </w:rPr>
      </w:pPr>
      <w:proofErr w:type="spellStart"/>
      <w:r w:rsidRPr="00246BB9">
        <w:rPr>
          <w:rFonts w:ascii="Trebuchet MS" w:hAnsi="Trebuchet MS"/>
        </w:rPr>
        <w:t>Acas</w:t>
      </w:r>
      <w:proofErr w:type="spellEnd"/>
      <w:r w:rsidRPr="00246BB9">
        <w:rPr>
          <w:rFonts w:ascii="Trebuchet MS" w:hAnsi="Trebuchet MS"/>
        </w:rPr>
        <w:t xml:space="preserve"> (2025) </w:t>
      </w:r>
      <w:r w:rsidRPr="00246BB9">
        <w:rPr>
          <w:rFonts w:ascii="Trebuchet MS" w:hAnsi="Trebuchet MS"/>
          <w:i/>
          <w:iCs/>
        </w:rPr>
        <w:t>How prevalent is individual conflict at work in Great Britain in 2025?</w:t>
      </w:r>
      <w:r w:rsidRPr="00246BB9">
        <w:rPr>
          <w:rFonts w:ascii="Trebuchet MS" w:hAnsi="Trebuchet MS"/>
        </w:rPr>
        <w:t xml:space="preserve"> London: Advisory, Conciliation and Arbitration Service. Available at: https://www.acas.org.uk/research-and-commentary/workplace-conflict/prevalence-of-conflict-at-work/report (Accessed: 10 April 2026).</w:t>
      </w:r>
    </w:p>
    <w:p w14:paraId="53515C5C" w14:textId="77777777" w:rsidR="00246BB9" w:rsidRPr="00246BB9" w:rsidRDefault="00246BB9" w:rsidP="00246BB9">
      <w:pPr>
        <w:ind w:left="360"/>
        <w:rPr>
          <w:rFonts w:ascii="Trebuchet MS" w:hAnsi="Trebuchet MS"/>
        </w:rPr>
      </w:pPr>
      <w:r w:rsidRPr="00246BB9">
        <w:rPr>
          <w:rFonts w:ascii="Trebuchet MS" w:hAnsi="Trebuchet MS"/>
        </w:rPr>
        <w:t xml:space="preserve">Ackroyd, S. and Thompson, P. (2016) </w:t>
      </w:r>
      <w:r w:rsidRPr="00246BB9">
        <w:rPr>
          <w:rFonts w:ascii="Trebuchet MS" w:hAnsi="Trebuchet MS"/>
          <w:i/>
          <w:iCs/>
        </w:rPr>
        <w:t>Organisational misbehaviour</w:t>
      </w:r>
      <w:r w:rsidRPr="00246BB9">
        <w:rPr>
          <w:rFonts w:ascii="Trebuchet MS" w:hAnsi="Trebuchet MS"/>
        </w:rPr>
        <w:t xml:space="preserve">. 2nd </w:t>
      </w:r>
      <w:proofErr w:type="spellStart"/>
      <w:r w:rsidRPr="00246BB9">
        <w:rPr>
          <w:rFonts w:ascii="Trebuchet MS" w:hAnsi="Trebuchet MS"/>
        </w:rPr>
        <w:t>edn</w:t>
      </w:r>
      <w:proofErr w:type="spellEnd"/>
      <w:r w:rsidRPr="00246BB9">
        <w:rPr>
          <w:rFonts w:ascii="Trebuchet MS" w:hAnsi="Trebuchet MS"/>
        </w:rPr>
        <w:t>. London: Sage.</w:t>
      </w:r>
    </w:p>
    <w:p w14:paraId="735107EA" w14:textId="77777777" w:rsidR="00246BB9" w:rsidRPr="00246BB9" w:rsidRDefault="00246BB9" w:rsidP="00246BB9">
      <w:pPr>
        <w:ind w:left="360"/>
        <w:rPr>
          <w:rFonts w:ascii="Trebuchet MS" w:hAnsi="Trebuchet MS"/>
        </w:rPr>
      </w:pPr>
      <w:r w:rsidRPr="00246BB9">
        <w:rPr>
          <w:rFonts w:ascii="Trebuchet MS" w:hAnsi="Trebuchet MS"/>
        </w:rPr>
        <w:t xml:space="preserve">Bach, S. (2011) </w:t>
      </w:r>
      <w:r w:rsidRPr="00246BB9">
        <w:rPr>
          <w:rFonts w:ascii="Trebuchet MS" w:hAnsi="Trebuchet MS"/>
          <w:i/>
          <w:iCs/>
        </w:rPr>
        <w:t>Managing human resources: human resource management in transition</w:t>
      </w:r>
      <w:r w:rsidRPr="00246BB9">
        <w:rPr>
          <w:rFonts w:ascii="Trebuchet MS" w:hAnsi="Trebuchet MS"/>
        </w:rPr>
        <w:t>. Oxford: Wiley Blackwell.</w:t>
      </w:r>
    </w:p>
    <w:p w14:paraId="06A99BB0" w14:textId="77777777" w:rsidR="00246BB9" w:rsidRPr="00246BB9" w:rsidRDefault="00246BB9" w:rsidP="00246BB9">
      <w:pPr>
        <w:ind w:left="360"/>
        <w:rPr>
          <w:rFonts w:ascii="Trebuchet MS" w:hAnsi="Trebuchet MS"/>
        </w:rPr>
      </w:pPr>
      <w:r w:rsidRPr="00246BB9">
        <w:rPr>
          <w:rFonts w:ascii="Trebuchet MS" w:hAnsi="Trebuchet MS"/>
        </w:rPr>
        <w:t xml:space="preserve">Bach, S. and Edwards, M. (2013) </w:t>
      </w:r>
      <w:r w:rsidRPr="00246BB9">
        <w:rPr>
          <w:rFonts w:ascii="Trebuchet MS" w:hAnsi="Trebuchet MS"/>
          <w:i/>
          <w:iCs/>
        </w:rPr>
        <w:t>Managing human resources: human resource management in transition</w:t>
      </w:r>
      <w:r w:rsidRPr="00246BB9">
        <w:rPr>
          <w:rFonts w:ascii="Trebuchet MS" w:hAnsi="Trebuchet MS"/>
        </w:rPr>
        <w:t xml:space="preserve">. 5th </w:t>
      </w:r>
      <w:proofErr w:type="spellStart"/>
      <w:r w:rsidRPr="00246BB9">
        <w:rPr>
          <w:rFonts w:ascii="Trebuchet MS" w:hAnsi="Trebuchet MS"/>
        </w:rPr>
        <w:t>edn</w:t>
      </w:r>
      <w:proofErr w:type="spellEnd"/>
      <w:r w:rsidRPr="00246BB9">
        <w:rPr>
          <w:rFonts w:ascii="Trebuchet MS" w:hAnsi="Trebuchet MS"/>
        </w:rPr>
        <w:t>. London: Wiley.</w:t>
      </w:r>
    </w:p>
    <w:p w14:paraId="33C67632" w14:textId="77777777" w:rsidR="00246BB9" w:rsidRPr="00246BB9" w:rsidRDefault="00246BB9" w:rsidP="00246BB9">
      <w:pPr>
        <w:ind w:left="360"/>
        <w:rPr>
          <w:rFonts w:ascii="Trebuchet MS" w:hAnsi="Trebuchet MS"/>
        </w:rPr>
      </w:pPr>
      <w:r w:rsidRPr="00246BB9">
        <w:rPr>
          <w:rFonts w:ascii="Trebuchet MS" w:hAnsi="Trebuchet MS"/>
        </w:rPr>
        <w:t xml:space="preserve">Bach, S. and Winegar, A. (2014) </w:t>
      </w:r>
      <w:r w:rsidRPr="00246BB9">
        <w:rPr>
          <w:rFonts w:ascii="Trebuchet MS" w:hAnsi="Trebuchet MS"/>
          <w:i/>
          <w:iCs/>
        </w:rPr>
        <w:t>Public service employment relations</w:t>
      </w:r>
      <w:r w:rsidRPr="00246BB9">
        <w:rPr>
          <w:rFonts w:ascii="Trebuchet MS" w:hAnsi="Trebuchet MS"/>
        </w:rPr>
        <w:t xml:space="preserve">. 2nd </w:t>
      </w:r>
      <w:proofErr w:type="spellStart"/>
      <w:r w:rsidRPr="00246BB9">
        <w:rPr>
          <w:rFonts w:ascii="Trebuchet MS" w:hAnsi="Trebuchet MS"/>
        </w:rPr>
        <w:t>edn</w:t>
      </w:r>
      <w:proofErr w:type="spellEnd"/>
      <w:r w:rsidRPr="00246BB9">
        <w:rPr>
          <w:rFonts w:ascii="Trebuchet MS" w:hAnsi="Trebuchet MS"/>
        </w:rPr>
        <w:t>. London: Routledge.</w:t>
      </w:r>
    </w:p>
    <w:p w14:paraId="5FB12C09" w14:textId="77777777" w:rsidR="00246BB9" w:rsidRPr="00246BB9" w:rsidRDefault="00246BB9" w:rsidP="00246BB9">
      <w:pPr>
        <w:ind w:left="360"/>
        <w:rPr>
          <w:rFonts w:ascii="Trebuchet MS" w:hAnsi="Trebuchet MS"/>
        </w:rPr>
      </w:pPr>
      <w:r w:rsidRPr="00246BB9">
        <w:rPr>
          <w:rFonts w:ascii="Trebuchet MS" w:hAnsi="Trebuchet MS"/>
        </w:rPr>
        <w:t>British Home Stores Ltd v Burchell [1978] IRLR 379.</w:t>
      </w:r>
    </w:p>
    <w:p w14:paraId="2AF3473D" w14:textId="77777777" w:rsidR="00246BB9" w:rsidRPr="00246BB9" w:rsidRDefault="00246BB9" w:rsidP="00246BB9">
      <w:pPr>
        <w:ind w:left="360"/>
        <w:rPr>
          <w:rFonts w:ascii="Trebuchet MS" w:hAnsi="Trebuchet MS"/>
        </w:rPr>
      </w:pPr>
      <w:r w:rsidRPr="00246BB9">
        <w:rPr>
          <w:rFonts w:ascii="Trebuchet MS" w:hAnsi="Trebuchet MS"/>
        </w:rPr>
        <w:t xml:space="preserve">Buchanan, D.A. and Huczynski, A.A. (2019) </w:t>
      </w:r>
      <w:r w:rsidRPr="00246BB9">
        <w:rPr>
          <w:rFonts w:ascii="Trebuchet MS" w:hAnsi="Trebuchet MS"/>
          <w:i/>
          <w:iCs/>
        </w:rPr>
        <w:t>Organisational behaviour</w:t>
      </w:r>
      <w:r w:rsidRPr="00246BB9">
        <w:rPr>
          <w:rFonts w:ascii="Trebuchet MS" w:hAnsi="Trebuchet MS"/>
        </w:rPr>
        <w:t xml:space="preserve">. 10th </w:t>
      </w:r>
      <w:proofErr w:type="spellStart"/>
      <w:r w:rsidRPr="00246BB9">
        <w:rPr>
          <w:rFonts w:ascii="Trebuchet MS" w:hAnsi="Trebuchet MS"/>
        </w:rPr>
        <w:t>edn</w:t>
      </w:r>
      <w:proofErr w:type="spellEnd"/>
      <w:r w:rsidRPr="00246BB9">
        <w:rPr>
          <w:rFonts w:ascii="Trebuchet MS" w:hAnsi="Trebuchet MS"/>
        </w:rPr>
        <w:t>. Harlow: Pearson.</w:t>
      </w:r>
    </w:p>
    <w:p w14:paraId="5200AD33" w14:textId="77777777" w:rsidR="00246BB9" w:rsidRPr="00246BB9" w:rsidRDefault="00246BB9" w:rsidP="00246BB9">
      <w:pPr>
        <w:ind w:left="360"/>
        <w:rPr>
          <w:rFonts w:ascii="Trebuchet MS" w:hAnsi="Trebuchet MS"/>
        </w:rPr>
      </w:pPr>
      <w:r w:rsidRPr="00246BB9">
        <w:rPr>
          <w:rFonts w:ascii="Trebuchet MS" w:hAnsi="Trebuchet MS"/>
        </w:rPr>
        <w:t xml:space="preserve">Budd, J.W. (2004) </w:t>
      </w:r>
      <w:r w:rsidRPr="00246BB9">
        <w:rPr>
          <w:rFonts w:ascii="Trebuchet MS" w:hAnsi="Trebuchet MS"/>
          <w:i/>
          <w:iCs/>
        </w:rPr>
        <w:t>Employment with a human face</w:t>
      </w:r>
      <w:r w:rsidRPr="00246BB9">
        <w:rPr>
          <w:rFonts w:ascii="Trebuchet MS" w:hAnsi="Trebuchet MS"/>
        </w:rPr>
        <w:t>. Ithaca: Cornell University Press.</w:t>
      </w:r>
    </w:p>
    <w:p w14:paraId="7F0166A6" w14:textId="77777777" w:rsidR="00246BB9" w:rsidRPr="00246BB9" w:rsidRDefault="00246BB9" w:rsidP="00246BB9">
      <w:pPr>
        <w:ind w:left="360"/>
        <w:rPr>
          <w:rFonts w:ascii="Trebuchet MS" w:hAnsi="Trebuchet MS"/>
        </w:rPr>
      </w:pPr>
      <w:r w:rsidRPr="00246BB9">
        <w:rPr>
          <w:rFonts w:ascii="Trebuchet MS" w:hAnsi="Trebuchet MS"/>
        </w:rPr>
        <w:t xml:space="preserve">Budd, J.W., Gollan, P.J. and Wilkinson, A. (2010) ‘New approaches to employee voice and participation in organizations’, </w:t>
      </w:r>
      <w:r w:rsidRPr="00246BB9">
        <w:rPr>
          <w:rFonts w:ascii="Trebuchet MS" w:hAnsi="Trebuchet MS"/>
          <w:i/>
          <w:iCs/>
        </w:rPr>
        <w:t>Human Relations</w:t>
      </w:r>
      <w:r w:rsidRPr="00246BB9">
        <w:rPr>
          <w:rFonts w:ascii="Trebuchet MS" w:hAnsi="Trebuchet MS"/>
        </w:rPr>
        <w:t>, 63(3), pp. 303–310.</w:t>
      </w:r>
    </w:p>
    <w:p w14:paraId="73CBE86F" w14:textId="77777777" w:rsidR="00246BB9" w:rsidRPr="00246BB9" w:rsidRDefault="00246BB9" w:rsidP="00246BB9">
      <w:pPr>
        <w:ind w:left="360"/>
        <w:rPr>
          <w:rFonts w:ascii="Trebuchet MS" w:hAnsi="Trebuchet MS"/>
        </w:rPr>
      </w:pPr>
      <w:r w:rsidRPr="00246BB9">
        <w:rPr>
          <w:rFonts w:ascii="Trebuchet MS" w:hAnsi="Trebuchet MS"/>
        </w:rPr>
        <w:t xml:space="preserve">CIPD (2022) </w:t>
      </w:r>
      <w:r w:rsidRPr="00246BB9">
        <w:rPr>
          <w:rFonts w:ascii="Trebuchet MS" w:hAnsi="Trebuchet MS"/>
          <w:i/>
          <w:iCs/>
        </w:rPr>
        <w:t>Collective employee voice: recommendations for working with employee representatives for mutual gain</w:t>
      </w:r>
      <w:r w:rsidRPr="00246BB9">
        <w:rPr>
          <w:rFonts w:ascii="Trebuchet MS" w:hAnsi="Trebuchet MS"/>
        </w:rPr>
        <w:t>. London: Chartered Institute of Personnel and Development.</w:t>
      </w:r>
    </w:p>
    <w:p w14:paraId="70A0ED85" w14:textId="77777777" w:rsidR="00246BB9" w:rsidRPr="00246BB9" w:rsidRDefault="00246BB9" w:rsidP="00246BB9">
      <w:pPr>
        <w:ind w:left="360"/>
        <w:rPr>
          <w:rFonts w:ascii="Trebuchet MS" w:hAnsi="Trebuchet MS"/>
        </w:rPr>
      </w:pPr>
      <w:r w:rsidRPr="00246BB9">
        <w:rPr>
          <w:rFonts w:ascii="Trebuchet MS" w:hAnsi="Trebuchet MS"/>
        </w:rPr>
        <w:t xml:space="preserve">CIPD (2023) </w:t>
      </w:r>
      <w:r w:rsidRPr="00246BB9">
        <w:rPr>
          <w:rFonts w:ascii="Trebuchet MS" w:hAnsi="Trebuchet MS"/>
          <w:i/>
          <w:iCs/>
        </w:rPr>
        <w:t>Employee voice</w:t>
      </w:r>
      <w:r w:rsidRPr="00246BB9">
        <w:rPr>
          <w:rFonts w:ascii="Trebuchet MS" w:hAnsi="Trebuchet MS"/>
        </w:rPr>
        <w:t>. London: Chartered Institute of Personnel and Development. Available at: https://www.cipd.org (Accessed: 10 April 2026).</w:t>
      </w:r>
    </w:p>
    <w:p w14:paraId="68C5099D" w14:textId="77777777" w:rsidR="00246BB9" w:rsidRPr="00246BB9" w:rsidRDefault="00246BB9" w:rsidP="00246BB9">
      <w:pPr>
        <w:ind w:left="360"/>
        <w:rPr>
          <w:rFonts w:ascii="Trebuchet MS" w:hAnsi="Trebuchet MS"/>
        </w:rPr>
      </w:pPr>
      <w:r w:rsidRPr="00246BB9">
        <w:rPr>
          <w:rFonts w:ascii="Trebuchet MS" w:hAnsi="Trebuchet MS"/>
        </w:rPr>
        <w:t xml:space="preserve">CIPD (2024a) </w:t>
      </w:r>
      <w:r w:rsidRPr="00246BB9">
        <w:rPr>
          <w:rFonts w:ascii="Trebuchet MS" w:hAnsi="Trebuchet MS"/>
          <w:i/>
          <w:iCs/>
        </w:rPr>
        <w:t>Managing conflict in the modern workplace</w:t>
      </w:r>
      <w:r w:rsidRPr="00246BB9">
        <w:rPr>
          <w:rFonts w:ascii="Trebuchet MS" w:hAnsi="Trebuchet MS"/>
        </w:rPr>
        <w:t>. London: Chartered Institute of Personnel and Development.</w:t>
      </w:r>
    </w:p>
    <w:p w14:paraId="6A0EC771" w14:textId="77777777" w:rsidR="00246BB9" w:rsidRPr="00246BB9" w:rsidRDefault="00246BB9" w:rsidP="00246BB9">
      <w:pPr>
        <w:ind w:left="360"/>
        <w:rPr>
          <w:rFonts w:ascii="Trebuchet MS" w:hAnsi="Trebuchet MS"/>
        </w:rPr>
      </w:pPr>
      <w:r w:rsidRPr="00246BB9">
        <w:rPr>
          <w:rFonts w:ascii="Trebuchet MS" w:hAnsi="Trebuchet MS"/>
        </w:rPr>
        <w:t xml:space="preserve">CIPD (2024b) </w:t>
      </w:r>
      <w:r w:rsidRPr="00246BB9">
        <w:rPr>
          <w:rFonts w:ascii="Trebuchet MS" w:hAnsi="Trebuchet MS"/>
          <w:i/>
          <w:iCs/>
        </w:rPr>
        <w:t>Discipline and grievances at work</w:t>
      </w:r>
      <w:r w:rsidRPr="00246BB9">
        <w:rPr>
          <w:rFonts w:ascii="Trebuchet MS" w:hAnsi="Trebuchet MS"/>
        </w:rPr>
        <w:t>. London: Chartered Institute of Personnel and Development.</w:t>
      </w:r>
    </w:p>
    <w:p w14:paraId="54061A1C" w14:textId="77777777" w:rsidR="00246BB9" w:rsidRPr="00246BB9" w:rsidRDefault="00246BB9" w:rsidP="00246BB9">
      <w:pPr>
        <w:ind w:left="360"/>
        <w:rPr>
          <w:rFonts w:ascii="Trebuchet MS" w:hAnsi="Trebuchet MS"/>
        </w:rPr>
      </w:pPr>
      <w:r w:rsidRPr="00246BB9">
        <w:rPr>
          <w:rFonts w:ascii="Trebuchet MS" w:hAnsi="Trebuchet MS"/>
        </w:rPr>
        <w:t xml:space="preserve">CIPD (2025a) </w:t>
      </w:r>
      <w:r w:rsidRPr="00246BB9">
        <w:rPr>
          <w:rFonts w:ascii="Trebuchet MS" w:hAnsi="Trebuchet MS"/>
          <w:i/>
          <w:iCs/>
        </w:rPr>
        <w:t>CIPD Good Work Index 2025</w:t>
      </w:r>
      <w:r w:rsidRPr="00246BB9">
        <w:rPr>
          <w:rFonts w:ascii="Trebuchet MS" w:hAnsi="Trebuchet MS"/>
        </w:rPr>
        <w:t>. London: Chartered Institute of Personnel and Development.</w:t>
      </w:r>
    </w:p>
    <w:p w14:paraId="092478C5" w14:textId="77777777" w:rsidR="00246BB9" w:rsidRPr="00246BB9" w:rsidRDefault="00246BB9" w:rsidP="00246BB9">
      <w:pPr>
        <w:ind w:left="360"/>
        <w:rPr>
          <w:rFonts w:ascii="Trebuchet MS" w:hAnsi="Trebuchet MS"/>
        </w:rPr>
      </w:pPr>
      <w:r w:rsidRPr="00246BB9">
        <w:rPr>
          <w:rFonts w:ascii="Trebuchet MS" w:hAnsi="Trebuchet MS"/>
        </w:rPr>
        <w:t xml:space="preserve">CIPD (2025b) </w:t>
      </w:r>
      <w:r w:rsidRPr="00246BB9">
        <w:rPr>
          <w:rFonts w:ascii="Trebuchet MS" w:hAnsi="Trebuchet MS"/>
          <w:i/>
          <w:iCs/>
        </w:rPr>
        <w:t>Effective people management: evidence review</w:t>
      </w:r>
      <w:r w:rsidRPr="00246BB9">
        <w:rPr>
          <w:rFonts w:ascii="Trebuchet MS" w:hAnsi="Trebuchet MS"/>
        </w:rPr>
        <w:t>. London: Chartered Institute of Personnel and Development.</w:t>
      </w:r>
    </w:p>
    <w:p w14:paraId="5739D3D0" w14:textId="77777777" w:rsidR="00246BB9" w:rsidRPr="00246BB9" w:rsidRDefault="00246BB9" w:rsidP="00246BB9">
      <w:pPr>
        <w:ind w:left="360"/>
        <w:rPr>
          <w:rFonts w:ascii="Trebuchet MS" w:hAnsi="Trebuchet MS"/>
        </w:rPr>
      </w:pPr>
      <w:r w:rsidRPr="00246BB9">
        <w:rPr>
          <w:rFonts w:ascii="Trebuchet MS" w:hAnsi="Trebuchet MS"/>
        </w:rPr>
        <w:t xml:space="preserve">CIPD (2026) </w:t>
      </w:r>
      <w:r w:rsidRPr="00246BB9">
        <w:rPr>
          <w:rFonts w:ascii="Trebuchet MS" w:hAnsi="Trebuchet MS"/>
          <w:i/>
          <w:iCs/>
        </w:rPr>
        <w:t>Employee voice factsheet</w:t>
      </w:r>
      <w:r w:rsidRPr="00246BB9">
        <w:rPr>
          <w:rFonts w:ascii="Trebuchet MS" w:hAnsi="Trebuchet MS"/>
        </w:rPr>
        <w:t>. London: Chartered Institute of Personnel and Development. Available at: https://www.cipd.org/uk/knowledge/factsheets/voice-factsheet/ (Accessed: 10 April 2026).</w:t>
      </w:r>
    </w:p>
    <w:p w14:paraId="607FBFE2" w14:textId="77777777" w:rsidR="00246BB9" w:rsidRPr="00246BB9" w:rsidRDefault="00246BB9" w:rsidP="00246BB9">
      <w:pPr>
        <w:ind w:left="360"/>
        <w:rPr>
          <w:rFonts w:ascii="Trebuchet MS" w:hAnsi="Trebuchet MS"/>
        </w:rPr>
      </w:pPr>
      <w:r w:rsidRPr="00246BB9">
        <w:rPr>
          <w:rFonts w:ascii="Trebuchet MS" w:hAnsi="Trebuchet MS"/>
        </w:rPr>
        <w:t xml:space="preserve">Davies, R., Felstead, A., Gallie, D., Green, F., Henseke, G. and Zhou, Y. (2025) </w:t>
      </w:r>
      <w:r w:rsidRPr="00246BB9">
        <w:rPr>
          <w:rFonts w:ascii="Trebuchet MS" w:hAnsi="Trebuchet MS"/>
          <w:i/>
          <w:iCs/>
        </w:rPr>
        <w:t xml:space="preserve">Has the tide turned for trade unions? Findings from the Skills and Employment Survey </w:t>
      </w:r>
      <w:r w:rsidRPr="00246BB9">
        <w:rPr>
          <w:rFonts w:ascii="Trebuchet MS" w:hAnsi="Trebuchet MS"/>
          <w:i/>
          <w:iCs/>
        </w:rPr>
        <w:lastRenderedPageBreak/>
        <w:t>2024</w:t>
      </w:r>
      <w:r w:rsidRPr="00246BB9">
        <w:rPr>
          <w:rFonts w:ascii="Trebuchet MS" w:hAnsi="Trebuchet MS"/>
        </w:rPr>
        <w:t>. Guildford: University of Surrey. Available at: https://www.surrey.ac.uk/sites/default/files/2025-04/has-the-tide-turned-for-trade-unions.pdf (Accessed: 18 April 2026).</w:t>
      </w:r>
    </w:p>
    <w:p w14:paraId="1FF11B78" w14:textId="77777777" w:rsidR="00246BB9" w:rsidRPr="00246BB9" w:rsidRDefault="00246BB9" w:rsidP="00246BB9">
      <w:pPr>
        <w:ind w:left="360"/>
        <w:rPr>
          <w:rFonts w:ascii="Trebuchet MS" w:hAnsi="Trebuchet MS"/>
        </w:rPr>
      </w:pPr>
      <w:r w:rsidRPr="00246BB9">
        <w:rPr>
          <w:rFonts w:ascii="Trebuchet MS" w:hAnsi="Trebuchet MS"/>
        </w:rPr>
        <w:t xml:space="preserve">DWF Group (2025) </w:t>
      </w:r>
      <w:r w:rsidRPr="00246BB9">
        <w:rPr>
          <w:rFonts w:ascii="Trebuchet MS" w:hAnsi="Trebuchet MS"/>
          <w:i/>
          <w:iCs/>
        </w:rPr>
        <w:t>An analysis of industrial action and its broader impact</w:t>
      </w:r>
      <w:r w:rsidRPr="00246BB9">
        <w:rPr>
          <w:rFonts w:ascii="Trebuchet MS" w:hAnsi="Trebuchet MS"/>
        </w:rPr>
        <w:t>. Available at: https://www.dwfgroup.com (Accessed: 10 April 2026).</w:t>
      </w:r>
    </w:p>
    <w:p w14:paraId="7FB78050" w14:textId="77777777" w:rsidR="00246BB9" w:rsidRPr="00246BB9" w:rsidRDefault="00246BB9" w:rsidP="00246BB9">
      <w:pPr>
        <w:ind w:left="360"/>
        <w:rPr>
          <w:rFonts w:ascii="Trebuchet MS" w:hAnsi="Trebuchet MS"/>
        </w:rPr>
      </w:pPr>
      <w:r w:rsidRPr="00246BB9">
        <w:rPr>
          <w:rFonts w:ascii="Trebuchet MS" w:hAnsi="Trebuchet MS"/>
        </w:rPr>
        <w:t>Employment Rights Act 1996. London: HMSO.</w:t>
      </w:r>
    </w:p>
    <w:p w14:paraId="3DC28655" w14:textId="77777777" w:rsidR="00246BB9" w:rsidRPr="00246BB9" w:rsidRDefault="00246BB9" w:rsidP="00246BB9">
      <w:pPr>
        <w:ind w:left="360"/>
        <w:rPr>
          <w:rFonts w:ascii="Trebuchet MS" w:hAnsi="Trebuchet MS"/>
        </w:rPr>
      </w:pPr>
      <w:r w:rsidRPr="00246BB9">
        <w:rPr>
          <w:rFonts w:ascii="Trebuchet MS" w:hAnsi="Trebuchet MS"/>
        </w:rPr>
        <w:t xml:space="preserve">Heery, E. (2016) </w:t>
      </w:r>
      <w:r w:rsidRPr="00246BB9">
        <w:rPr>
          <w:rFonts w:ascii="Trebuchet MS" w:hAnsi="Trebuchet MS"/>
          <w:i/>
          <w:iCs/>
        </w:rPr>
        <w:t>Framing work: organising employment relations</w:t>
      </w:r>
      <w:r w:rsidRPr="00246BB9">
        <w:rPr>
          <w:rFonts w:ascii="Trebuchet MS" w:hAnsi="Trebuchet MS"/>
        </w:rPr>
        <w:t>. Oxford: Oxford University Press.</w:t>
      </w:r>
    </w:p>
    <w:p w14:paraId="6AA83BB9" w14:textId="77777777" w:rsidR="00246BB9" w:rsidRPr="00246BB9" w:rsidRDefault="00246BB9" w:rsidP="00246BB9">
      <w:pPr>
        <w:ind w:left="360"/>
        <w:rPr>
          <w:rFonts w:ascii="Trebuchet MS" w:hAnsi="Trebuchet MS"/>
        </w:rPr>
      </w:pPr>
      <w:r w:rsidRPr="00246BB9">
        <w:rPr>
          <w:rFonts w:ascii="Trebuchet MS" w:hAnsi="Trebuchet MS"/>
        </w:rPr>
        <w:t xml:space="preserve">Heery, E. and Noon, M. (2017) </w:t>
      </w:r>
      <w:r w:rsidRPr="00246BB9">
        <w:rPr>
          <w:rFonts w:ascii="Trebuchet MS" w:hAnsi="Trebuchet MS"/>
          <w:i/>
          <w:iCs/>
        </w:rPr>
        <w:t>A dictionary of human resource management</w:t>
      </w:r>
      <w:r w:rsidRPr="00246BB9">
        <w:rPr>
          <w:rFonts w:ascii="Trebuchet MS" w:hAnsi="Trebuchet MS"/>
        </w:rPr>
        <w:t xml:space="preserve">. 3rd </w:t>
      </w:r>
      <w:proofErr w:type="spellStart"/>
      <w:r w:rsidRPr="00246BB9">
        <w:rPr>
          <w:rFonts w:ascii="Trebuchet MS" w:hAnsi="Trebuchet MS"/>
        </w:rPr>
        <w:t>edn</w:t>
      </w:r>
      <w:proofErr w:type="spellEnd"/>
      <w:r w:rsidRPr="00246BB9">
        <w:rPr>
          <w:rFonts w:ascii="Trebuchet MS" w:hAnsi="Trebuchet MS"/>
        </w:rPr>
        <w:t>. Oxford: Oxford University Press.</w:t>
      </w:r>
    </w:p>
    <w:p w14:paraId="53082809" w14:textId="77777777" w:rsidR="00246BB9" w:rsidRPr="00246BB9" w:rsidRDefault="00246BB9" w:rsidP="00246BB9">
      <w:pPr>
        <w:ind w:left="360"/>
        <w:rPr>
          <w:rFonts w:ascii="Trebuchet MS" w:hAnsi="Trebuchet MS"/>
        </w:rPr>
      </w:pPr>
      <w:r w:rsidRPr="00246BB9">
        <w:rPr>
          <w:rFonts w:ascii="Trebuchet MS" w:hAnsi="Trebuchet MS"/>
        </w:rPr>
        <w:t xml:space="preserve">Iddrisu, I. (2025) ‘Unlocking public sector potential: the interplay of leadership traits, trust, and employee voice’, </w:t>
      </w:r>
      <w:r w:rsidRPr="00246BB9">
        <w:rPr>
          <w:rFonts w:ascii="Trebuchet MS" w:hAnsi="Trebuchet MS"/>
          <w:i/>
          <w:iCs/>
        </w:rPr>
        <w:t>Cogent Business &amp; Management</w:t>
      </w:r>
      <w:r w:rsidRPr="00246BB9">
        <w:rPr>
          <w:rFonts w:ascii="Trebuchet MS" w:hAnsi="Trebuchet MS"/>
        </w:rPr>
        <w:t>.</w:t>
      </w:r>
    </w:p>
    <w:p w14:paraId="7AF4B676" w14:textId="77777777" w:rsidR="00246BB9" w:rsidRPr="00246BB9" w:rsidRDefault="00246BB9" w:rsidP="00246BB9">
      <w:pPr>
        <w:ind w:left="360"/>
        <w:rPr>
          <w:rFonts w:ascii="Trebuchet MS" w:hAnsi="Trebuchet MS"/>
        </w:rPr>
      </w:pPr>
      <w:r w:rsidRPr="00246BB9">
        <w:rPr>
          <w:rFonts w:ascii="Trebuchet MS" w:hAnsi="Trebuchet MS"/>
        </w:rPr>
        <w:t xml:space="preserve">Kim, T. and Cho, W. (2024) ‘Employee voice opportunities and organisational performance in public administration’, </w:t>
      </w:r>
      <w:r w:rsidRPr="00246BB9">
        <w:rPr>
          <w:rFonts w:ascii="Trebuchet MS" w:hAnsi="Trebuchet MS"/>
          <w:i/>
          <w:iCs/>
        </w:rPr>
        <w:t>Review of Public Personnel Administration</w:t>
      </w:r>
      <w:r w:rsidRPr="00246BB9">
        <w:rPr>
          <w:rFonts w:ascii="Trebuchet MS" w:hAnsi="Trebuchet MS"/>
        </w:rPr>
        <w:t>, 44(4), pp. 713–739. https://doi.org/10.1177/0734371X231190327</w:t>
      </w:r>
    </w:p>
    <w:p w14:paraId="1908BADD" w14:textId="77777777" w:rsidR="00246BB9" w:rsidRPr="00246BB9" w:rsidRDefault="00246BB9" w:rsidP="00246BB9">
      <w:pPr>
        <w:ind w:left="360"/>
        <w:rPr>
          <w:rFonts w:ascii="Trebuchet MS" w:hAnsi="Trebuchet MS"/>
        </w:rPr>
      </w:pPr>
      <w:r w:rsidRPr="00246BB9">
        <w:rPr>
          <w:rFonts w:ascii="Trebuchet MS" w:hAnsi="Trebuchet MS"/>
        </w:rPr>
        <w:t xml:space="preserve">Latreille, P. and </w:t>
      </w:r>
      <w:proofErr w:type="spellStart"/>
      <w:r w:rsidRPr="00246BB9">
        <w:rPr>
          <w:rFonts w:ascii="Trebuchet MS" w:hAnsi="Trebuchet MS"/>
        </w:rPr>
        <w:t>Saundry</w:t>
      </w:r>
      <w:proofErr w:type="spellEnd"/>
      <w:r w:rsidRPr="00246BB9">
        <w:rPr>
          <w:rFonts w:ascii="Trebuchet MS" w:hAnsi="Trebuchet MS"/>
        </w:rPr>
        <w:t xml:space="preserve">, R. (2016) ‘Conciliation in employment disputes: building bridges or papering over the cracks?’, </w:t>
      </w:r>
      <w:r w:rsidRPr="00246BB9">
        <w:rPr>
          <w:rFonts w:ascii="Trebuchet MS" w:hAnsi="Trebuchet MS"/>
          <w:i/>
          <w:iCs/>
        </w:rPr>
        <w:t>British Journal of Industrial Relations</w:t>
      </w:r>
      <w:r w:rsidRPr="00246BB9">
        <w:rPr>
          <w:rFonts w:ascii="Trebuchet MS" w:hAnsi="Trebuchet MS"/>
        </w:rPr>
        <w:t>, 54(2), pp. 417–439.</w:t>
      </w:r>
    </w:p>
    <w:p w14:paraId="7EF57CA2" w14:textId="77777777" w:rsidR="00246BB9" w:rsidRPr="00246BB9" w:rsidRDefault="00246BB9" w:rsidP="00246BB9">
      <w:pPr>
        <w:ind w:left="360"/>
        <w:rPr>
          <w:rFonts w:ascii="Trebuchet MS" w:hAnsi="Trebuchet MS"/>
        </w:rPr>
      </w:pPr>
      <w:r w:rsidRPr="00246BB9">
        <w:rPr>
          <w:rFonts w:ascii="Trebuchet MS" w:hAnsi="Trebuchet MS"/>
        </w:rPr>
        <w:t xml:space="preserve">Marchington, M., Wilkinson, A., Donnelly, R. and </w:t>
      </w:r>
      <w:proofErr w:type="spellStart"/>
      <w:r w:rsidRPr="00246BB9">
        <w:rPr>
          <w:rFonts w:ascii="Trebuchet MS" w:hAnsi="Trebuchet MS"/>
        </w:rPr>
        <w:t>Kynighou</w:t>
      </w:r>
      <w:proofErr w:type="spellEnd"/>
      <w:r w:rsidRPr="00246BB9">
        <w:rPr>
          <w:rFonts w:ascii="Trebuchet MS" w:hAnsi="Trebuchet MS"/>
        </w:rPr>
        <w:t xml:space="preserve">, A. (2016) </w:t>
      </w:r>
      <w:r w:rsidRPr="00246BB9">
        <w:rPr>
          <w:rFonts w:ascii="Trebuchet MS" w:hAnsi="Trebuchet MS"/>
          <w:i/>
          <w:iCs/>
        </w:rPr>
        <w:t>Human resource management at work</w:t>
      </w:r>
      <w:r w:rsidRPr="00246BB9">
        <w:rPr>
          <w:rFonts w:ascii="Trebuchet MS" w:hAnsi="Trebuchet MS"/>
        </w:rPr>
        <w:t xml:space="preserve">. 6th </w:t>
      </w:r>
      <w:proofErr w:type="spellStart"/>
      <w:r w:rsidRPr="00246BB9">
        <w:rPr>
          <w:rFonts w:ascii="Trebuchet MS" w:hAnsi="Trebuchet MS"/>
        </w:rPr>
        <w:t>edn</w:t>
      </w:r>
      <w:proofErr w:type="spellEnd"/>
      <w:r w:rsidRPr="00246BB9">
        <w:rPr>
          <w:rFonts w:ascii="Trebuchet MS" w:hAnsi="Trebuchet MS"/>
        </w:rPr>
        <w:t>. London: Chartered Institute of Personnel and Development.</w:t>
      </w:r>
    </w:p>
    <w:p w14:paraId="2ABB5694" w14:textId="77777777" w:rsidR="00246BB9" w:rsidRPr="00246BB9" w:rsidRDefault="00246BB9" w:rsidP="00246BB9">
      <w:pPr>
        <w:ind w:left="360"/>
        <w:rPr>
          <w:rFonts w:ascii="Trebuchet MS" w:hAnsi="Trebuchet MS"/>
        </w:rPr>
      </w:pPr>
      <w:r w:rsidRPr="00246BB9">
        <w:rPr>
          <w:rFonts w:ascii="Trebuchet MS" w:hAnsi="Trebuchet MS"/>
        </w:rPr>
        <w:t xml:space="preserve">Marchington, M., Wilkinson, A., Donnelly, R. and </w:t>
      </w:r>
      <w:proofErr w:type="spellStart"/>
      <w:r w:rsidRPr="00246BB9">
        <w:rPr>
          <w:rFonts w:ascii="Trebuchet MS" w:hAnsi="Trebuchet MS"/>
        </w:rPr>
        <w:t>Kynighou</w:t>
      </w:r>
      <w:proofErr w:type="spellEnd"/>
      <w:r w:rsidRPr="00246BB9">
        <w:rPr>
          <w:rFonts w:ascii="Trebuchet MS" w:hAnsi="Trebuchet MS"/>
        </w:rPr>
        <w:t xml:space="preserve">, A. (2021) </w:t>
      </w:r>
      <w:r w:rsidRPr="00246BB9">
        <w:rPr>
          <w:rFonts w:ascii="Trebuchet MS" w:hAnsi="Trebuchet MS"/>
          <w:i/>
          <w:iCs/>
        </w:rPr>
        <w:t>Human resource management at work</w:t>
      </w:r>
      <w:r w:rsidRPr="00246BB9">
        <w:rPr>
          <w:rFonts w:ascii="Trebuchet MS" w:hAnsi="Trebuchet MS"/>
        </w:rPr>
        <w:t xml:space="preserve">. 7th </w:t>
      </w:r>
      <w:proofErr w:type="spellStart"/>
      <w:r w:rsidRPr="00246BB9">
        <w:rPr>
          <w:rFonts w:ascii="Trebuchet MS" w:hAnsi="Trebuchet MS"/>
        </w:rPr>
        <w:t>edn</w:t>
      </w:r>
      <w:proofErr w:type="spellEnd"/>
      <w:r w:rsidRPr="00246BB9">
        <w:rPr>
          <w:rFonts w:ascii="Trebuchet MS" w:hAnsi="Trebuchet MS"/>
        </w:rPr>
        <w:t>. London: Chartered Institute of Personnel and Development.</w:t>
      </w:r>
    </w:p>
    <w:p w14:paraId="6FF52BD4" w14:textId="77777777" w:rsidR="00246BB9" w:rsidRPr="00246BB9" w:rsidRDefault="00246BB9" w:rsidP="00246BB9">
      <w:pPr>
        <w:ind w:left="360"/>
        <w:rPr>
          <w:rFonts w:ascii="Trebuchet MS" w:hAnsi="Trebuchet MS"/>
        </w:rPr>
      </w:pPr>
      <w:r w:rsidRPr="00246BB9">
        <w:rPr>
          <w:rFonts w:ascii="Trebuchet MS" w:hAnsi="Trebuchet MS"/>
        </w:rPr>
        <w:t xml:space="preserve">Morrison, E.W. (2023) ‘Employee voice and silence’, </w:t>
      </w:r>
      <w:r w:rsidRPr="00246BB9">
        <w:rPr>
          <w:rFonts w:ascii="Trebuchet MS" w:hAnsi="Trebuchet MS"/>
          <w:i/>
          <w:iCs/>
        </w:rPr>
        <w:t xml:space="preserve">Annual Review of Organizational Psychology and Organizational </w:t>
      </w:r>
      <w:proofErr w:type="spellStart"/>
      <w:r w:rsidRPr="00246BB9">
        <w:rPr>
          <w:rFonts w:ascii="Trebuchet MS" w:hAnsi="Trebuchet MS"/>
          <w:i/>
          <w:iCs/>
        </w:rPr>
        <w:t>Behavior</w:t>
      </w:r>
      <w:proofErr w:type="spellEnd"/>
      <w:r w:rsidRPr="00246BB9">
        <w:rPr>
          <w:rFonts w:ascii="Trebuchet MS" w:hAnsi="Trebuchet MS"/>
        </w:rPr>
        <w:t>, 10, pp. 173–197.</w:t>
      </w:r>
    </w:p>
    <w:p w14:paraId="2B9F4978" w14:textId="77777777" w:rsidR="00246BB9" w:rsidRPr="00246BB9" w:rsidRDefault="00246BB9" w:rsidP="00246BB9">
      <w:pPr>
        <w:ind w:left="360"/>
        <w:rPr>
          <w:rFonts w:ascii="Trebuchet MS" w:hAnsi="Trebuchet MS"/>
        </w:rPr>
      </w:pPr>
      <w:r w:rsidRPr="00246BB9">
        <w:rPr>
          <w:rFonts w:ascii="Trebuchet MS" w:hAnsi="Trebuchet MS"/>
        </w:rPr>
        <w:t xml:space="preserve">Office for National Statistics (2023) </w:t>
      </w:r>
      <w:r w:rsidRPr="00246BB9">
        <w:rPr>
          <w:rFonts w:ascii="Trebuchet MS" w:hAnsi="Trebuchet MS"/>
          <w:i/>
          <w:iCs/>
        </w:rPr>
        <w:t>The impact of strikes in the UK</w:t>
      </w:r>
      <w:r w:rsidRPr="00246BB9">
        <w:rPr>
          <w:rFonts w:ascii="Trebuchet MS" w:hAnsi="Trebuchet MS"/>
        </w:rPr>
        <w:t>. London: ONS. Available at: https://www.ons.gov.uk (Accessed: 10 April 2026).</w:t>
      </w:r>
    </w:p>
    <w:p w14:paraId="18D25856" w14:textId="77777777" w:rsidR="00246BB9" w:rsidRPr="00246BB9" w:rsidRDefault="00246BB9" w:rsidP="00246BB9">
      <w:pPr>
        <w:ind w:left="360"/>
        <w:rPr>
          <w:rFonts w:ascii="Trebuchet MS" w:hAnsi="Trebuchet MS"/>
        </w:rPr>
      </w:pPr>
      <w:r w:rsidRPr="00246BB9">
        <w:rPr>
          <w:rFonts w:ascii="Trebuchet MS" w:hAnsi="Trebuchet MS"/>
        </w:rPr>
        <w:t xml:space="preserve">Office for National Statistics (2026) </w:t>
      </w:r>
      <w:r w:rsidRPr="00246BB9">
        <w:rPr>
          <w:rFonts w:ascii="Trebuchet MS" w:hAnsi="Trebuchet MS"/>
          <w:i/>
          <w:iCs/>
        </w:rPr>
        <w:t>Labour disputes</w:t>
      </w:r>
      <w:r w:rsidRPr="00246BB9">
        <w:rPr>
          <w:rFonts w:ascii="Trebuchet MS" w:hAnsi="Trebuchet MS"/>
        </w:rPr>
        <w:t>. London: ONS. Available at: https://www.ons.gov.uk/employmentandlabourmarket/peopleinwork/workplacedisputesandworkingconditions (Accessed: 10 April 2026).</w:t>
      </w:r>
    </w:p>
    <w:p w14:paraId="5893A99E" w14:textId="77777777" w:rsidR="00246BB9" w:rsidRPr="00246BB9" w:rsidRDefault="00246BB9" w:rsidP="00246BB9">
      <w:pPr>
        <w:ind w:left="360"/>
        <w:rPr>
          <w:rFonts w:ascii="Trebuchet MS" w:hAnsi="Trebuchet MS"/>
        </w:rPr>
      </w:pPr>
      <w:r w:rsidRPr="00246BB9">
        <w:rPr>
          <w:rFonts w:ascii="Trebuchet MS" w:hAnsi="Trebuchet MS"/>
        </w:rPr>
        <w:t xml:space="preserve">Welsh Government (2025) </w:t>
      </w:r>
      <w:r w:rsidRPr="00246BB9">
        <w:rPr>
          <w:rFonts w:ascii="Trebuchet MS" w:hAnsi="Trebuchet MS"/>
          <w:i/>
          <w:iCs/>
        </w:rPr>
        <w:t>Social partnership: the Welsh way – user handbook</w:t>
      </w:r>
      <w:r w:rsidRPr="00246BB9">
        <w:rPr>
          <w:rFonts w:ascii="Trebuchet MS" w:hAnsi="Trebuchet MS"/>
        </w:rPr>
        <w:t>. Cardiff: Welsh Government. Available at: https://www.gov.wales/social-partnership-handbook (Accessed: 18 April 2026).</w:t>
      </w:r>
    </w:p>
    <w:p w14:paraId="33DEEC17" w14:textId="77777777" w:rsidR="00246BB9" w:rsidRPr="00246BB9" w:rsidRDefault="00246BB9" w:rsidP="00246BB9">
      <w:pPr>
        <w:ind w:left="360"/>
        <w:rPr>
          <w:rFonts w:ascii="Trebuchet MS" w:hAnsi="Trebuchet MS"/>
        </w:rPr>
      </w:pPr>
      <w:r w:rsidRPr="00246BB9">
        <w:rPr>
          <w:rFonts w:ascii="Trebuchet MS" w:hAnsi="Trebuchet MS"/>
        </w:rPr>
        <w:t xml:space="preserve">White, G. (2003) ‘Organisational change and staff participation and involvement in Britain’s public services’, </w:t>
      </w:r>
      <w:r w:rsidRPr="00246BB9">
        <w:rPr>
          <w:rFonts w:ascii="Trebuchet MS" w:hAnsi="Trebuchet MS"/>
          <w:i/>
          <w:iCs/>
        </w:rPr>
        <w:t>International Journal of Public Sector Management</w:t>
      </w:r>
      <w:r w:rsidRPr="00246BB9">
        <w:rPr>
          <w:rFonts w:ascii="Trebuchet MS" w:hAnsi="Trebuchet MS"/>
        </w:rPr>
        <w:t>, 16(6), pp. 434–445.</w:t>
      </w:r>
    </w:p>
    <w:p w14:paraId="0A13F218" w14:textId="77777777" w:rsidR="00246BB9" w:rsidRPr="00246BB9" w:rsidRDefault="00246BB9" w:rsidP="00246BB9">
      <w:pPr>
        <w:ind w:left="360"/>
        <w:rPr>
          <w:rFonts w:ascii="Trebuchet MS" w:hAnsi="Trebuchet MS"/>
        </w:rPr>
      </w:pPr>
      <w:r w:rsidRPr="00246BB9">
        <w:rPr>
          <w:rFonts w:ascii="Trebuchet MS" w:hAnsi="Trebuchet MS"/>
        </w:rPr>
        <w:t xml:space="preserve">Young, J. and Tong, D. (2025) </w:t>
      </w:r>
      <w:r w:rsidRPr="00246BB9">
        <w:rPr>
          <w:rFonts w:ascii="Trebuchet MS" w:hAnsi="Trebuchet MS"/>
          <w:i/>
          <w:iCs/>
        </w:rPr>
        <w:t>Good Work Index 2025: survey report</w:t>
      </w:r>
      <w:r w:rsidRPr="00246BB9">
        <w:rPr>
          <w:rFonts w:ascii="Trebuchet MS" w:hAnsi="Trebuchet MS"/>
        </w:rPr>
        <w:t>. London: Chartered Institute of Personnel and Development.</w:t>
      </w:r>
    </w:p>
    <w:p w14:paraId="7343132B" w14:textId="6F43578C" w:rsidR="008C64CA" w:rsidRPr="00A37E18" w:rsidRDefault="008C64CA">
      <w:pPr>
        <w:rPr>
          <w:rFonts w:ascii="Trebuchet MS" w:hAnsi="Trebuchet MS"/>
        </w:rPr>
      </w:pPr>
    </w:p>
    <w:p w14:paraId="05828AAD" w14:textId="7C0EC937" w:rsidR="008C64CA" w:rsidRPr="00A37E18" w:rsidRDefault="008C64CA">
      <w:pPr>
        <w:rPr>
          <w:rFonts w:ascii="Trebuchet MS" w:hAnsi="Trebuchet MS"/>
        </w:rPr>
      </w:pPr>
    </w:p>
    <w:p w14:paraId="5E4A2FED" w14:textId="5F1D7522" w:rsidR="008C64CA" w:rsidRPr="00A37E18" w:rsidRDefault="008C64CA">
      <w:pPr>
        <w:rPr>
          <w:rFonts w:ascii="Trebuchet MS" w:hAnsi="Trebuchet MS"/>
        </w:rPr>
      </w:pPr>
    </w:p>
    <w:p w14:paraId="0823719F" w14:textId="52CA9330" w:rsidR="008C64CA" w:rsidRPr="00A37E18" w:rsidRDefault="008C64CA">
      <w:pPr>
        <w:rPr>
          <w:rFonts w:ascii="Trebuchet MS" w:hAnsi="Trebuchet MS"/>
        </w:rPr>
      </w:pPr>
    </w:p>
    <w:p w14:paraId="407D7BA5" w14:textId="28FD2F4D" w:rsidR="008C64CA" w:rsidRPr="00A37E18" w:rsidRDefault="008C64CA">
      <w:pPr>
        <w:rPr>
          <w:rFonts w:ascii="Trebuchet MS" w:hAnsi="Trebuchet MS"/>
        </w:rPr>
      </w:pPr>
    </w:p>
    <w:p w14:paraId="140C65F5" w14:textId="3AB01855" w:rsidR="008C64CA" w:rsidRPr="00A37E18" w:rsidRDefault="008C64CA">
      <w:pPr>
        <w:rPr>
          <w:rFonts w:ascii="Trebuchet MS" w:hAnsi="Trebuchet MS"/>
        </w:rPr>
      </w:pPr>
    </w:p>
    <w:p w14:paraId="10A254CA" w14:textId="3E9B900A" w:rsidR="008C64CA" w:rsidRPr="00A37E18" w:rsidRDefault="008C64CA">
      <w:pPr>
        <w:rPr>
          <w:rFonts w:ascii="Trebuchet MS" w:hAnsi="Trebuchet MS"/>
        </w:rPr>
      </w:pPr>
    </w:p>
    <w:p w14:paraId="70F1B47C" w14:textId="03A5E59F" w:rsidR="008C64CA" w:rsidRPr="00A37E18" w:rsidRDefault="008C64CA">
      <w:pPr>
        <w:rPr>
          <w:rFonts w:ascii="Trebuchet MS" w:hAnsi="Trebuchet MS"/>
        </w:rPr>
      </w:pPr>
    </w:p>
    <w:p w14:paraId="0E66BFE2" w14:textId="16DC00A5" w:rsidR="008C64CA" w:rsidRPr="00A37E18" w:rsidRDefault="008C64CA">
      <w:pPr>
        <w:rPr>
          <w:rFonts w:ascii="Trebuchet MS" w:hAnsi="Trebuchet MS"/>
        </w:rPr>
      </w:pPr>
    </w:p>
    <w:p w14:paraId="11116E9F" w14:textId="64CD7179" w:rsidR="008C64CA" w:rsidRPr="00A37E18" w:rsidRDefault="008C64CA">
      <w:pPr>
        <w:rPr>
          <w:rFonts w:ascii="Trebuchet MS" w:hAnsi="Trebuchet MS"/>
        </w:rPr>
      </w:pPr>
    </w:p>
    <w:p w14:paraId="38871323" w14:textId="30F5F9EF" w:rsidR="008C64CA" w:rsidRPr="00A37E18" w:rsidRDefault="008C64CA">
      <w:pPr>
        <w:rPr>
          <w:rFonts w:ascii="Trebuchet MS" w:hAnsi="Trebuchet MS"/>
        </w:rPr>
      </w:pPr>
    </w:p>
    <w:p w14:paraId="678225F5" w14:textId="06F70392" w:rsidR="008C64CA" w:rsidRPr="00A37E18" w:rsidRDefault="008C64CA">
      <w:pPr>
        <w:rPr>
          <w:rFonts w:ascii="Trebuchet MS" w:hAnsi="Trebuchet MS"/>
        </w:rPr>
      </w:pPr>
    </w:p>
    <w:p w14:paraId="4D50AA2A" w14:textId="2A9CFAF4" w:rsidR="008C64CA" w:rsidRPr="00A37E18" w:rsidRDefault="008C64CA">
      <w:pPr>
        <w:rPr>
          <w:rFonts w:ascii="Trebuchet MS" w:hAnsi="Trebuchet MS"/>
        </w:rPr>
      </w:pPr>
    </w:p>
    <w:p w14:paraId="6354397B" w14:textId="312E1188" w:rsidR="008C64CA" w:rsidRPr="00A37E18" w:rsidRDefault="008C64CA">
      <w:pPr>
        <w:rPr>
          <w:rFonts w:ascii="Trebuchet MS" w:hAnsi="Trebuchet MS"/>
        </w:rPr>
      </w:pPr>
    </w:p>
    <w:p w14:paraId="4F634CD2" w14:textId="2F86F9E5" w:rsidR="008C64CA" w:rsidRPr="00A37E18" w:rsidRDefault="008C64CA">
      <w:pPr>
        <w:rPr>
          <w:rFonts w:ascii="Trebuchet MS" w:hAnsi="Trebuchet MS"/>
        </w:rPr>
      </w:pPr>
    </w:p>
    <w:p w14:paraId="682D855B" w14:textId="77777777" w:rsidR="008C64CA" w:rsidRPr="00A37E18" w:rsidRDefault="008C64CA">
      <w:pPr>
        <w:rPr>
          <w:rFonts w:ascii="Trebuchet MS" w:hAnsi="Trebuchet MS"/>
        </w:rPr>
      </w:pPr>
    </w:p>
    <w:sectPr w:rsidR="008C64CA" w:rsidRPr="00A37E18" w:rsidSect="008E2ED2">
      <w:pgSz w:w="11906" w:h="16838"/>
      <w:pgMar w:top="851"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802C2"/>
    <w:multiLevelType w:val="hybridMultilevel"/>
    <w:tmpl w:val="C2BACE1C"/>
    <w:numStyleLink w:val="ImportedStyle5"/>
  </w:abstractNum>
  <w:abstractNum w:abstractNumId="1" w15:restartNumberingAfterBreak="0">
    <w:nsid w:val="224C6CEB"/>
    <w:multiLevelType w:val="hybridMultilevel"/>
    <w:tmpl w:val="382A21A0"/>
    <w:numStyleLink w:val="ImportedStyle6"/>
  </w:abstractNum>
  <w:abstractNum w:abstractNumId="2" w15:restartNumberingAfterBreak="0">
    <w:nsid w:val="33451EB6"/>
    <w:multiLevelType w:val="hybridMultilevel"/>
    <w:tmpl w:val="E9F87D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B64DF"/>
    <w:multiLevelType w:val="hybridMultilevel"/>
    <w:tmpl w:val="382A21A0"/>
    <w:styleLink w:val="ImportedStyle6"/>
    <w:lvl w:ilvl="0" w:tplc="622E1B9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616E34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C042492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68CD35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1C3EEA5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CB54EC2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E22D5D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1BC1DF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6F0EF20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6FBA08D4"/>
    <w:multiLevelType w:val="hybridMultilevel"/>
    <w:tmpl w:val="C2BACE1C"/>
    <w:styleLink w:val="ImportedStyle5"/>
    <w:lvl w:ilvl="0" w:tplc="AAA2AA04">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9B8F17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8705B1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DCEDD0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1C2DE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E1077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1D28DB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7CC2B5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D4E765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7ADA3F4B"/>
    <w:multiLevelType w:val="multilevel"/>
    <w:tmpl w:val="C1623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5776822">
    <w:abstractNumId w:val="4"/>
  </w:num>
  <w:num w:numId="2" w16cid:durableId="1368066399">
    <w:abstractNumId w:val="0"/>
  </w:num>
  <w:num w:numId="3" w16cid:durableId="1716807838">
    <w:abstractNumId w:val="3"/>
  </w:num>
  <w:num w:numId="4" w16cid:durableId="1652172528">
    <w:abstractNumId w:val="1"/>
  </w:num>
  <w:num w:numId="5" w16cid:durableId="1575552550">
    <w:abstractNumId w:val="1"/>
    <w:lvlOverride w:ilvl="0">
      <w:lvl w:ilvl="0" w:tplc="FDAEC52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431021A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3D205CE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CCAEBB2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63C63E14">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0E6ECF6A">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A4FE5278">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4C2804A2">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10F846A8">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6" w16cid:durableId="2126458377">
    <w:abstractNumId w:val="2"/>
  </w:num>
  <w:num w:numId="7" w16cid:durableId="14776060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BAE"/>
    <w:rsid w:val="00002D5B"/>
    <w:rsid w:val="000073AF"/>
    <w:rsid w:val="00012592"/>
    <w:rsid w:val="00044D88"/>
    <w:rsid w:val="00063719"/>
    <w:rsid w:val="00064B30"/>
    <w:rsid w:val="000675A0"/>
    <w:rsid w:val="00075CA8"/>
    <w:rsid w:val="00081D91"/>
    <w:rsid w:val="00091D44"/>
    <w:rsid w:val="0009246D"/>
    <w:rsid w:val="0009561A"/>
    <w:rsid w:val="000A51C8"/>
    <w:rsid w:val="000B09A2"/>
    <w:rsid w:val="000B3C4D"/>
    <w:rsid w:val="000B58AD"/>
    <w:rsid w:val="000B7850"/>
    <w:rsid w:val="000C205E"/>
    <w:rsid w:val="000D2740"/>
    <w:rsid w:val="000D6A45"/>
    <w:rsid w:val="001065D4"/>
    <w:rsid w:val="00114195"/>
    <w:rsid w:val="00131B0A"/>
    <w:rsid w:val="00133189"/>
    <w:rsid w:val="001461BE"/>
    <w:rsid w:val="001531AD"/>
    <w:rsid w:val="00154DA1"/>
    <w:rsid w:val="0016375F"/>
    <w:rsid w:val="00164C3D"/>
    <w:rsid w:val="001910F7"/>
    <w:rsid w:val="00194225"/>
    <w:rsid w:val="001B001F"/>
    <w:rsid w:val="001B1EF9"/>
    <w:rsid w:val="001D5A5D"/>
    <w:rsid w:val="001D6068"/>
    <w:rsid w:val="001E5FF3"/>
    <w:rsid w:val="001E7938"/>
    <w:rsid w:val="001F0E6E"/>
    <w:rsid w:val="0020544B"/>
    <w:rsid w:val="00205800"/>
    <w:rsid w:val="00210084"/>
    <w:rsid w:val="00216F6C"/>
    <w:rsid w:val="00220CBF"/>
    <w:rsid w:val="00243DC9"/>
    <w:rsid w:val="002463E0"/>
    <w:rsid w:val="00246BB9"/>
    <w:rsid w:val="0026489F"/>
    <w:rsid w:val="00272B89"/>
    <w:rsid w:val="002A277D"/>
    <w:rsid w:val="002B1A8F"/>
    <w:rsid w:val="002C3E0E"/>
    <w:rsid w:val="002C7362"/>
    <w:rsid w:val="002E411D"/>
    <w:rsid w:val="002E7505"/>
    <w:rsid w:val="002F009E"/>
    <w:rsid w:val="00300CF0"/>
    <w:rsid w:val="0030644E"/>
    <w:rsid w:val="00306A68"/>
    <w:rsid w:val="00306D00"/>
    <w:rsid w:val="0032455A"/>
    <w:rsid w:val="003250B4"/>
    <w:rsid w:val="003321AE"/>
    <w:rsid w:val="003450FC"/>
    <w:rsid w:val="003801F7"/>
    <w:rsid w:val="00381A34"/>
    <w:rsid w:val="003842D5"/>
    <w:rsid w:val="003906ED"/>
    <w:rsid w:val="003A6CDF"/>
    <w:rsid w:val="003B4A73"/>
    <w:rsid w:val="003B5058"/>
    <w:rsid w:val="003C77EC"/>
    <w:rsid w:val="003D6FE3"/>
    <w:rsid w:val="003E660B"/>
    <w:rsid w:val="003F6ABB"/>
    <w:rsid w:val="00412DE0"/>
    <w:rsid w:val="0041579D"/>
    <w:rsid w:val="00423149"/>
    <w:rsid w:val="0042470D"/>
    <w:rsid w:val="00443F08"/>
    <w:rsid w:val="00447F97"/>
    <w:rsid w:val="00465AD0"/>
    <w:rsid w:val="00473C8D"/>
    <w:rsid w:val="00476488"/>
    <w:rsid w:val="004776F4"/>
    <w:rsid w:val="00490F83"/>
    <w:rsid w:val="0049757E"/>
    <w:rsid w:val="004B44ED"/>
    <w:rsid w:val="004E17C6"/>
    <w:rsid w:val="00507ED8"/>
    <w:rsid w:val="005164C7"/>
    <w:rsid w:val="00524456"/>
    <w:rsid w:val="005462B2"/>
    <w:rsid w:val="00556205"/>
    <w:rsid w:val="00560C49"/>
    <w:rsid w:val="0056413D"/>
    <w:rsid w:val="00583832"/>
    <w:rsid w:val="005A6964"/>
    <w:rsid w:val="005C453E"/>
    <w:rsid w:val="005D1E34"/>
    <w:rsid w:val="005D54BB"/>
    <w:rsid w:val="005E2677"/>
    <w:rsid w:val="005E46FF"/>
    <w:rsid w:val="005F53DD"/>
    <w:rsid w:val="00610347"/>
    <w:rsid w:val="00610F5F"/>
    <w:rsid w:val="0062471B"/>
    <w:rsid w:val="006279C8"/>
    <w:rsid w:val="00636F3C"/>
    <w:rsid w:val="006376EE"/>
    <w:rsid w:val="00642EDA"/>
    <w:rsid w:val="006465ED"/>
    <w:rsid w:val="00650E3C"/>
    <w:rsid w:val="0065410C"/>
    <w:rsid w:val="006613EB"/>
    <w:rsid w:val="00664598"/>
    <w:rsid w:val="006749D2"/>
    <w:rsid w:val="00680683"/>
    <w:rsid w:val="00680771"/>
    <w:rsid w:val="006A382B"/>
    <w:rsid w:val="006A6597"/>
    <w:rsid w:val="006A79AA"/>
    <w:rsid w:val="006C7D14"/>
    <w:rsid w:val="006D52FF"/>
    <w:rsid w:val="006D68C4"/>
    <w:rsid w:val="006E300E"/>
    <w:rsid w:val="006E3389"/>
    <w:rsid w:val="006E4CB2"/>
    <w:rsid w:val="0070590E"/>
    <w:rsid w:val="007111F3"/>
    <w:rsid w:val="00711272"/>
    <w:rsid w:val="00724B8B"/>
    <w:rsid w:val="00747B9A"/>
    <w:rsid w:val="00752B54"/>
    <w:rsid w:val="00755847"/>
    <w:rsid w:val="007565C4"/>
    <w:rsid w:val="007579FD"/>
    <w:rsid w:val="00794449"/>
    <w:rsid w:val="007A088A"/>
    <w:rsid w:val="007B5EEC"/>
    <w:rsid w:val="007E6AF0"/>
    <w:rsid w:val="00800DC2"/>
    <w:rsid w:val="00814ED9"/>
    <w:rsid w:val="00820A92"/>
    <w:rsid w:val="00825425"/>
    <w:rsid w:val="00832107"/>
    <w:rsid w:val="00845A18"/>
    <w:rsid w:val="00847806"/>
    <w:rsid w:val="00855005"/>
    <w:rsid w:val="0086635A"/>
    <w:rsid w:val="00872E5F"/>
    <w:rsid w:val="00875326"/>
    <w:rsid w:val="00890B34"/>
    <w:rsid w:val="008A2671"/>
    <w:rsid w:val="008A5B0D"/>
    <w:rsid w:val="008A69E0"/>
    <w:rsid w:val="008B2F08"/>
    <w:rsid w:val="008B6A9E"/>
    <w:rsid w:val="008C64CA"/>
    <w:rsid w:val="008E2ED2"/>
    <w:rsid w:val="008E7D6E"/>
    <w:rsid w:val="0090505D"/>
    <w:rsid w:val="00914D89"/>
    <w:rsid w:val="009164E1"/>
    <w:rsid w:val="00924F9D"/>
    <w:rsid w:val="00956183"/>
    <w:rsid w:val="00962357"/>
    <w:rsid w:val="0097509A"/>
    <w:rsid w:val="0097543D"/>
    <w:rsid w:val="009A38D4"/>
    <w:rsid w:val="009C0DCE"/>
    <w:rsid w:val="009C49C9"/>
    <w:rsid w:val="009C55E8"/>
    <w:rsid w:val="009C74C5"/>
    <w:rsid w:val="009D2C03"/>
    <w:rsid w:val="009E682F"/>
    <w:rsid w:val="00A050B6"/>
    <w:rsid w:val="00A071C2"/>
    <w:rsid w:val="00A12A14"/>
    <w:rsid w:val="00A168D2"/>
    <w:rsid w:val="00A37E18"/>
    <w:rsid w:val="00A62F2D"/>
    <w:rsid w:val="00A67C28"/>
    <w:rsid w:val="00A8571C"/>
    <w:rsid w:val="00A93FD8"/>
    <w:rsid w:val="00AA47B8"/>
    <w:rsid w:val="00AA5FF1"/>
    <w:rsid w:val="00AA73C2"/>
    <w:rsid w:val="00AB2050"/>
    <w:rsid w:val="00AB34DF"/>
    <w:rsid w:val="00AB57A7"/>
    <w:rsid w:val="00AB698F"/>
    <w:rsid w:val="00AB7636"/>
    <w:rsid w:val="00AC491A"/>
    <w:rsid w:val="00AE35AF"/>
    <w:rsid w:val="00AE7014"/>
    <w:rsid w:val="00B00AAA"/>
    <w:rsid w:val="00B215C5"/>
    <w:rsid w:val="00B26AFF"/>
    <w:rsid w:val="00B429CB"/>
    <w:rsid w:val="00B42BAE"/>
    <w:rsid w:val="00B440CE"/>
    <w:rsid w:val="00B64194"/>
    <w:rsid w:val="00B84DC5"/>
    <w:rsid w:val="00B937FE"/>
    <w:rsid w:val="00BA63C5"/>
    <w:rsid w:val="00BB7588"/>
    <w:rsid w:val="00BE12D6"/>
    <w:rsid w:val="00BF1D4F"/>
    <w:rsid w:val="00BF2947"/>
    <w:rsid w:val="00C058EF"/>
    <w:rsid w:val="00C0731C"/>
    <w:rsid w:val="00C13994"/>
    <w:rsid w:val="00C178D4"/>
    <w:rsid w:val="00C40FFD"/>
    <w:rsid w:val="00C43640"/>
    <w:rsid w:val="00C47A4A"/>
    <w:rsid w:val="00C65AA0"/>
    <w:rsid w:val="00C67A15"/>
    <w:rsid w:val="00C741D4"/>
    <w:rsid w:val="00C802AA"/>
    <w:rsid w:val="00CA731D"/>
    <w:rsid w:val="00CB0E45"/>
    <w:rsid w:val="00CC7476"/>
    <w:rsid w:val="00CC7EDC"/>
    <w:rsid w:val="00CD0415"/>
    <w:rsid w:val="00CD07BE"/>
    <w:rsid w:val="00CD2204"/>
    <w:rsid w:val="00CD45D8"/>
    <w:rsid w:val="00CD5CDB"/>
    <w:rsid w:val="00CD5E5F"/>
    <w:rsid w:val="00CD7DDD"/>
    <w:rsid w:val="00CE09B4"/>
    <w:rsid w:val="00CE179B"/>
    <w:rsid w:val="00CE1C3F"/>
    <w:rsid w:val="00CF2402"/>
    <w:rsid w:val="00D118F9"/>
    <w:rsid w:val="00D24271"/>
    <w:rsid w:val="00D317DE"/>
    <w:rsid w:val="00D32DAE"/>
    <w:rsid w:val="00D45E63"/>
    <w:rsid w:val="00D5413C"/>
    <w:rsid w:val="00D67213"/>
    <w:rsid w:val="00D72E7C"/>
    <w:rsid w:val="00D862D2"/>
    <w:rsid w:val="00D97335"/>
    <w:rsid w:val="00DB1F3C"/>
    <w:rsid w:val="00DB6D1D"/>
    <w:rsid w:val="00DC2086"/>
    <w:rsid w:val="00DD091A"/>
    <w:rsid w:val="00DD525E"/>
    <w:rsid w:val="00DD7814"/>
    <w:rsid w:val="00DE681F"/>
    <w:rsid w:val="00DF6309"/>
    <w:rsid w:val="00E03C75"/>
    <w:rsid w:val="00E0646E"/>
    <w:rsid w:val="00E07489"/>
    <w:rsid w:val="00E20CD3"/>
    <w:rsid w:val="00E21EA3"/>
    <w:rsid w:val="00E252AB"/>
    <w:rsid w:val="00E254D9"/>
    <w:rsid w:val="00E3480E"/>
    <w:rsid w:val="00E3539B"/>
    <w:rsid w:val="00E37039"/>
    <w:rsid w:val="00E46E26"/>
    <w:rsid w:val="00E53875"/>
    <w:rsid w:val="00E61EAC"/>
    <w:rsid w:val="00E73F4F"/>
    <w:rsid w:val="00E85072"/>
    <w:rsid w:val="00EA7CB4"/>
    <w:rsid w:val="00EB5CFB"/>
    <w:rsid w:val="00EC6B4E"/>
    <w:rsid w:val="00ED7AAA"/>
    <w:rsid w:val="00EF09B3"/>
    <w:rsid w:val="00F2185A"/>
    <w:rsid w:val="00F32C56"/>
    <w:rsid w:val="00F354B3"/>
    <w:rsid w:val="00F3559E"/>
    <w:rsid w:val="00F450F1"/>
    <w:rsid w:val="00F453DF"/>
    <w:rsid w:val="00F563A6"/>
    <w:rsid w:val="00F60C39"/>
    <w:rsid w:val="00F7004E"/>
    <w:rsid w:val="00FB719B"/>
    <w:rsid w:val="00FE32A3"/>
    <w:rsid w:val="00FE72E0"/>
    <w:rsid w:val="00FF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18B0C"/>
  <w15:chartTrackingRefBased/>
  <w15:docId w15:val="{252B7E94-104E-4269-AF7A-D1DE8AA43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mportedStyle5">
    <w:name w:val="Imported Style 5"/>
    <w:rsid w:val="00B42BAE"/>
    <w:pPr>
      <w:numPr>
        <w:numId w:val="1"/>
      </w:numPr>
    </w:pPr>
  </w:style>
  <w:style w:type="numbering" w:customStyle="1" w:styleId="ImportedStyle6">
    <w:name w:val="Imported Style 6"/>
    <w:rsid w:val="00B42BAE"/>
    <w:pPr>
      <w:numPr>
        <w:numId w:val="3"/>
      </w:numPr>
    </w:pPr>
  </w:style>
  <w:style w:type="paragraph" w:styleId="ListParagraph">
    <w:name w:val="List Paragraph"/>
    <w:basedOn w:val="Normal"/>
    <w:uiPriority w:val="34"/>
    <w:qFormat/>
    <w:rsid w:val="00B42BAE"/>
    <w:pPr>
      <w:ind w:left="720"/>
      <w:contextualSpacing/>
    </w:pPr>
  </w:style>
  <w:style w:type="paragraph" w:styleId="NormalWeb">
    <w:name w:val="Normal (Web)"/>
    <w:basedOn w:val="Normal"/>
    <w:uiPriority w:val="99"/>
    <w:unhideWhenUsed/>
    <w:rsid w:val="00546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62B2"/>
    <w:rPr>
      <w:b/>
      <w:bCs/>
    </w:rPr>
  </w:style>
  <w:style w:type="character" w:styleId="Emphasis">
    <w:name w:val="Emphasis"/>
    <w:basedOn w:val="DefaultParagraphFont"/>
    <w:uiPriority w:val="20"/>
    <w:qFormat/>
    <w:rsid w:val="005462B2"/>
    <w:rPr>
      <w:i/>
      <w:iCs/>
    </w:rPr>
  </w:style>
  <w:style w:type="paragraph" w:customStyle="1" w:styleId="jot-paragraph-element">
    <w:name w:val="jot-paragraph-element"/>
    <w:basedOn w:val="Normal"/>
    <w:rsid w:val="000B3C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D5413C"/>
    <w:pPr>
      <w:spacing w:after="0" w:line="240" w:lineRule="auto"/>
    </w:pPr>
  </w:style>
  <w:style w:type="character" w:styleId="Hyperlink">
    <w:name w:val="Hyperlink"/>
    <w:basedOn w:val="DefaultParagraphFont"/>
    <w:uiPriority w:val="99"/>
    <w:unhideWhenUsed/>
    <w:rsid w:val="00DC2086"/>
    <w:rPr>
      <w:color w:val="0563C1" w:themeColor="hyperlink"/>
      <w:u w:val="single"/>
    </w:rPr>
  </w:style>
  <w:style w:type="character" w:styleId="UnresolvedMention">
    <w:name w:val="Unresolved Mention"/>
    <w:basedOn w:val="DefaultParagraphFont"/>
    <w:uiPriority w:val="99"/>
    <w:semiHidden/>
    <w:unhideWhenUsed/>
    <w:rsid w:val="00DC20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5616">
      <w:bodyDiv w:val="1"/>
      <w:marLeft w:val="0"/>
      <w:marRight w:val="0"/>
      <w:marTop w:val="0"/>
      <w:marBottom w:val="0"/>
      <w:divBdr>
        <w:top w:val="none" w:sz="0" w:space="0" w:color="auto"/>
        <w:left w:val="none" w:sz="0" w:space="0" w:color="auto"/>
        <w:bottom w:val="none" w:sz="0" w:space="0" w:color="auto"/>
        <w:right w:val="none" w:sz="0" w:space="0" w:color="auto"/>
      </w:divBdr>
      <w:divsChild>
        <w:div w:id="2981797">
          <w:marLeft w:val="0"/>
          <w:marRight w:val="0"/>
          <w:marTop w:val="0"/>
          <w:marBottom w:val="0"/>
          <w:divBdr>
            <w:top w:val="none" w:sz="0" w:space="0" w:color="auto"/>
            <w:left w:val="none" w:sz="0" w:space="0" w:color="auto"/>
            <w:bottom w:val="none" w:sz="0" w:space="0" w:color="auto"/>
            <w:right w:val="none" w:sz="0" w:space="0" w:color="auto"/>
          </w:divBdr>
        </w:div>
      </w:divsChild>
    </w:div>
    <w:div w:id="22754241">
      <w:bodyDiv w:val="1"/>
      <w:marLeft w:val="0"/>
      <w:marRight w:val="0"/>
      <w:marTop w:val="0"/>
      <w:marBottom w:val="0"/>
      <w:divBdr>
        <w:top w:val="none" w:sz="0" w:space="0" w:color="auto"/>
        <w:left w:val="none" w:sz="0" w:space="0" w:color="auto"/>
        <w:bottom w:val="none" w:sz="0" w:space="0" w:color="auto"/>
        <w:right w:val="none" w:sz="0" w:space="0" w:color="auto"/>
      </w:divBdr>
      <w:divsChild>
        <w:div w:id="825784005">
          <w:marLeft w:val="0"/>
          <w:marRight w:val="0"/>
          <w:marTop w:val="0"/>
          <w:marBottom w:val="0"/>
          <w:divBdr>
            <w:top w:val="none" w:sz="0" w:space="0" w:color="auto"/>
            <w:left w:val="none" w:sz="0" w:space="0" w:color="auto"/>
            <w:bottom w:val="none" w:sz="0" w:space="0" w:color="auto"/>
            <w:right w:val="none" w:sz="0" w:space="0" w:color="auto"/>
          </w:divBdr>
        </w:div>
      </w:divsChild>
    </w:div>
    <w:div w:id="31618499">
      <w:bodyDiv w:val="1"/>
      <w:marLeft w:val="0"/>
      <w:marRight w:val="0"/>
      <w:marTop w:val="0"/>
      <w:marBottom w:val="0"/>
      <w:divBdr>
        <w:top w:val="none" w:sz="0" w:space="0" w:color="auto"/>
        <w:left w:val="none" w:sz="0" w:space="0" w:color="auto"/>
        <w:bottom w:val="none" w:sz="0" w:space="0" w:color="auto"/>
        <w:right w:val="none" w:sz="0" w:space="0" w:color="auto"/>
      </w:divBdr>
      <w:divsChild>
        <w:div w:id="735980023">
          <w:marLeft w:val="0"/>
          <w:marRight w:val="0"/>
          <w:marTop w:val="0"/>
          <w:marBottom w:val="0"/>
          <w:divBdr>
            <w:top w:val="none" w:sz="0" w:space="0" w:color="auto"/>
            <w:left w:val="none" w:sz="0" w:space="0" w:color="auto"/>
            <w:bottom w:val="none" w:sz="0" w:space="0" w:color="auto"/>
            <w:right w:val="none" w:sz="0" w:space="0" w:color="auto"/>
          </w:divBdr>
        </w:div>
      </w:divsChild>
    </w:div>
    <w:div w:id="42750183">
      <w:bodyDiv w:val="1"/>
      <w:marLeft w:val="0"/>
      <w:marRight w:val="0"/>
      <w:marTop w:val="0"/>
      <w:marBottom w:val="0"/>
      <w:divBdr>
        <w:top w:val="none" w:sz="0" w:space="0" w:color="auto"/>
        <w:left w:val="none" w:sz="0" w:space="0" w:color="auto"/>
        <w:bottom w:val="none" w:sz="0" w:space="0" w:color="auto"/>
        <w:right w:val="none" w:sz="0" w:space="0" w:color="auto"/>
      </w:divBdr>
      <w:divsChild>
        <w:div w:id="1689868558">
          <w:marLeft w:val="0"/>
          <w:marRight w:val="0"/>
          <w:marTop w:val="0"/>
          <w:marBottom w:val="0"/>
          <w:divBdr>
            <w:top w:val="none" w:sz="0" w:space="0" w:color="auto"/>
            <w:left w:val="none" w:sz="0" w:space="0" w:color="auto"/>
            <w:bottom w:val="none" w:sz="0" w:space="0" w:color="auto"/>
            <w:right w:val="none" w:sz="0" w:space="0" w:color="auto"/>
          </w:divBdr>
        </w:div>
      </w:divsChild>
    </w:div>
    <w:div w:id="136649797">
      <w:bodyDiv w:val="1"/>
      <w:marLeft w:val="0"/>
      <w:marRight w:val="0"/>
      <w:marTop w:val="0"/>
      <w:marBottom w:val="0"/>
      <w:divBdr>
        <w:top w:val="none" w:sz="0" w:space="0" w:color="auto"/>
        <w:left w:val="none" w:sz="0" w:space="0" w:color="auto"/>
        <w:bottom w:val="none" w:sz="0" w:space="0" w:color="auto"/>
        <w:right w:val="none" w:sz="0" w:space="0" w:color="auto"/>
      </w:divBdr>
      <w:divsChild>
        <w:div w:id="362488491">
          <w:marLeft w:val="0"/>
          <w:marRight w:val="0"/>
          <w:marTop w:val="0"/>
          <w:marBottom w:val="0"/>
          <w:divBdr>
            <w:top w:val="none" w:sz="0" w:space="0" w:color="auto"/>
            <w:left w:val="none" w:sz="0" w:space="0" w:color="auto"/>
            <w:bottom w:val="none" w:sz="0" w:space="0" w:color="auto"/>
            <w:right w:val="none" w:sz="0" w:space="0" w:color="auto"/>
          </w:divBdr>
        </w:div>
      </w:divsChild>
    </w:div>
    <w:div w:id="159926227">
      <w:bodyDiv w:val="1"/>
      <w:marLeft w:val="0"/>
      <w:marRight w:val="0"/>
      <w:marTop w:val="0"/>
      <w:marBottom w:val="0"/>
      <w:divBdr>
        <w:top w:val="none" w:sz="0" w:space="0" w:color="auto"/>
        <w:left w:val="none" w:sz="0" w:space="0" w:color="auto"/>
        <w:bottom w:val="none" w:sz="0" w:space="0" w:color="auto"/>
        <w:right w:val="none" w:sz="0" w:space="0" w:color="auto"/>
      </w:divBdr>
      <w:divsChild>
        <w:div w:id="1692098540">
          <w:marLeft w:val="0"/>
          <w:marRight w:val="0"/>
          <w:marTop w:val="0"/>
          <w:marBottom w:val="0"/>
          <w:divBdr>
            <w:top w:val="none" w:sz="0" w:space="0" w:color="auto"/>
            <w:left w:val="none" w:sz="0" w:space="0" w:color="auto"/>
            <w:bottom w:val="none" w:sz="0" w:space="0" w:color="auto"/>
            <w:right w:val="none" w:sz="0" w:space="0" w:color="auto"/>
          </w:divBdr>
        </w:div>
      </w:divsChild>
    </w:div>
    <w:div w:id="203636505">
      <w:bodyDiv w:val="1"/>
      <w:marLeft w:val="0"/>
      <w:marRight w:val="0"/>
      <w:marTop w:val="0"/>
      <w:marBottom w:val="0"/>
      <w:divBdr>
        <w:top w:val="none" w:sz="0" w:space="0" w:color="auto"/>
        <w:left w:val="none" w:sz="0" w:space="0" w:color="auto"/>
        <w:bottom w:val="none" w:sz="0" w:space="0" w:color="auto"/>
        <w:right w:val="none" w:sz="0" w:space="0" w:color="auto"/>
      </w:divBdr>
      <w:divsChild>
        <w:div w:id="1176765404">
          <w:marLeft w:val="0"/>
          <w:marRight w:val="0"/>
          <w:marTop w:val="0"/>
          <w:marBottom w:val="0"/>
          <w:divBdr>
            <w:top w:val="none" w:sz="0" w:space="0" w:color="auto"/>
            <w:left w:val="none" w:sz="0" w:space="0" w:color="auto"/>
            <w:bottom w:val="none" w:sz="0" w:space="0" w:color="auto"/>
            <w:right w:val="none" w:sz="0" w:space="0" w:color="auto"/>
          </w:divBdr>
        </w:div>
      </w:divsChild>
    </w:div>
    <w:div w:id="204024743">
      <w:bodyDiv w:val="1"/>
      <w:marLeft w:val="0"/>
      <w:marRight w:val="0"/>
      <w:marTop w:val="0"/>
      <w:marBottom w:val="0"/>
      <w:divBdr>
        <w:top w:val="none" w:sz="0" w:space="0" w:color="auto"/>
        <w:left w:val="none" w:sz="0" w:space="0" w:color="auto"/>
        <w:bottom w:val="none" w:sz="0" w:space="0" w:color="auto"/>
        <w:right w:val="none" w:sz="0" w:space="0" w:color="auto"/>
      </w:divBdr>
      <w:divsChild>
        <w:div w:id="139200673">
          <w:marLeft w:val="0"/>
          <w:marRight w:val="0"/>
          <w:marTop w:val="0"/>
          <w:marBottom w:val="0"/>
          <w:divBdr>
            <w:top w:val="none" w:sz="0" w:space="0" w:color="auto"/>
            <w:left w:val="none" w:sz="0" w:space="0" w:color="auto"/>
            <w:bottom w:val="none" w:sz="0" w:space="0" w:color="auto"/>
            <w:right w:val="none" w:sz="0" w:space="0" w:color="auto"/>
          </w:divBdr>
        </w:div>
      </w:divsChild>
    </w:div>
    <w:div w:id="295916509">
      <w:bodyDiv w:val="1"/>
      <w:marLeft w:val="0"/>
      <w:marRight w:val="0"/>
      <w:marTop w:val="0"/>
      <w:marBottom w:val="0"/>
      <w:divBdr>
        <w:top w:val="none" w:sz="0" w:space="0" w:color="auto"/>
        <w:left w:val="none" w:sz="0" w:space="0" w:color="auto"/>
        <w:bottom w:val="none" w:sz="0" w:space="0" w:color="auto"/>
        <w:right w:val="none" w:sz="0" w:space="0" w:color="auto"/>
      </w:divBdr>
      <w:divsChild>
        <w:div w:id="1420442732">
          <w:marLeft w:val="0"/>
          <w:marRight w:val="0"/>
          <w:marTop w:val="0"/>
          <w:marBottom w:val="0"/>
          <w:divBdr>
            <w:top w:val="none" w:sz="0" w:space="0" w:color="auto"/>
            <w:left w:val="none" w:sz="0" w:space="0" w:color="auto"/>
            <w:bottom w:val="none" w:sz="0" w:space="0" w:color="auto"/>
            <w:right w:val="none" w:sz="0" w:space="0" w:color="auto"/>
          </w:divBdr>
        </w:div>
      </w:divsChild>
    </w:div>
    <w:div w:id="332102206">
      <w:bodyDiv w:val="1"/>
      <w:marLeft w:val="0"/>
      <w:marRight w:val="0"/>
      <w:marTop w:val="0"/>
      <w:marBottom w:val="0"/>
      <w:divBdr>
        <w:top w:val="none" w:sz="0" w:space="0" w:color="auto"/>
        <w:left w:val="none" w:sz="0" w:space="0" w:color="auto"/>
        <w:bottom w:val="none" w:sz="0" w:space="0" w:color="auto"/>
        <w:right w:val="none" w:sz="0" w:space="0" w:color="auto"/>
      </w:divBdr>
      <w:divsChild>
        <w:div w:id="1813667644">
          <w:marLeft w:val="0"/>
          <w:marRight w:val="0"/>
          <w:marTop w:val="0"/>
          <w:marBottom w:val="0"/>
          <w:divBdr>
            <w:top w:val="none" w:sz="0" w:space="0" w:color="auto"/>
            <w:left w:val="none" w:sz="0" w:space="0" w:color="auto"/>
            <w:bottom w:val="none" w:sz="0" w:space="0" w:color="auto"/>
            <w:right w:val="none" w:sz="0" w:space="0" w:color="auto"/>
          </w:divBdr>
        </w:div>
      </w:divsChild>
    </w:div>
    <w:div w:id="355618397">
      <w:bodyDiv w:val="1"/>
      <w:marLeft w:val="0"/>
      <w:marRight w:val="0"/>
      <w:marTop w:val="0"/>
      <w:marBottom w:val="0"/>
      <w:divBdr>
        <w:top w:val="none" w:sz="0" w:space="0" w:color="auto"/>
        <w:left w:val="none" w:sz="0" w:space="0" w:color="auto"/>
        <w:bottom w:val="none" w:sz="0" w:space="0" w:color="auto"/>
        <w:right w:val="none" w:sz="0" w:space="0" w:color="auto"/>
      </w:divBdr>
      <w:divsChild>
        <w:div w:id="1070420111">
          <w:marLeft w:val="0"/>
          <w:marRight w:val="0"/>
          <w:marTop w:val="0"/>
          <w:marBottom w:val="0"/>
          <w:divBdr>
            <w:top w:val="none" w:sz="0" w:space="0" w:color="auto"/>
            <w:left w:val="none" w:sz="0" w:space="0" w:color="auto"/>
            <w:bottom w:val="none" w:sz="0" w:space="0" w:color="auto"/>
            <w:right w:val="none" w:sz="0" w:space="0" w:color="auto"/>
          </w:divBdr>
        </w:div>
      </w:divsChild>
    </w:div>
    <w:div w:id="393236197">
      <w:bodyDiv w:val="1"/>
      <w:marLeft w:val="0"/>
      <w:marRight w:val="0"/>
      <w:marTop w:val="0"/>
      <w:marBottom w:val="0"/>
      <w:divBdr>
        <w:top w:val="none" w:sz="0" w:space="0" w:color="auto"/>
        <w:left w:val="none" w:sz="0" w:space="0" w:color="auto"/>
        <w:bottom w:val="none" w:sz="0" w:space="0" w:color="auto"/>
        <w:right w:val="none" w:sz="0" w:space="0" w:color="auto"/>
      </w:divBdr>
      <w:divsChild>
        <w:div w:id="847254270">
          <w:marLeft w:val="0"/>
          <w:marRight w:val="0"/>
          <w:marTop w:val="0"/>
          <w:marBottom w:val="0"/>
          <w:divBdr>
            <w:top w:val="none" w:sz="0" w:space="0" w:color="auto"/>
            <w:left w:val="none" w:sz="0" w:space="0" w:color="auto"/>
            <w:bottom w:val="none" w:sz="0" w:space="0" w:color="auto"/>
            <w:right w:val="none" w:sz="0" w:space="0" w:color="auto"/>
          </w:divBdr>
        </w:div>
      </w:divsChild>
    </w:div>
    <w:div w:id="425424915">
      <w:bodyDiv w:val="1"/>
      <w:marLeft w:val="0"/>
      <w:marRight w:val="0"/>
      <w:marTop w:val="0"/>
      <w:marBottom w:val="0"/>
      <w:divBdr>
        <w:top w:val="none" w:sz="0" w:space="0" w:color="auto"/>
        <w:left w:val="none" w:sz="0" w:space="0" w:color="auto"/>
        <w:bottom w:val="none" w:sz="0" w:space="0" w:color="auto"/>
        <w:right w:val="none" w:sz="0" w:space="0" w:color="auto"/>
      </w:divBdr>
      <w:divsChild>
        <w:div w:id="843859727">
          <w:marLeft w:val="0"/>
          <w:marRight w:val="0"/>
          <w:marTop w:val="0"/>
          <w:marBottom w:val="0"/>
          <w:divBdr>
            <w:top w:val="none" w:sz="0" w:space="0" w:color="auto"/>
            <w:left w:val="none" w:sz="0" w:space="0" w:color="auto"/>
            <w:bottom w:val="none" w:sz="0" w:space="0" w:color="auto"/>
            <w:right w:val="none" w:sz="0" w:space="0" w:color="auto"/>
          </w:divBdr>
        </w:div>
      </w:divsChild>
    </w:div>
    <w:div w:id="455560592">
      <w:bodyDiv w:val="1"/>
      <w:marLeft w:val="0"/>
      <w:marRight w:val="0"/>
      <w:marTop w:val="0"/>
      <w:marBottom w:val="0"/>
      <w:divBdr>
        <w:top w:val="none" w:sz="0" w:space="0" w:color="auto"/>
        <w:left w:val="none" w:sz="0" w:space="0" w:color="auto"/>
        <w:bottom w:val="none" w:sz="0" w:space="0" w:color="auto"/>
        <w:right w:val="none" w:sz="0" w:space="0" w:color="auto"/>
      </w:divBdr>
      <w:divsChild>
        <w:div w:id="1621641358">
          <w:marLeft w:val="0"/>
          <w:marRight w:val="0"/>
          <w:marTop w:val="0"/>
          <w:marBottom w:val="0"/>
          <w:divBdr>
            <w:top w:val="none" w:sz="0" w:space="0" w:color="auto"/>
            <w:left w:val="none" w:sz="0" w:space="0" w:color="auto"/>
            <w:bottom w:val="none" w:sz="0" w:space="0" w:color="auto"/>
            <w:right w:val="none" w:sz="0" w:space="0" w:color="auto"/>
          </w:divBdr>
        </w:div>
      </w:divsChild>
    </w:div>
    <w:div w:id="473179379">
      <w:bodyDiv w:val="1"/>
      <w:marLeft w:val="0"/>
      <w:marRight w:val="0"/>
      <w:marTop w:val="0"/>
      <w:marBottom w:val="0"/>
      <w:divBdr>
        <w:top w:val="none" w:sz="0" w:space="0" w:color="auto"/>
        <w:left w:val="none" w:sz="0" w:space="0" w:color="auto"/>
        <w:bottom w:val="none" w:sz="0" w:space="0" w:color="auto"/>
        <w:right w:val="none" w:sz="0" w:space="0" w:color="auto"/>
      </w:divBdr>
      <w:divsChild>
        <w:div w:id="687029877">
          <w:marLeft w:val="0"/>
          <w:marRight w:val="0"/>
          <w:marTop w:val="0"/>
          <w:marBottom w:val="0"/>
          <w:divBdr>
            <w:top w:val="none" w:sz="0" w:space="0" w:color="auto"/>
            <w:left w:val="none" w:sz="0" w:space="0" w:color="auto"/>
            <w:bottom w:val="none" w:sz="0" w:space="0" w:color="auto"/>
            <w:right w:val="none" w:sz="0" w:space="0" w:color="auto"/>
          </w:divBdr>
        </w:div>
      </w:divsChild>
    </w:div>
    <w:div w:id="516890020">
      <w:bodyDiv w:val="1"/>
      <w:marLeft w:val="0"/>
      <w:marRight w:val="0"/>
      <w:marTop w:val="0"/>
      <w:marBottom w:val="0"/>
      <w:divBdr>
        <w:top w:val="none" w:sz="0" w:space="0" w:color="auto"/>
        <w:left w:val="none" w:sz="0" w:space="0" w:color="auto"/>
        <w:bottom w:val="none" w:sz="0" w:space="0" w:color="auto"/>
        <w:right w:val="none" w:sz="0" w:space="0" w:color="auto"/>
      </w:divBdr>
      <w:divsChild>
        <w:div w:id="593058016">
          <w:marLeft w:val="0"/>
          <w:marRight w:val="0"/>
          <w:marTop w:val="0"/>
          <w:marBottom w:val="0"/>
          <w:divBdr>
            <w:top w:val="none" w:sz="0" w:space="0" w:color="auto"/>
            <w:left w:val="none" w:sz="0" w:space="0" w:color="auto"/>
            <w:bottom w:val="none" w:sz="0" w:space="0" w:color="auto"/>
            <w:right w:val="none" w:sz="0" w:space="0" w:color="auto"/>
          </w:divBdr>
        </w:div>
      </w:divsChild>
    </w:div>
    <w:div w:id="633682672">
      <w:bodyDiv w:val="1"/>
      <w:marLeft w:val="0"/>
      <w:marRight w:val="0"/>
      <w:marTop w:val="0"/>
      <w:marBottom w:val="0"/>
      <w:divBdr>
        <w:top w:val="none" w:sz="0" w:space="0" w:color="auto"/>
        <w:left w:val="none" w:sz="0" w:space="0" w:color="auto"/>
        <w:bottom w:val="none" w:sz="0" w:space="0" w:color="auto"/>
        <w:right w:val="none" w:sz="0" w:space="0" w:color="auto"/>
      </w:divBdr>
      <w:divsChild>
        <w:div w:id="1265457403">
          <w:marLeft w:val="0"/>
          <w:marRight w:val="0"/>
          <w:marTop w:val="0"/>
          <w:marBottom w:val="0"/>
          <w:divBdr>
            <w:top w:val="none" w:sz="0" w:space="0" w:color="auto"/>
            <w:left w:val="none" w:sz="0" w:space="0" w:color="auto"/>
            <w:bottom w:val="none" w:sz="0" w:space="0" w:color="auto"/>
            <w:right w:val="none" w:sz="0" w:space="0" w:color="auto"/>
          </w:divBdr>
        </w:div>
      </w:divsChild>
    </w:div>
    <w:div w:id="639502030">
      <w:bodyDiv w:val="1"/>
      <w:marLeft w:val="0"/>
      <w:marRight w:val="0"/>
      <w:marTop w:val="0"/>
      <w:marBottom w:val="0"/>
      <w:divBdr>
        <w:top w:val="none" w:sz="0" w:space="0" w:color="auto"/>
        <w:left w:val="none" w:sz="0" w:space="0" w:color="auto"/>
        <w:bottom w:val="none" w:sz="0" w:space="0" w:color="auto"/>
        <w:right w:val="none" w:sz="0" w:space="0" w:color="auto"/>
      </w:divBdr>
      <w:divsChild>
        <w:div w:id="409693443">
          <w:marLeft w:val="0"/>
          <w:marRight w:val="0"/>
          <w:marTop w:val="0"/>
          <w:marBottom w:val="0"/>
          <w:divBdr>
            <w:top w:val="none" w:sz="0" w:space="0" w:color="auto"/>
            <w:left w:val="none" w:sz="0" w:space="0" w:color="auto"/>
            <w:bottom w:val="none" w:sz="0" w:space="0" w:color="auto"/>
            <w:right w:val="none" w:sz="0" w:space="0" w:color="auto"/>
          </w:divBdr>
        </w:div>
      </w:divsChild>
    </w:div>
    <w:div w:id="732704355">
      <w:bodyDiv w:val="1"/>
      <w:marLeft w:val="0"/>
      <w:marRight w:val="0"/>
      <w:marTop w:val="0"/>
      <w:marBottom w:val="0"/>
      <w:divBdr>
        <w:top w:val="none" w:sz="0" w:space="0" w:color="auto"/>
        <w:left w:val="none" w:sz="0" w:space="0" w:color="auto"/>
        <w:bottom w:val="none" w:sz="0" w:space="0" w:color="auto"/>
        <w:right w:val="none" w:sz="0" w:space="0" w:color="auto"/>
      </w:divBdr>
      <w:divsChild>
        <w:div w:id="1334143652">
          <w:marLeft w:val="0"/>
          <w:marRight w:val="0"/>
          <w:marTop w:val="0"/>
          <w:marBottom w:val="0"/>
          <w:divBdr>
            <w:top w:val="none" w:sz="0" w:space="0" w:color="auto"/>
            <w:left w:val="none" w:sz="0" w:space="0" w:color="auto"/>
            <w:bottom w:val="none" w:sz="0" w:space="0" w:color="auto"/>
            <w:right w:val="none" w:sz="0" w:space="0" w:color="auto"/>
          </w:divBdr>
        </w:div>
      </w:divsChild>
    </w:div>
    <w:div w:id="853030741">
      <w:bodyDiv w:val="1"/>
      <w:marLeft w:val="0"/>
      <w:marRight w:val="0"/>
      <w:marTop w:val="0"/>
      <w:marBottom w:val="0"/>
      <w:divBdr>
        <w:top w:val="none" w:sz="0" w:space="0" w:color="auto"/>
        <w:left w:val="none" w:sz="0" w:space="0" w:color="auto"/>
        <w:bottom w:val="none" w:sz="0" w:space="0" w:color="auto"/>
        <w:right w:val="none" w:sz="0" w:space="0" w:color="auto"/>
      </w:divBdr>
      <w:divsChild>
        <w:div w:id="2116166920">
          <w:marLeft w:val="0"/>
          <w:marRight w:val="0"/>
          <w:marTop w:val="0"/>
          <w:marBottom w:val="0"/>
          <w:divBdr>
            <w:top w:val="none" w:sz="0" w:space="0" w:color="auto"/>
            <w:left w:val="none" w:sz="0" w:space="0" w:color="auto"/>
            <w:bottom w:val="none" w:sz="0" w:space="0" w:color="auto"/>
            <w:right w:val="none" w:sz="0" w:space="0" w:color="auto"/>
          </w:divBdr>
        </w:div>
      </w:divsChild>
    </w:div>
    <w:div w:id="869797940">
      <w:bodyDiv w:val="1"/>
      <w:marLeft w:val="0"/>
      <w:marRight w:val="0"/>
      <w:marTop w:val="0"/>
      <w:marBottom w:val="0"/>
      <w:divBdr>
        <w:top w:val="none" w:sz="0" w:space="0" w:color="auto"/>
        <w:left w:val="none" w:sz="0" w:space="0" w:color="auto"/>
        <w:bottom w:val="none" w:sz="0" w:space="0" w:color="auto"/>
        <w:right w:val="none" w:sz="0" w:space="0" w:color="auto"/>
      </w:divBdr>
      <w:divsChild>
        <w:div w:id="1512987319">
          <w:marLeft w:val="0"/>
          <w:marRight w:val="0"/>
          <w:marTop w:val="0"/>
          <w:marBottom w:val="0"/>
          <w:divBdr>
            <w:top w:val="none" w:sz="0" w:space="0" w:color="auto"/>
            <w:left w:val="none" w:sz="0" w:space="0" w:color="auto"/>
            <w:bottom w:val="none" w:sz="0" w:space="0" w:color="auto"/>
            <w:right w:val="none" w:sz="0" w:space="0" w:color="auto"/>
          </w:divBdr>
        </w:div>
      </w:divsChild>
    </w:div>
    <w:div w:id="908659937">
      <w:bodyDiv w:val="1"/>
      <w:marLeft w:val="0"/>
      <w:marRight w:val="0"/>
      <w:marTop w:val="0"/>
      <w:marBottom w:val="0"/>
      <w:divBdr>
        <w:top w:val="none" w:sz="0" w:space="0" w:color="auto"/>
        <w:left w:val="none" w:sz="0" w:space="0" w:color="auto"/>
        <w:bottom w:val="none" w:sz="0" w:space="0" w:color="auto"/>
        <w:right w:val="none" w:sz="0" w:space="0" w:color="auto"/>
      </w:divBdr>
      <w:divsChild>
        <w:div w:id="757336159">
          <w:marLeft w:val="0"/>
          <w:marRight w:val="0"/>
          <w:marTop w:val="0"/>
          <w:marBottom w:val="0"/>
          <w:divBdr>
            <w:top w:val="none" w:sz="0" w:space="0" w:color="auto"/>
            <w:left w:val="none" w:sz="0" w:space="0" w:color="auto"/>
            <w:bottom w:val="none" w:sz="0" w:space="0" w:color="auto"/>
            <w:right w:val="none" w:sz="0" w:space="0" w:color="auto"/>
          </w:divBdr>
        </w:div>
      </w:divsChild>
    </w:div>
    <w:div w:id="942491218">
      <w:bodyDiv w:val="1"/>
      <w:marLeft w:val="0"/>
      <w:marRight w:val="0"/>
      <w:marTop w:val="0"/>
      <w:marBottom w:val="0"/>
      <w:divBdr>
        <w:top w:val="none" w:sz="0" w:space="0" w:color="auto"/>
        <w:left w:val="none" w:sz="0" w:space="0" w:color="auto"/>
        <w:bottom w:val="none" w:sz="0" w:space="0" w:color="auto"/>
        <w:right w:val="none" w:sz="0" w:space="0" w:color="auto"/>
      </w:divBdr>
    </w:div>
    <w:div w:id="979724132">
      <w:bodyDiv w:val="1"/>
      <w:marLeft w:val="0"/>
      <w:marRight w:val="0"/>
      <w:marTop w:val="0"/>
      <w:marBottom w:val="0"/>
      <w:divBdr>
        <w:top w:val="none" w:sz="0" w:space="0" w:color="auto"/>
        <w:left w:val="none" w:sz="0" w:space="0" w:color="auto"/>
        <w:bottom w:val="none" w:sz="0" w:space="0" w:color="auto"/>
        <w:right w:val="none" w:sz="0" w:space="0" w:color="auto"/>
      </w:divBdr>
      <w:divsChild>
        <w:div w:id="504246073">
          <w:marLeft w:val="0"/>
          <w:marRight w:val="0"/>
          <w:marTop w:val="0"/>
          <w:marBottom w:val="0"/>
          <w:divBdr>
            <w:top w:val="none" w:sz="0" w:space="0" w:color="auto"/>
            <w:left w:val="none" w:sz="0" w:space="0" w:color="auto"/>
            <w:bottom w:val="none" w:sz="0" w:space="0" w:color="auto"/>
            <w:right w:val="none" w:sz="0" w:space="0" w:color="auto"/>
          </w:divBdr>
        </w:div>
      </w:divsChild>
    </w:div>
    <w:div w:id="997660208">
      <w:bodyDiv w:val="1"/>
      <w:marLeft w:val="0"/>
      <w:marRight w:val="0"/>
      <w:marTop w:val="0"/>
      <w:marBottom w:val="0"/>
      <w:divBdr>
        <w:top w:val="none" w:sz="0" w:space="0" w:color="auto"/>
        <w:left w:val="none" w:sz="0" w:space="0" w:color="auto"/>
        <w:bottom w:val="none" w:sz="0" w:space="0" w:color="auto"/>
        <w:right w:val="none" w:sz="0" w:space="0" w:color="auto"/>
      </w:divBdr>
      <w:divsChild>
        <w:div w:id="335307474">
          <w:marLeft w:val="0"/>
          <w:marRight w:val="0"/>
          <w:marTop w:val="0"/>
          <w:marBottom w:val="0"/>
          <w:divBdr>
            <w:top w:val="none" w:sz="0" w:space="0" w:color="auto"/>
            <w:left w:val="none" w:sz="0" w:space="0" w:color="auto"/>
            <w:bottom w:val="none" w:sz="0" w:space="0" w:color="auto"/>
            <w:right w:val="none" w:sz="0" w:space="0" w:color="auto"/>
          </w:divBdr>
        </w:div>
      </w:divsChild>
    </w:div>
    <w:div w:id="1066537236">
      <w:bodyDiv w:val="1"/>
      <w:marLeft w:val="0"/>
      <w:marRight w:val="0"/>
      <w:marTop w:val="0"/>
      <w:marBottom w:val="0"/>
      <w:divBdr>
        <w:top w:val="none" w:sz="0" w:space="0" w:color="auto"/>
        <w:left w:val="none" w:sz="0" w:space="0" w:color="auto"/>
        <w:bottom w:val="none" w:sz="0" w:space="0" w:color="auto"/>
        <w:right w:val="none" w:sz="0" w:space="0" w:color="auto"/>
      </w:divBdr>
      <w:divsChild>
        <w:div w:id="939029153">
          <w:marLeft w:val="0"/>
          <w:marRight w:val="0"/>
          <w:marTop w:val="0"/>
          <w:marBottom w:val="0"/>
          <w:divBdr>
            <w:top w:val="none" w:sz="0" w:space="0" w:color="auto"/>
            <w:left w:val="none" w:sz="0" w:space="0" w:color="auto"/>
            <w:bottom w:val="none" w:sz="0" w:space="0" w:color="auto"/>
            <w:right w:val="none" w:sz="0" w:space="0" w:color="auto"/>
          </w:divBdr>
        </w:div>
      </w:divsChild>
    </w:div>
    <w:div w:id="1091773666">
      <w:bodyDiv w:val="1"/>
      <w:marLeft w:val="0"/>
      <w:marRight w:val="0"/>
      <w:marTop w:val="0"/>
      <w:marBottom w:val="0"/>
      <w:divBdr>
        <w:top w:val="none" w:sz="0" w:space="0" w:color="auto"/>
        <w:left w:val="none" w:sz="0" w:space="0" w:color="auto"/>
        <w:bottom w:val="none" w:sz="0" w:space="0" w:color="auto"/>
        <w:right w:val="none" w:sz="0" w:space="0" w:color="auto"/>
      </w:divBdr>
      <w:divsChild>
        <w:div w:id="1868371054">
          <w:marLeft w:val="0"/>
          <w:marRight w:val="0"/>
          <w:marTop w:val="0"/>
          <w:marBottom w:val="0"/>
          <w:divBdr>
            <w:top w:val="none" w:sz="0" w:space="0" w:color="auto"/>
            <w:left w:val="none" w:sz="0" w:space="0" w:color="auto"/>
            <w:bottom w:val="none" w:sz="0" w:space="0" w:color="auto"/>
            <w:right w:val="none" w:sz="0" w:space="0" w:color="auto"/>
          </w:divBdr>
        </w:div>
      </w:divsChild>
    </w:div>
    <w:div w:id="1171070606">
      <w:bodyDiv w:val="1"/>
      <w:marLeft w:val="0"/>
      <w:marRight w:val="0"/>
      <w:marTop w:val="0"/>
      <w:marBottom w:val="0"/>
      <w:divBdr>
        <w:top w:val="none" w:sz="0" w:space="0" w:color="auto"/>
        <w:left w:val="none" w:sz="0" w:space="0" w:color="auto"/>
        <w:bottom w:val="none" w:sz="0" w:space="0" w:color="auto"/>
        <w:right w:val="none" w:sz="0" w:space="0" w:color="auto"/>
      </w:divBdr>
      <w:divsChild>
        <w:div w:id="1182624947">
          <w:marLeft w:val="0"/>
          <w:marRight w:val="0"/>
          <w:marTop w:val="0"/>
          <w:marBottom w:val="0"/>
          <w:divBdr>
            <w:top w:val="none" w:sz="0" w:space="0" w:color="auto"/>
            <w:left w:val="none" w:sz="0" w:space="0" w:color="auto"/>
            <w:bottom w:val="none" w:sz="0" w:space="0" w:color="auto"/>
            <w:right w:val="none" w:sz="0" w:space="0" w:color="auto"/>
          </w:divBdr>
        </w:div>
      </w:divsChild>
    </w:div>
    <w:div w:id="1255934961">
      <w:bodyDiv w:val="1"/>
      <w:marLeft w:val="0"/>
      <w:marRight w:val="0"/>
      <w:marTop w:val="0"/>
      <w:marBottom w:val="0"/>
      <w:divBdr>
        <w:top w:val="none" w:sz="0" w:space="0" w:color="auto"/>
        <w:left w:val="none" w:sz="0" w:space="0" w:color="auto"/>
        <w:bottom w:val="none" w:sz="0" w:space="0" w:color="auto"/>
        <w:right w:val="none" w:sz="0" w:space="0" w:color="auto"/>
      </w:divBdr>
      <w:divsChild>
        <w:div w:id="1150245309">
          <w:marLeft w:val="0"/>
          <w:marRight w:val="0"/>
          <w:marTop w:val="0"/>
          <w:marBottom w:val="0"/>
          <w:divBdr>
            <w:top w:val="none" w:sz="0" w:space="0" w:color="auto"/>
            <w:left w:val="none" w:sz="0" w:space="0" w:color="auto"/>
            <w:bottom w:val="none" w:sz="0" w:space="0" w:color="auto"/>
            <w:right w:val="none" w:sz="0" w:space="0" w:color="auto"/>
          </w:divBdr>
        </w:div>
      </w:divsChild>
    </w:div>
    <w:div w:id="1454441599">
      <w:bodyDiv w:val="1"/>
      <w:marLeft w:val="0"/>
      <w:marRight w:val="0"/>
      <w:marTop w:val="0"/>
      <w:marBottom w:val="0"/>
      <w:divBdr>
        <w:top w:val="none" w:sz="0" w:space="0" w:color="auto"/>
        <w:left w:val="none" w:sz="0" w:space="0" w:color="auto"/>
        <w:bottom w:val="none" w:sz="0" w:space="0" w:color="auto"/>
        <w:right w:val="none" w:sz="0" w:space="0" w:color="auto"/>
      </w:divBdr>
      <w:divsChild>
        <w:div w:id="149685467">
          <w:marLeft w:val="0"/>
          <w:marRight w:val="0"/>
          <w:marTop w:val="0"/>
          <w:marBottom w:val="0"/>
          <w:divBdr>
            <w:top w:val="none" w:sz="0" w:space="0" w:color="auto"/>
            <w:left w:val="none" w:sz="0" w:space="0" w:color="auto"/>
            <w:bottom w:val="none" w:sz="0" w:space="0" w:color="auto"/>
            <w:right w:val="none" w:sz="0" w:space="0" w:color="auto"/>
          </w:divBdr>
        </w:div>
      </w:divsChild>
    </w:div>
    <w:div w:id="1491363657">
      <w:bodyDiv w:val="1"/>
      <w:marLeft w:val="0"/>
      <w:marRight w:val="0"/>
      <w:marTop w:val="0"/>
      <w:marBottom w:val="0"/>
      <w:divBdr>
        <w:top w:val="none" w:sz="0" w:space="0" w:color="auto"/>
        <w:left w:val="none" w:sz="0" w:space="0" w:color="auto"/>
        <w:bottom w:val="none" w:sz="0" w:space="0" w:color="auto"/>
        <w:right w:val="none" w:sz="0" w:space="0" w:color="auto"/>
      </w:divBdr>
      <w:divsChild>
        <w:div w:id="1124467264">
          <w:marLeft w:val="0"/>
          <w:marRight w:val="0"/>
          <w:marTop w:val="0"/>
          <w:marBottom w:val="0"/>
          <w:divBdr>
            <w:top w:val="none" w:sz="0" w:space="0" w:color="auto"/>
            <w:left w:val="none" w:sz="0" w:space="0" w:color="auto"/>
            <w:bottom w:val="none" w:sz="0" w:space="0" w:color="auto"/>
            <w:right w:val="none" w:sz="0" w:space="0" w:color="auto"/>
          </w:divBdr>
        </w:div>
      </w:divsChild>
    </w:div>
    <w:div w:id="1502429195">
      <w:bodyDiv w:val="1"/>
      <w:marLeft w:val="0"/>
      <w:marRight w:val="0"/>
      <w:marTop w:val="0"/>
      <w:marBottom w:val="0"/>
      <w:divBdr>
        <w:top w:val="none" w:sz="0" w:space="0" w:color="auto"/>
        <w:left w:val="none" w:sz="0" w:space="0" w:color="auto"/>
        <w:bottom w:val="none" w:sz="0" w:space="0" w:color="auto"/>
        <w:right w:val="none" w:sz="0" w:space="0" w:color="auto"/>
      </w:divBdr>
      <w:divsChild>
        <w:div w:id="1128931005">
          <w:marLeft w:val="0"/>
          <w:marRight w:val="0"/>
          <w:marTop w:val="0"/>
          <w:marBottom w:val="0"/>
          <w:divBdr>
            <w:top w:val="none" w:sz="0" w:space="0" w:color="auto"/>
            <w:left w:val="none" w:sz="0" w:space="0" w:color="auto"/>
            <w:bottom w:val="none" w:sz="0" w:space="0" w:color="auto"/>
            <w:right w:val="none" w:sz="0" w:space="0" w:color="auto"/>
          </w:divBdr>
        </w:div>
      </w:divsChild>
    </w:div>
    <w:div w:id="1513568565">
      <w:bodyDiv w:val="1"/>
      <w:marLeft w:val="0"/>
      <w:marRight w:val="0"/>
      <w:marTop w:val="0"/>
      <w:marBottom w:val="0"/>
      <w:divBdr>
        <w:top w:val="none" w:sz="0" w:space="0" w:color="auto"/>
        <w:left w:val="none" w:sz="0" w:space="0" w:color="auto"/>
        <w:bottom w:val="none" w:sz="0" w:space="0" w:color="auto"/>
        <w:right w:val="none" w:sz="0" w:space="0" w:color="auto"/>
      </w:divBdr>
      <w:divsChild>
        <w:div w:id="1266188232">
          <w:marLeft w:val="0"/>
          <w:marRight w:val="0"/>
          <w:marTop w:val="0"/>
          <w:marBottom w:val="0"/>
          <w:divBdr>
            <w:top w:val="none" w:sz="0" w:space="0" w:color="auto"/>
            <w:left w:val="none" w:sz="0" w:space="0" w:color="auto"/>
            <w:bottom w:val="none" w:sz="0" w:space="0" w:color="auto"/>
            <w:right w:val="none" w:sz="0" w:space="0" w:color="auto"/>
          </w:divBdr>
        </w:div>
      </w:divsChild>
    </w:div>
    <w:div w:id="1599097880">
      <w:bodyDiv w:val="1"/>
      <w:marLeft w:val="0"/>
      <w:marRight w:val="0"/>
      <w:marTop w:val="0"/>
      <w:marBottom w:val="0"/>
      <w:divBdr>
        <w:top w:val="none" w:sz="0" w:space="0" w:color="auto"/>
        <w:left w:val="none" w:sz="0" w:space="0" w:color="auto"/>
        <w:bottom w:val="none" w:sz="0" w:space="0" w:color="auto"/>
        <w:right w:val="none" w:sz="0" w:space="0" w:color="auto"/>
      </w:divBdr>
      <w:divsChild>
        <w:div w:id="1007291475">
          <w:marLeft w:val="0"/>
          <w:marRight w:val="0"/>
          <w:marTop w:val="0"/>
          <w:marBottom w:val="0"/>
          <w:divBdr>
            <w:top w:val="none" w:sz="0" w:space="0" w:color="auto"/>
            <w:left w:val="none" w:sz="0" w:space="0" w:color="auto"/>
            <w:bottom w:val="none" w:sz="0" w:space="0" w:color="auto"/>
            <w:right w:val="none" w:sz="0" w:space="0" w:color="auto"/>
          </w:divBdr>
        </w:div>
      </w:divsChild>
    </w:div>
    <w:div w:id="1675377822">
      <w:bodyDiv w:val="1"/>
      <w:marLeft w:val="0"/>
      <w:marRight w:val="0"/>
      <w:marTop w:val="0"/>
      <w:marBottom w:val="0"/>
      <w:divBdr>
        <w:top w:val="none" w:sz="0" w:space="0" w:color="auto"/>
        <w:left w:val="none" w:sz="0" w:space="0" w:color="auto"/>
        <w:bottom w:val="none" w:sz="0" w:space="0" w:color="auto"/>
        <w:right w:val="none" w:sz="0" w:space="0" w:color="auto"/>
      </w:divBdr>
      <w:divsChild>
        <w:div w:id="2032995738">
          <w:marLeft w:val="0"/>
          <w:marRight w:val="0"/>
          <w:marTop w:val="0"/>
          <w:marBottom w:val="0"/>
          <w:divBdr>
            <w:top w:val="none" w:sz="0" w:space="0" w:color="auto"/>
            <w:left w:val="none" w:sz="0" w:space="0" w:color="auto"/>
            <w:bottom w:val="none" w:sz="0" w:space="0" w:color="auto"/>
            <w:right w:val="none" w:sz="0" w:space="0" w:color="auto"/>
          </w:divBdr>
        </w:div>
      </w:divsChild>
    </w:div>
    <w:div w:id="1704204690">
      <w:bodyDiv w:val="1"/>
      <w:marLeft w:val="0"/>
      <w:marRight w:val="0"/>
      <w:marTop w:val="0"/>
      <w:marBottom w:val="0"/>
      <w:divBdr>
        <w:top w:val="none" w:sz="0" w:space="0" w:color="auto"/>
        <w:left w:val="none" w:sz="0" w:space="0" w:color="auto"/>
        <w:bottom w:val="none" w:sz="0" w:space="0" w:color="auto"/>
        <w:right w:val="none" w:sz="0" w:space="0" w:color="auto"/>
      </w:divBdr>
      <w:divsChild>
        <w:div w:id="314335295">
          <w:marLeft w:val="0"/>
          <w:marRight w:val="0"/>
          <w:marTop w:val="0"/>
          <w:marBottom w:val="0"/>
          <w:divBdr>
            <w:top w:val="none" w:sz="0" w:space="0" w:color="auto"/>
            <w:left w:val="none" w:sz="0" w:space="0" w:color="auto"/>
            <w:bottom w:val="none" w:sz="0" w:space="0" w:color="auto"/>
            <w:right w:val="none" w:sz="0" w:space="0" w:color="auto"/>
          </w:divBdr>
        </w:div>
      </w:divsChild>
    </w:div>
    <w:div w:id="1884898715">
      <w:bodyDiv w:val="1"/>
      <w:marLeft w:val="0"/>
      <w:marRight w:val="0"/>
      <w:marTop w:val="0"/>
      <w:marBottom w:val="0"/>
      <w:divBdr>
        <w:top w:val="none" w:sz="0" w:space="0" w:color="auto"/>
        <w:left w:val="none" w:sz="0" w:space="0" w:color="auto"/>
        <w:bottom w:val="none" w:sz="0" w:space="0" w:color="auto"/>
        <w:right w:val="none" w:sz="0" w:space="0" w:color="auto"/>
      </w:divBdr>
      <w:divsChild>
        <w:div w:id="881792588">
          <w:marLeft w:val="0"/>
          <w:marRight w:val="0"/>
          <w:marTop w:val="0"/>
          <w:marBottom w:val="0"/>
          <w:divBdr>
            <w:top w:val="none" w:sz="0" w:space="0" w:color="auto"/>
            <w:left w:val="none" w:sz="0" w:space="0" w:color="auto"/>
            <w:bottom w:val="none" w:sz="0" w:space="0" w:color="auto"/>
            <w:right w:val="none" w:sz="0" w:space="0" w:color="auto"/>
          </w:divBdr>
        </w:div>
      </w:divsChild>
    </w:div>
    <w:div w:id="1899003588">
      <w:bodyDiv w:val="1"/>
      <w:marLeft w:val="0"/>
      <w:marRight w:val="0"/>
      <w:marTop w:val="0"/>
      <w:marBottom w:val="0"/>
      <w:divBdr>
        <w:top w:val="none" w:sz="0" w:space="0" w:color="auto"/>
        <w:left w:val="none" w:sz="0" w:space="0" w:color="auto"/>
        <w:bottom w:val="none" w:sz="0" w:space="0" w:color="auto"/>
        <w:right w:val="none" w:sz="0" w:space="0" w:color="auto"/>
      </w:divBdr>
      <w:divsChild>
        <w:div w:id="311299503">
          <w:marLeft w:val="0"/>
          <w:marRight w:val="0"/>
          <w:marTop w:val="0"/>
          <w:marBottom w:val="0"/>
          <w:divBdr>
            <w:top w:val="none" w:sz="0" w:space="0" w:color="auto"/>
            <w:left w:val="none" w:sz="0" w:space="0" w:color="auto"/>
            <w:bottom w:val="none" w:sz="0" w:space="0" w:color="auto"/>
            <w:right w:val="none" w:sz="0" w:space="0" w:color="auto"/>
          </w:divBdr>
        </w:div>
      </w:divsChild>
    </w:div>
    <w:div w:id="2010910349">
      <w:bodyDiv w:val="1"/>
      <w:marLeft w:val="0"/>
      <w:marRight w:val="0"/>
      <w:marTop w:val="0"/>
      <w:marBottom w:val="0"/>
      <w:divBdr>
        <w:top w:val="none" w:sz="0" w:space="0" w:color="auto"/>
        <w:left w:val="none" w:sz="0" w:space="0" w:color="auto"/>
        <w:bottom w:val="none" w:sz="0" w:space="0" w:color="auto"/>
        <w:right w:val="none" w:sz="0" w:space="0" w:color="auto"/>
      </w:divBdr>
      <w:divsChild>
        <w:div w:id="160045094">
          <w:marLeft w:val="0"/>
          <w:marRight w:val="0"/>
          <w:marTop w:val="0"/>
          <w:marBottom w:val="0"/>
          <w:divBdr>
            <w:top w:val="none" w:sz="0" w:space="0" w:color="auto"/>
            <w:left w:val="none" w:sz="0" w:space="0" w:color="auto"/>
            <w:bottom w:val="none" w:sz="0" w:space="0" w:color="auto"/>
            <w:right w:val="none" w:sz="0" w:space="0" w:color="auto"/>
          </w:divBdr>
        </w:div>
      </w:divsChild>
    </w:div>
    <w:div w:id="2062094120">
      <w:bodyDiv w:val="1"/>
      <w:marLeft w:val="0"/>
      <w:marRight w:val="0"/>
      <w:marTop w:val="0"/>
      <w:marBottom w:val="0"/>
      <w:divBdr>
        <w:top w:val="none" w:sz="0" w:space="0" w:color="auto"/>
        <w:left w:val="none" w:sz="0" w:space="0" w:color="auto"/>
        <w:bottom w:val="none" w:sz="0" w:space="0" w:color="auto"/>
        <w:right w:val="none" w:sz="0" w:space="0" w:color="auto"/>
      </w:divBdr>
      <w:divsChild>
        <w:div w:id="122583795">
          <w:marLeft w:val="0"/>
          <w:marRight w:val="0"/>
          <w:marTop w:val="0"/>
          <w:marBottom w:val="0"/>
          <w:divBdr>
            <w:top w:val="none" w:sz="0" w:space="0" w:color="auto"/>
            <w:left w:val="none" w:sz="0" w:space="0" w:color="auto"/>
            <w:bottom w:val="none" w:sz="0" w:space="0" w:color="auto"/>
            <w:right w:val="none" w:sz="0" w:space="0" w:color="auto"/>
          </w:divBdr>
        </w:div>
      </w:divsChild>
    </w:div>
    <w:div w:id="2084251343">
      <w:bodyDiv w:val="1"/>
      <w:marLeft w:val="0"/>
      <w:marRight w:val="0"/>
      <w:marTop w:val="0"/>
      <w:marBottom w:val="0"/>
      <w:divBdr>
        <w:top w:val="none" w:sz="0" w:space="0" w:color="auto"/>
        <w:left w:val="none" w:sz="0" w:space="0" w:color="auto"/>
        <w:bottom w:val="none" w:sz="0" w:space="0" w:color="auto"/>
        <w:right w:val="none" w:sz="0" w:space="0" w:color="auto"/>
      </w:divBdr>
      <w:divsChild>
        <w:div w:id="1389718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diagramColors" Target="diagrams/colors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61BD5A-23CF-4470-BB70-F19037D3F7A5}" type="doc">
      <dgm:prSet loTypeId="urn:microsoft.com/office/officeart/2005/8/layout/hList1" loCatId="list" qsTypeId="urn:microsoft.com/office/officeart/2005/8/quickstyle/simple5" qsCatId="simple" csTypeId="urn:microsoft.com/office/officeart/2005/8/colors/accent3_2" csCatId="accent3" phldr="1"/>
      <dgm:spPr/>
      <dgm:t>
        <a:bodyPr/>
        <a:lstStyle/>
        <a:p>
          <a:endParaRPr lang="en-GB"/>
        </a:p>
      </dgm:t>
    </dgm:pt>
    <dgm:pt modelId="{46E49327-3E30-46D7-BE95-20747FAF53B3}">
      <dgm:prSet phldrT="[Text]"/>
      <dgm:spPr/>
      <dgm:t>
        <a:bodyPr/>
        <a:lstStyle/>
        <a:p>
          <a:pPr>
            <a:buNone/>
          </a:pPr>
          <a:r>
            <a:rPr lang="en-GB" b="1"/>
            <a:t>BS v Dundee City Council [2013] CSIH19</a:t>
          </a:r>
          <a:endParaRPr lang="en-GB"/>
        </a:p>
      </dgm:t>
    </dgm:pt>
    <dgm:pt modelId="{68D55065-53B1-4ABA-A8A8-6A06B677072F}" type="parTrans" cxnId="{976F7118-EF1D-493D-8041-CA06B6480475}">
      <dgm:prSet/>
      <dgm:spPr/>
      <dgm:t>
        <a:bodyPr/>
        <a:lstStyle/>
        <a:p>
          <a:endParaRPr lang="en-GB"/>
        </a:p>
      </dgm:t>
    </dgm:pt>
    <dgm:pt modelId="{C8A1C53E-C42E-4D98-802E-40A433BD685E}" type="sibTrans" cxnId="{976F7118-EF1D-493D-8041-CA06B6480475}">
      <dgm:prSet/>
      <dgm:spPr/>
      <dgm:t>
        <a:bodyPr/>
        <a:lstStyle/>
        <a:p>
          <a:endParaRPr lang="en-GB"/>
        </a:p>
      </dgm:t>
    </dgm:pt>
    <dgm:pt modelId="{C54AA6C7-0822-41A5-AE79-28E175808FF2}">
      <dgm:prSet phldrT="[Text]"/>
      <dgm:spPr/>
      <dgm:t>
        <a:bodyPr/>
        <a:lstStyle/>
        <a:p>
          <a:pPr algn="ctr">
            <a:buNone/>
          </a:pPr>
          <a:r>
            <a:rPr lang="en-GB"/>
            <a:t>reasonableness assessed by reference to information available at the time, including proper consideration of medical evidence.</a:t>
          </a:r>
        </a:p>
      </dgm:t>
    </dgm:pt>
    <dgm:pt modelId="{9E99BBC1-8BA9-4D3B-BE9F-0644EB3DA318}" type="parTrans" cxnId="{3AC561E8-47FE-4518-B26D-E7CF95503FB3}">
      <dgm:prSet/>
      <dgm:spPr/>
      <dgm:t>
        <a:bodyPr/>
        <a:lstStyle/>
        <a:p>
          <a:endParaRPr lang="en-GB"/>
        </a:p>
      </dgm:t>
    </dgm:pt>
    <dgm:pt modelId="{1A0206B7-CF36-4AF2-8F4A-84A0E516840B}" type="sibTrans" cxnId="{3AC561E8-47FE-4518-B26D-E7CF95503FB3}">
      <dgm:prSet/>
      <dgm:spPr/>
      <dgm:t>
        <a:bodyPr/>
        <a:lstStyle/>
        <a:p>
          <a:endParaRPr lang="en-GB"/>
        </a:p>
      </dgm:t>
    </dgm:pt>
    <dgm:pt modelId="{A1F5A180-53A7-4023-8AE2-18EACE51309D}">
      <dgm:prSet phldrT="[Text]"/>
      <dgm:spPr/>
      <dgm:t>
        <a:bodyPr/>
        <a:lstStyle/>
        <a:p>
          <a:pPr>
            <a:buNone/>
          </a:pPr>
          <a:r>
            <a:rPr lang="en-GB" b="1"/>
            <a:t>O’Brien v Bolton St Catherine’s Academy [2017] EWCA Civ 145</a:t>
          </a:r>
          <a:endParaRPr lang="en-GB"/>
        </a:p>
      </dgm:t>
    </dgm:pt>
    <dgm:pt modelId="{C9437513-42CC-4CB6-971B-CFD9A05538C8}" type="parTrans" cxnId="{726F448A-9144-46E8-8A93-544032FEBF05}">
      <dgm:prSet/>
      <dgm:spPr/>
      <dgm:t>
        <a:bodyPr/>
        <a:lstStyle/>
        <a:p>
          <a:endParaRPr lang="en-GB"/>
        </a:p>
      </dgm:t>
    </dgm:pt>
    <dgm:pt modelId="{9D00CEF3-AE5E-4482-BFE2-839483AB4357}" type="sibTrans" cxnId="{726F448A-9144-46E8-8A93-544032FEBF05}">
      <dgm:prSet/>
      <dgm:spPr/>
      <dgm:t>
        <a:bodyPr/>
        <a:lstStyle/>
        <a:p>
          <a:endParaRPr lang="en-GB"/>
        </a:p>
      </dgm:t>
    </dgm:pt>
    <dgm:pt modelId="{A209C5FF-D7BC-4CAD-9BDE-350EB6229D6F}">
      <dgm:prSet phldrT="[Text]"/>
      <dgm:spPr/>
      <dgm:t>
        <a:bodyPr/>
        <a:lstStyle/>
        <a:p>
          <a:pPr algn="ctr">
            <a:buNone/>
          </a:pPr>
          <a:r>
            <a:rPr lang="en-GB"/>
            <a:t>need to balance operational requirements against the employee’s circumstances, especially in long‑term ill‑health cases.</a:t>
          </a:r>
        </a:p>
      </dgm:t>
    </dgm:pt>
    <dgm:pt modelId="{83973BD1-703D-46CB-B89F-C3F399D6A83E}" type="parTrans" cxnId="{971255A2-54FB-45E2-B74E-207DBA2F4852}">
      <dgm:prSet/>
      <dgm:spPr/>
      <dgm:t>
        <a:bodyPr/>
        <a:lstStyle/>
        <a:p>
          <a:endParaRPr lang="en-GB"/>
        </a:p>
      </dgm:t>
    </dgm:pt>
    <dgm:pt modelId="{35D74C69-FF8C-4399-8808-FA2E223DBEC5}" type="sibTrans" cxnId="{971255A2-54FB-45E2-B74E-207DBA2F4852}">
      <dgm:prSet/>
      <dgm:spPr/>
      <dgm:t>
        <a:bodyPr/>
        <a:lstStyle/>
        <a:p>
          <a:endParaRPr lang="en-GB"/>
        </a:p>
      </dgm:t>
    </dgm:pt>
    <dgm:pt modelId="{132363F3-EA6D-4EED-8840-75B8CF501441}">
      <dgm:prSet phldrT="[Text]"/>
      <dgm:spPr/>
      <dgm:t>
        <a:bodyPr/>
        <a:lstStyle/>
        <a:p>
          <a:pPr algn="ctr">
            <a:buNone/>
          </a:pPr>
          <a:r>
            <a:rPr lang="en-GB"/>
            <a:t>importance of considering whether further time for recovery or improvement would be reasonable.</a:t>
          </a:r>
        </a:p>
      </dgm:t>
    </dgm:pt>
    <dgm:pt modelId="{6B308C70-FB8A-4227-AF49-342C9F4A10D6}" type="parTrans" cxnId="{9005E807-EAA2-4848-AADE-FEE05988A654}">
      <dgm:prSet/>
      <dgm:spPr/>
      <dgm:t>
        <a:bodyPr/>
        <a:lstStyle/>
        <a:p>
          <a:endParaRPr lang="en-GB"/>
        </a:p>
      </dgm:t>
    </dgm:pt>
    <dgm:pt modelId="{9417B026-316C-42C7-B584-A597499973F2}" type="sibTrans" cxnId="{9005E807-EAA2-4848-AADE-FEE05988A654}">
      <dgm:prSet/>
      <dgm:spPr/>
      <dgm:t>
        <a:bodyPr/>
        <a:lstStyle/>
        <a:p>
          <a:endParaRPr lang="en-GB"/>
        </a:p>
      </dgm:t>
    </dgm:pt>
    <dgm:pt modelId="{C8EE1935-CFC1-4A98-A57B-C4C9927EDFB3}">
      <dgm:prSet/>
      <dgm:spPr/>
      <dgm:t>
        <a:bodyPr/>
        <a:lstStyle/>
        <a:p>
          <a:pPr>
            <a:buNone/>
          </a:pPr>
          <a:r>
            <a:rPr lang="en-GB" b="1"/>
            <a:t>Schenker Ltd v Doolan [2011] UKEAT/0053/09</a:t>
          </a:r>
          <a:endParaRPr lang="en-GB"/>
        </a:p>
      </dgm:t>
    </dgm:pt>
    <dgm:pt modelId="{48F08E45-7DDC-4CC3-B6DA-3019B917B5D0}" type="parTrans" cxnId="{C3614C7D-FE75-446E-926F-63685DC3D775}">
      <dgm:prSet/>
      <dgm:spPr/>
      <dgm:t>
        <a:bodyPr/>
        <a:lstStyle/>
        <a:p>
          <a:endParaRPr lang="en-GB"/>
        </a:p>
      </dgm:t>
    </dgm:pt>
    <dgm:pt modelId="{E9EDF814-9555-44BB-AC9B-CB3534FCF69B}" type="sibTrans" cxnId="{C3614C7D-FE75-446E-926F-63685DC3D775}">
      <dgm:prSet/>
      <dgm:spPr/>
      <dgm:t>
        <a:bodyPr/>
        <a:lstStyle/>
        <a:p>
          <a:endParaRPr lang="en-GB"/>
        </a:p>
      </dgm:t>
    </dgm:pt>
    <dgm:pt modelId="{96E2AB57-B419-4A55-A484-D86EB71D50B6}">
      <dgm:prSet phldrT="[Text]"/>
      <dgm:spPr/>
      <dgm:t>
        <a:bodyPr/>
        <a:lstStyle/>
        <a:p>
          <a:pPr>
            <a:buNone/>
          </a:pPr>
          <a:r>
            <a:rPr lang="en-GB" b="1"/>
            <a:t>Gozdik &amp; Scopigno v Chlidema Carpet Ltd [1979] EAT 598/78</a:t>
          </a:r>
          <a:r>
            <a:rPr lang="en-GB"/>
            <a:t> </a:t>
          </a:r>
        </a:p>
      </dgm:t>
    </dgm:pt>
    <dgm:pt modelId="{5373602E-ADDF-4E23-BBD9-3627F26723D2}" type="parTrans" cxnId="{FE938E52-0F7D-44CC-BF84-341AF744625A}">
      <dgm:prSet/>
      <dgm:spPr/>
      <dgm:t>
        <a:bodyPr/>
        <a:lstStyle/>
        <a:p>
          <a:endParaRPr lang="en-GB"/>
        </a:p>
      </dgm:t>
    </dgm:pt>
    <dgm:pt modelId="{1E12F839-F59E-4BB3-BAF4-835FD8ACF3FA}" type="sibTrans" cxnId="{FE938E52-0F7D-44CC-BF84-341AF744625A}">
      <dgm:prSet/>
      <dgm:spPr/>
      <dgm:t>
        <a:bodyPr/>
        <a:lstStyle/>
        <a:p>
          <a:endParaRPr lang="en-GB"/>
        </a:p>
      </dgm:t>
    </dgm:pt>
    <dgm:pt modelId="{ABD70537-EE55-4207-B9E9-AB51957E847B}">
      <dgm:prSet phldrT="[Text]"/>
      <dgm:spPr/>
      <dgm:t>
        <a:bodyPr/>
        <a:lstStyle/>
        <a:p>
          <a:pPr algn="ctr">
            <a:buNone/>
          </a:pPr>
          <a:r>
            <a:rPr lang="en-GB"/>
            <a:t>obligation to consider suitable alternative employment or adjustments before dismissal.</a:t>
          </a:r>
        </a:p>
      </dgm:t>
    </dgm:pt>
    <dgm:pt modelId="{1AE36CB9-CE28-432B-BA59-0F5587D065E3}" type="parTrans" cxnId="{59B81E44-5816-4120-AB30-FF3E102D1A33}">
      <dgm:prSet/>
      <dgm:spPr/>
      <dgm:t>
        <a:bodyPr/>
        <a:lstStyle/>
        <a:p>
          <a:endParaRPr lang="en-GB"/>
        </a:p>
      </dgm:t>
    </dgm:pt>
    <dgm:pt modelId="{B7916E56-B4F2-4F1C-BAC6-12142BF080E5}" type="sibTrans" cxnId="{59B81E44-5816-4120-AB30-FF3E102D1A33}">
      <dgm:prSet/>
      <dgm:spPr/>
      <dgm:t>
        <a:bodyPr/>
        <a:lstStyle/>
        <a:p>
          <a:endParaRPr lang="en-GB"/>
        </a:p>
      </dgm:t>
    </dgm:pt>
    <dgm:pt modelId="{055671E6-1741-433F-9C74-B3EB12F066E4}" type="pres">
      <dgm:prSet presAssocID="{8261BD5A-23CF-4470-BB70-F19037D3F7A5}" presName="Name0" presStyleCnt="0">
        <dgm:presLayoutVars>
          <dgm:dir/>
          <dgm:animLvl val="lvl"/>
          <dgm:resizeHandles val="exact"/>
        </dgm:presLayoutVars>
      </dgm:prSet>
      <dgm:spPr/>
    </dgm:pt>
    <dgm:pt modelId="{7BF8D5D8-41D4-423C-A7C9-3B989B3ECA96}" type="pres">
      <dgm:prSet presAssocID="{46E49327-3E30-46D7-BE95-20747FAF53B3}" presName="composite" presStyleCnt="0"/>
      <dgm:spPr/>
    </dgm:pt>
    <dgm:pt modelId="{33F2D188-4D46-4F53-B16C-F2FF4A160450}" type="pres">
      <dgm:prSet presAssocID="{46E49327-3E30-46D7-BE95-20747FAF53B3}" presName="parTx" presStyleLbl="alignNode1" presStyleIdx="0" presStyleCnt="4">
        <dgm:presLayoutVars>
          <dgm:chMax val="0"/>
          <dgm:chPref val="0"/>
          <dgm:bulletEnabled val="1"/>
        </dgm:presLayoutVars>
      </dgm:prSet>
      <dgm:spPr/>
    </dgm:pt>
    <dgm:pt modelId="{8EAC9327-03D3-46BD-A66B-A503400ADD24}" type="pres">
      <dgm:prSet presAssocID="{46E49327-3E30-46D7-BE95-20747FAF53B3}" presName="desTx" presStyleLbl="alignAccFollowNode1" presStyleIdx="0" presStyleCnt="4">
        <dgm:presLayoutVars>
          <dgm:bulletEnabled val="1"/>
        </dgm:presLayoutVars>
      </dgm:prSet>
      <dgm:spPr/>
    </dgm:pt>
    <dgm:pt modelId="{F2FE418C-65BB-4546-A81A-0F3E241BBD6B}" type="pres">
      <dgm:prSet presAssocID="{C8A1C53E-C42E-4D98-802E-40A433BD685E}" presName="space" presStyleCnt="0"/>
      <dgm:spPr/>
    </dgm:pt>
    <dgm:pt modelId="{2D0965AA-6388-43A5-ADC4-EA5CDCB75AFB}" type="pres">
      <dgm:prSet presAssocID="{A1F5A180-53A7-4023-8AE2-18EACE51309D}" presName="composite" presStyleCnt="0"/>
      <dgm:spPr/>
    </dgm:pt>
    <dgm:pt modelId="{0348C64D-2524-47F2-B3D4-4F9E40EA1377}" type="pres">
      <dgm:prSet presAssocID="{A1F5A180-53A7-4023-8AE2-18EACE51309D}" presName="parTx" presStyleLbl="alignNode1" presStyleIdx="1" presStyleCnt="4">
        <dgm:presLayoutVars>
          <dgm:chMax val="0"/>
          <dgm:chPref val="0"/>
          <dgm:bulletEnabled val="1"/>
        </dgm:presLayoutVars>
      </dgm:prSet>
      <dgm:spPr/>
    </dgm:pt>
    <dgm:pt modelId="{E3A82526-68D7-41AE-988C-21D06DDC653C}" type="pres">
      <dgm:prSet presAssocID="{A1F5A180-53A7-4023-8AE2-18EACE51309D}" presName="desTx" presStyleLbl="alignAccFollowNode1" presStyleIdx="1" presStyleCnt="4">
        <dgm:presLayoutVars>
          <dgm:bulletEnabled val="1"/>
        </dgm:presLayoutVars>
      </dgm:prSet>
      <dgm:spPr/>
    </dgm:pt>
    <dgm:pt modelId="{F2351403-A18C-4E9D-A988-8B1D12B69E75}" type="pres">
      <dgm:prSet presAssocID="{9D00CEF3-AE5E-4482-BFE2-839483AB4357}" presName="space" presStyleCnt="0"/>
      <dgm:spPr/>
    </dgm:pt>
    <dgm:pt modelId="{004F63CD-170A-4AD3-8D57-33911BD108BE}" type="pres">
      <dgm:prSet presAssocID="{C8EE1935-CFC1-4A98-A57B-C4C9927EDFB3}" presName="composite" presStyleCnt="0"/>
      <dgm:spPr/>
    </dgm:pt>
    <dgm:pt modelId="{946B5892-0B84-497E-B79A-69E5E8C1D629}" type="pres">
      <dgm:prSet presAssocID="{C8EE1935-CFC1-4A98-A57B-C4C9927EDFB3}" presName="parTx" presStyleLbl="alignNode1" presStyleIdx="2" presStyleCnt="4">
        <dgm:presLayoutVars>
          <dgm:chMax val="0"/>
          <dgm:chPref val="0"/>
          <dgm:bulletEnabled val="1"/>
        </dgm:presLayoutVars>
      </dgm:prSet>
      <dgm:spPr/>
    </dgm:pt>
    <dgm:pt modelId="{D18F856F-851A-4324-A50A-EC440C7B2CC6}" type="pres">
      <dgm:prSet presAssocID="{C8EE1935-CFC1-4A98-A57B-C4C9927EDFB3}" presName="desTx" presStyleLbl="alignAccFollowNode1" presStyleIdx="2" presStyleCnt="4">
        <dgm:presLayoutVars>
          <dgm:bulletEnabled val="1"/>
        </dgm:presLayoutVars>
      </dgm:prSet>
      <dgm:spPr/>
    </dgm:pt>
    <dgm:pt modelId="{570B07CB-FDA7-407E-B8F3-9C6D2D719522}" type="pres">
      <dgm:prSet presAssocID="{E9EDF814-9555-44BB-AC9B-CB3534FCF69B}" presName="space" presStyleCnt="0"/>
      <dgm:spPr/>
    </dgm:pt>
    <dgm:pt modelId="{5D521448-251B-4812-8072-DD069BFF987D}" type="pres">
      <dgm:prSet presAssocID="{96E2AB57-B419-4A55-A484-D86EB71D50B6}" presName="composite" presStyleCnt="0"/>
      <dgm:spPr/>
    </dgm:pt>
    <dgm:pt modelId="{979B88DF-8E96-408E-9EA6-D24610DFE171}" type="pres">
      <dgm:prSet presAssocID="{96E2AB57-B419-4A55-A484-D86EB71D50B6}" presName="parTx" presStyleLbl="alignNode1" presStyleIdx="3" presStyleCnt="4">
        <dgm:presLayoutVars>
          <dgm:chMax val="0"/>
          <dgm:chPref val="0"/>
          <dgm:bulletEnabled val="1"/>
        </dgm:presLayoutVars>
      </dgm:prSet>
      <dgm:spPr/>
    </dgm:pt>
    <dgm:pt modelId="{C0794076-2D1F-4E8E-81DD-99A768E14864}" type="pres">
      <dgm:prSet presAssocID="{96E2AB57-B419-4A55-A484-D86EB71D50B6}" presName="desTx" presStyleLbl="alignAccFollowNode1" presStyleIdx="3" presStyleCnt="4">
        <dgm:presLayoutVars>
          <dgm:bulletEnabled val="1"/>
        </dgm:presLayoutVars>
      </dgm:prSet>
      <dgm:spPr/>
    </dgm:pt>
  </dgm:ptLst>
  <dgm:cxnLst>
    <dgm:cxn modelId="{9005E807-EAA2-4848-AADE-FEE05988A654}" srcId="{C8EE1935-CFC1-4A98-A57B-C4C9927EDFB3}" destId="{132363F3-EA6D-4EED-8840-75B8CF501441}" srcOrd="0" destOrd="0" parTransId="{6B308C70-FB8A-4227-AF49-342C9F4A10D6}" sibTransId="{9417B026-316C-42C7-B584-A597499973F2}"/>
    <dgm:cxn modelId="{53CAD914-16D5-489B-98B6-AF99E6760302}" type="presOf" srcId="{ABD70537-EE55-4207-B9E9-AB51957E847B}" destId="{C0794076-2D1F-4E8E-81DD-99A768E14864}" srcOrd="0" destOrd="0" presId="urn:microsoft.com/office/officeart/2005/8/layout/hList1"/>
    <dgm:cxn modelId="{976F7118-EF1D-493D-8041-CA06B6480475}" srcId="{8261BD5A-23CF-4470-BB70-F19037D3F7A5}" destId="{46E49327-3E30-46D7-BE95-20747FAF53B3}" srcOrd="0" destOrd="0" parTransId="{68D55065-53B1-4ABA-A8A8-6A06B677072F}" sibTransId="{C8A1C53E-C42E-4D98-802E-40A433BD685E}"/>
    <dgm:cxn modelId="{9CA7B71A-F2E7-4273-9C8D-7C37861EE8D6}" type="presOf" srcId="{96E2AB57-B419-4A55-A484-D86EB71D50B6}" destId="{979B88DF-8E96-408E-9EA6-D24610DFE171}" srcOrd="0" destOrd="0" presId="urn:microsoft.com/office/officeart/2005/8/layout/hList1"/>
    <dgm:cxn modelId="{59B81E44-5816-4120-AB30-FF3E102D1A33}" srcId="{96E2AB57-B419-4A55-A484-D86EB71D50B6}" destId="{ABD70537-EE55-4207-B9E9-AB51957E847B}" srcOrd="0" destOrd="0" parTransId="{1AE36CB9-CE28-432B-BA59-0F5587D065E3}" sibTransId="{B7916E56-B4F2-4F1C-BAC6-12142BF080E5}"/>
    <dgm:cxn modelId="{4A02AC65-12C4-4ECB-801A-933D53BD30FF}" type="presOf" srcId="{46E49327-3E30-46D7-BE95-20747FAF53B3}" destId="{33F2D188-4D46-4F53-B16C-F2FF4A160450}" srcOrd="0" destOrd="0" presId="urn:microsoft.com/office/officeart/2005/8/layout/hList1"/>
    <dgm:cxn modelId="{FE938E52-0F7D-44CC-BF84-341AF744625A}" srcId="{8261BD5A-23CF-4470-BB70-F19037D3F7A5}" destId="{96E2AB57-B419-4A55-A484-D86EB71D50B6}" srcOrd="3" destOrd="0" parTransId="{5373602E-ADDF-4E23-BBD9-3627F26723D2}" sibTransId="{1E12F839-F59E-4BB3-BAF4-835FD8ACF3FA}"/>
    <dgm:cxn modelId="{C3614C7D-FE75-446E-926F-63685DC3D775}" srcId="{8261BD5A-23CF-4470-BB70-F19037D3F7A5}" destId="{C8EE1935-CFC1-4A98-A57B-C4C9927EDFB3}" srcOrd="2" destOrd="0" parTransId="{48F08E45-7DDC-4CC3-B6DA-3019B917B5D0}" sibTransId="{E9EDF814-9555-44BB-AC9B-CB3534FCF69B}"/>
    <dgm:cxn modelId="{726F448A-9144-46E8-8A93-544032FEBF05}" srcId="{8261BD5A-23CF-4470-BB70-F19037D3F7A5}" destId="{A1F5A180-53A7-4023-8AE2-18EACE51309D}" srcOrd="1" destOrd="0" parTransId="{C9437513-42CC-4CB6-971B-CFD9A05538C8}" sibTransId="{9D00CEF3-AE5E-4482-BFE2-839483AB4357}"/>
    <dgm:cxn modelId="{971255A2-54FB-45E2-B74E-207DBA2F4852}" srcId="{A1F5A180-53A7-4023-8AE2-18EACE51309D}" destId="{A209C5FF-D7BC-4CAD-9BDE-350EB6229D6F}" srcOrd="0" destOrd="0" parTransId="{83973BD1-703D-46CB-B89F-C3F399D6A83E}" sibTransId="{35D74C69-FF8C-4399-8808-FA2E223DBEC5}"/>
    <dgm:cxn modelId="{CFAB2CBC-7107-4DB8-A9A2-B311A0357F96}" type="presOf" srcId="{A209C5FF-D7BC-4CAD-9BDE-350EB6229D6F}" destId="{E3A82526-68D7-41AE-988C-21D06DDC653C}" srcOrd="0" destOrd="0" presId="urn:microsoft.com/office/officeart/2005/8/layout/hList1"/>
    <dgm:cxn modelId="{206442BF-8292-49B2-8FAF-70BA1D171B3C}" type="presOf" srcId="{A1F5A180-53A7-4023-8AE2-18EACE51309D}" destId="{0348C64D-2524-47F2-B3D4-4F9E40EA1377}" srcOrd="0" destOrd="0" presId="urn:microsoft.com/office/officeart/2005/8/layout/hList1"/>
    <dgm:cxn modelId="{C89F06C4-A62C-4816-98EB-9E674DD64542}" type="presOf" srcId="{8261BD5A-23CF-4470-BB70-F19037D3F7A5}" destId="{055671E6-1741-433F-9C74-B3EB12F066E4}" srcOrd="0" destOrd="0" presId="urn:microsoft.com/office/officeart/2005/8/layout/hList1"/>
    <dgm:cxn modelId="{5299FDCC-95C0-41AB-8D81-F44008771051}" type="presOf" srcId="{132363F3-EA6D-4EED-8840-75B8CF501441}" destId="{D18F856F-851A-4324-A50A-EC440C7B2CC6}" srcOrd="0" destOrd="0" presId="urn:microsoft.com/office/officeart/2005/8/layout/hList1"/>
    <dgm:cxn modelId="{4EA984CF-14B0-4D7D-B577-6CF9C2225309}" type="presOf" srcId="{C54AA6C7-0822-41A5-AE79-28E175808FF2}" destId="{8EAC9327-03D3-46BD-A66B-A503400ADD24}" srcOrd="0" destOrd="0" presId="urn:microsoft.com/office/officeart/2005/8/layout/hList1"/>
    <dgm:cxn modelId="{3AC561E8-47FE-4518-B26D-E7CF95503FB3}" srcId="{46E49327-3E30-46D7-BE95-20747FAF53B3}" destId="{C54AA6C7-0822-41A5-AE79-28E175808FF2}" srcOrd="0" destOrd="0" parTransId="{9E99BBC1-8BA9-4D3B-BE9F-0644EB3DA318}" sibTransId="{1A0206B7-CF36-4AF2-8F4A-84A0E516840B}"/>
    <dgm:cxn modelId="{D71CC4F9-CA53-4AD4-83A2-77C762D11117}" type="presOf" srcId="{C8EE1935-CFC1-4A98-A57B-C4C9927EDFB3}" destId="{946B5892-0B84-497E-B79A-69E5E8C1D629}" srcOrd="0" destOrd="0" presId="urn:microsoft.com/office/officeart/2005/8/layout/hList1"/>
    <dgm:cxn modelId="{850B837E-DF6C-4F5B-9877-2170255C6EBE}" type="presParOf" srcId="{055671E6-1741-433F-9C74-B3EB12F066E4}" destId="{7BF8D5D8-41D4-423C-A7C9-3B989B3ECA96}" srcOrd="0" destOrd="0" presId="urn:microsoft.com/office/officeart/2005/8/layout/hList1"/>
    <dgm:cxn modelId="{18BE3B66-D8A7-40FF-9130-33371E5E0B9C}" type="presParOf" srcId="{7BF8D5D8-41D4-423C-A7C9-3B989B3ECA96}" destId="{33F2D188-4D46-4F53-B16C-F2FF4A160450}" srcOrd="0" destOrd="0" presId="urn:microsoft.com/office/officeart/2005/8/layout/hList1"/>
    <dgm:cxn modelId="{F938BDC9-5781-447E-B574-0618089B14EB}" type="presParOf" srcId="{7BF8D5D8-41D4-423C-A7C9-3B989B3ECA96}" destId="{8EAC9327-03D3-46BD-A66B-A503400ADD24}" srcOrd="1" destOrd="0" presId="urn:microsoft.com/office/officeart/2005/8/layout/hList1"/>
    <dgm:cxn modelId="{3DFD80C3-DC5B-424A-AD37-263E07A1CA2E}" type="presParOf" srcId="{055671E6-1741-433F-9C74-B3EB12F066E4}" destId="{F2FE418C-65BB-4546-A81A-0F3E241BBD6B}" srcOrd="1" destOrd="0" presId="urn:microsoft.com/office/officeart/2005/8/layout/hList1"/>
    <dgm:cxn modelId="{F8B19398-BEF4-483C-A9D4-0878EF78886D}" type="presParOf" srcId="{055671E6-1741-433F-9C74-B3EB12F066E4}" destId="{2D0965AA-6388-43A5-ADC4-EA5CDCB75AFB}" srcOrd="2" destOrd="0" presId="urn:microsoft.com/office/officeart/2005/8/layout/hList1"/>
    <dgm:cxn modelId="{F4100BEF-1869-41FD-BE92-FFDD85B02153}" type="presParOf" srcId="{2D0965AA-6388-43A5-ADC4-EA5CDCB75AFB}" destId="{0348C64D-2524-47F2-B3D4-4F9E40EA1377}" srcOrd="0" destOrd="0" presId="urn:microsoft.com/office/officeart/2005/8/layout/hList1"/>
    <dgm:cxn modelId="{AFD530BC-1F71-4B00-939B-8C72C6459273}" type="presParOf" srcId="{2D0965AA-6388-43A5-ADC4-EA5CDCB75AFB}" destId="{E3A82526-68D7-41AE-988C-21D06DDC653C}" srcOrd="1" destOrd="0" presId="urn:microsoft.com/office/officeart/2005/8/layout/hList1"/>
    <dgm:cxn modelId="{F2B19AEA-A662-4542-B50C-4C53BA35D9D0}" type="presParOf" srcId="{055671E6-1741-433F-9C74-B3EB12F066E4}" destId="{F2351403-A18C-4E9D-A988-8B1D12B69E75}" srcOrd="3" destOrd="0" presId="urn:microsoft.com/office/officeart/2005/8/layout/hList1"/>
    <dgm:cxn modelId="{18C75A85-E964-4670-9684-A1DE84A32BB3}" type="presParOf" srcId="{055671E6-1741-433F-9C74-B3EB12F066E4}" destId="{004F63CD-170A-4AD3-8D57-33911BD108BE}" srcOrd="4" destOrd="0" presId="urn:microsoft.com/office/officeart/2005/8/layout/hList1"/>
    <dgm:cxn modelId="{DAA9B8DD-6B39-4194-A638-464032B2752F}" type="presParOf" srcId="{004F63CD-170A-4AD3-8D57-33911BD108BE}" destId="{946B5892-0B84-497E-B79A-69E5E8C1D629}" srcOrd="0" destOrd="0" presId="urn:microsoft.com/office/officeart/2005/8/layout/hList1"/>
    <dgm:cxn modelId="{187B5D99-6ECC-4C42-A028-14F817709C5A}" type="presParOf" srcId="{004F63CD-170A-4AD3-8D57-33911BD108BE}" destId="{D18F856F-851A-4324-A50A-EC440C7B2CC6}" srcOrd="1" destOrd="0" presId="urn:microsoft.com/office/officeart/2005/8/layout/hList1"/>
    <dgm:cxn modelId="{42927418-3731-4864-8462-01B9DC2D950D}" type="presParOf" srcId="{055671E6-1741-433F-9C74-B3EB12F066E4}" destId="{570B07CB-FDA7-407E-B8F3-9C6D2D719522}" srcOrd="5" destOrd="0" presId="urn:microsoft.com/office/officeart/2005/8/layout/hList1"/>
    <dgm:cxn modelId="{9CA57536-E735-43EF-96B1-DB6B1A332AEF}" type="presParOf" srcId="{055671E6-1741-433F-9C74-B3EB12F066E4}" destId="{5D521448-251B-4812-8072-DD069BFF987D}" srcOrd="6" destOrd="0" presId="urn:microsoft.com/office/officeart/2005/8/layout/hList1"/>
    <dgm:cxn modelId="{9BABE597-67BC-44C4-BA27-72FAF32AA12C}" type="presParOf" srcId="{5D521448-251B-4812-8072-DD069BFF987D}" destId="{979B88DF-8E96-408E-9EA6-D24610DFE171}" srcOrd="0" destOrd="0" presId="urn:microsoft.com/office/officeart/2005/8/layout/hList1"/>
    <dgm:cxn modelId="{1C18BB4B-E305-433F-A3CF-D8BCC72E99D2}" type="presParOf" srcId="{5D521448-251B-4812-8072-DD069BFF987D}" destId="{C0794076-2D1F-4E8E-81DD-99A768E14864}" srcOrd="1" destOrd="0" presId="urn:microsoft.com/office/officeart/2005/8/layout/h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F2D188-4D46-4F53-B16C-F2FF4A160450}">
      <dsp:nvSpPr>
        <dsp:cNvPr id="0" name=""/>
        <dsp:cNvSpPr/>
      </dsp:nvSpPr>
      <dsp:spPr>
        <a:xfrm>
          <a:off x="2062" y="158558"/>
          <a:ext cx="1240333" cy="45355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t>BS v Dundee City Council [2013] CSIH19</a:t>
          </a:r>
          <a:endParaRPr lang="en-GB" sz="900" kern="1200"/>
        </a:p>
      </dsp:txBody>
      <dsp:txXfrm>
        <a:off x="2062" y="158558"/>
        <a:ext cx="1240333" cy="453559"/>
      </dsp:txXfrm>
    </dsp:sp>
    <dsp:sp modelId="{8EAC9327-03D3-46BD-A66B-A503400ADD24}">
      <dsp:nvSpPr>
        <dsp:cNvPr id="0" name=""/>
        <dsp:cNvSpPr/>
      </dsp:nvSpPr>
      <dsp:spPr>
        <a:xfrm>
          <a:off x="2062" y="612118"/>
          <a:ext cx="1240333" cy="1012904"/>
        </a:xfrm>
        <a:prstGeom prst="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8006" tIns="48006" rIns="64008" bIns="72009" numCol="1" spcCol="1270" anchor="t" anchorCtr="0">
          <a:noAutofit/>
        </a:bodyPr>
        <a:lstStyle/>
        <a:p>
          <a:pPr marL="57150" lvl="1" indent="-57150" algn="ctr" defTabSz="400050">
            <a:lnSpc>
              <a:spcPct val="90000"/>
            </a:lnSpc>
            <a:spcBef>
              <a:spcPct val="0"/>
            </a:spcBef>
            <a:spcAft>
              <a:spcPct val="15000"/>
            </a:spcAft>
            <a:buNone/>
          </a:pPr>
          <a:r>
            <a:rPr lang="en-GB" sz="900" kern="1200"/>
            <a:t>reasonableness assessed by reference to information available at the time, including proper consideration of medical evidence.</a:t>
          </a:r>
        </a:p>
      </dsp:txBody>
      <dsp:txXfrm>
        <a:off x="2062" y="612118"/>
        <a:ext cx="1240333" cy="1012904"/>
      </dsp:txXfrm>
    </dsp:sp>
    <dsp:sp modelId="{0348C64D-2524-47F2-B3D4-4F9E40EA1377}">
      <dsp:nvSpPr>
        <dsp:cNvPr id="0" name=""/>
        <dsp:cNvSpPr/>
      </dsp:nvSpPr>
      <dsp:spPr>
        <a:xfrm>
          <a:off x="1416043" y="158558"/>
          <a:ext cx="1240333" cy="45355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t>O’Brien v Bolton St Catherine’s Academy [2017] EWCA Civ 145</a:t>
          </a:r>
          <a:endParaRPr lang="en-GB" sz="900" kern="1200"/>
        </a:p>
      </dsp:txBody>
      <dsp:txXfrm>
        <a:off x="1416043" y="158558"/>
        <a:ext cx="1240333" cy="453559"/>
      </dsp:txXfrm>
    </dsp:sp>
    <dsp:sp modelId="{E3A82526-68D7-41AE-988C-21D06DDC653C}">
      <dsp:nvSpPr>
        <dsp:cNvPr id="0" name=""/>
        <dsp:cNvSpPr/>
      </dsp:nvSpPr>
      <dsp:spPr>
        <a:xfrm>
          <a:off x="1416043" y="612118"/>
          <a:ext cx="1240333" cy="1012904"/>
        </a:xfrm>
        <a:prstGeom prst="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8006" tIns="48006" rIns="64008" bIns="72009" numCol="1" spcCol="1270" anchor="t" anchorCtr="0">
          <a:noAutofit/>
        </a:bodyPr>
        <a:lstStyle/>
        <a:p>
          <a:pPr marL="57150" lvl="1" indent="-57150" algn="ctr" defTabSz="400050">
            <a:lnSpc>
              <a:spcPct val="90000"/>
            </a:lnSpc>
            <a:spcBef>
              <a:spcPct val="0"/>
            </a:spcBef>
            <a:spcAft>
              <a:spcPct val="15000"/>
            </a:spcAft>
            <a:buNone/>
          </a:pPr>
          <a:r>
            <a:rPr lang="en-GB" sz="900" kern="1200"/>
            <a:t>need to balance operational requirements against the employee’s circumstances, especially in long‑term ill‑health cases.</a:t>
          </a:r>
        </a:p>
      </dsp:txBody>
      <dsp:txXfrm>
        <a:off x="1416043" y="612118"/>
        <a:ext cx="1240333" cy="1012904"/>
      </dsp:txXfrm>
    </dsp:sp>
    <dsp:sp modelId="{946B5892-0B84-497E-B79A-69E5E8C1D629}">
      <dsp:nvSpPr>
        <dsp:cNvPr id="0" name=""/>
        <dsp:cNvSpPr/>
      </dsp:nvSpPr>
      <dsp:spPr>
        <a:xfrm>
          <a:off x="2830023" y="158558"/>
          <a:ext cx="1240333" cy="45355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t>Schenker Ltd v Doolan [2011] UKEAT/0053/09</a:t>
          </a:r>
          <a:endParaRPr lang="en-GB" sz="900" kern="1200"/>
        </a:p>
      </dsp:txBody>
      <dsp:txXfrm>
        <a:off x="2830023" y="158558"/>
        <a:ext cx="1240333" cy="453559"/>
      </dsp:txXfrm>
    </dsp:sp>
    <dsp:sp modelId="{D18F856F-851A-4324-A50A-EC440C7B2CC6}">
      <dsp:nvSpPr>
        <dsp:cNvPr id="0" name=""/>
        <dsp:cNvSpPr/>
      </dsp:nvSpPr>
      <dsp:spPr>
        <a:xfrm>
          <a:off x="2830023" y="612118"/>
          <a:ext cx="1240333" cy="1012904"/>
        </a:xfrm>
        <a:prstGeom prst="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8006" tIns="48006" rIns="64008" bIns="72009" numCol="1" spcCol="1270" anchor="t" anchorCtr="0">
          <a:noAutofit/>
        </a:bodyPr>
        <a:lstStyle/>
        <a:p>
          <a:pPr marL="57150" lvl="1" indent="-57150" algn="ctr" defTabSz="400050">
            <a:lnSpc>
              <a:spcPct val="90000"/>
            </a:lnSpc>
            <a:spcBef>
              <a:spcPct val="0"/>
            </a:spcBef>
            <a:spcAft>
              <a:spcPct val="15000"/>
            </a:spcAft>
            <a:buNone/>
          </a:pPr>
          <a:r>
            <a:rPr lang="en-GB" sz="900" kern="1200"/>
            <a:t>importance of considering whether further time for recovery or improvement would be reasonable.</a:t>
          </a:r>
        </a:p>
      </dsp:txBody>
      <dsp:txXfrm>
        <a:off x="2830023" y="612118"/>
        <a:ext cx="1240333" cy="1012904"/>
      </dsp:txXfrm>
    </dsp:sp>
    <dsp:sp modelId="{979B88DF-8E96-408E-9EA6-D24610DFE171}">
      <dsp:nvSpPr>
        <dsp:cNvPr id="0" name=""/>
        <dsp:cNvSpPr/>
      </dsp:nvSpPr>
      <dsp:spPr>
        <a:xfrm>
          <a:off x="4244003" y="158558"/>
          <a:ext cx="1240333" cy="45355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b="1" kern="1200"/>
            <a:t>Gozdik &amp; Scopigno v Chlidema Carpet Ltd [1979] EAT 598/78</a:t>
          </a:r>
          <a:r>
            <a:rPr lang="en-GB" sz="900" kern="1200"/>
            <a:t> </a:t>
          </a:r>
        </a:p>
      </dsp:txBody>
      <dsp:txXfrm>
        <a:off x="4244003" y="158558"/>
        <a:ext cx="1240333" cy="453559"/>
      </dsp:txXfrm>
    </dsp:sp>
    <dsp:sp modelId="{C0794076-2D1F-4E8E-81DD-99A768E14864}">
      <dsp:nvSpPr>
        <dsp:cNvPr id="0" name=""/>
        <dsp:cNvSpPr/>
      </dsp:nvSpPr>
      <dsp:spPr>
        <a:xfrm>
          <a:off x="4244003" y="612118"/>
          <a:ext cx="1240333" cy="1012904"/>
        </a:xfrm>
        <a:prstGeom prst="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8006" tIns="48006" rIns="64008" bIns="72009" numCol="1" spcCol="1270" anchor="t" anchorCtr="0">
          <a:noAutofit/>
        </a:bodyPr>
        <a:lstStyle/>
        <a:p>
          <a:pPr marL="57150" lvl="1" indent="-57150" algn="ctr" defTabSz="400050">
            <a:lnSpc>
              <a:spcPct val="90000"/>
            </a:lnSpc>
            <a:spcBef>
              <a:spcPct val="0"/>
            </a:spcBef>
            <a:spcAft>
              <a:spcPct val="15000"/>
            </a:spcAft>
            <a:buNone/>
          </a:pPr>
          <a:r>
            <a:rPr lang="en-GB" sz="900" kern="1200"/>
            <a:t>obligation to consider suitable alternative employment or adjustments before dismissal.</a:t>
          </a:r>
        </a:p>
      </dsp:txBody>
      <dsp:txXfrm>
        <a:off x="4244003" y="612118"/>
        <a:ext cx="1240333" cy="1012904"/>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2168</TotalTime>
  <Pages>14</Pages>
  <Words>5472</Words>
  <Characters>31191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36590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Astell</dc:creator>
  <cp:keywords/>
  <dc:description/>
  <cp:lastModifiedBy>Lynda Astell</cp:lastModifiedBy>
  <cp:revision>294</cp:revision>
  <dcterms:created xsi:type="dcterms:W3CDTF">2026-04-10T08:14:00Z</dcterms:created>
  <dcterms:modified xsi:type="dcterms:W3CDTF">2026-04-20T14:28:00Z</dcterms:modified>
</cp:coreProperties>
</file>