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B9CAAE" w14:textId="77777777" w:rsidR="00EC3D4E" w:rsidRDefault="00EC3D4E" w:rsidP="00EC3D4E">
      <w:pPr>
        <w:rPr>
          <w:b/>
          <w:u w:val="single"/>
        </w:rPr>
      </w:pPr>
    </w:p>
    <w:p w14:paraId="5D7BC782" w14:textId="26F193A4" w:rsidR="00EC3D4E" w:rsidRPr="00EC3D4E" w:rsidRDefault="00EC3D4E" w:rsidP="00EC3D4E">
      <w:pPr>
        <w:rPr>
          <w:b/>
          <w:u w:val="single"/>
        </w:rPr>
      </w:pPr>
      <w:r w:rsidRPr="00EC3D4E">
        <w:rPr>
          <w:b/>
          <w:u w:val="single"/>
        </w:rPr>
        <w:drawing>
          <wp:inline distT="0" distB="0" distL="0" distR="0" wp14:anchorId="18AE153D" wp14:editId="69717689">
            <wp:extent cx="2887976" cy="1051560"/>
            <wp:effectExtent l="19050" t="19050" r="26674" b="15240"/>
            <wp:docPr id="1" name="Picture 10" descr="TSD_logo20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887976" cy="1051560"/>
                    </a:xfrm>
                    <a:prstGeom prst="rect">
                      <a:avLst/>
                    </a:prstGeom>
                    <a:noFill/>
                    <a:ln w="19046">
                      <a:solidFill>
                        <a:srgbClr val="000000"/>
                      </a:solidFill>
                      <a:prstDash val="solid"/>
                    </a:ln>
                  </pic:spPr>
                </pic:pic>
              </a:graphicData>
            </a:graphic>
          </wp:inline>
        </w:drawing>
      </w:r>
    </w:p>
    <w:p w14:paraId="70A1BC63" w14:textId="77777777" w:rsidR="00EC3D4E" w:rsidRPr="00EC3D4E" w:rsidRDefault="00EC3D4E" w:rsidP="00EC3D4E">
      <w:pPr>
        <w:rPr>
          <w:b/>
          <w:bCs/>
          <w:u w:val="single"/>
          <w:lang w:val="cy-GB"/>
        </w:rPr>
      </w:pPr>
      <w:r w:rsidRPr="00EC3D4E">
        <w:rPr>
          <w:b/>
          <w:bCs/>
          <w:u w:val="single"/>
          <w:lang w:val="cy-GB"/>
        </w:rPr>
        <w:t>Undergraduate assignment feedback form</w:t>
      </w:r>
    </w:p>
    <w:p w14:paraId="07C50CF7" w14:textId="77777777" w:rsidR="00EC3D4E" w:rsidRPr="00EC3D4E" w:rsidRDefault="00EC3D4E" w:rsidP="00EC3D4E">
      <w:pPr>
        <w:rPr>
          <w:b/>
          <w:u w:val="single"/>
          <w:lang w:val="cy-GB"/>
        </w:rPr>
      </w:pPr>
      <w:r w:rsidRPr="00EC3D4E">
        <w:rPr>
          <w:b/>
          <w:u w:val="single"/>
          <w:lang w:val="cy-GB"/>
        </w:rPr>
        <w:t>(to be completed by marker)</w:t>
      </w:r>
    </w:p>
    <w:p w14:paraId="2D8F21E5" w14:textId="77777777" w:rsidR="00EC3D4E" w:rsidRPr="00EC3D4E" w:rsidRDefault="00EC3D4E" w:rsidP="00EC3D4E">
      <w:pPr>
        <w:rPr>
          <w:b/>
          <w:u w:val="single"/>
          <w:lang w:val="cy-GB"/>
        </w:rPr>
      </w:pPr>
    </w:p>
    <w:p w14:paraId="67141093" w14:textId="77777777" w:rsidR="00EC3D4E" w:rsidRPr="00EC3D4E" w:rsidRDefault="00EC3D4E" w:rsidP="00EC3D4E">
      <w:pPr>
        <w:rPr>
          <w:b/>
          <w:bCs/>
          <w:u w:val="single"/>
        </w:rPr>
      </w:pPr>
    </w:p>
    <w:tbl>
      <w:tblPr>
        <w:tblW w:w="8755" w:type="dxa"/>
        <w:tblCellMar>
          <w:left w:w="10" w:type="dxa"/>
          <w:right w:w="10" w:type="dxa"/>
        </w:tblCellMar>
        <w:tblLook w:val="04A0" w:firstRow="1" w:lastRow="0" w:firstColumn="1" w:lastColumn="0" w:noHBand="0" w:noVBand="1"/>
      </w:tblPr>
      <w:tblGrid>
        <w:gridCol w:w="4788"/>
        <w:gridCol w:w="1980"/>
        <w:gridCol w:w="1987"/>
      </w:tblGrid>
      <w:tr w:rsidR="00EC3D4E" w:rsidRPr="00EC3D4E" w14:paraId="6F22344A" w14:textId="77777777" w:rsidTr="00B83A8B">
        <w:tblPrEx>
          <w:tblCellMar>
            <w:top w:w="0" w:type="dxa"/>
            <w:bottom w:w="0" w:type="dxa"/>
          </w:tblCellMar>
        </w:tblPrEx>
        <w:trPr>
          <w:trHeight w:val="718"/>
        </w:trPr>
        <w:tc>
          <w:tcPr>
            <w:tcW w:w="87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CCD510" w14:textId="77777777" w:rsidR="00EC3D4E" w:rsidRPr="00EC3D4E" w:rsidRDefault="00EC3D4E" w:rsidP="00EC3D4E">
            <w:pPr>
              <w:rPr>
                <w:b/>
                <w:i/>
                <w:u w:val="single"/>
              </w:rPr>
            </w:pPr>
            <w:r w:rsidRPr="00EC3D4E">
              <w:rPr>
                <w:b/>
                <w:i/>
                <w:u w:val="single"/>
              </w:rPr>
              <w:t>Student Name:</w:t>
            </w:r>
          </w:p>
          <w:p w14:paraId="58166B60" w14:textId="77777777" w:rsidR="00EC3D4E" w:rsidRPr="00EC3D4E" w:rsidRDefault="00EC3D4E" w:rsidP="00EC3D4E">
            <w:pPr>
              <w:rPr>
                <w:b/>
                <w:i/>
                <w:u w:val="single"/>
              </w:rPr>
            </w:pPr>
            <w:r w:rsidRPr="00EC3D4E">
              <w:rPr>
                <w:b/>
                <w:i/>
                <w:u w:val="single"/>
              </w:rPr>
              <w:t xml:space="preserve">Henry Gillson – Gant </w:t>
            </w:r>
          </w:p>
        </w:tc>
      </w:tr>
      <w:tr w:rsidR="00EC3D4E" w:rsidRPr="00EC3D4E" w14:paraId="634A5B24" w14:textId="77777777" w:rsidTr="00B83A8B">
        <w:tblPrEx>
          <w:tblCellMar>
            <w:top w:w="0" w:type="dxa"/>
            <w:bottom w:w="0" w:type="dxa"/>
          </w:tblCellMar>
        </w:tblPrEx>
        <w:trPr>
          <w:trHeight w:val="849"/>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3CE2BD" w14:textId="77777777" w:rsidR="00EC3D4E" w:rsidRPr="00EC3D4E" w:rsidRDefault="00EC3D4E" w:rsidP="00EC3D4E">
            <w:pPr>
              <w:rPr>
                <w:b/>
                <w:i/>
                <w:u w:val="single"/>
              </w:rPr>
            </w:pPr>
            <w:r w:rsidRPr="00EC3D4E">
              <w:rPr>
                <w:b/>
                <w:i/>
                <w:u w:val="single"/>
              </w:rPr>
              <w:t>Module title:</w:t>
            </w:r>
          </w:p>
          <w:p w14:paraId="50D316D8" w14:textId="77777777" w:rsidR="00EC3D4E" w:rsidRPr="004B51CB" w:rsidRDefault="00EC3D4E" w:rsidP="00EC3D4E">
            <w:pPr>
              <w:rPr>
                <w:b/>
              </w:rPr>
            </w:pPr>
            <w:r w:rsidRPr="004B51CB">
              <w:rPr>
                <w:b/>
              </w:rPr>
              <w:t xml:space="preserve">Contesting Conflict: Representations of </w:t>
            </w:r>
            <w:proofErr w:type="gramStart"/>
            <w:r w:rsidRPr="004B51CB">
              <w:rPr>
                <w:b/>
              </w:rPr>
              <w:t>War,  1789</w:t>
            </w:r>
            <w:proofErr w:type="gramEnd"/>
            <w:r w:rsidRPr="004B51CB">
              <w:rPr>
                <w:b/>
              </w:rPr>
              <w:t>–Present (AHHI5017)</w:t>
            </w:r>
          </w:p>
        </w:tc>
        <w:tc>
          <w:tcPr>
            <w:tcW w:w="39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0406C" w14:textId="77777777" w:rsidR="00EC3D4E" w:rsidRPr="00EC3D4E" w:rsidRDefault="00EC3D4E" w:rsidP="00EC3D4E">
            <w:pPr>
              <w:rPr>
                <w:b/>
                <w:i/>
                <w:u w:val="single"/>
              </w:rPr>
            </w:pPr>
            <w:r w:rsidRPr="00EC3D4E">
              <w:rPr>
                <w:b/>
                <w:i/>
                <w:u w:val="single"/>
              </w:rPr>
              <w:t>Student number:</w:t>
            </w:r>
          </w:p>
          <w:p w14:paraId="695454E9" w14:textId="77777777" w:rsidR="00EC3D4E" w:rsidRPr="004B51CB" w:rsidRDefault="00EC3D4E" w:rsidP="00EC3D4E">
            <w:pPr>
              <w:rPr>
                <w:b/>
              </w:rPr>
            </w:pPr>
            <w:r w:rsidRPr="004B51CB">
              <w:rPr>
                <w:b/>
              </w:rPr>
              <w:t>1600129</w:t>
            </w:r>
          </w:p>
        </w:tc>
      </w:tr>
      <w:tr w:rsidR="00EC3D4E" w:rsidRPr="00EC3D4E" w14:paraId="25945677" w14:textId="77777777" w:rsidTr="00B83A8B">
        <w:tblPrEx>
          <w:tblCellMar>
            <w:top w:w="0" w:type="dxa"/>
            <w:bottom w:w="0" w:type="dxa"/>
          </w:tblCellMar>
        </w:tblPrEx>
        <w:trPr>
          <w:trHeight w:val="3972"/>
        </w:trPr>
        <w:tc>
          <w:tcPr>
            <w:tcW w:w="87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74E84" w14:textId="77777777" w:rsidR="00EC3D4E" w:rsidRPr="00EC3D4E" w:rsidRDefault="00EC3D4E" w:rsidP="00EC3D4E">
            <w:pPr>
              <w:rPr>
                <w:b/>
                <w:i/>
                <w:u w:val="single"/>
              </w:rPr>
            </w:pPr>
            <w:r w:rsidRPr="00EC3D4E">
              <w:rPr>
                <w:b/>
                <w:i/>
                <w:u w:val="single"/>
              </w:rPr>
              <w:t>For completion by marker:</w:t>
            </w:r>
          </w:p>
          <w:p w14:paraId="65AC0102" w14:textId="77777777" w:rsidR="00EC3D4E" w:rsidRPr="00EC3D4E" w:rsidRDefault="00EC3D4E" w:rsidP="00EC3D4E">
            <w:pPr>
              <w:rPr>
                <w:b/>
                <w:i/>
                <w:u w:val="single"/>
              </w:rPr>
            </w:pPr>
            <w:r w:rsidRPr="00EC3D4E">
              <w:rPr>
                <w:b/>
                <w:i/>
                <w:u w:val="single"/>
              </w:rPr>
              <w:t>Comments:</w:t>
            </w:r>
          </w:p>
          <w:p w14:paraId="12AF8884" w14:textId="3FC7EE5A" w:rsidR="00EC3D4E" w:rsidRPr="004B51CB" w:rsidRDefault="00EC3D4E" w:rsidP="00EC3D4E">
            <w:pPr>
              <w:rPr>
                <w:b/>
                <w:i/>
              </w:rPr>
            </w:pPr>
            <w:r w:rsidRPr="004B51CB">
              <w:rPr>
                <w:b/>
                <w:i/>
              </w:rPr>
              <w:t>Word Count: 2</w:t>
            </w:r>
            <w:r w:rsidR="004B51CB">
              <w:rPr>
                <w:b/>
                <w:i/>
              </w:rPr>
              <w:t>487</w:t>
            </w:r>
            <w:bookmarkStart w:id="0" w:name="_GoBack"/>
            <w:bookmarkEnd w:id="0"/>
          </w:p>
          <w:p w14:paraId="7314DACF" w14:textId="77777777" w:rsidR="00EC3D4E" w:rsidRPr="00EC3D4E" w:rsidRDefault="00EC3D4E" w:rsidP="00EC3D4E">
            <w:pPr>
              <w:rPr>
                <w:b/>
                <w:i/>
                <w:u w:val="single"/>
              </w:rPr>
            </w:pPr>
          </w:p>
          <w:p w14:paraId="021B3382" w14:textId="77777777" w:rsidR="00EC3D4E" w:rsidRPr="00EC3D4E" w:rsidRDefault="00EC3D4E" w:rsidP="00EC3D4E">
            <w:pPr>
              <w:rPr>
                <w:b/>
                <w:i/>
                <w:u w:val="single"/>
              </w:rPr>
            </w:pPr>
          </w:p>
          <w:p w14:paraId="6893C2E3" w14:textId="77777777" w:rsidR="00EC3D4E" w:rsidRPr="00EC3D4E" w:rsidRDefault="00EC3D4E" w:rsidP="00EC3D4E">
            <w:pPr>
              <w:rPr>
                <w:b/>
                <w:i/>
                <w:u w:val="single"/>
              </w:rPr>
            </w:pPr>
          </w:p>
          <w:p w14:paraId="07A8754F" w14:textId="77777777" w:rsidR="00EC3D4E" w:rsidRPr="00EC3D4E" w:rsidRDefault="00EC3D4E" w:rsidP="00EC3D4E">
            <w:pPr>
              <w:rPr>
                <w:b/>
                <w:i/>
                <w:u w:val="single"/>
              </w:rPr>
            </w:pPr>
          </w:p>
          <w:p w14:paraId="64A8FEF6" w14:textId="77777777" w:rsidR="00EC3D4E" w:rsidRPr="00EC3D4E" w:rsidRDefault="00EC3D4E" w:rsidP="00EC3D4E">
            <w:pPr>
              <w:rPr>
                <w:b/>
                <w:i/>
                <w:u w:val="single"/>
              </w:rPr>
            </w:pPr>
          </w:p>
          <w:p w14:paraId="424A041A" w14:textId="77777777" w:rsidR="00EC3D4E" w:rsidRPr="00EC3D4E" w:rsidRDefault="00EC3D4E" w:rsidP="00EC3D4E">
            <w:pPr>
              <w:rPr>
                <w:b/>
                <w:i/>
                <w:u w:val="single"/>
              </w:rPr>
            </w:pPr>
          </w:p>
          <w:p w14:paraId="2C8C2007" w14:textId="77777777" w:rsidR="00EC3D4E" w:rsidRPr="00EC3D4E" w:rsidRDefault="00EC3D4E" w:rsidP="00EC3D4E">
            <w:pPr>
              <w:rPr>
                <w:b/>
                <w:i/>
                <w:u w:val="single"/>
              </w:rPr>
            </w:pPr>
          </w:p>
          <w:p w14:paraId="16B58A6E" w14:textId="77777777" w:rsidR="00EC3D4E" w:rsidRPr="00EC3D4E" w:rsidRDefault="00EC3D4E" w:rsidP="00EC3D4E">
            <w:pPr>
              <w:rPr>
                <w:b/>
                <w:i/>
                <w:u w:val="single"/>
              </w:rPr>
            </w:pPr>
          </w:p>
          <w:p w14:paraId="4D8C684A" w14:textId="77777777" w:rsidR="00EC3D4E" w:rsidRPr="00EC3D4E" w:rsidRDefault="00EC3D4E" w:rsidP="00EC3D4E">
            <w:pPr>
              <w:rPr>
                <w:b/>
                <w:i/>
                <w:u w:val="single"/>
              </w:rPr>
            </w:pPr>
          </w:p>
          <w:p w14:paraId="1E89BFEB" w14:textId="77777777" w:rsidR="00EC3D4E" w:rsidRPr="00EC3D4E" w:rsidRDefault="00EC3D4E" w:rsidP="00EC3D4E">
            <w:pPr>
              <w:rPr>
                <w:b/>
                <w:i/>
                <w:u w:val="single"/>
              </w:rPr>
            </w:pPr>
          </w:p>
        </w:tc>
      </w:tr>
      <w:tr w:rsidR="00EC3D4E" w:rsidRPr="00EC3D4E" w14:paraId="40075028" w14:textId="77777777" w:rsidTr="00B83A8B">
        <w:tblPrEx>
          <w:tblCellMar>
            <w:top w:w="0" w:type="dxa"/>
            <w:bottom w:w="0" w:type="dxa"/>
          </w:tblCellMar>
        </w:tblPrEx>
        <w:trPr>
          <w:trHeight w:val="492"/>
        </w:trPr>
        <w:tc>
          <w:tcPr>
            <w:tcW w:w="67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C5E0A2" w14:textId="77777777" w:rsidR="00EC3D4E" w:rsidRPr="00EC3D4E" w:rsidRDefault="00EC3D4E" w:rsidP="00EC3D4E">
            <w:pPr>
              <w:rPr>
                <w:b/>
                <w:i/>
                <w:u w:val="single"/>
              </w:rPr>
            </w:pPr>
            <w:r w:rsidRPr="00EC3D4E">
              <w:rPr>
                <w:b/>
                <w:i/>
                <w:u w:val="single"/>
              </w:rPr>
              <w:t>Marker’s signature:</w:t>
            </w:r>
          </w:p>
        </w:tc>
        <w:tc>
          <w:tcPr>
            <w:tcW w:w="1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4772AE" w14:textId="77777777" w:rsidR="00EC3D4E" w:rsidRPr="00EC3D4E" w:rsidRDefault="00EC3D4E" w:rsidP="00EC3D4E">
            <w:pPr>
              <w:rPr>
                <w:b/>
                <w:i/>
                <w:u w:val="single"/>
              </w:rPr>
            </w:pPr>
            <w:r w:rsidRPr="00EC3D4E">
              <w:rPr>
                <w:b/>
                <w:i/>
                <w:u w:val="single"/>
              </w:rPr>
              <w:t>Date:</w:t>
            </w:r>
          </w:p>
        </w:tc>
      </w:tr>
      <w:tr w:rsidR="00EC3D4E" w:rsidRPr="00EC3D4E" w14:paraId="7E9E4445" w14:textId="77777777" w:rsidTr="00B83A8B">
        <w:tblPrEx>
          <w:tblCellMar>
            <w:top w:w="0" w:type="dxa"/>
            <w:bottom w:w="0" w:type="dxa"/>
          </w:tblCellMar>
        </w:tblPrEx>
        <w:tc>
          <w:tcPr>
            <w:tcW w:w="87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9AEB4A" w14:textId="77777777" w:rsidR="00EC3D4E" w:rsidRPr="00EC3D4E" w:rsidRDefault="00EC3D4E" w:rsidP="00EC3D4E">
            <w:pPr>
              <w:rPr>
                <w:b/>
                <w:i/>
                <w:u w:val="single"/>
              </w:rPr>
            </w:pPr>
            <w:r w:rsidRPr="00EC3D4E">
              <w:rPr>
                <w:b/>
                <w:i/>
                <w:u w:val="single"/>
              </w:rPr>
              <w:t xml:space="preserve">Provisional mark: </w:t>
            </w:r>
          </w:p>
          <w:p w14:paraId="19417124" w14:textId="77777777" w:rsidR="00EC3D4E" w:rsidRPr="00EC3D4E" w:rsidRDefault="00EC3D4E" w:rsidP="00EC3D4E">
            <w:pPr>
              <w:rPr>
                <w:b/>
                <w:u w:val="single"/>
              </w:rPr>
            </w:pPr>
            <w:r w:rsidRPr="00EC3D4E">
              <w:rPr>
                <w:b/>
                <w:i/>
                <w:u w:val="single"/>
              </w:rPr>
              <w:t xml:space="preserve">NB.  All marks are provisional until confirmed by the final examination board. </w:t>
            </w:r>
          </w:p>
        </w:tc>
      </w:tr>
    </w:tbl>
    <w:p w14:paraId="717E48EA" w14:textId="77777777" w:rsidR="00EC3D4E" w:rsidRDefault="00EC3D4E" w:rsidP="00EC3D4E">
      <w:pPr>
        <w:rPr>
          <w:b/>
          <w:u w:val="single"/>
        </w:rPr>
      </w:pPr>
    </w:p>
    <w:p w14:paraId="28A28E1A" w14:textId="77777777" w:rsidR="00EC3D4E" w:rsidRDefault="00EC3D4E" w:rsidP="00905880">
      <w:pPr>
        <w:jc w:val="center"/>
        <w:rPr>
          <w:b/>
          <w:u w:val="single"/>
        </w:rPr>
      </w:pPr>
    </w:p>
    <w:p w14:paraId="7D545DA1" w14:textId="1EA12F5C" w:rsidR="006F40CC" w:rsidRDefault="00905880" w:rsidP="00905880">
      <w:pPr>
        <w:jc w:val="center"/>
        <w:rPr>
          <w:b/>
          <w:u w:val="single"/>
        </w:rPr>
      </w:pPr>
      <w:r w:rsidRPr="00905880">
        <w:rPr>
          <w:b/>
          <w:u w:val="single"/>
        </w:rPr>
        <w:t>Adam Chapman has written that playing videogames can be “historically meaningful” as a means of producing “</w:t>
      </w:r>
      <w:r w:rsidRPr="00905880">
        <w:rPr>
          <w:b/>
          <w:bCs/>
          <w:u w:val="single"/>
        </w:rPr>
        <w:t xml:space="preserve">intertextual historical narratives.” Choose a videogame (or small sample of video games) which concentrate </w:t>
      </w:r>
      <w:r w:rsidRPr="00905880">
        <w:rPr>
          <w:b/>
          <w:u w:val="single"/>
        </w:rPr>
        <w:t>on war and conflict, and assess the extent to which Chapman’s ideas are applicable to their output</w:t>
      </w:r>
    </w:p>
    <w:p w14:paraId="6F968EC8" w14:textId="7DF08C75" w:rsidR="00905880" w:rsidRDefault="00905880" w:rsidP="00905880">
      <w:pPr>
        <w:jc w:val="center"/>
        <w:rPr>
          <w:u w:val="single"/>
        </w:rPr>
      </w:pPr>
    </w:p>
    <w:p w14:paraId="4F8F292B" w14:textId="53DF26AC" w:rsidR="00905880" w:rsidRDefault="001E7646" w:rsidP="00905880">
      <w:pPr>
        <w:jc w:val="both"/>
      </w:pPr>
      <w:r>
        <w:t>Adam Chapmans’ paper on video as history bring several new and ideas to the concept of video games as History. He actively breaks down certain themes and applies them to various genres as to why such games can represent history. This piece will evaluate some of the ideas that Chapman brings to the table for this debate of historical representations. The first, a player’s agency, how their actions can define experience within the game environment. The second, reading a</w:t>
      </w:r>
      <w:r w:rsidR="003E456E">
        <w:t>nd</w:t>
      </w:r>
      <w:r>
        <w:t xml:space="preserve"> doing, how a player’s connection to the environment dictate their attitudes and what sought of story they seek to build within the narrative. And third </w:t>
      </w:r>
      <w:r w:rsidR="003E456E">
        <w:t>the History Play Space, an ambiguous story world where by actions will determine the story, and in a replay, other decisions in the same narrative may create a different scenario. The two videos games to be used are Scourge of War Waterloo, a sandbox open ended strategy game replaying the Battle of Waterloo. And the second game or rather a game series, the Infinity Series, an entirely text-based saga about the rise of a young Dragoon Officer in a time of war based in a low fantasy setting based o</w:t>
      </w:r>
      <w:r w:rsidR="00954492">
        <w:t>n</w:t>
      </w:r>
      <w:r w:rsidR="003E456E">
        <w:t xml:space="preserve"> the Regency Period of the United Kingdom. </w:t>
      </w:r>
    </w:p>
    <w:p w14:paraId="32DB748B" w14:textId="663A308F" w:rsidR="00594F31" w:rsidRDefault="003E095E" w:rsidP="00905880">
      <w:pPr>
        <w:jc w:val="both"/>
      </w:pPr>
      <w:r>
        <w:t xml:space="preserve">Before the beginning the </w:t>
      </w:r>
      <w:r w:rsidR="007712AC">
        <w:t xml:space="preserve">analysis the actual sources to be used must be established as they are both different in representation and world build. The </w:t>
      </w:r>
      <w:r w:rsidR="00CF1C68">
        <w:t>first</w:t>
      </w:r>
      <w:r w:rsidR="00236B8E">
        <w:t xml:space="preserve"> game or more rightly a game </w:t>
      </w:r>
      <w:r w:rsidR="007712AC">
        <w:t>series, the Infinity Series. Set in a low-level fantasy world akin to that of the Regency Period of the United Kingdom, the player is required to play the role of a young noble person who becomes a young untested officer in a Dragoon Regiment</w:t>
      </w:r>
      <w:r w:rsidR="00236B8E">
        <w:rPr>
          <w:rStyle w:val="FootnoteReference"/>
        </w:rPr>
        <w:footnoteReference w:id="1"/>
      </w:r>
      <w:r w:rsidR="007712AC">
        <w:t>. Throughout the series yet unfinished the player may make certain choices that define his career. Sabres of Infinity the first instalment focusses on the players own made character as he starts his career in his regiment that define him as either a dependable of wicked young subaltern dealing with social and localised fighting as experienced by a junior officer</w:t>
      </w:r>
      <w:r w:rsidR="00236B8E">
        <w:rPr>
          <w:rStyle w:val="FootnoteReference"/>
        </w:rPr>
        <w:footnoteReference w:id="2"/>
      </w:r>
      <w:r w:rsidR="007712AC">
        <w:t>. In the second, Guns of Infinity the player is given command of a Squadron of Dragoons, the cavalry equivalent to an infantry company</w:t>
      </w:r>
      <w:r w:rsidR="00236B8E">
        <w:rPr>
          <w:rStyle w:val="FootnoteReference"/>
        </w:rPr>
        <w:footnoteReference w:id="3"/>
      </w:r>
      <w:r w:rsidR="007712AC">
        <w:t>. From here the player experiences the challenges of military rank and the ethical and practical issues of being a senior officer, culminating if the right choices are made to command the regiment</w:t>
      </w:r>
      <w:r w:rsidR="00236B8E">
        <w:rPr>
          <w:rStyle w:val="FootnoteReference"/>
        </w:rPr>
        <w:footnoteReference w:id="4"/>
      </w:r>
      <w:r w:rsidR="007712AC">
        <w:t>. Both games are entirely text based and the story determined by choices</w:t>
      </w:r>
      <w:r w:rsidR="00236B8E">
        <w:rPr>
          <w:rStyle w:val="FootnoteReference"/>
        </w:rPr>
        <w:footnoteReference w:id="5"/>
      </w:r>
      <w:r w:rsidR="007712AC">
        <w:t xml:space="preserve">. Paul Wang the author of both games has stated in interviews that he aimed and still aims to create a world where people can experience the life of an officer, and deal with the consequences of </w:t>
      </w:r>
      <w:r w:rsidR="003A3BFD">
        <w:t>one’s</w:t>
      </w:r>
      <w:r w:rsidR="007712AC">
        <w:t xml:space="preserve"> action</w:t>
      </w:r>
      <w:r w:rsidR="00F058D3">
        <w:t xml:space="preserve"> within social contexts</w:t>
      </w:r>
      <w:r w:rsidR="00236B8E">
        <w:rPr>
          <w:rStyle w:val="FootnoteReference"/>
        </w:rPr>
        <w:footnoteReference w:id="6"/>
      </w:r>
      <w:r w:rsidR="007712AC">
        <w:t xml:space="preserve">. </w:t>
      </w:r>
    </w:p>
    <w:p w14:paraId="2A386630" w14:textId="77777777" w:rsidR="001F7BD2" w:rsidRDefault="001F7BD2" w:rsidP="00905880">
      <w:pPr>
        <w:jc w:val="both"/>
      </w:pPr>
    </w:p>
    <w:p w14:paraId="57706104" w14:textId="71773925" w:rsidR="003A3BFD" w:rsidRDefault="003A3BFD" w:rsidP="00905880">
      <w:pPr>
        <w:jc w:val="both"/>
      </w:pPr>
      <w:r>
        <w:t>Scourge of War: Waterloo on the other hand is set on a 3D map that has been developed to mirror the very battlefield that it seeks to represent, Waterloo</w:t>
      </w:r>
      <w:r w:rsidR="001F7BD2">
        <w:rPr>
          <w:rStyle w:val="FootnoteReference"/>
        </w:rPr>
        <w:footnoteReference w:id="7"/>
      </w:r>
      <w:r>
        <w:t xml:space="preserve">. Described as a sandbox video game, meaning the player can play without constraint, </w:t>
      </w:r>
      <w:r w:rsidR="006D3410">
        <w:t>they are free to pursuit their own journey as they see fit</w:t>
      </w:r>
      <w:r w:rsidR="001F7BD2">
        <w:rPr>
          <w:rStyle w:val="FootnoteReference"/>
        </w:rPr>
        <w:footnoteReference w:id="8"/>
      </w:r>
      <w:r w:rsidR="006D3410">
        <w:t>. The game is played from the French or British perspective with the player taking command of a formation of troops f</w:t>
      </w:r>
      <w:r w:rsidR="001F7BD2">
        <w:t>ro</w:t>
      </w:r>
      <w:r w:rsidR="006D3410">
        <w:t xml:space="preserve">m either </w:t>
      </w:r>
      <w:r w:rsidR="001F7BD2">
        <w:t>army</w:t>
      </w:r>
      <w:r w:rsidR="001F7BD2">
        <w:rPr>
          <w:rStyle w:val="FootnoteReference"/>
        </w:rPr>
        <w:footnoteReference w:id="9"/>
      </w:r>
      <w:r w:rsidR="006D3410">
        <w:t>. Starting from a brigade of four thousand to six thousand men, other choices includes brigades ten to fifteen thousand strong and even command of the army itself</w:t>
      </w:r>
      <w:r w:rsidR="001F7BD2">
        <w:rPr>
          <w:rStyle w:val="FootnoteReference"/>
        </w:rPr>
        <w:footnoteReference w:id="10"/>
      </w:r>
      <w:r w:rsidR="006D3410">
        <w:t>. The player may either command troops directly as one whole unit or for extra realism issue order through a courier system of riders and allow their computer commanders to fight it out on their behalf</w:t>
      </w:r>
      <w:r w:rsidR="001F7BD2">
        <w:rPr>
          <w:rStyle w:val="FootnoteReference"/>
        </w:rPr>
        <w:footnoteReference w:id="11"/>
      </w:r>
      <w:r w:rsidR="006D3410">
        <w:t xml:space="preserve">. The developers </w:t>
      </w:r>
      <w:r w:rsidR="004A49CB">
        <w:t xml:space="preserve">Matrix Games recreated both armies to exact </w:t>
      </w:r>
      <w:r w:rsidR="000E1055">
        <w:t>specifications</w:t>
      </w:r>
      <w:r w:rsidR="008F395A">
        <w:t>, e</w:t>
      </w:r>
      <w:r w:rsidR="000E1055">
        <w:t>ach regiment wears the exact uniform from the period under the command of their respective named commanding officers</w:t>
      </w:r>
      <w:r w:rsidR="001F7BD2">
        <w:rPr>
          <w:rStyle w:val="FootnoteReference"/>
        </w:rPr>
        <w:footnoteReference w:id="12"/>
      </w:r>
      <w:r w:rsidR="000E1055">
        <w:t>. Each Regiments colour, their flag for identification use the same designs as those deployed on the Battlefield of Waterloo</w:t>
      </w:r>
      <w:r w:rsidR="001F7BD2">
        <w:rPr>
          <w:rStyle w:val="FootnoteReference"/>
        </w:rPr>
        <w:footnoteReference w:id="13"/>
      </w:r>
      <w:r w:rsidR="000E1055">
        <w:t>.  Matrix Games defined the product as “</w:t>
      </w:r>
      <w:r w:rsidR="000E1055" w:rsidRPr="000E1055">
        <w:t>A true tactical/grand tactical Napoleonic wargame for grownups with a solid foothold in the operational level of war</w:t>
      </w:r>
      <w:r w:rsidR="000E1055">
        <w:t>”</w:t>
      </w:r>
      <w:r w:rsidR="001F7BD2">
        <w:rPr>
          <w:rStyle w:val="FootnoteReference"/>
        </w:rPr>
        <w:footnoteReference w:id="14"/>
      </w:r>
      <w:r w:rsidR="000E1055">
        <w:t xml:space="preserve">. Although probably for their own self-image.  </w:t>
      </w:r>
    </w:p>
    <w:p w14:paraId="3A07F41F" w14:textId="62215CE2" w:rsidR="003E456E" w:rsidRDefault="000B0D12" w:rsidP="00905880">
      <w:pPr>
        <w:jc w:val="both"/>
      </w:pPr>
      <w:r>
        <w:t>The first concept that will be explored is the players agency. Meteas defines player agency as “the feeling of empowerment that comes from being able to take actions in the world whose effects relate to the player’s intention”</w:t>
      </w:r>
      <w:r w:rsidR="008F395A">
        <w:rPr>
          <w:rStyle w:val="FootnoteReference"/>
        </w:rPr>
        <w:footnoteReference w:id="15"/>
      </w:r>
      <w:r>
        <w:t xml:space="preserve">. The player gets a feeling of pleasure when they commit an action that directly impacts within the game world. </w:t>
      </w:r>
      <w:r w:rsidR="00412808">
        <w:t>Chapman expands on this by suggesting that it can be used as a measure for the impact of consequences on the game world</w:t>
      </w:r>
      <w:r w:rsidR="008F395A">
        <w:rPr>
          <w:rStyle w:val="FootnoteReference"/>
        </w:rPr>
        <w:footnoteReference w:id="16"/>
      </w:r>
      <w:r w:rsidR="00412808">
        <w:t>. And in terms of representation may very well affect the story</w:t>
      </w:r>
      <w:r w:rsidR="008F395A">
        <w:rPr>
          <w:rStyle w:val="FootnoteReference"/>
        </w:rPr>
        <w:footnoteReference w:id="17"/>
      </w:r>
      <w:r w:rsidR="00412808">
        <w:t>.  Certainly, within the infinity series the story is driven by choice. One decision made by the player in his journey through the series may have repercussions later</w:t>
      </w:r>
      <w:r w:rsidR="008F395A">
        <w:rPr>
          <w:rStyle w:val="FootnoteReference"/>
        </w:rPr>
        <w:footnoteReference w:id="18"/>
      </w:r>
      <w:r w:rsidR="00412808">
        <w:t xml:space="preserve">. One such choice at the beginning is the player has the choice to either make friends with a fellow son of the nobility, or an illegitimate ‘Death born’, </w:t>
      </w:r>
      <w:r w:rsidR="00E3356D">
        <w:t>born of an affair between a noble woman and a commoner, considered a social outcast</w:t>
      </w:r>
      <w:r w:rsidR="008F395A">
        <w:rPr>
          <w:rStyle w:val="FootnoteReference"/>
        </w:rPr>
        <w:footnoteReference w:id="19"/>
      </w:r>
      <w:r w:rsidR="00E3356D">
        <w:t>. If you are friends with this outcast he recommends you command a bearding action for which you can earn your first medal</w:t>
      </w:r>
      <w:r w:rsidR="001D3094">
        <w:rPr>
          <w:rStyle w:val="FootnoteReference"/>
        </w:rPr>
        <w:footnoteReference w:id="20"/>
      </w:r>
      <w:r w:rsidR="00E3356D">
        <w:t>. If not however then he is chosen over you, your chance blocked by his open enmity towards the player</w:t>
      </w:r>
      <w:r w:rsidR="001D3094">
        <w:rPr>
          <w:rStyle w:val="FootnoteReference"/>
        </w:rPr>
        <w:footnoteReference w:id="21"/>
      </w:r>
      <w:r w:rsidR="00E3356D">
        <w:t xml:space="preserve">.  </w:t>
      </w:r>
    </w:p>
    <w:p w14:paraId="2FD48F47" w14:textId="5C485EBC" w:rsidR="00E3356D" w:rsidRDefault="00E3356D" w:rsidP="00905880">
      <w:pPr>
        <w:jc w:val="both"/>
      </w:pPr>
      <w:r>
        <w:lastRenderedPageBreak/>
        <w:t xml:space="preserve">Scourge of War: Waterloo on the other hand possesses a different type of player agency. Unlike the Infinity Series in which players are restricted to the choices presented to them, Scourge of War: Waterloo </w:t>
      </w:r>
      <w:r w:rsidR="00E8328D">
        <w:t>on the other hand gives the player complete freedom in their choices</w:t>
      </w:r>
      <w:r w:rsidR="007733D8">
        <w:rPr>
          <w:rStyle w:val="FootnoteReference"/>
        </w:rPr>
        <w:footnoteReference w:id="22"/>
      </w:r>
      <w:r w:rsidR="00E8328D">
        <w:t>. He or She may deploy their forces in any way that they see fit, as if they were a commander on the field</w:t>
      </w:r>
      <w:r w:rsidR="007733D8">
        <w:rPr>
          <w:rStyle w:val="FootnoteReference"/>
        </w:rPr>
        <w:footnoteReference w:id="23"/>
      </w:r>
      <w:r w:rsidR="00E8328D">
        <w:t xml:space="preserve">. They can either work with other AI </w:t>
      </w:r>
      <w:r w:rsidR="00C47A4B">
        <w:t xml:space="preserve">(Artificial Intelligence) </w:t>
      </w:r>
      <w:r w:rsidR="00E8328D">
        <w:t xml:space="preserve">commanders </w:t>
      </w:r>
      <w:r w:rsidR="00C47A4B">
        <w:t>or strike out on their own to find their fight. Importantly the game is defined as a sandbox, so player agency must be free by necessity</w:t>
      </w:r>
      <w:r w:rsidR="007733D8">
        <w:rPr>
          <w:rStyle w:val="FootnoteReference"/>
        </w:rPr>
        <w:footnoteReference w:id="24"/>
      </w:r>
      <w:r w:rsidR="00C47A4B">
        <w:t>. The environment has been deliberately programmed to be open ended for the player to experience his own actions</w:t>
      </w:r>
      <w:r w:rsidR="007733D8">
        <w:rPr>
          <w:rStyle w:val="FootnoteReference"/>
        </w:rPr>
        <w:footnoteReference w:id="25"/>
      </w:r>
      <w:r w:rsidR="00C47A4B">
        <w:t>.  Agency in this case can be used as a measurement as Chapman suggests, by the players actions during battle</w:t>
      </w:r>
      <w:r w:rsidR="007733D8">
        <w:rPr>
          <w:rStyle w:val="FootnoteReference"/>
        </w:rPr>
        <w:footnoteReference w:id="26"/>
      </w:r>
      <w:r w:rsidR="00C47A4B">
        <w:t>. A strategy may be a success as the player has taken the objective, yet the player therefore the player may not use it again as to his mind he has taken too many losses</w:t>
      </w:r>
      <w:r w:rsidR="007733D8">
        <w:rPr>
          <w:rStyle w:val="FootnoteReference"/>
        </w:rPr>
        <w:footnoteReference w:id="27"/>
      </w:r>
      <w:r w:rsidR="00C47A4B">
        <w:t xml:space="preserve">. Murray </w:t>
      </w:r>
      <w:r w:rsidR="00815A94">
        <w:t xml:space="preserve">has established that very nature of digital worlds </w:t>
      </w:r>
      <w:r w:rsidR="00581E0F">
        <w:t>is</w:t>
      </w:r>
      <w:r w:rsidR="00815A94">
        <w:t xml:space="preserve"> designed to replicate the repercussions of such choices within the game world, so that the player </w:t>
      </w:r>
      <w:r w:rsidR="00012CF9">
        <w:t>understands</w:t>
      </w:r>
      <w:r w:rsidR="00815A94">
        <w:t xml:space="preserve"> what his actions have done, consequences that may lead to different induced behaviour within the game world further changing the player experience</w:t>
      </w:r>
      <w:r w:rsidR="007733D8">
        <w:rPr>
          <w:rStyle w:val="FootnoteReference"/>
        </w:rPr>
        <w:footnoteReference w:id="28"/>
      </w:r>
      <w:r w:rsidR="00815A94">
        <w:t xml:space="preserve">. </w:t>
      </w:r>
    </w:p>
    <w:p w14:paraId="5E245EBA" w14:textId="1ABA5671" w:rsidR="00012CF9" w:rsidRDefault="00012CF9" w:rsidP="00905880">
      <w:pPr>
        <w:jc w:val="both"/>
      </w:pPr>
      <w:r>
        <w:t>Within representation</w:t>
      </w:r>
      <w:r w:rsidR="00CE582C">
        <w:t>s,</w:t>
      </w:r>
      <w:r>
        <w:t xml:space="preserve"> players are invited or forced in some cases to experience the history for themselves. This can be done through reading tasks are through challenges which are tackled through the skills of the player</w:t>
      </w:r>
      <w:r w:rsidR="000E76CC">
        <w:rPr>
          <w:rStyle w:val="FootnoteReference"/>
        </w:rPr>
        <w:footnoteReference w:id="29"/>
      </w:r>
      <w:r>
        <w:t xml:space="preserve">. This is known in Chapmans estimation as reading and doing. </w:t>
      </w:r>
      <w:r w:rsidR="009F443A">
        <w:t>Through Chapmans analysis his theory is based upon too other thinkers</w:t>
      </w:r>
      <w:r w:rsidR="000E76CC">
        <w:rPr>
          <w:rStyle w:val="FootnoteReference"/>
        </w:rPr>
        <w:footnoteReference w:id="30"/>
      </w:r>
      <w:r w:rsidR="009F443A">
        <w:t xml:space="preserve">. Juul in his work </w:t>
      </w:r>
      <w:r w:rsidR="009F443A">
        <w:rPr>
          <w:i/>
        </w:rPr>
        <w:t>Half – Real</w:t>
      </w:r>
      <w:r w:rsidR="009F443A">
        <w:t xml:space="preserve"> argues that if the </w:t>
      </w:r>
      <w:r w:rsidR="006F0B0E">
        <w:t>player during his experience encounters reading tasks regarding history then they are more likely to interact with it</w:t>
      </w:r>
      <w:r w:rsidR="000E76CC">
        <w:rPr>
          <w:rStyle w:val="FootnoteReference"/>
        </w:rPr>
        <w:footnoteReference w:id="31"/>
      </w:r>
      <w:r w:rsidR="006F0B0E">
        <w:t>. As written history in a narrative If reminiscent of the common history text book they will see it as authoritative, encouraging more interaction</w:t>
      </w:r>
      <w:r w:rsidR="000E76CC">
        <w:rPr>
          <w:rStyle w:val="FootnoteReference"/>
        </w:rPr>
        <w:footnoteReference w:id="32"/>
      </w:r>
      <w:r w:rsidR="006F0B0E">
        <w:t>. Galloway extends on this by suggesting that the challenges within the game’s history itself will induce more interactivity on the part of the player</w:t>
      </w:r>
      <w:r w:rsidR="000E76CC">
        <w:rPr>
          <w:rStyle w:val="FootnoteReference"/>
        </w:rPr>
        <w:footnoteReference w:id="33"/>
      </w:r>
      <w:r w:rsidR="006F0B0E">
        <w:t>. From Galloway’s perspective, it is not just having the case of a reliable narrative but almost the environment and representation must be inducing enough for the player to interact with it</w:t>
      </w:r>
      <w:r w:rsidR="000E76CC">
        <w:rPr>
          <w:rStyle w:val="FootnoteReference"/>
        </w:rPr>
        <w:footnoteReference w:id="34"/>
      </w:r>
      <w:r w:rsidR="006F0B0E">
        <w:t xml:space="preserve">. Chapman divides both </w:t>
      </w:r>
      <w:r w:rsidR="005C1E9F">
        <w:t xml:space="preserve">into </w:t>
      </w:r>
      <w:r w:rsidR="006F0B0E">
        <w:t>two groups, arguing that a player may follow just one of these strands</w:t>
      </w:r>
      <w:r w:rsidR="005C1E9F">
        <w:t xml:space="preserve"> as either a reader or a doer</w:t>
      </w:r>
      <w:r w:rsidR="000E76CC">
        <w:rPr>
          <w:rStyle w:val="FootnoteReference"/>
        </w:rPr>
        <w:footnoteReference w:id="35"/>
      </w:r>
      <w:r w:rsidR="006F0B0E">
        <w:t xml:space="preserve">. </w:t>
      </w:r>
      <w:r w:rsidR="00083142">
        <w:t>Certainly,</w:t>
      </w:r>
      <w:r w:rsidR="006F0B0E">
        <w:t xml:space="preserve"> within the Infinity series, as a narrative in its entirety, players may very well onl</w:t>
      </w:r>
      <w:r w:rsidR="00083142">
        <w:t xml:space="preserve">y engage with its representation if they interact with reading tasks, without meeting the criteria for doing. </w:t>
      </w:r>
    </w:p>
    <w:p w14:paraId="43F7B028" w14:textId="5ABA191B" w:rsidR="00083142" w:rsidRDefault="00083142" w:rsidP="00905880">
      <w:pPr>
        <w:jc w:val="both"/>
      </w:pPr>
      <w:r>
        <w:t>Where as the Infinity series in theory resonates only to those who as enjoy reading tasks, arguably there is still the challenge of doing</w:t>
      </w:r>
      <w:r w:rsidR="00AA2B74">
        <w:rPr>
          <w:rStyle w:val="FootnoteReference"/>
        </w:rPr>
        <w:footnoteReference w:id="36"/>
      </w:r>
      <w:r>
        <w:t xml:space="preserve">. Each choice has a ramification, and rather than just ready Players </w:t>
      </w:r>
      <w:r>
        <w:lastRenderedPageBreak/>
        <w:t>must use their skills of assessment to judge which choice is right</w:t>
      </w:r>
      <w:r w:rsidR="00384D06">
        <w:rPr>
          <w:rStyle w:val="FootnoteReference"/>
        </w:rPr>
        <w:footnoteReference w:id="37"/>
      </w:r>
      <w:r>
        <w:t>. In contrast to Scourge of War Waterloo, its rather distinct lack of narrative elements relies more on the players skill</w:t>
      </w:r>
      <w:r w:rsidR="00384D06">
        <w:rPr>
          <w:rStyle w:val="FootnoteReference"/>
        </w:rPr>
        <w:footnoteReference w:id="38"/>
      </w:r>
      <w:r>
        <w:t>. The player is in physical command of units on an ever-changing battlefield, they must be aware of what is happening all the time</w:t>
      </w:r>
      <w:r w:rsidR="00384D06">
        <w:rPr>
          <w:rStyle w:val="FootnoteReference"/>
        </w:rPr>
        <w:footnoteReference w:id="39"/>
      </w:r>
      <w:r>
        <w:t>. Certainly, the environment does involve narrative in the form of order</w:t>
      </w:r>
      <w:r w:rsidR="00384D06">
        <w:t>s</w:t>
      </w:r>
      <w:r>
        <w:t>, which they receive and must complete</w:t>
      </w:r>
      <w:r w:rsidR="00384D06">
        <w:rPr>
          <w:rStyle w:val="FootnoteReference"/>
        </w:rPr>
        <w:footnoteReference w:id="40"/>
      </w:r>
      <w:r>
        <w:t>. However, these can be disregarded and the player much like with Player agency is free to pursue his own idealist experience within the game world</w:t>
      </w:r>
      <w:r w:rsidR="00384D06">
        <w:t>, a</w:t>
      </w:r>
      <w:r>
        <w:t xml:space="preserve">s players are human, </w:t>
      </w:r>
      <w:r w:rsidR="00086DEA">
        <w:t>they are all different and Chapman recognises this, everyone will have their experience within the environment</w:t>
      </w:r>
      <w:r w:rsidR="00384D06">
        <w:rPr>
          <w:rStyle w:val="FootnoteReference"/>
        </w:rPr>
        <w:footnoteReference w:id="41"/>
      </w:r>
      <w:r w:rsidR="00086DEA">
        <w:t>.  Another narrative option within Scourge of Waterloo is the unit tabs</w:t>
      </w:r>
      <w:r w:rsidR="00384D06">
        <w:rPr>
          <w:rStyle w:val="FootnoteReference"/>
        </w:rPr>
        <w:footnoteReference w:id="42"/>
      </w:r>
      <w:r w:rsidR="00086DEA">
        <w:t>. The tabs unique to each Brigade and Regiment show their state and amount of men left, this can influence the players skill in terms how they achieve an objective yet again they may disregard if they prefer doing rather than reading</w:t>
      </w:r>
      <w:r w:rsidR="00384D06">
        <w:rPr>
          <w:rStyle w:val="FootnoteReference"/>
        </w:rPr>
        <w:footnoteReference w:id="43"/>
      </w:r>
      <w:r w:rsidR="00086DEA">
        <w:t xml:space="preserve">.  </w:t>
      </w:r>
    </w:p>
    <w:p w14:paraId="4D606F00" w14:textId="2D37D231" w:rsidR="00D24921" w:rsidRDefault="00086DEA" w:rsidP="00D24921">
      <w:pPr>
        <w:jc w:val="both"/>
      </w:pPr>
      <w:r>
        <w:t>If we then have two strands of players who interact in different ways, it must be considered how connected players of all levels are connected to the environment, defined by Chapman as resonance</w:t>
      </w:r>
      <w:r w:rsidR="007921B2">
        <w:rPr>
          <w:rStyle w:val="FootnoteReference"/>
        </w:rPr>
        <w:footnoteReference w:id="44"/>
      </w:r>
      <w:r>
        <w:t xml:space="preserve">. </w:t>
      </w:r>
      <w:r w:rsidR="003B3971">
        <w:t>Apperley in her thesis uses resonance as a means of connecting the game world with that of world reality</w:t>
      </w:r>
      <w:r w:rsidR="007921B2">
        <w:rPr>
          <w:rStyle w:val="FootnoteReference"/>
        </w:rPr>
        <w:footnoteReference w:id="45"/>
      </w:r>
      <w:r w:rsidR="003B3971">
        <w:t>. What ever the context that the player is playing the game they should feel some connection within the representation through the actions that they have taken</w:t>
      </w:r>
      <w:r w:rsidR="007921B2">
        <w:rPr>
          <w:rStyle w:val="FootnoteReference"/>
        </w:rPr>
        <w:footnoteReference w:id="46"/>
      </w:r>
      <w:r w:rsidR="003B3971">
        <w:t>. This feeling occurs outside of the games environment and should dependant on interaction should create a connection with the historical period of the game, as defined by the players doing, their actions and their own experiences within reality</w:t>
      </w:r>
      <w:r w:rsidR="007921B2">
        <w:rPr>
          <w:rStyle w:val="FootnoteReference"/>
        </w:rPr>
        <w:footnoteReference w:id="47"/>
      </w:r>
      <w:r w:rsidR="003B3971">
        <w:t>. This connection can be subjective through emotion, but also out of genuine curiosity.  Yet the resonance is in part linked to the players understanding of history and their connection, Historical Resonance</w:t>
      </w:r>
      <w:r w:rsidR="007921B2">
        <w:rPr>
          <w:rStyle w:val="FootnoteReference"/>
        </w:rPr>
        <w:footnoteReference w:id="48"/>
      </w:r>
      <w:r w:rsidR="003B3971">
        <w:t xml:space="preserve">. </w:t>
      </w:r>
      <w:r w:rsidR="00A42C95">
        <w:t>Chapman freely admits that Historical Resonance can be established by mere recognition that the game is indeed historical</w:t>
      </w:r>
      <w:r w:rsidR="007921B2">
        <w:rPr>
          <w:rStyle w:val="FootnoteReference"/>
        </w:rPr>
        <w:footnoteReference w:id="49"/>
      </w:r>
      <w:r w:rsidR="00A42C95">
        <w:t xml:space="preserve">.  </w:t>
      </w:r>
      <w:r w:rsidR="00D24921">
        <w:t xml:space="preserve">Wertsch on the other </w:t>
      </w:r>
      <w:r w:rsidR="007921B2">
        <w:t xml:space="preserve">hand </w:t>
      </w:r>
      <w:r w:rsidR="00D24921">
        <w:t>firmly places this type of resonance within the players comprehension</w:t>
      </w:r>
      <w:r w:rsidR="007921B2">
        <w:rPr>
          <w:rStyle w:val="FootnoteReference"/>
        </w:rPr>
        <w:footnoteReference w:id="50"/>
      </w:r>
      <w:r w:rsidR="00D24921">
        <w:t xml:space="preserve">. His principle argument </w:t>
      </w:r>
      <w:r w:rsidR="0012207A">
        <w:t>is that resonance is more likely to be stronger if the historical period in question is familiar to the player</w:t>
      </w:r>
      <w:r w:rsidR="007921B2">
        <w:rPr>
          <w:rStyle w:val="FootnoteReference"/>
        </w:rPr>
        <w:footnoteReference w:id="51"/>
      </w:r>
      <w:r w:rsidR="0012207A">
        <w:t>. The player is more likely to comprehend the games narrative and doing tasks as they understand the history and show historical resonance</w:t>
      </w:r>
      <w:r w:rsidR="00840956">
        <w:t xml:space="preserve"> with the environment</w:t>
      </w:r>
      <w:r w:rsidR="0012207A">
        <w:t xml:space="preserve">. </w:t>
      </w:r>
    </w:p>
    <w:p w14:paraId="6A86AD16" w14:textId="25FC24A8" w:rsidR="0012207A" w:rsidRDefault="00CE582C" w:rsidP="00D24921">
      <w:pPr>
        <w:jc w:val="both"/>
      </w:pPr>
      <w:r>
        <w:t xml:space="preserve">In effect this supposition supposes that a game can only be considered a historical representation and inform us of history if the player themselves can understand the environment in which gameplay takes place.  </w:t>
      </w:r>
      <w:r w:rsidR="00840956">
        <w:t xml:space="preserve">Chapman using </w:t>
      </w:r>
      <w:r w:rsidR="00840956" w:rsidRPr="00840956">
        <w:t>Wertsch</w:t>
      </w:r>
      <w:r w:rsidR="00840956">
        <w:t xml:space="preserve"> and his argument of comprehension suggests in turn that the player does not just to understand but must feel a connection to it as a player, not to the environment but </w:t>
      </w:r>
      <w:r w:rsidR="00840956">
        <w:lastRenderedPageBreak/>
        <w:t>to the game</w:t>
      </w:r>
      <w:r w:rsidR="008A38DC">
        <w:rPr>
          <w:rStyle w:val="FootnoteReference"/>
        </w:rPr>
        <w:footnoteReference w:id="52"/>
      </w:r>
      <w:r w:rsidR="00840956">
        <w:t>.  When Sabres of Infinity, the first game in the Infinity series was published by Paul Wang complaints were levelled against the game, not for the narrative gameplay but by the fact that there was no option for a gay or non-binary character</w:t>
      </w:r>
      <w:r w:rsidR="008A38DC">
        <w:rPr>
          <w:rStyle w:val="FootnoteReference"/>
        </w:rPr>
        <w:footnoteReference w:id="53"/>
      </w:r>
      <w:r w:rsidR="00840956">
        <w:t>. Even though Wang pointed to the disclaimer at the start of the game that for the sake of his story you had to play as a male character, many refused to purchase the project as they felt no connection to their own gender representation</w:t>
      </w:r>
      <w:r w:rsidR="008A38DC">
        <w:rPr>
          <w:rStyle w:val="FootnoteReference"/>
        </w:rPr>
        <w:footnoteReference w:id="54"/>
      </w:r>
      <w:r w:rsidR="00840956">
        <w:t xml:space="preserve">. </w:t>
      </w:r>
      <w:r w:rsidR="00EE67B5">
        <w:t>Likewise,</w:t>
      </w:r>
      <w:r w:rsidR="00840956">
        <w:t xml:space="preserve"> with Scourge of War Waterloo, many German fans of the developers refused to interact with the game due to lack of representation </w:t>
      </w:r>
      <w:r w:rsidR="00EE67B5">
        <w:t>of the Armies of Prussia, as they did not appear till much later</w:t>
      </w:r>
      <w:r w:rsidR="008A38DC">
        <w:t>, a</w:t>
      </w:r>
      <w:r w:rsidR="00EE67B5">
        <w:t>gain, not due to gameplay but due to a possible players lack of resonance</w:t>
      </w:r>
      <w:r w:rsidR="008A38DC">
        <w:rPr>
          <w:rStyle w:val="FootnoteReference"/>
        </w:rPr>
        <w:footnoteReference w:id="55"/>
      </w:r>
      <w:r w:rsidR="00EE67B5">
        <w:t xml:space="preserve">. </w:t>
      </w:r>
      <w:r w:rsidR="00840956">
        <w:t xml:space="preserve"> </w:t>
      </w:r>
      <w:r w:rsidR="00EE67B5">
        <w:t>This changed however with the introduction of DLC (Downloadable Content) when an all Prussia Scenario was added appeasing these fans</w:t>
      </w:r>
      <w:r w:rsidR="008A38DC">
        <w:rPr>
          <w:rStyle w:val="FootnoteReference"/>
        </w:rPr>
        <w:footnoteReference w:id="56"/>
      </w:r>
      <w:r w:rsidR="00EE67B5">
        <w:t xml:space="preserve">.   </w:t>
      </w:r>
    </w:p>
    <w:p w14:paraId="163CAFEA" w14:textId="1525AA84" w:rsidR="00FC70B1" w:rsidRDefault="00FC70B1" w:rsidP="00D24921">
      <w:pPr>
        <w:jc w:val="both"/>
      </w:pPr>
      <w:r>
        <w:t xml:space="preserve">The irony however for these components in terms of what makes a good representation relies on the players want and need to interact with it. Chapman refers to a concept called the Historical Play Space which users features discussed such as resonance, reading and doing as well as agency to create the world </w:t>
      </w:r>
      <w:r w:rsidR="00C7121F">
        <w:t>i</w:t>
      </w:r>
      <w:r>
        <w:t>n which the player will react</w:t>
      </w:r>
      <w:r w:rsidR="008A38DC">
        <w:rPr>
          <w:rStyle w:val="FootnoteReference"/>
        </w:rPr>
        <w:footnoteReference w:id="57"/>
      </w:r>
      <w:r>
        <w:t xml:space="preserve">. </w:t>
      </w:r>
      <w:r w:rsidR="001F1F5B">
        <w:t>Chapman throughout has implied that the Historical Representations in video games will only be taken as real if the player believes and can understand the history, but the player themselves can be the undoing of these representations and video games as history</w:t>
      </w:r>
      <w:r w:rsidR="008A38DC">
        <w:rPr>
          <w:rStyle w:val="FootnoteReference"/>
        </w:rPr>
        <w:footnoteReference w:id="58"/>
      </w:r>
      <w:r w:rsidR="001F1F5B">
        <w:t xml:space="preserve">.  The implication arises form the origin of video games, not just representations but also as commercial products for entertainment. </w:t>
      </w:r>
      <w:r w:rsidR="008A38DC">
        <w:t>C</w:t>
      </w:r>
      <w:r w:rsidR="00937DEB">
        <w:t>onsequently,</w:t>
      </w:r>
      <w:r w:rsidR="001F1F5B">
        <w:t xml:space="preserve"> publishers risk implanting certain themes and behaviourisms within the game experience that trivialise history</w:t>
      </w:r>
      <w:r w:rsidR="003C1BB6">
        <w:rPr>
          <w:rStyle w:val="FootnoteReference"/>
        </w:rPr>
        <w:footnoteReference w:id="59"/>
      </w:r>
      <w:r w:rsidR="001F1F5B">
        <w:t xml:space="preserve">. </w:t>
      </w:r>
      <w:r w:rsidR="00937DEB">
        <w:t>It removes the seriousness of the representation and real history and it reduces it to just another game and the player does not experience the historical representation in its true form, rather just another playing environment with no value but as a setting for their gaming experience</w:t>
      </w:r>
      <w:r w:rsidR="008A38DC">
        <w:rPr>
          <w:rStyle w:val="FootnoteReference"/>
        </w:rPr>
        <w:footnoteReference w:id="60"/>
      </w:r>
      <w:r w:rsidR="00937DEB">
        <w:t>. Certainly, for Scourge of War: Waterloo, academics have noted at its heart it is just a game that allows you to play as a commander and destroy the opposing army</w:t>
      </w:r>
      <w:r w:rsidR="003C1BB6">
        <w:rPr>
          <w:rStyle w:val="FootnoteReference"/>
        </w:rPr>
        <w:footnoteReference w:id="61"/>
      </w:r>
      <w:r w:rsidR="00937DEB">
        <w:t>. They have taken great pains to highlight that a player can be ignorant of the historical accuracy, and only be inspired to crush the enemy, the setting as a mere footnote to this experience</w:t>
      </w:r>
      <w:r w:rsidR="003C1BB6">
        <w:rPr>
          <w:rStyle w:val="FootnoteReference"/>
        </w:rPr>
        <w:footnoteReference w:id="62"/>
      </w:r>
      <w:r w:rsidR="00937DEB">
        <w:t xml:space="preserve">.   </w:t>
      </w:r>
    </w:p>
    <w:p w14:paraId="13813623" w14:textId="297F2569" w:rsidR="00720FFD" w:rsidRDefault="00C702E6" w:rsidP="007B6718">
      <w:pPr>
        <w:jc w:val="both"/>
      </w:pPr>
      <w:r>
        <w:t>With regards to the conclusion</w:t>
      </w:r>
      <w:r w:rsidR="00642952">
        <w:t xml:space="preserve"> the questions ask for two things. The first asks for the answer to include an exploration of Adam Chapman’s ideas for what makes a video game a good historical representation. The second, </w:t>
      </w:r>
      <w:r w:rsidR="00937259">
        <w:t xml:space="preserve">apply those ideas to a video game, in this case the </w:t>
      </w:r>
      <w:r w:rsidR="00937259" w:rsidRPr="00E24BD1">
        <w:rPr>
          <w:i/>
        </w:rPr>
        <w:t>Infinity Series</w:t>
      </w:r>
      <w:r w:rsidR="00937259">
        <w:t xml:space="preserve"> and </w:t>
      </w:r>
      <w:r w:rsidR="00937259" w:rsidRPr="00E24BD1">
        <w:rPr>
          <w:i/>
        </w:rPr>
        <w:t>Scourge of War: Waterloo</w:t>
      </w:r>
      <w:r w:rsidR="00E24BD1">
        <w:t>. From the concepts explored Chapman with supporting evidence very much places the onus on player</w:t>
      </w:r>
      <w:r w:rsidR="007B6718">
        <w:t>s</w:t>
      </w:r>
      <w:r w:rsidR="00E24BD1">
        <w:t xml:space="preserve"> and how they interact with the game world. With the concept of reading and doing, players react to history by interacting with through reading tasks and actions. Their actions take the form of Agency whilst their understanding of the environment is carried out through resonance, their ability to understand the historical environment. </w:t>
      </w:r>
      <w:r w:rsidR="007B6718">
        <w:t xml:space="preserve">It is the understanding of environment within itself that forces players to become interested in the game world, before they even experience the history. With the </w:t>
      </w:r>
      <w:r w:rsidR="007B6718" w:rsidRPr="007B6718">
        <w:rPr>
          <w:i/>
        </w:rPr>
        <w:t>Infinity Series</w:t>
      </w:r>
      <w:r w:rsidR="007B6718">
        <w:t xml:space="preserve"> and </w:t>
      </w:r>
      <w:r w:rsidR="007B6718" w:rsidRPr="007B6718">
        <w:rPr>
          <w:i/>
        </w:rPr>
        <w:t>Scourge of War Waterloo</w:t>
      </w:r>
      <w:r w:rsidR="007B6718">
        <w:t xml:space="preserve"> unless somebody </w:t>
      </w:r>
      <w:r w:rsidR="007B6718">
        <w:lastRenderedPageBreak/>
        <w:t xml:space="preserve">has a resonance with the game world and they’re for influence them to take part they cannot explore the historical not representation. In effect unless a connection is made with the game as a base product, players will completely ignore the representations that both games explored in this piece and they will have no representational value what so ever.  </w:t>
      </w:r>
    </w:p>
    <w:p w14:paraId="2B40E858" w14:textId="1C837580" w:rsidR="007B6718" w:rsidRDefault="007B6718" w:rsidP="007B6718">
      <w:pPr>
        <w:jc w:val="both"/>
        <w:rPr>
          <w:u w:val="single"/>
        </w:rPr>
      </w:pPr>
      <w:r>
        <w:rPr>
          <w:u w:val="single"/>
        </w:rPr>
        <w:t xml:space="preserve">Bibliography: </w:t>
      </w:r>
    </w:p>
    <w:p w14:paraId="7A3F6645" w14:textId="570C4B35" w:rsidR="007B6718" w:rsidRPr="00FC7032" w:rsidRDefault="007B6718" w:rsidP="007B6718">
      <w:pPr>
        <w:jc w:val="both"/>
        <w:rPr>
          <w:b/>
        </w:rPr>
      </w:pPr>
      <w:r w:rsidRPr="00FC7032">
        <w:rPr>
          <w:b/>
        </w:rPr>
        <w:t xml:space="preserve">Primary Sources: </w:t>
      </w:r>
    </w:p>
    <w:p w14:paraId="0DAE060D" w14:textId="6E1BB91A" w:rsidR="007B6718" w:rsidRDefault="007B6718" w:rsidP="007B6718">
      <w:pPr>
        <w:jc w:val="both"/>
      </w:pPr>
      <w:r w:rsidRPr="007B6718">
        <w:t xml:space="preserve">Wang, P., </w:t>
      </w:r>
      <w:r w:rsidRPr="00FC7032">
        <w:rPr>
          <w:i/>
        </w:rPr>
        <w:t>Sabres of Infinity</w:t>
      </w:r>
      <w:r w:rsidRPr="007B6718">
        <w:t>, developed by Choice of Games LLC, (Montreal: Choice of Games LLC, 2013)</w:t>
      </w:r>
    </w:p>
    <w:p w14:paraId="3898FD6E" w14:textId="3B4223B8" w:rsidR="007B6718" w:rsidRPr="00FC7032" w:rsidRDefault="007B6718" w:rsidP="007B6718">
      <w:pPr>
        <w:jc w:val="both"/>
        <w:rPr>
          <w:b/>
        </w:rPr>
      </w:pPr>
      <w:r w:rsidRPr="00FC7032">
        <w:rPr>
          <w:b/>
        </w:rPr>
        <w:t xml:space="preserve">Secondary Sources: </w:t>
      </w:r>
    </w:p>
    <w:p w14:paraId="73610B1A" w14:textId="58110055" w:rsidR="00FC7032" w:rsidRDefault="00FC7032" w:rsidP="007B6718">
      <w:pPr>
        <w:jc w:val="both"/>
      </w:pPr>
      <w:r w:rsidRPr="00FC7032">
        <w:t>Apperley, T., “</w:t>
      </w:r>
      <w:proofErr w:type="spellStart"/>
      <w:r w:rsidRPr="00FC7032">
        <w:t>Modding</w:t>
      </w:r>
      <w:proofErr w:type="spellEnd"/>
      <w:r w:rsidRPr="00FC7032">
        <w:t xml:space="preserve"> the Historians’ Code: Historical Verisimilitude and the Counterfactual Imagination” in </w:t>
      </w:r>
      <w:r w:rsidRPr="00FC7032">
        <w:rPr>
          <w:i/>
        </w:rPr>
        <w:t>Playing with the Past: Digital Games and the Simulation of History</w:t>
      </w:r>
      <w:r w:rsidRPr="00FC7032">
        <w:t xml:space="preserve">, edit.  by Matthew W. </w:t>
      </w:r>
      <w:proofErr w:type="spellStart"/>
      <w:r w:rsidRPr="00FC7032">
        <w:t>Kappell</w:t>
      </w:r>
      <w:proofErr w:type="spellEnd"/>
      <w:r w:rsidRPr="00FC7032">
        <w:t xml:space="preserve"> and Andrew B.R. Elliott. (London: Bloomsbury, 2013)</w:t>
      </w:r>
    </w:p>
    <w:p w14:paraId="30949B0F" w14:textId="500D68BD" w:rsidR="0053602F" w:rsidRDefault="0053602F" w:rsidP="007B6718">
      <w:pPr>
        <w:jc w:val="both"/>
      </w:pPr>
      <w:r w:rsidRPr="0053602F">
        <w:t>Chapman, A., Digital Games as History: How Videogames Represent the Past and Offer Access to Historical Practice, (New York: Routledge, 2016)</w:t>
      </w:r>
    </w:p>
    <w:p w14:paraId="3146F6F4" w14:textId="6D2D0A7F" w:rsidR="0053602F" w:rsidRDefault="007B6718" w:rsidP="007B6718">
      <w:pPr>
        <w:jc w:val="both"/>
      </w:pPr>
      <w:r w:rsidRPr="007B6718">
        <w:t>Choice of Games, ‘</w:t>
      </w:r>
      <w:r w:rsidRPr="007B6718">
        <w:rPr>
          <w:i/>
        </w:rPr>
        <w:t>Author Interview: Paul Wang, “</w:t>
      </w:r>
      <w:proofErr w:type="spellStart"/>
      <w:r w:rsidRPr="007B6718">
        <w:rPr>
          <w:i/>
        </w:rPr>
        <w:t>Cryptkeepers</w:t>
      </w:r>
      <w:proofErr w:type="spellEnd"/>
      <w:r w:rsidRPr="007B6718">
        <w:rPr>
          <w:i/>
        </w:rPr>
        <w:t xml:space="preserve"> of </w:t>
      </w:r>
      <w:proofErr w:type="spellStart"/>
      <w:r w:rsidRPr="007B6718">
        <w:rPr>
          <w:i/>
        </w:rPr>
        <w:t>Hallowford</w:t>
      </w:r>
      <w:proofErr w:type="spellEnd"/>
      <w:r w:rsidRPr="007B6718">
        <w:t xml:space="preserve">”’, choiceofgames.com, (2018), [Online]. Available at: https://www.choiceofgames.com/2017/12/author-interview-paul-wang-cryptkeepers-of-hallowford/ (Accessed: 22nd May 2018) </w:t>
      </w:r>
    </w:p>
    <w:p w14:paraId="73F8914F" w14:textId="242FB0E9" w:rsidR="0053602F" w:rsidRDefault="0053602F" w:rsidP="007B6718">
      <w:pPr>
        <w:jc w:val="both"/>
      </w:pPr>
      <w:r w:rsidRPr="0053602F">
        <w:t xml:space="preserve">Galloway, A. R., </w:t>
      </w:r>
      <w:r w:rsidRPr="0053602F">
        <w:rPr>
          <w:i/>
        </w:rPr>
        <w:t>Gaming: Essays on Algorithmic Culture</w:t>
      </w:r>
      <w:r w:rsidRPr="0053602F">
        <w:t>. (Minneapolis: University of Minnesota Press</w:t>
      </w:r>
      <w:r>
        <w:t>, 2006</w:t>
      </w:r>
      <w:r w:rsidRPr="0053602F">
        <w:t>)</w:t>
      </w:r>
    </w:p>
    <w:p w14:paraId="2A1AD028" w14:textId="61B04EBE" w:rsidR="0053602F" w:rsidRDefault="0053602F" w:rsidP="007B6718">
      <w:pPr>
        <w:jc w:val="both"/>
      </w:pPr>
      <w:r w:rsidRPr="0053602F">
        <w:t xml:space="preserve">Juul, J., </w:t>
      </w:r>
      <w:r w:rsidRPr="0053602F">
        <w:rPr>
          <w:i/>
        </w:rPr>
        <w:t>Half Real: Video Games Between Real Rules and Fictional Worlds</w:t>
      </w:r>
      <w:r w:rsidRPr="0053602F">
        <w:t>. (Cambridge, MA: MIT Press, 2005)</w:t>
      </w:r>
    </w:p>
    <w:p w14:paraId="524EDB56" w14:textId="0B50F938" w:rsidR="0053602F" w:rsidRDefault="0053602F" w:rsidP="007B6718">
      <w:pPr>
        <w:jc w:val="both"/>
      </w:pPr>
      <w:proofErr w:type="spellStart"/>
      <w:r w:rsidRPr="0053602F">
        <w:t>Mateas</w:t>
      </w:r>
      <w:proofErr w:type="spellEnd"/>
      <w:r w:rsidRPr="0053602F">
        <w:t xml:space="preserve">, M., ‘A Preliminary Poetics for Interactive Drama and Games’ in </w:t>
      </w:r>
      <w:r w:rsidRPr="0053602F">
        <w:rPr>
          <w:i/>
        </w:rPr>
        <w:t>First Person: New Media as Story, Performance and Game</w:t>
      </w:r>
      <w:r w:rsidRPr="0053602F">
        <w:t xml:space="preserve">, ed. by Noah </w:t>
      </w:r>
      <w:proofErr w:type="spellStart"/>
      <w:r w:rsidRPr="0053602F">
        <w:t>Wardrip-Fruin</w:t>
      </w:r>
      <w:proofErr w:type="spellEnd"/>
      <w:r w:rsidRPr="0053602F">
        <w:t xml:space="preserve"> and Pat Harrigan, (London: MIT Press, 1974)</w:t>
      </w:r>
    </w:p>
    <w:p w14:paraId="5240E4E3" w14:textId="2641457A" w:rsidR="00562478" w:rsidRDefault="00562478" w:rsidP="007B6718">
      <w:pPr>
        <w:jc w:val="both"/>
      </w:pPr>
      <w:r w:rsidRPr="00562478">
        <w:t>Matrix Games., ‘</w:t>
      </w:r>
      <w:r w:rsidRPr="00562478">
        <w:rPr>
          <w:i/>
        </w:rPr>
        <w:t>Scourge of War: Waterloo</w:t>
      </w:r>
      <w:r w:rsidRPr="00562478">
        <w:t>’, matruxgames.com, (2018), [Online]. Available at: http://www.matrixgames.com/products/574/details/Scourge.of.War.Waterloo.  (Accessed: 22nd May 2018)</w:t>
      </w:r>
    </w:p>
    <w:p w14:paraId="31132AB2" w14:textId="1F6EE5B0" w:rsidR="0053602F" w:rsidRDefault="0053602F" w:rsidP="007B6718">
      <w:pPr>
        <w:jc w:val="both"/>
      </w:pPr>
      <w:r w:rsidRPr="0053602F">
        <w:t xml:space="preserve">Murray, J., </w:t>
      </w:r>
      <w:r w:rsidRPr="0053602F">
        <w:rPr>
          <w:i/>
        </w:rPr>
        <w:t>Hamlet on the Holodeck: The Future of Narrative in Cyberspace</w:t>
      </w:r>
      <w:r w:rsidRPr="0053602F">
        <w:t>. (New York: The Free Press, 2014)</w:t>
      </w:r>
    </w:p>
    <w:p w14:paraId="517105AE" w14:textId="3BDE6275" w:rsidR="00562478" w:rsidRDefault="00562478" w:rsidP="007B6718">
      <w:pPr>
        <w:jc w:val="both"/>
      </w:pPr>
      <w:r w:rsidRPr="00562478">
        <w:t xml:space="preserve">Ortega, </w:t>
      </w:r>
      <w:proofErr w:type="gramStart"/>
      <w:r w:rsidRPr="00562478">
        <w:t>J,.</w:t>
      </w:r>
      <w:proofErr w:type="gramEnd"/>
      <w:r w:rsidRPr="00562478">
        <w:t xml:space="preserve"> ‘Scourge of War Waterloo Review’, http://kriegsimulation.blogspot.co.uk, [Online]. Available at: http://kriegsimulation.blogspot.co.uk/2015/11/scourge-of-war-waterloo-review.html. (Accessed: 22nd May 2018)</w:t>
      </w:r>
    </w:p>
    <w:p w14:paraId="1097C7F2" w14:textId="01C5EDBE" w:rsidR="007B6718" w:rsidRPr="007B6718" w:rsidRDefault="007B6718" w:rsidP="007B6718">
      <w:pPr>
        <w:jc w:val="both"/>
      </w:pPr>
      <w:r w:rsidRPr="007B6718">
        <w:t>Wang, P., ‘</w:t>
      </w:r>
      <w:r w:rsidRPr="007B6718">
        <w:rPr>
          <w:i/>
        </w:rPr>
        <w:t>Sabres of Infinity’</w:t>
      </w:r>
      <w:r w:rsidRPr="007B6718">
        <w:t xml:space="preserve">, choiceofgames.com, (2018), [Online]. Available at: </w:t>
      </w:r>
      <w:proofErr w:type="gramStart"/>
      <w:r w:rsidRPr="007B6718">
        <w:t>https://www.choiceofgames.com/2013/06/new-game-sabres-of-infinity-a-low-fantasy-military-if/ .</w:t>
      </w:r>
      <w:proofErr w:type="gramEnd"/>
      <w:r w:rsidRPr="007B6718">
        <w:t xml:space="preserve">  (Accessed: 22nd May 2018)</w:t>
      </w:r>
    </w:p>
    <w:p w14:paraId="15E6D2F0" w14:textId="6A913719" w:rsidR="00086DEA" w:rsidRDefault="007B6718" w:rsidP="00905880">
      <w:pPr>
        <w:jc w:val="both"/>
      </w:pPr>
      <w:r w:rsidRPr="007B6718">
        <w:t>Wang, P., ‘</w:t>
      </w:r>
      <w:r w:rsidRPr="007B6718">
        <w:rPr>
          <w:i/>
        </w:rPr>
        <w:t>Guns of Infinity</w:t>
      </w:r>
      <w:r w:rsidRPr="007B6718">
        <w:t>’, choiceofgames.com, (2018), [Online]. Available at: https://www.choiceofgames.com/2016/03/new-hosted-game-guns-of-infinity-by-paul-wang/.  (Accessed: 22nd May 2018)</w:t>
      </w:r>
    </w:p>
    <w:p w14:paraId="5FFB9964" w14:textId="039B732B" w:rsidR="00FC7032" w:rsidRDefault="00FC7032" w:rsidP="00905880">
      <w:pPr>
        <w:jc w:val="both"/>
      </w:pPr>
      <w:r w:rsidRPr="00FC7032">
        <w:t xml:space="preserve">Wertsch, J., </w:t>
      </w:r>
      <w:r w:rsidRPr="00FC7032">
        <w:rPr>
          <w:i/>
        </w:rPr>
        <w:t>Voices of Collective Remembering</w:t>
      </w:r>
      <w:r w:rsidRPr="00FC7032">
        <w:t>. (Cambridge: Cambridge University Press, 2002)</w:t>
      </w:r>
    </w:p>
    <w:p w14:paraId="1D4726D7" w14:textId="77777777" w:rsidR="00083142" w:rsidRDefault="00083142" w:rsidP="00905880">
      <w:pPr>
        <w:jc w:val="both"/>
      </w:pPr>
    </w:p>
    <w:p w14:paraId="0CD4785B" w14:textId="77777777" w:rsidR="002A7FD1" w:rsidRDefault="002A7FD1" w:rsidP="00905880">
      <w:pPr>
        <w:jc w:val="both"/>
      </w:pPr>
    </w:p>
    <w:p w14:paraId="300E020A" w14:textId="77777777" w:rsidR="00E3356D" w:rsidRDefault="00E3356D" w:rsidP="00905880">
      <w:pPr>
        <w:jc w:val="both"/>
      </w:pPr>
    </w:p>
    <w:p w14:paraId="303AE36C" w14:textId="77777777" w:rsidR="003E456E" w:rsidRPr="001E7646" w:rsidRDefault="003E456E" w:rsidP="00905880">
      <w:pPr>
        <w:jc w:val="both"/>
      </w:pPr>
    </w:p>
    <w:sectPr w:rsidR="003E456E" w:rsidRPr="001E76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F48AFF" w14:textId="77777777" w:rsidR="008105A5" w:rsidRDefault="008105A5" w:rsidP="00236B8E">
      <w:pPr>
        <w:spacing w:after="0" w:line="240" w:lineRule="auto"/>
      </w:pPr>
      <w:r>
        <w:separator/>
      </w:r>
    </w:p>
  </w:endnote>
  <w:endnote w:type="continuationSeparator" w:id="0">
    <w:p w14:paraId="5A4222C5" w14:textId="77777777" w:rsidR="008105A5" w:rsidRDefault="008105A5" w:rsidP="00236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08BEA5" w14:textId="77777777" w:rsidR="008105A5" w:rsidRDefault="008105A5" w:rsidP="00236B8E">
      <w:pPr>
        <w:spacing w:after="0" w:line="240" w:lineRule="auto"/>
      </w:pPr>
      <w:r>
        <w:separator/>
      </w:r>
    </w:p>
  </w:footnote>
  <w:footnote w:type="continuationSeparator" w:id="0">
    <w:p w14:paraId="2C42D352" w14:textId="77777777" w:rsidR="008105A5" w:rsidRDefault="008105A5" w:rsidP="00236B8E">
      <w:pPr>
        <w:spacing w:after="0" w:line="240" w:lineRule="auto"/>
      </w:pPr>
      <w:r>
        <w:continuationSeparator/>
      </w:r>
    </w:p>
  </w:footnote>
  <w:footnote w:id="1">
    <w:p w14:paraId="45267720" w14:textId="79359758" w:rsidR="00236B8E" w:rsidRDefault="00236B8E">
      <w:pPr>
        <w:pStyle w:val="FootnoteText"/>
      </w:pPr>
      <w:r>
        <w:rPr>
          <w:rStyle w:val="FootnoteReference"/>
        </w:rPr>
        <w:footnoteRef/>
      </w:r>
      <w:r>
        <w:t xml:space="preserve"> </w:t>
      </w:r>
      <w:bookmarkStart w:id="1" w:name="_Hlk514944799"/>
      <w:r>
        <w:t>Wang, P</w:t>
      </w:r>
      <w:r w:rsidRPr="00236B8E">
        <w:t>., ‘</w:t>
      </w:r>
      <w:r w:rsidRPr="00D7508E">
        <w:rPr>
          <w:i/>
        </w:rPr>
        <w:t>Sabres of Infinity’</w:t>
      </w:r>
      <w:r w:rsidRPr="00236B8E">
        <w:t xml:space="preserve">, </w:t>
      </w:r>
      <w:r>
        <w:t>choiceofgames.com</w:t>
      </w:r>
      <w:r w:rsidRPr="00236B8E">
        <w:t>, (2018), [Online]. Available at:</w:t>
      </w:r>
      <w:r>
        <w:t xml:space="preserve"> </w:t>
      </w:r>
      <w:proofErr w:type="gramStart"/>
      <w:r w:rsidRPr="00236B8E">
        <w:t>https://www.choiceofgames.com/2013/06/new-game-sabres-of-infinity-a-low-fantasy-military-if/</w:t>
      </w:r>
      <w:r>
        <w:t xml:space="preserve"> </w:t>
      </w:r>
      <w:r w:rsidRPr="00236B8E">
        <w:t>.</w:t>
      </w:r>
      <w:proofErr w:type="gramEnd"/>
      <w:r w:rsidRPr="00236B8E">
        <w:t xml:space="preserve">  (Accessed: </w:t>
      </w:r>
      <w:r>
        <w:t>22nd</w:t>
      </w:r>
      <w:r w:rsidRPr="00236B8E">
        <w:t xml:space="preserve"> </w:t>
      </w:r>
      <w:r>
        <w:t>May</w:t>
      </w:r>
      <w:r w:rsidRPr="00236B8E">
        <w:t xml:space="preserve"> 2018)</w:t>
      </w:r>
      <w:bookmarkEnd w:id="1"/>
    </w:p>
  </w:footnote>
  <w:footnote w:id="2">
    <w:p w14:paraId="25B631FB" w14:textId="3F8CCD02" w:rsidR="00236B8E" w:rsidRDefault="00236B8E">
      <w:pPr>
        <w:pStyle w:val="FootnoteText"/>
      </w:pPr>
      <w:r>
        <w:rPr>
          <w:rStyle w:val="FootnoteReference"/>
        </w:rPr>
        <w:footnoteRef/>
      </w:r>
      <w:r>
        <w:t xml:space="preserve"> Ibid </w:t>
      </w:r>
    </w:p>
  </w:footnote>
  <w:footnote w:id="3">
    <w:p w14:paraId="1590F384" w14:textId="5326D01C" w:rsidR="00236B8E" w:rsidRDefault="00236B8E">
      <w:pPr>
        <w:pStyle w:val="FootnoteText"/>
      </w:pPr>
      <w:r>
        <w:rPr>
          <w:rStyle w:val="FootnoteReference"/>
        </w:rPr>
        <w:footnoteRef/>
      </w:r>
      <w:r>
        <w:t xml:space="preserve"> </w:t>
      </w:r>
      <w:bookmarkStart w:id="2" w:name="_Hlk514774318"/>
      <w:r w:rsidRPr="00236B8E">
        <w:t>Wang, P., ‘</w:t>
      </w:r>
      <w:r w:rsidRPr="00D7508E">
        <w:rPr>
          <w:i/>
        </w:rPr>
        <w:t>Guns of Infinity</w:t>
      </w:r>
      <w:r w:rsidRPr="00236B8E">
        <w:t>’, choiceofgames.com, (2018), [Online]. Available at:</w:t>
      </w:r>
      <w:r w:rsidR="00F058D3" w:rsidRPr="00F058D3">
        <w:t xml:space="preserve"> https://www.choiceofgames.com/2016/03/new-hosted-game-guns-of-infinity-by-paul-wang/</w:t>
      </w:r>
      <w:r w:rsidRPr="00236B8E">
        <w:t>.  (Accessed: 22nd May 2018)</w:t>
      </w:r>
      <w:bookmarkEnd w:id="2"/>
    </w:p>
  </w:footnote>
  <w:footnote w:id="4">
    <w:p w14:paraId="3600BACF" w14:textId="17F70D10" w:rsidR="00236B8E" w:rsidRDefault="00236B8E">
      <w:pPr>
        <w:pStyle w:val="FootnoteText"/>
      </w:pPr>
      <w:r>
        <w:rPr>
          <w:rStyle w:val="FootnoteReference"/>
        </w:rPr>
        <w:footnoteRef/>
      </w:r>
      <w:r>
        <w:t xml:space="preserve"> </w:t>
      </w:r>
      <w:r w:rsidR="00F058D3">
        <w:t>Ibid</w:t>
      </w:r>
    </w:p>
  </w:footnote>
  <w:footnote w:id="5">
    <w:p w14:paraId="3002DAB7" w14:textId="3057B860" w:rsidR="00236B8E" w:rsidRDefault="00236B8E">
      <w:pPr>
        <w:pStyle w:val="FootnoteText"/>
      </w:pPr>
      <w:r>
        <w:rPr>
          <w:rStyle w:val="FootnoteReference"/>
        </w:rPr>
        <w:footnoteRef/>
      </w:r>
      <w:r>
        <w:t xml:space="preserve"> </w:t>
      </w:r>
      <w:r w:rsidR="00F058D3">
        <w:t>Ibid</w:t>
      </w:r>
    </w:p>
  </w:footnote>
  <w:footnote w:id="6">
    <w:p w14:paraId="2EEC4589" w14:textId="5A2F4FB3" w:rsidR="00236B8E" w:rsidRDefault="00236B8E">
      <w:pPr>
        <w:pStyle w:val="FootnoteText"/>
      </w:pPr>
      <w:r>
        <w:rPr>
          <w:rStyle w:val="FootnoteReference"/>
        </w:rPr>
        <w:footnoteRef/>
      </w:r>
      <w:r>
        <w:t xml:space="preserve"> </w:t>
      </w:r>
      <w:bookmarkStart w:id="3" w:name="_Hlk514944861"/>
      <w:r w:rsidR="008A38DC">
        <w:t>Choice of Games</w:t>
      </w:r>
      <w:r w:rsidR="00F058D3" w:rsidRPr="00F058D3">
        <w:t>, ‘</w:t>
      </w:r>
      <w:r w:rsidR="00F058D3" w:rsidRPr="001D3094">
        <w:rPr>
          <w:i/>
        </w:rPr>
        <w:t>Author Interview: Paul Wang, “</w:t>
      </w:r>
      <w:proofErr w:type="spellStart"/>
      <w:r w:rsidR="00F058D3" w:rsidRPr="001D3094">
        <w:rPr>
          <w:i/>
        </w:rPr>
        <w:t>Cryptkeepers</w:t>
      </w:r>
      <w:proofErr w:type="spellEnd"/>
      <w:r w:rsidR="00F058D3" w:rsidRPr="001D3094">
        <w:rPr>
          <w:i/>
        </w:rPr>
        <w:t xml:space="preserve"> of </w:t>
      </w:r>
      <w:proofErr w:type="spellStart"/>
      <w:r w:rsidR="00F058D3" w:rsidRPr="001D3094">
        <w:rPr>
          <w:i/>
        </w:rPr>
        <w:t>Hallowford</w:t>
      </w:r>
      <w:proofErr w:type="spellEnd"/>
      <w:r w:rsidR="00F058D3" w:rsidRPr="00F058D3">
        <w:t>”’, choiceofgames.com, (2018), [Online]. Available at: https://www.choiceofgames.com/2017/12/author-interview-paul-wang-cryptkeepers-of-hallowford/ (Accessed: 22nd May 2018)</w:t>
      </w:r>
      <w:r w:rsidR="00F058D3">
        <w:t xml:space="preserve"> </w:t>
      </w:r>
    </w:p>
    <w:bookmarkEnd w:id="3"/>
  </w:footnote>
  <w:footnote w:id="7">
    <w:p w14:paraId="4C5004B8" w14:textId="6C9BE2B4" w:rsidR="001F7BD2" w:rsidRDefault="001F7BD2">
      <w:pPr>
        <w:pStyle w:val="FootnoteText"/>
      </w:pPr>
      <w:r>
        <w:rPr>
          <w:rStyle w:val="FootnoteReference"/>
        </w:rPr>
        <w:footnoteRef/>
      </w:r>
      <w:r>
        <w:t xml:space="preserve"> </w:t>
      </w:r>
      <w:r w:rsidRPr="001F7BD2">
        <w:t xml:space="preserve">  </w:t>
      </w:r>
      <w:r>
        <w:t>Matrix Games</w:t>
      </w:r>
      <w:r w:rsidR="008F395A">
        <w:t>.,</w:t>
      </w:r>
      <w:r w:rsidRPr="001F7BD2">
        <w:t xml:space="preserve"> ‘</w:t>
      </w:r>
      <w:r w:rsidRPr="001D3094">
        <w:rPr>
          <w:i/>
        </w:rPr>
        <w:t>Scourge of War: Waterloo</w:t>
      </w:r>
      <w:r w:rsidRPr="001F7BD2">
        <w:t xml:space="preserve">’, </w:t>
      </w:r>
      <w:r>
        <w:t>matruxgames</w:t>
      </w:r>
      <w:r w:rsidRPr="001F7BD2">
        <w:t>.com, (2018), [Online]. Available at:</w:t>
      </w:r>
      <w:r>
        <w:t xml:space="preserve"> </w:t>
      </w:r>
      <w:r w:rsidRPr="001F7BD2">
        <w:t>http://www.matrixgames.com/products/574/details/Scourge.of.War.Waterloo.  (Accessed: 22nd May 2018)</w:t>
      </w:r>
    </w:p>
  </w:footnote>
  <w:footnote w:id="8">
    <w:p w14:paraId="5FBF71BA" w14:textId="23130918" w:rsidR="001F7BD2" w:rsidRDefault="001F7BD2">
      <w:pPr>
        <w:pStyle w:val="FootnoteText"/>
      </w:pPr>
      <w:r>
        <w:rPr>
          <w:rStyle w:val="FootnoteReference"/>
        </w:rPr>
        <w:footnoteRef/>
      </w:r>
      <w:r>
        <w:t xml:space="preserve"> Ibid</w:t>
      </w:r>
    </w:p>
  </w:footnote>
  <w:footnote w:id="9">
    <w:p w14:paraId="743FBF54" w14:textId="01D15F26" w:rsidR="001F7BD2" w:rsidRDefault="001F7BD2">
      <w:pPr>
        <w:pStyle w:val="FootnoteText"/>
      </w:pPr>
      <w:r>
        <w:rPr>
          <w:rStyle w:val="FootnoteReference"/>
        </w:rPr>
        <w:footnoteRef/>
      </w:r>
      <w:r>
        <w:t xml:space="preserve"> Ibid</w:t>
      </w:r>
    </w:p>
  </w:footnote>
  <w:footnote w:id="10">
    <w:p w14:paraId="2797A40C" w14:textId="7310E1B9" w:rsidR="001F7BD2" w:rsidRDefault="001F7BD2">
      <w:pPr>
        <w:pStyle w:val="FootnoteText"/>
      </w:pPr>
      <w:r>
        <w:rPr>
          <w:rStyle w:val="FootnoteReference"/>
        </w:rPr>
        <w:footnoteRef/>
      </w:r>
      <w:r>
        <w:t xml:space="preserve"> Ibid</w:t>
      </w:r>
    </w:p>
  </w:footnote>
  <w:footnote w:id="11">
    <w:p w14:paraId="59CB24CA" w14:textId="4C8FDABF" w:rsidR="001F7BD2" w:rsidRDefault="001F7BD2">
      <w:pPr>
        <w:pStyle w:val="FootnoteText"/>
      </w:pPr>
      <w:r>
        <w:rPr>
          <w:rStyle w:val="FootnoteReference"/>
        </w:rPr>
        <w:footnoteRef/>
      </w:r>
      <w:r>
        <w:t xml:space="preserve"> </w:t>
      </w:r>
      <w:r w:rsidR="008F395A">
        <w:t xml:space="preserve">Ortega, </w:t>
      </w:r>
      <w:proofErr w:type="gramStart"/>
      <w:r w:rsidR="008F395A">
        <w:t>J,.</w:t>
      </w:r>
      <w:proofErr w:type="gramEnd"/>
      <w:r w:rsidR="008F395A">
        <w:t xml:space="preserve"> ‘</w:t>
      </w:r>
      <w:r w:rsidR="008F395A" w:rsidRPr="001D3094">
        <w:rPr>
          <w:i/>
        </w:rPr>
        <w:t>Scourge of War Waterloo Review</w:t>
      </w:r>
      <w:r w:rsidR="008F395A">
        <w:t xml:space="preserve">’, </w:t>
      </w:r>
      <w:hyperlink r:id="rId1" w:history="1">
        <w:r w:rsidR="008F395A" w:rsidRPr="0050163D">
          <w:rPr>
            <w:rStyle w:val="Hyperlink"/>
          </w:rPr>
          <w:t>http://kriegsimulation.blogspot.co.uk</w:t>
        </w:r>
      </w:hyperlink>
      <w:r w:rsidR="008F395A">
        <w:t xml:space="preserve">, [Online]. Available at: </w:t>
      </w:r>
      <w:hyperlink r:id="rId2" w:history="1">
        <w:r w:rsidR="008F395A" w:rsidRPr="0050163D">
          <w:rPr>
            <w:rStyle w:val="Hyperlink"/>
          </w:rPr>
          <w:t>http://kriegsimulation.blogspot.co.uk/2015/11/scourge-of-war-waterloo-review.html</w:t>
        </w:r>
      </w:hyperlink>
      <w:r w:rsidR="008F395A">
        <w:t>. (Accessed: 22</w:t>
      </w:r>
      <w:r w:rsidR="008F395A" w:rsidRPr="008F395A">
        <w:rPr>
          <w:vertAlign w:val="superscript"/>
        </w:rPr>
        <w:t>nd</w:t>
      </w:r>
      <w:r w:rsidR="008F395A">
        <w:t xml:space="preserve"> May 2018) </w:t>
      </w:r>
    </w:p>
  </w:footnote>
  <w:footnote w:id="12">
    <w:p w14:paraId="1E3C5CE1" w14:textId="0F9F4C3C" w:rsidR="001F7BD2" w:rsidRDefault="001F7BD2">
      <w:pPr>
        <w:pStyle w:val="FootnoteText"/>
      </w:pPr>
      <w:r>
        <w:rPr>
          <w:rStyle w:val="FootnoteReference"/>
        </w:rPr>
        <w:footnoteRef/>
      </w:r>
      <w:r>
        <w:t xml:space="preserve"> </w:t>
      </w:r>
      <w:r w:rsidR="008F395A">
        <w:t>Ibid</w:t>
      </w:r>
    </w:p>
  </w:footnote>
  <w:footnote w:id="13">
    <w:p w14:paraId="0C7867AE" w14:textId="423630F4" w:rsidR="001F7BD2" w:rsidRDefault="001F7BD2">
      <w:pPr>
        <w:pStyle w:val="FootnoteText"/>
      </w:pPr>
      <w:r>
        <w:rPr>
          <w:rStyle w:val="FootnoteReference"/>
        </w:rPr>
        <w:footnoteRef/>
      </w:r>
      <w:r>
        <w:t xml:space="preserve"> </w:t>
      </w:r>
      <w:r w:rsidR="008F395A">
        <w:t>ibid</w:t>
      </w:r>
    </w:p>
  </w:footnote>
  <w:footnote w:id="14">
    <w:p w14:paraId="3FEAE4EC" w14:textId="61F0C8B7" w:rsidR="001F7BD2" w:rsidRPr="008F395A" w:rsidRDefault="001F7BD2">
      <w:pPr>
        <w:pStyle w:val="FootnoteText"/>
      </w:pPr>
      <w:r>
        <w:rPr>
          <w:rStyle w:val="FootnoteReference"/>
        </w:rPr>
        <w:footnoteRef/>
      </w:r>
      <w:r>
        <w:t xml:space="preserve"> </w:t>
      </w:r>
      <w:r w:rsidR="008F395A">
        <w:t xml:space="preserve">Matrix Games, </w:t>
      </w:r>
      <w:r w:rsidR="008F395A">
        <w:rPr>
          <w:i/>
        </w:rPr>
        <w:t xml:space="preserve">Scourge of </w:t>
      </w:r>
      <w:r w:rsidR="00550C46">
        <w:rPr>
          <w:i/>
        </w:rPr>
        <w:t>War</w:t>
      </w:r>
      <w:r w:rsidR="008F395A">
        <w:t xml:space="preserve">. </w:t>
      </w:r>
    </w:p>
  </w:footnote>
  <w:footnote w:id="15">
    <w:p w14:paraId="3F0BB4D7" w14:textId="421B1661" w:rsidR="008F395A" w:rsidRPr="0038027F" w:rsidRDefault="008F395A" w:rsidP="0038027F">
      <w:pPr>
        <w:pStyle w:val="FootnoteText"/>
      </w:pPr>
      <w:r>
        <w:rPr>
          <w:rStyle w:val="FootnoteReference"/>
        </w:rPr>
        <w:footnoteRef/>
      </w:r>
      <w:r w:rsidR="00562478">
        <w:t xml:space="preserve"> </w:t>
      </w:r>
      <w:bookmarkStart w:id="4" w:name="_Hlk514945003"/>
      <w:proofErr w:type="spellStart"/>
      <w:r w:rsidR="0038027F">
        <w:t>Mateas</w:t>
      </w:r>
      <w:proofErr w:type="spellEnd"/>
      <w:r w:rsidR="0038027F">
        <w:t xml:space="preserve">, M., </w:t>
      </w:r>
      <w:r w:rsidR="0038027F" w:rsidRPr="00CF45BD">
        <w:rPr>
          <w:i/>
        </w:rPr>
        <w:t>‘</w:t>
      </w:r>
      <w:r w:rsidR="0038027F" w:rsidRPr="00CF45BD">
        <w:t>A Preliminary Poetics for Interactive Drama and Games</w:t>
      </w:r>
      <w:r w:rsidR="0038027F">
        <w:t xml:space="preserve">’ in </w:t>
      </w:r>
      <w:r w:rsidR="0038027F" w:rsidRPr="0038027F">
        <w:rPr>
          <w:i/>
        </w:rPr>
        <w:t>First Person: New Media as Story, Performance and Game</w:t>
      </w:r>
      <w:r w:rsidR="0038027F">
        <w:t xml:space="preserve">, ed. by Noah </w:t>
      </w:r>
      <w:proofErr w:type="spellStart"/>
      <w:r w:rsidR="0038027F">
        <w:t>Wardrip-Fruin</w:t>
      </w:r>
      <w:proofErr w:type="spellEnd"/>
      <w:r w:rsidR="0038027F">
        <w:t xml:space="preserve"> and Pat Harrigan, (London: MIT </w:t>
      </w:r>
      <w:r w:rsidR="00CF45BD">
        <w:t>Press</w:t>
      </w:r>
      <w:r w:rsidR="0038027F">
        <w:t>, 1974</w:t>
      </w:r>
      <w:r w:rsidR="007733D8">
        <w:t>)</w:t>
      </w:r>
      <w:r w:rsidR="0038027F">
        <w:t xml:space="preserve"> </w:t>
      </w:r>
      <w:bookmarkStart w:id="5" w:name="_Hlk514786397"/>
      <w:bookmarkEnd w:id="4"/>
      <w:r w:rsidR="00CF45BD">
        <w:t xml:space="preserve">p. 23. </w:t>
      </w:r>
    </w:p>
    <w:bookmarkEnd w:id="5"/>
  </w:footnote>
  <w:footnote w:id="16">
    <w:p w14:paraId="3AE3F682" w14:textId="21777F14" w:rsidR="008F395A" w:rsidRDefault="008F395A">
      <w:pPr>
        <w:pStyle w:val="FootnoteText"/>
      </w:pPr>
      <w:r>
        <w:rPr>
          <w:rStyle w:val="FootnoteReference"/>
        </w:rPr>
        <w:footnoteRef/>
      </w:r>
      <w:r>
        <w:t xml:space="preserve"> </w:t>
      </w:r>
      <w:r w:rsidR="0038027F" w:rsidRPr="0038027F">
        <w:t>Chapman,</w:t>
      </w:r>
      <w:r w:rsidR="007733D8">
        <w:t xml:space="preserve"> A.,</w:t>
      </w:r>
      <w:r w:rsidR="0038027F" w:rsidRPr="0038027F">
        <w:t xml:space="preserve"> Digital Games as History: How Videogames Represent the Past and Offer Access to Historical Practice, (New York: Routledge, 2016) p. 30.</w:t>
      </w:r>
    </w:p>
  </w:footnote>
  <w:footnote w:id="17">
    <w:p w14:paraId="61637042" w14:textId="65121FF8" w:rsidR="008F395A" w:rsidRDefault="008F395A">
      <w:pPr>
        <w:pStyle w:val="FootnoteText"/>
      </w:pPr>
      <w:r>
        <w:rPr>
          <w:rStyle w:val="FootnoteReference"/>
        </w:rPr>
        <w:footnoteRef/>
      </w:r>
      <w:r>
        <w:t xml:space="preserve"> </w:t>
      </w:r>
      <w:r w:rsidR="00CF45BD">
        <w:t xml:space="preserve">Ibid., p. 30. </w:t>
      </w:r>
    </w:p>
  </w:footnote>
  <w:footnote w:id="18">
    <w:p w14:paraId="12CC9AF4" w14:textId="5E036A63" w:rsidR="008F395A" w:rsidRPr="00CF45BD" w:rsidRDefault="008F395A">
      <w:pPr>
        <w:pStyle w:val="FootnoteText"/>
      </w:pPr>
      <w:r>
        <w:rPr>
          <w:rStyle w:val="FootnoteReference"/>
        </w:rPr>
        <w:footnoteRef/>
      </w:r>
      <w:r>
        <w:t xml:space="preserve"> </w:t>
      </w:r>
      <w:r w:rsidR="00CF45BD">
        <w:t xml:space="preserve">Wang, </w:t>
      </w:r>
      <w:r w:rsidR="00CF45BD">
        <w:rPr>
          <w:i/>
        </w:rPr>
        <w:t>Sabres of Infinity</w:t>
      </w:r>
      <w:r w:rsidR="00CF45BD">
        <w:t xml:space="preserve">. </w:t>
      </w:r>
    </w:p>
  </w:footnote>
  <w:footnote w:id="19">
    <w:p w14:paraId="1C43D68F" w14:textId="2D3E5602" w:rsidR="008F395A" w:rsidRPr="00C1060D" w:rsidRDefault="008F395A">
      <w:pPr>
        <w:pStyle w:val="FootnoteText"/>
      </w:pPr>
      <w:r>
        <w:rPr>
          <w:rStyle w:val="FootnoteReference"/>
        </w:rPr>
        <w:footnoteRef/>
      </w:r>
      <w:r w:rsidR="00C1060D">
        <w:t xml:space="preserve"> Wang, P</w:t>
      </w:r>
      <w:r w:rsidR="00C1060D">
        <w:rPr>
          <w:i/>
        </w:rPr>
        <w:t xml:space="preserve">., Sabres of Infinity, </w:t>
      </w:r>
      <w:r w:rsidR="00C1060D">
        <w:t>developed by Choice of Games LLC, (Montreal: Choice of Games LL</w:t>
      </w:r>
      <w:r w:rsidR="009166CB">
        <w:t>C</w:t>
      </w:r>
      <w:r w:rsidR="00C1060D">
        <w:t>, 201</w:t>
      </w:r>
      <w:r w:rsidR="009166CB">
        <w:t xml:space="preserve">3) </w:t>
      </w:r>
    </w:p>
  </w:footnote>
  <w:footnote w:id="20">
    <w:p w14:paraId="2807DF90" w14:textId="163E8CFF" w:rsidR="001D3094" w:rsidRDefault="001D3094">
      <w:pPr>
        <w:pStyle w:val="FootnoteText"/>
      </w:pPr>
      <w:r>
        <w:rPr>
          <w:rStyle w:val="FootnoteReference"/>
        </w:rPr>
        <w:footnoteRef/>
      </w:r>
      <w:r>
        <w:t xml:space="preserve"> </w:t>
      </w:r>
      <w:r w:rsidR="009166CB">
        <w:t>Ibid</w:t>
      </w:r>
    </w:p>
  </w:footnote>
  <w:footnote w:id="21">
    <w:p w14:paraId="34F53314" w14:textId="3DA46079" w:rsidR="001D3094" w:rsidRDefault="001D3094">
      <w:pPr>
        <w:pStyle w:val="FootnoteText"/>
      </w:pPr>
      <w:r>
        <w:rPr>
          <w:rStyle w:val="FootnoteReference"/>
        </w:rPr>
        <w:footnoteRef/>
      </w:r>
      <w:r>
        <w:t xml:space="preserve"> </w:t>
      </w:r>
      <w:r w:rsidR="009166CB">
        <w:t>Ibid</w:t>
      </w:r>
    </w:p>
  </w:footnote>
  <w:footnote w:id="22">
    <w:p w14:paraId="3F4400C9" w14:textId="59531538" w:rsidR="007733D8" w:rsidRPr="007733D8" w:rsidRDefault="007733D8">
      <w:pPr>
        <w:pStyle w:val="FootnoteText"/>
      </w:pPr>
      <w:r>
        <w:rPr>
          <w:rStyle w:val="FootnoteReference"/>
        </w:rPr>
        <w:footnoteRef/>
      </w:r>
      <w:r>
        <w:t xml:space="preserve"> Matrix Games, </w:t>
      </w:r>
      <w:r>
        <w:rPr>
          <w:i/>
        </w:rPr>
        <w:t>Scourge of War</w:t>
      </w:r>
      <w:r>
        <w:t xml:space="preserve">. </w:t>
      </w:r>
    </w:p>
  </w:footnote>
  <w:footnote w:id="23">
    <w:p w14:paraId="21C93CB6" w14:textId="20914995" w:rsidR="007733D8" w:rsidRDefault="007733D8">
      <w:pPr>
        <w:pStyle w:val="FootnoteText"/>
      </w:pPr>
      <w:r>
        <w:rPr>
          <w:rStyle w:val="FootnoteReference"/>
        </w:rPr>
        <w:footnoteRef/>
      </w:r>
      <w:r>
        <w:t xml:space="preserve"> Ibid. </w:t>
      </w:r>
    </w:p>
  </w:footnote>
  <w:footnote w:id="24">
    <w:p w14:paraId="3A47EB09" w14:textId="780C3B7B" w:rsidR="007733D8" w:rsidRPr="007733D8" w:rsidRDefault="007733D8">
      <w:pPr>
        <w:pStyle w:val="FootnoteText"/>
      </w:pPr>
      <w:r>
        <w:rPr>
          <w:rStyle w:val="FootnoteReference"/>
        </w:rPr>
        <w:footnoteRef/>
      </w:r>
      <w:r>
        <w:t xml:space="preserve"> Chapman, </w:t>
      </w:r>
      <w:r>
        <w:rPr>
          <w:i/>
        </w:rPr>
        <w:t xml:space="preserve">Digital Games as History, </w:t>
      </w:r>
      <w:r>
        <w:t xml:space="preserve">p. 32.  </w:t>
      </w:r>
    </w:p>
  </w:footnote>
  <w:footnote w:id="25">
    <w:p w14:paraId="1A52E33D" w14:textId="05CE7418" w:rsidR="007733D8" w:rsidRDefault="007733D8">
      <w:pPr>
        <w:pStyle w:val="FootnoteText"/>
      </w:pPr>
      <w:r>
        <w:rPr>
          <w:rStyle w:val="FootnoteReference"/>
        </w:rPr>
        <w:footnoteRef/>
      </w:r>
      <w:r>
        <w:t xml:space="preserve"> Ibid., p. 32. </w:t>
      </w:r>
    </w:p>
  </w:footnote>
  <w:footnote w:id="26">
    <w:p w14:paraId="5F673DF8" w14:textId="38085709" w:rsidR="007733D8" w:rsidRDefault="007733D8">
      <w:pPr>
        <w:pStyle w:val="FootnoteText"/>
      </w:pPr>
      <w:r>
        <w:rPr>
          <w:rStyle w:val="FootnoteReference"/>
        </w:rPr>
        <w:footnoteRef/>
      </w:r>
      <w:r>
        <w:t xml:space="preserve"> Ibid., p. 31 </w:t>
      </w:r>
    </w:p>
  </w:footnote>
  <w:footnote w:id="27">
    <w:p w14:paraId="1D8D2E98" w14:textId="58B52F58" w:rsidR="007733D8" w:rsidRDefault="007733D8">
      <w:pPr>
        <w:pStyle w:val="FootnoteText"/>
      </w:pPr>
      <w:r>
        <w:rPr>
          <w:rStyle w:val="FootnoteReference"/>
        </w:rPr>
        <w:footnoteRef/>
      </w:r>
      <w:r>
        <w:t xml:space="preserve"> Ibid., p. 31. </w:t>
      </w:r>
    </w:p>
  </w:footnote>
  <w:footnote w:id="28">
    <w:p w14:paraId="5D96A1BE" w14:textId="6FF76749" w:rsidR="007733D8" w:rsidRDefault="007733D8" w:rsidP="007733D8">
      <w:pPr>
        <w:pStyle w:val="FootnoteText"/>
      </w:pPr>
      <w:r>
        <w:rPr>
          <w:rStyle w:val="FootnoteReference"/>
        </w:rPr>
        <w:footnoteRef/>
      </w:r>
      <w:r>
        <w:t xml:space="preserve"> </w:t>
      </w:r>
      <w:bookmarkStart w:id="6" w:name="_Hlk514945139"/>
      <w:r>
        <w:t xml:space="preserve">Murray, J., </w:t>
      </w:r>
      <w:r w:rsidRPr="007733D8">
        <w:rPr>
          <w:i/>
        </w:rPr>
        <w:t>Hamlet on the Holodeck: The Future of Narrative in Cyberspace</w:t>
      </w:r>
      <w:r>
        <w:t xml:space="preserve">. (New York: The Free Press, 2014) </w:t>
      </w:r>
      <w:bookmarkEnd w:id="6"/>
      <w:r>
        <w:t xml:space="preserve">pp. 71 </w:t>
      </w:r>
      <w:r w:rsidR="000E76CC">
        <w:t>–</w:t>
      </w:r>
      <w:r>
        <w:t xml:space="preserve"> </w:t>
      </w:r>
      <w:r w:rsidR="000E76CC">
        <w:t xml:space="preserve">74. </w:t>
      </w:r>
    </w:p>
  </w:footnote>
  <w:footnote w:id="29">
    <w:p w14:paraId="69FF175D" w14:textId="75962A41" w:rsidR="000E76CC" w:rsidRDefault="000E76CC">
      <w:pPr>
        <w:pStyle w:val="FootnoteText"/>
      </w:pPr>
      <w:r>
        <w:rPr>
          <w:rStyle w:val="FootnoteReference"/>
        </w:rPr>
        <w:footnoteRef/>
      </w:r>
      <w:r>
        <w:t xml:space="preserve"> </w:t>
      </w:r>
      <w:r w:rsidRPr="000E76CC">
        <w:t xml:space="preserve">Chapman, </w:t>
      </w:r>
      <w:r w:rsidRPr="000E76CC">
        <w:rPr>
          <w:i/>
        </w:rPr>
        <w:t>Digital Games as History</w:t>
      </w:r>
      <w:r w:rsidRPr="000E76CC">
        <w:t>, p. 3</w:t>
      </w:r>
      <w:r>
        <w:t xml:space="preserve">1.  </w:t>
      </w:r>
    </w:p>
  </w:footnote>
  <w:footnote w:id="30">
    <w:p w14:paraId="2A9DD5C9" w14:textId="68F2D5C4" w:rsidR="000E76CC" w:rsidRDefault="000E76CC">
      <w:pPr>
        <w:pStyle w:val="FootnoteText"/>
      </w:pPr>
      <w:r>
        <w:rPr>
          <w:rStyle w:val="FootnoteReference"/>
        </w:rPr>
        <w:footnoteRef/>
      </w:r>
      <w:r>
        <w:t xml:space="preserve"> Ibid., p. 31. </w:t>
      </w:r>
    </w:p>
  </w:footnote>
  <w:footnote w:id="31">
    <w:p w14:paraId="246A32C3" w14:textId="245F707A" w:rsidR="000E76CC" w:rsidRDefault="000E76CC" w:rsidP="000E76CC">
      <w:pPr>
        <w:pStyle w:val="FootnoteText"/>
      </w:pPr>
      <w:r>
        <w:rPr>
          <w:rStyle w:val="FootnoteReference"/>
        </w:rPr>
        <w:footnoteRef/>
      </w:r>
      <w:r>
        <w:t xml:space="preserve"> Juul, J., </w:t>
      </w:r>
      <w:r w:rsidRPr="000E76CC">
        <w:rPr>
          <w:i/>
        </w:rPr>
        <w:t>Half Real: Video Games Between Real Rules and Fictional Worlds</w:t>
      </w:r>
      <w:r>
        <w:t xml:space="preserve">. (Cambridge, MA: MIT Press, 2005) p. 45. </w:t>
      </w:r>
    </w:p>
  </w:footnote>
  <w:footnote w:id="32">
    <w:p w14:paraId="5E2DAA5F" w14:textId="763D4E53" w:rsidR="000E76CC" w:rsidRDefault="000E76CC">
      <w:pPr>
        <w:pStyle w:val="FootnoteText"/>
      </w:pPr>
      <w:r>
        <w:rPr>
          <w:rStyle w:val="FootnoteReference"/>
        </w:rPr>
        <w:footnoteRef/>
      </w:r>
      <w:r>
        <w:t xml:space="preserve"> Ibid., p. 46. </w:t>
      </w:r>
    </w:p>
  </w:footnote>
  <w:footnote w:id="33">
    <w:p w14:paraId="647822FF" w14:textId="77BD3699" w:rsidR="000E76CC" w:rsidRDefault="000E76CC" w:rsidP="000E76CC">
      <w:pPr>
        <w:pStyle w:val="FootnoteText"/>
      </w:pPr>
      <w:r>
        <w:rPr>
          <w:rStyle w:val="FootnoteReference"/>
        </w:rPr>
        <w:footnoteRef/>
      </w:r>
      <w:r>
        <w:t xml:space="preserve"> </w:t>
      </w:r>
      <w:bookmarkStart w:id="7" w:name="_Hlk514945225"/>
      <w:r>
        <w:t xml:space="preserve">Galloway, A. R., </w:t>
      </w:r>
      <w:r w:rsidRPr="000E76CC">
        <w:rPr>
          <w:i/>
        </w:rPr>
        <w:t>Gaming: Essays on Algorithmic Culture</w:t>
      </w:r>
      <w:r>
        <w:t>. (Minneapolis: University of Minnesota Press</w:t>
      </w:r>
      <w:r w:rsidR="0053602F">
        <w:t>, 2006</w:t>
      </w:r>
      <w:r>
        <w:t xml:space="preserve">) </w:t>
      </w:r>
      <w:bookmarkEnd w:id="7"/>
      <w:r>
        <w:t xml:space="preserve">p. </w:t>
      </w:r>
      <w:r w:rsidR="005C1E9F">
        <w:t xml:space="preserve">101. </w:t>
      </w:r>
    </w:p>
  </w:footnote>
  <w:footnote w:id="34">
    <w:p w14:paraId="74372AE5" w14:textId="243F7100" w:rsidR="000E76CC" w:rsidRDefault="000E76CC">
      <w:pPr>
        <w:pStyle w:val="FootnoteText"/>
      </w:pPr>
      <w:r>
        <w:rPr>
          <w:rStyle w:val="FootnoteReference"/>
        </w:rPr>
        <w:footnoteRef/>
      </w:r>
      <w:r>
        <w:t xml:space="preserve"> </w:t>
      </w:r>
      <w:r w:rsidR="005C1E9F">
        <w:t xml:space="preserve">Ibid., p. 101. </w:t>
      </w:r>
    </w:p>
  </w:footnote>
  <w:footnote w:id="35">
    <w:p w14:paraId="599E86AF" w14:textId="61686A6B" w:rsidR="000E76CC" w:rsidRDefault="000E76CC">
      <w:pPr>
        <w:pStyle w:val="FootnoteText"/>
      </w:pPr>
      <w:r>
        <w:rPr>
          <w:rStyle w:val="FootnoteReference"/>
        </w:rPr>
        <w:footnoteRef/>
      </w:r>
      <w:r>
        <w:t xml:space="preserve"> </w:t>
      </w:r>
      <w:r w:rsidR="005C1E9F">
        <w:t xml:space="preserve">Chapman., p. 40. </w:t>
      </w:r>
    </w:p>
  </w:footnote>
  <w:footnote w:id="36">
    <w:p w14:paraId="26520922" w14:textId="32222E58" w:rsidR="00AA2B74" w:rsidRPr="00384D06" w:rsidRDefault="00AA2B74">
      <w:pPr>
        <w:pStyle w:val="FootnoteText"/>
        <w:rPr>
          <w:i/>
        </w:rPr>
      </w:pPr>
      <w:r>
        <w:rPr>
          <w:rStyle w:val="FootnoteReference"/>
        </w:rPr>
        <w:footnoteRef/>
      </w:r>
      <w:r>
        <w:t xml:space="preserve"> </w:t>
      </w:r>
      <w:r w:rsidR="00384D06">
        <w:t xml:space="preserve">Wang, </w:t>
      </w:r>
      <w:r w:rsidR="00384D06">
        <w:rPr>
          <w:i/>
        </w:rPr>
        <w:t xml:space="preserve">Sabres. </w:t>
      </w:r>
    </w:p>
  </w:footnote>
  <w:footnote w:id="37">
    <w:p w14:paraId="6EEA124B" w14:textId="1D45F70D" w:rsidR="00384D06" w:rsidRPr="00384D06" w:rsidRDefault="00384D06">
      <w:pPr>
        <w:pStyle w:val="FootnoteText"/>
      </w:pPr>
      <w:r>
        <w:rPr>
          <w:rStyle w:val="FootnoteReference"/>
        </w:rPr>
        <w:footnoteRef/>
      </w:r>
      <w:r>
        <w:t xml:space="preserve"> Wang, </w:t>
      </w:r>
      <w:r>
        <w:rPr>
          <w:i/>
        </w:rPr>
        <w:t xml:space="preserve">Sabres. </w:t>
      </w:r>
    </w:p>
  </w:footnote>
  <w:footnote w:id="38">
    <w:p w14:paraId="21C3C3BA" w14:textId="1039D870" w:rsidR="00384D06" w:rsidRPr="00384D06" w:rsidRDefault="00384D06">
      <w:pPr>
        <w:pStyle w:val="FootnoteText"/>
        <w:rPr>
          <w:i/>
        </w:rPr>
      </w:pPr>
      <w:r>
        <w:rPr>
          <w:rStyle w:val="FootnoteReference"/>
        </w:rPr>
        <w:footnoteRef/>
      </w:r>
      <w:r>
        <w:t xml:space="preserve"> Matrix Games, </w:t>
      </w:r>
      <w:r>
        <w:rPr>
          <w:i/>
        </w:rPr>
        <w:t xml:space="preserve">Scourge of War. </w:t>
      </w:r>
    </w:p>
  </w:footnote>
  <w:footnote w:id="39">
    <w:p w14:paraId="6E1A0B53" w14:textId="09CF68C5" w:rsidR="00384D06" w:rsidRDefault="00384D06">
      <w:pPr>
        <w:pStyle w:val="FootnoteText"/>
      </w:pPr>
      <w:r>
        <w:rPr>
          <w:rStyle w:val="FootnoteReference"/>
        </w:rPr>
        <w:footnoteRef/>
      </w:r>
      <w:r>
        <w:t xml:space="preserve"> </w:t>
      </w:r>
      <w:bookmarkStart w:id="8" w:name="_Hlk514852673"/>
      <w:r>
        <w:t xml:space="preserve">Matrix Games, </w:t>
      </w:r>
      <w:r w:rsidRPr="00384D06">
        <w:rPr>
          <w:i/>
        </w:rPr>
        <w:t>Scourge of War</w:t>
      </w:r>
      <w:r>
        <w:rPr>
          <w:i/>
        </w:rPr>
        <w:t>.</w:t>
      </w:r>
      <w:bookmarkEnd w:id="8"/>
    </w:p>
  </w:footnote>
  <w:footnote w:id="40">
    <w:p w14:paraId="017908BC" w14:textId="70EBC5E3" w:rsidR="00384D06" w:rsidRDefault="00384D06">
      <w:pPr>
        <w:pStyle w:val="FootnoteText"/>
      </w:pPr>
      <w:r>
        <w:rPr>
          <w:rStyle w:val="FootnoteReference"/>
        </w:rPr>
        <w:footnoteRef/>
      </w:r>
      <w:r>
        <w:t xml:space="preserve"> </w:t>
      </w:r>
      <w:r w:rsidRPr="00384D06">
        <w:t xml:space="preserve">Matrix Games, </w:t>
      </w:r>
      <w:r w:rsidRPr="00384D06">
        <w:rPr>
          <w:i/>
        </w:rPr>
        <w:t>Scourge of War</w:t>
      </w:r>
      <w:r w:rsidRPr="00384D06">
        <w:t>.</w:t>
      </w:r>
    </w:p>
  </w:footnote>
  <w:footnote w:id="41">
    <w:p w14:paraId="5678F4E0" w14:textId="1220A6DB" w:rsidR="00384D06" w:rsidRPr="00384D06" w:rsidRDefault="00384D06">
      <w:pPr>
        <w:pStyle w:val="FootnoteText"/>
      </w:pPr>
      <w:r>
        <w:rPr>
          <w:rStyle w:val="FootnoteReference"/>
        </w:rPr>
        <w:footnoteRef/>
      </w:r>
      <w:r>
        <w:t xml:space="preserve"> </w:t>
      </w:r>
      <w:bookmarkStart w:id="9" w:name="_Hlk514940251"/>
      <w:r>
        <w:t xml:space="preserve">Chapman, </w:t>
      </w:r>
      <w:r>
        <w:rPr>
          <w:i/>
        </w:rPr>
        <w:t>Digital Games as History,</w:t>
      </w:r>
      <w:r>
        <w:t xml:space="preserve"> p. 31. </w:t>
      </w:r>
    </w:p>
    <w:bookmarkEnd w:id="9"/>
  </w:footnote>
  <w:footnote w:id="42">
    <w:p w14:paraId="52DB45FA" w14:textId="10106D64" w:rsidR="00384D06" w:rsidRDefault="00384D06">
      <w:pPr>
        <w:pStyle w:val="FootnoteText"/>
      </w:pPr>
      <w:r>
        <w:rPr>
          <w:rStyle w:val="FootnoteReference"/>
        </w:rPr>
        <w:footnoteRef/>
      </w:r>
      <w:r>
        <w:t xml:space="preserve"> </w:t>
      </w:r>
      <w:r w:rsidRPr="00384D06">
        <w:t>Matrix Games, Scourge of War.</w:t>
      </w:r>
    </w:p>
  </w:footnote>
  <w:footnote w:id="43">
    <w:p w14:paraId="3061FCF9" w14:textId="5DBF3B7E" w:rsidR="00384D06" w:rsidRDefault="00384D06">
      <w:pPr>
        <w:pStyle w:val="FootnoteText"/>
      </w:pPr>
      <w:r>
        <w:rPr>
          <w:rStyle w:val="FootnoteReference"/>
        </w:rPr>
        <w:footnoteRef/>
      </w:r>
      <w:r>
        <w:t xml:space="preserve"> </w:t>
      </w:r>
      <w:r w:rsidRPr="00384D06">
        <w:t xml:space="preserve">Matrix Games, </w:t>
      </w:r>
      <w:r w:rsidRPr="00384D06">
        <w:rPr>
          <w:i/>
        </w:rPr>
        <w:t>Scourge of War.</w:t>
      </w:r>
    </w:p>
  </w:footnote>
  <w:footnote w:id="44">
    <w:p w14:paraId="3F81D7A2" w14:textId="1A21FF81" w:rsidR="007921B2" w:rsidRDefault="007921B2">
      <w:pPr>
        <w:pStyle w:val="FootnoteText"/>
      </w:pPr>
      <w:r>
        <w:rPr>
          <w:rStyle w:val="FootnoteReference"/>
        </w:rPr>
        <w:footnoteRef/>
      </w:r>
      <w:r>
        <w:t xml:space="preserve"> </w:t>
      </w:r>
      <w:r w:rsidRPr="007921B2">
        <w:t>Chapman, Digital Games as History, p. 3</w:t>
      </w:r>
      <w:r>
        <w:t xml:space="preserve">5. </w:t>
      </w:r>
    </w:p>
  </w:footnote>
  <w:footnote w:id="45">
    <w:p w14:paraId="493DC914" w14:textId="1DC601E4" w:rsidR="007921B2" w:rsidRDefault="007921B2" w:rsidP="007921B2">
      <w:pPr>
        <w:pStyle w:val="FootnoteText"/>
      </w:pPr>
      <w:r>
        <w:rPr>
          <w:rStyle w:val="FootnoteReference"/>
        </w:rPr>
        <w:footnoteRef/>
      </w:r>
      <w:r>
        <w:t xml:space="preserve"> </w:t>
      </w:r>
      <w:bookmarkStart w:id="10" w:name="_Hlk514945317"/>
      <w:r>
        <w:t xml:space="preserve">Apperley, </w:t>
      </w:r>
      <w:r>
        <w:t>T</w:t>
      </w:r>
      <w:r>
        <w:t>.</w:t>
      </w:r>
      <w:r>
        <w:t>,</w:t>
      </w:r>
      <w:r>
        <w:t xml:space="preserve"> “</w:t>
      </w:r>
      <w:proofErr w:type="spellStart"/>
      <w:r>
        <w:t>Modding</w:t>
      </w:r>
      <w:proofErr w:type="spellEnd"/>
      <w:r>
        <w:t xml:space="preserve"> the Historians’ Code: Historical Verisimilitude and the Counterfactual Imagination” in </w:t>
      </w:r>
      <w:r w:rsidRPr="007921B2">
        <w:rPr>
          <w:i/>
        </w:rPr>
        <w:t>Playing with the Past: Digital Games and the Simulation of History</w:t>
      </w:r>
      <w:r>
        <w:t>, edi</w:t>
      </w:r>
      <w:r>
        <w:t xml:space="preserve">t. </w:t>
      </w:r>
      <w:r>
        <w:t xml:space="preserve"> by Matthew W. </w:t>
      </w:r>
      <w:proofErr w:type="spellStart"/>
      <w:r>
        <w:t>Kappell</w:t>
      </w:r>
      <w:proofErr w:type="spellEnd"/>
      <w:r>
        <w:t xml:space="preserve"> and Andrew B.R. Elliott</w:t>
      </w:r>
      <w:r>
        <w:t xml:space="preserve">. (London: Bloomsbury, 2013) </w:t>
      </w:r>
      <w:bookmarkEnd w:id="10"/>
      <w:r>
        <w:t xml:space="preserve">p. 185. </w:t>
      </w:r>
    </w:p>
  </w:footnote>
  <w:footnote w:id="46">
    <w:p w14:paraId="60671B9A" w14:textId="7E604569" w:rsidR="007921B2" w:rsidRDefault="007921B2">
      <w:pPr>
        <w:pStyle w:val="FootnoteText"/>
      </w:pPr>
      <w:r>
        <w:rPr>
          <w:rStyle w:val="FootnoteReference"/>
        </w:rPr>
        <w:footnoteRef/>
      </w:r>
      <w:r>
        <w:t xml:space="preserve"> Ibid., p. 186.  </w:t>
      </w:r>
    </w:p>
  </w:footnote>
  <w:footnote w:id="47">
    <w:p w14:paraId="74264B99" w14:textId="1B826193" w:rsidR="007921B2" w:rsidRDefault="007921B2">
      <w:pPr>
        <w:pStyle w:val="FootnoteText"/>
      </w:pPr>
      <w:r>
        <w:rPr>
          <w:rStyle w:val="FootnoteReference"/>
        </w:rPr>
        <w:footnoteRef/>
      </w:r>
      <w:r>
        <w:t xml:space="preserve"> Ibid., p. 186. </w:t>
      </w:r>
    </w:p>
  </w:footnote>
  <w:footnote w:id="48">
    <w:p w14:paraId="70D28F3D" w14:textId="0DB36D9E" w:rsidR="007921B2" w:rsidRDefault="007921B2">
      <w:pPr>
        <w:pStyle w:val="FootnoteText"/>
      </w:pPr>
      <w:r>
        <w:rPr>
          <w:rStyle w:val="FootnoteReference"/>
        </w:rPr>
        <w:footnoteRef/>
      </w:r>
      <w:r>
        <w:t xml:space="preserve"> </w:t>
      </w:r>
      <w:r w:rsidRPr="007921B2">
        <w:t xml:space="preserve">Chapman, </w:t>
      </w:r>
      <w:r w:rsidRPr="007921B2">
        <w:rPr>
          <w:i/>
        </w:rPr>
        <w:t>Digital Games as History</w:t>
      </w:r>
      <w:r w:rsidRPr="007921B2">
        <w:t xml:space="preserve">, p. </w:t>
      </w:r>
      <w:r>
        <w:t xml:space="preserve">40. </w:t>
      </w:r>
    </w:p>
  </w:footnote>
  <w:footnote w:id="49">
    <w:p w14:paraId="27259B87" w14:textId="5A2746B5" w:rsidR="007921B2" w:rsidRDefault="007921B2">
      <w:pPr>
        <w:pStyle w:val="FootnoteText"/>
      </w:pPr>
      <w:r>
        <w:rPr>
          <w:rStyle w:val="FootnoteReference"/>
        </w:rPr>
        <w:footnoteRef/>
      </w:r>
      <w:r>
        <w:t xml:space="preserve"> Ibid., p. 40. </w:t>
      </w:r>
    </w:p>
  </w:footnote>
  <w:footnote w:id="50">
    <w:p w14:paraId="05AF965E" w14:textId="39E8DAC0" w:rsidR="007921B2" w:rsidRDefault="007921B2" w:rsidP="007921B2">
      <w:pPr>
        <w:pStyle w:val="FootnoteText"/>
      </w:pPr>
      <w:r>
        <w:rPr>
          <w:rStyle w:val="FootnoteReference"/>
        </w:rPr>
        <w:footnoteRef/>
      </w:r>
      <w:r>
        <w:t xml:space="preserve"> </w:t>
      </w:r>
      <w:r>
        <w:t>Wertsch, J</w:t>
      </w:r>
      <w:r>
        <w:t>.,</w:t>
      </w:r>
      <w:r>
        <w:t xml:space="preserve"> </w:t>
      </w:r>
      <w:r w:rsidRPr="007921B2">
        <w:rPr>
          <w:i/>
        </w:rPr>
        <w:t>Voices of Collective Remembering</w:t>
      </w:r>
      <w:r>
        <w:t xml:space="preserve">. </w:t>
      </w:r>
      <w:r>
        <w:t>(</w:t>
      </w:r>
      <w:r>
        <w:t>Cambridge: Cambridge University Press</w:t>
      </w:r>
      <w:r w:rsidR="008A38DC">
        <w:t xml:space="preserve">, 2002) p. 73. </w:t>
      </w:r>
    </w:p>
  </w:footnote>
  <w:footnote w:id="51">
    <w:p w14:paraId="78F64EC3" w14:textId="3DC38A56" w:rsidR="008A38DC" w:rsidRDefault="007921B2">
      <w:pPr>
        <w:pStyle w:val="FootnoteText"/>
      </w:pPr>
      <w:r>
        <w:rPr>
          <w:rStyle w:val="FootnoteReference"/>
        </w:rPr>
        <w:footnoteRef/>
      </w:r>
      <w:r>
        <w:t xml:space="preserve"> </w:t>
      </w:r>
      <w:r w:rsidR="008A38DC">
        <w:t xml:space="preserve">Ibid., p. 73. </w:t>
      </w:r>
    </w:p>
  </w:footnote>
  <w:footnote w:id="52">
    <w:p w14:paraId="179BD1E6" w14:textId="25045AAA" w:rsidR="008A38DC" w:rsidRDefault="008A38DC">
      <w:pPr>
        <w:pStyle w:val="FootnoteText"/>
      </w:pPr>
      <w:r>
        <w:rPr>
          <w:rStyle w:val="FootnoteReference"/>
        </w:rPr>
        <w:footnoteRef/>
      </w:r>
      <w:r>
        <w:t xml:space="preserve"> </w:t>
      </w:r>
      <w:bookmarkStart w:id="11" w:name="_Hlk514940896"/>
      <w:r w:rsidRPr="008A38DC">
        <w:t xml:space="preserve">Chapman, </w:t>
      </w:r>
      <w:r w:rsidRPr="008A38DC">
        <w:rPr>
          <w:i/>
        </w:rPr>
        <w:t>Digital Games as History</w:t>
      </w:r>
      <w:r w:rsidRPr="008A38DC">
        <w:t xml:space="preserve">, p. </w:t>
      </w:r>
      <w:r>
        <w:t>12</w:t>
      </w:r>
      <w:bookmarkEnd w:id="11"/>
      <w:r>
        <w:t xml:space="preserve">. </w:t>
      </w:r>
    </w:p>
  </w:footnote>
  <w:footnote w:id="53">
    <w:p w14:paraId="119B3A29" w14:textId="69F61B0D" w:rsidR="008A38DC" w:rsidRPr="008A38DC" w:rsidRDefault="008A38DC">
      <w:pPr>
        <w:pStyle w:val="FootnoteText"/>
      </w:pPr>
      <w:r>
        <w:rPr>
          <w:rStyle w:val="FootnoteReference"/>
        </w:rPr>
        <w:footnoteRef/>
      </w:r>
      <w:r>
        <w:t xml:space="preserve"> Choice of Games, </w:t>
      </w:r>
      <w:r w:rsidRPr="008A38DC">
        <w:rPr>
          <w:i/>
        </w:rPr>
        <w:t>Author Interview: Paul Wang</w:t>
      </w:r>
      <w:r>
        <w:rPr>
          <w:i/>
        </w:rPr>
        <w:t xml:space="preserve">. </w:t>
      </w:r>
    </w:p>
  </w:footnote>
  <w:footnote w:id="54">
    <w:p w14:paraId="2F448353" w14:textId="2F9E1632" w:rsidR="008A38DC" w:rsidRDefault="008A38DC">
      <w:pPr>
        <w:pStyle w:val="FootnoteText"/>
      </w:pPr>
      <w:r>
        <w:rPr>
          <w:rStyle w:val="FootnoteReference"/>
        </w:rPr>
        <w:footnoteRef/>
      </w:r>
      <w:r>
        <w:t xml:space="preserve"> Ibid </w:t>
      </w:r>
    </w:p>
  </w:footnote>
  <w:footnote w:id="55">
    <w:p w14:paraId="7288227A" w14:textId="74E59117" w:rsidR="008A38DC" w:rsidRPr="008A38DC" w:rsidRDefault="008A38DC">
      <w:pPr>
        <w:pStyle w:val="FootnoteText"/>
      </w:pPr>
      <w:r>
        <w:rPr>
          <w:rStyle w:val="FootnoteReference"/>
        </w:rPr>
        <w:footnoteRef/>
      </w:r>
      <w:r>
        <w:t xml:space="preserve"> </w:t>
      </w:r>
      <w:bookmarkStart w:id="12" w:name="_Hlk514941013"/>
      <w:r>
        <w:t xml:space="preserve">Ortega, </w:t>
      </w:r>
      <w:r>
        <w:rPr>
          <w:i/>
        </w:rPr>
        <w:t xml:space="preserve">Scourge of War Waterloo. </w:t>
      </w:r>
      <w:bookmarkEnd w:id="12"/>
    </w:p>
  </w:footnote>
  <w:footnote w:id="56">
    <w:p w14:paraId="5516F9E7" w14:textId="006E4FEF" w:rsidR="008A38DC" w:rsidRDefault="008A38DC">
      <w:pPr>
        <w:pStyle w:val="FootnoteText"/>
      </w:pPr>
      <w:r>
        <w:rPr>
          <w:rStyle w:val="FootnoteReference"/>
        </w:rPr>
        <w:footnoteRef/>
      </w:r>
      <w:r>
        <w:t xml:space="preserve"> Ibid.   </w:t>
      </w:r>
    </w:p>
  </w:footnote>
  <w:footnote w:id="57">
    <w:p w14:paraId="644878C9" w14:textId="154A5516" w:rsidR="008A38DC" w:rsidRDefault="008A38DC">
      <w:pPr>
        <w:pStyle w:val="FootnoteText"/>
      </w:pPr>
      <w:r>
        <w:rPr>
          <w:rStyle w:val="FootnoteReference"/>
        </w:rPr>
        <w:footnoteRef/>
      </w:r>
      <w:r>
        <w:t xml:space="preserve"> </w:t>
      </w:r>
      <w:r w:rsidRPr="008A38DC">
        <w:t xml:space="preserve">Chapman, </w:t>
      </w:r>
      <w:r w:rsidRPr="008A38DC">
        <w:rPr>
          <w:i/>
        </w:rPr>
        <w:t>Digital Games as History</w:t>
      </w:r>
      <w:r w:rsidRPr="008A38DC">
        <w:t xml:space="preserve">, p. </w:t>
      </w:r>
      <w:r>
        <w:t xml:space="preserve">32. </w:t>
      </w:r>
    </w:p>
  </w:footnote>
  <w:footnote w:id="58">
    <w:p w14:paraId="545BDC74" w14:textId="36982C1B" w:rsidR="008A38DC" w:rsidRDefault="008A38DC">
      <w:pPr>
        <w:pStyle w:val="FootnoteText"/>
      </w:pPr>
      <w:r>
        <w:rPr>
          <w:rStyle w:val="FootnoteReference"/>
        </w:rPr>
        <w:footnoteRef/>
      </w:r>
      <w:r>
        <w:t xml:space="preserve"> Ibid., p. 33. </w:t>
      </w:r>
    </w:p>
  </w:footnote>
  <w:footnote w:id="59">
    <w:p w14:paraId="610B3B54" w14:textId="6E1D31F9" w:rsidR="003C1BB6" w:rsidRDefault="003C1BB6">
      <w:pPr>
        <w:pStyle w:val="FootnoteText"/>
      </w:pPr>
      <w:r>
        <w:rPr>
          <w:rStyle w:val="FootnoteReference"/>
        </w:rPr>
        <w:footnoteRef/>
      </w:r>
      <w:r>
        <w:t xml:space="preserve"> </w:t>
      </w:r>
      <w:r w:rsidRPr="003C1BB6">
        <w:t>Ibid., p. 33.</w:t>
      </w:r>
    </w:p>
  </w:footnote>
  <w:footnote w:id="60">
    <w:p w14:paraId="0463BD40" w14:textId="3C93C168" w:rsidR="008A38DC" w:rsidRDefault="008A38DC">
      <w:pPr>
        <w:pStyle w:val="FootnoteText"/>
      </w:pPr>
      <w:r>
        <w:rPr>
          <w:rStyle w:val="FootnoteReference"/>
        </w:rPr>
        <w:footnoteRef/>
      </w:r>
      <w:r>
        <w:t xml:space="preserve"> </w:t>
      </w:r>
      <w:r w:rsidR="003C1BB6">
        <w:t xml:space="preserve">Ibid., </w:t>
      </w:r>
      <w:r w:rsidRPr="008A38DC">
        <w:t xml:space="preserve">p. </w:t>
      </w:r>
      <w:r>
        <w:t xml:space="preserve">34. </w:t>
      </w:r>
    </w:p>
  </w:footnote>
  <w:footnote w:id="61">
    <w:p w14:paraId="21221597" w14:textId="4095731E" w:rsidR="003C1BB6" w:rsidRDefault="003C1BB6">
      <w:pPr>
        <w:pStyle w:val="FootnoteText"/>
      </w:pPr>
      <w:r>
        <w:rPr>
          <w:rStyle w:val="FootnoteReference"/>
        </w:rPr>
        <w:footnoteRef/>
      </w:r>
      <w:r>
        <w:t xml:space="preserve"> </w:t>
      </w:r>
      <w:r w:rsidRPr="003C1BB6">
        <w:t xml:space="preserve">Ortega, </w:t>
      </w:r>
      <w:r w:rsidRPr="003C1BB6">
        <w:rPr>
          <w:i/>
        </w:rPr>
        <w:t>Scourge of War Waterloo</w:t>
      </w:r>
      <w:r w:rsidRPr="003C1BB6">
        <w:t>.</w:t>
      </w:r>
    </w:p>
  </w:footnote>
  <w:footnote w:id="62">
    <w:p w14:paraId="59FE3BC4" w14:textId="6E2B7B4A" w:rsidR="003C1BB6" w:rsidRDefault="003C1BB6">
      <w:pPr>
        <w:pStyle w:val="FootnoteText"/>
      </w:pPr>
      <w:r>
        <w:rPr>
          <w:rStyle w:val="FootnoteReference"/>
        </w:rPr>
        <w:footnoteRef/>
      </w:r>
      <w:r>
        <w:t xml:space="preserve"> Ibid.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szQ1szQ0NTIxNDOwMDBX0lEKTi0uzszPAykwNKoFAHvzK8gtAAAA"/>
  </w:docVars>
  <w:rsids>
    <w:rsidRoot w:val="00905880"/>
    <w:rsid w:val="00012CF9"/>
    <w:rsid w:val="00015126"/>
    <w:rsid w:val="00083142"/>
    <w:rsid w:val="00086DEA"/>
    <w:rsid w:val="000B0D12"/>
    <w:rsid w:val="000B1BE4"/>
    <w:rsid w:val="000E1055"/>
    <w:rsid w:val="000E76CC"/>
    <w:rsid w:val="0011233F"/>
    <w:rsid w:val="0012207A"/>
    <w:rsid w:val="001D3094"/>
    <w:rsid w:val="001E7646"/>
    <w:rsid w:val="001F1F5B"/>
    <w:rsid w:val="001F7BD2"/>
    <w:rsid w:val="00236B8E"/>
    <w:rsid w:val="002A7FD1"/>
    <w:rsid w:val="0038027F"/>
    <w:rsid w:val="00384D06"/>
    <w:rsid w:val="003A3BFD"/>
    <w:rsid w:val="003B12A1"/>
    <w:rsid w:val="003B3971"/>
    <w:rsid w:val="003C1BB6"/>
    <w:rsid w:val="003E095E"/>
    <w:rsid w:val="003E456E"/>
    <w:rsid w:val="00412808"/>
    <w:rsid w:val="004A49CB"/>
    <w:rsid w:val="004B51CB"/>
    <w:rsid w:val="0053602F"/>
    <w:rsid w:val="00550C46"/>
    <w:rsid w:val="00562478"/>
    <w:rsid w:val="00581E0F"/>
    <w:rsid w:val="00594F31"/>
    <w:rsid w:val="005C1E9F"/>
    <w:rsid w:val="00642952"/>
    <w:rsid w:val="0065328D"/>
    <w:rsid w:val="006912D0"/>
    <w:rsid w:val="006C7569"/>
    <w:rsid w:val="006D3410"/>
    <w:rsid w:val="006F0B0E"/>
    <w:rsid w:val="00720FFD"/>
    <w:rsid w:val="0074042F"/>
    <w:rsid w:val="007712AC"/>
    <w:rsid w:val="007733D8"/>
    <w:rsid w:val="007921B2"/>
    <w:rsid w:val="007B6718"/>
    <w:rsid w:val="007E79AB"/>
    <w:rsid w:val="008105A5"/>
    <w:rsid w:val="00815A94"/>
    <w:rsid w:val="00840956"/>
    <w:rsid w:val="00883679"/>
    <w:rsid w:val="008A38DC"/>
    <w:rsid w:val="008F395A"/>
    <w:rsid w:val="00905880"/>
    <w:rsid w:val="009166CB"/>
    <w:rsid w:val="00937259"/>
    <w:rsid w:val="00937DEB"/>
    <w:rsid w:val="00954492"/>
    <w:rsid w:val="009C7238"/>
    <w:rsid w:val="009F443A"/>
    <w:rsid w:val="00A42C95"/>
    <w:rsid w:val="00AA2B74"/>
    <w:rsid w:val="00B82299"/>
    <w:rsid w:val="00C1060D"/>
    <w:rsid w:val="00C47A4B"/>
    <w:rsid w:val="00C702E6"/>
    <w:rsid w:val="00C7121F"/>
    <w:rsid w:val="00CE582C"/>
    <w:rsid w:val="00CF1C68"/>
    <w:rsid w:val="00CF45BD"/>
    <w:rsid w:val="00D24921"/>
    <w:rsid w:val="00D55E59"/>
    <w:rsid w:val="00D7508E"/>
    <w:rsid w:val="00E24BD1"/>
    <w:rsid w:val="00E273B6"/>
    <w:rsid w:val="00E3356D"/>
    <w:rsid w:val="00E8328D"/>
    <w:rsid w:val="00EA1210"/>
    <w:rsid w:val="00EC3D4E"/>
    <w:rsid w:val="00EE67B5"/>
    <w:rsid w:val="00F058D3"/>
    <w:rsid w:val="00F30D8F"/>
    <w:rsid w:val="00FC4E08"/>
    <w:rsid w:val="00FC7032"/>
    <w:rsid w:val="00FC70B1"/>
    <w:rsid w:val="00FD3BCF"/>
    <w:rsid w:val="00FD5D9B"/>
    <w:rsid w:val="00FE4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EE83A5"/>
  <w15:chartTrackingRefBased/>
  <w15:docId w15:val="{681CDD58-4500-43D0-A5F6-31B66CA33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36B8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36B8E"/>
    <w:rPr>
      <w:sz w:val="20"/>
      <w:szCs w:val="20"/>
    </w:rPr>
  </w:style>
  <w:style w:type="character" w:styleId="FootnoteReference">
    <w:name w:val="footnote reference"/>
    <w:basedOn w:val="DefaultParagraphFont"/>
    <w:uiPriority w:val="99"/>
    <w:semiHidden/>
    <w:unhideWhenUsed/>
    <w:rsid w:val="00236B8E"/>
    <w:rPr>
      <w:vertAlign w:val="superscript"/>
    </w:rPr>
  </w:style>
  <w:style w:type="character" w:styleId="Hyperlink">
    <w:name w:val="Hyperlink"/>
    <w:basedOn w:val="DefaultParagraphFont"/>
    <w:uiPriority w:val="99"/>
    <w:unhideWhenUsed/>
    <w:rsid w:val="008F395A"/>
    <w:rPr>
      <w:color w:val="0563C1" w:themeColor="hyperlink"/>
      <w:u w:val="single"/>
    </w:rPr>
  </w:style>
  <w:style w:type="character" w:styleId="UnresolvedMention">
    <w:name w:val="Unresolved Mention"/>
    <w:basedOn w:val="DefaultParagraphFont"/>
    <w:uiPriority w:val="99"/>
    <w:semiHidden/>
    <w:unhideWhenUsed/>
    <w:rsid w:val="008F395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kriegsimulation.blogspot.co.uk/2015/11/scourge-of-war-waterloo-review.html" TargetMode="External"/><Relationship Id="rId1" Type="http://schemas.openxmlformats.org/officeDocument/2006/relationships/hyperlink" Target="http://kriegsimulation.blogspo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4D05E-41A0-44FB-94E9-0D1A2C95B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2980</Words>
  <Characters>14543</Characters>
  <Application>Microsoft Office Word</Application>
  <DocSecurity>0</DocSecurity>
  <Lines>196</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Gillson-Gant</dc:creator>
  <cp:keywords/>
  <dc:description/>
  <cp:lastModifiedBy>Henry Gillson-Gant</cp:lastModifiedBy>
  <cp:revision>2</cp:revision>
  <dcterms:created xsi:type="dcterms:W3CDTF">2018-05-24T16:18:00Z</dcterms:created>
  <dcterms:modified xsi:type="dcterms:W3CDTF">2018-05-24T16:18:00Z</dcterms:modified>
</cp:coreProperties>
</file>