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97C604">
      <w:pPr>
        <w:spacing w:after="2000"/>
        <w:rPr>
          <w:highlight w:val="none"/>
        </w:rPr>
      </w:pPr>
    </w:p>
    <w:p w14:paraId="09A7BAE6">
      <w:pPr>
        <w:spacing w:after="300" w:line="360" w:lineRule="auto"/>
        <w:jc w:val="center"/>
        <w:rPr>
          <w:highlight w:val="none"/>
        </w:rPr>
      </w:pPr>
      <w:r>
        <w:rPr>
          <w:rFonts w:ascii="Arial" w:hAnsi="Arial" w:eastAsia="Arial" w:cs="Arial"/>
          <w:b/>
          <w:bCs/>
          <w:sz w:val="32"/>
          <w:szCs w:val="32"/>
          <w:highlight w:val="none"/>
        </w:rPr>
        <w:t>Learning Ho</w:t>
      </w:r>
      <w:bookmarkStart w:id="5" w:name="_GoBack"/>
      <w:bookmarkEnd w:id="5"/>
      <w:r>
        <w:rPr>
          <w:rFonts w:ascii="Arial" w:hAnsi="Arial" w:eastAsia="Arial" w:cs="Arial"/>
          <w:b/>
          <w:bCs/>
          <w:sz w:val="32"/>
          <w:szCs w:val="32"/>
          <w:highlight w:val="none"/>
        </w:rPr>
        <w:t>w to Read a Research Paper</w:t>
      </w:r>
    </w:p>
    <w:p w14:paraId="5A64DAD7">
      <w:pPr>
        <w:spacing w:after="600" w:line="360" w:lineRule="auto"/>
        <w:jc w:val="center"/>
        <w:rPr>
          <w:highlight w:val="none"/>
        </w:rPr>
      </w:pPr>
      <w:r>
        <w:rPr>
          <w:rFonts w:ascii="Arial" w:hAnsi="Arial" w:eastAsia="Arial" w:cs="Arial"/>
          <w:i/>
          <w:iCs/>
          <w:sz w:val="24"/>
          <w:szCs w:val="24"/>
          <w:highlight w:val="none"/>
        </w:rPr>
        <w:t>A Report on: 'A Cross-Sectional Study of Discipline-Based Self-Perceived Digital Literacy Competencies of Nursing Students' (Martzoukou et al., 2024)</w:t>
      </w:r>
    </w:p>
    <w:tbl>
      <w:tblPr>
        <w:tblStyle w:val="9"/>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908"/>
        <w:gridCol w:w="2996"/>
        <w:gridCol w:w="2063"/>
        <w:gridCol w:w="2065"/>
      </w:tblGrid>
      <w:tr w14:paraId="2DE592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trPr>
        <w:tc>
          <w:tcPr>
            <w:tcW w:w="1056" w:type="pct"/>
            <w:shd w:val="clear" w:color="auto" w:fill="D9D9D9"/>
          </w:tcPr>
          <w:p w14:paraId="4EEC4CBB">
            <w:pPr>
              <w:pStyle w:val="20"/>
              <w:spacing w:before="120"/>
              <w:ind w:left="105"/>
              <w:rPr>
                <w:rFonts w:ascii="Arial"/>
                <w:b/>
                <w:sz w:val="22"/>
              </w:rPr>
            </w:pPr>
            <w:r>
              <w:rPr>
                <w:rFonts w:ascii="Arial"/>
                <w:b/>
                <w:sz w:val="22"/>
              </w:rPr>
              <w:t>Student name:</w:t>
            </w:r>
          </w:p>
        </w:tc>
        <w:tc>
          <w:tcPr>
            <w:tcW w:w="1658" w:type="pct"/>
          </w:tcPr>
          <w:p w14:paraId="5497B814">
            <w:pPr>
              <w:pStyle w:val="20"/>
              <w:spacing w:before="120"/>
              <w:ind w:left="105"/>
              <w:rPr>
                <w:rFonts w:ascii="Arial"/>
                <w:b/>
                <w:sz w:val="22"/>
              </w:rPr>
            </w:pPr>
            <w:r>
              <w:rPr>
                <w:rFonts w:ascii="Arial"/>
                <w:b/>
                <w:sz w:val="22"/>
              </w:rPr>
              <w:t>Janete Da Silva Balde</w:t>
            </w:r>
          </w:p>
          <w:p w14:paraId="73558505">
            <w:pPr>
              <w:pStyle w:val="20"/>
              <w:spacing w:before="120"/>
              <w:ind w:left="105"/>
              <w:rPr>
                <w:rFonts w:ascii="Arial"/>
                <w:b/>
                <w:sz w:val="22"/>
              </w:rPr>
            </w:pPr>
            <w:r>
              <w:rPr>
                <w:rFonts w:hint="default" w:ascii="Arial"/>
                <w:b/>
                <w:sz w:val="22"/>
                <w:lang w:val="en-US" w:eastAsia="zh-CN"/>
              </w:rPr>
              <w:fldChar w:fldCharType="begin"/>
            </w:r>
            <w:r>
              <w:rPr>
                <w:rFonts w:hint="default" w:ascii="Arial"/>
                <w:b/>
                <w:sz w:val="22"/>
                <w:lang w:val="en-US" w:eastAsia="zh-CN"/>
              </w:rPr>
              <w:instrText xml:space="preserve"> HYPERLINK "https://moodle.uwtsd.ac.uk/message/index.php?id=72315" </w:instrText>
            </w:r>
            <w:r>
              <w:rPr>
                <w:rFonts w:hint="default" w:ascii="Arial"/>
                <w:b/>
                <w:sz w:val="22"/>
                <w:lang w:val="en-US" w:eastAsia="zh-CN"/>
              </w:rPr>
              <w:fldChar w:fldCharType="separate"/>
            </w:r>
            <w:r>
              <w:rPr>
                <w:rFonts w:hint="default" w:ascii="Arial"/>
                <w:b/>
                <w:sz w:val="22"/>
                <w:lang w:val="en-US" w:eastAsia="zh-CN"/>
              </w:rPr>
              <w:fldChar w:fldCharType="end"/>
            </w:r>
          </w:p>
        </w:tc>
        <w:tc>
          <w:tcPr>
            <w:tcW w:w="1142" w:type="pct"/>
            <w:shd w:val="clear" w:color="auto" w:fill="D9D9D9"/>
          </w:tcPr>
          <w:p w14:paraId="5AA16DC3">
            <w:pPr>
              <w:pStyle w:val="20"/>
              <w:spacing w:before="120"/>
              <w:ind w:left="105"/>
              <w:rPr>
                <w:rFonts w:ascii="Arial"/>
                <w:b/>
                <w:sz w:val="22"/>
              </w:rPr>
            </w:pPr>
            <w:r>
              <w:rPr>
                <w:rFonts w:ascii="Arial"/>
                <w:b/>
                <w:sz w:val="22"/>
              </w:rPr>
              <w:t xml:space="preserve">Student </w:t>
            </w:r>
            <w:r>
              <w:rPr>
                <w:rFonts w:ascii="Arial"/>
                <w:b/>
                <w:sz w:val="22"/>
              </w:rPr>
              <w:t>ID number:</w:t>
            </w:r>
          </w:p>
        </w:tc>
        <w:tc>
          <w:tcPr>
            <w:tcW w:w="1142" w:type="pct"/>
          </w:tcPr>
          <w:p w14:paraId="57C29FCE">
            <w:pPr>
              <w:pStyle w:val="20"/>
              <w:spacing w:before="120"/>
              <w:ind w:left="105"/>
              <w:rPr>
                <w:rFonts w:ascii="Arial"/>
                <w:b/>
                <w:sz w:val="22"/>
              </w:rPr>
            </w:pPr>
            <w:r>
              <w:rPr>
                <w:rFonts w:ascii="Arial"/>
                <w:b/>
                <w:sz w:val="22"/>
              </w:rPr>
              <w:fldChar w:fldCharType="begin"/>
            </w:r>
            <w:r>
              <w:rPr>
                <w:rFonts w:ascii="Arial"/>
                <w:b/>
                <w:sz w:val="22"/>
              </w:rPr>
              <w:instrText xml:space="preserve"> HYPERLINK "mailto:2311049@student.uwtsd.ac.uk" </w:instrText>
            </w:r>
            <w:r>
              <w:rPr>
                <w:rFonts w:ascii="Arial"/>
                <w:b/>
                <w:sz w:val="22"/>
              </w:rPr>
              <w:fldChar w:fldCharType="separate"/>
            </w:r>
            <w:r>
              <w:rPr>
                <w:rFonts w:hint="default" w:ascii="Arial"/>
                <w:b/>
                <w:sz w:val="22"/>
              </w:rPr>
              <w:t>2311049</w:t>
            </w:r>
            <w:r>
              <w:rPr>
                <w:rFonts w:hint="default" w:ascii="Arial"/>
                <w:b/>
                <w:sz w:val="22"/>
              </w:rPr>
              <w:fldChar w:fldCharType="end"/>
            </w:r>
          </w:p>
        </w:tc>
      </w:tr>
      <w:tr w14:paraId="0F96E2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5" w:hRule="atLeast"/>
        </w:trPr>
        <w:tc>
          <w:tcPr>
            <w:tcW w:w="1056" w:type="pct"/>
            <w:shd w:val="clear" w:color="auto" w:fill="D9D9D9"/>
          </w:tcPr>
          <w:p w14:paraId="4BDD73EF">
            <w:pPr>
              <w:pStyle w:val="20"/>
              <w:spacing w:before="120"/>
              <w:rPr>
                <w:rFonts w:ascii="Arial"/>
                <w:b/>
                <w:sz w:val="22"/>
              </w:rPr>
            </w:pPr>
            <w:r>
              <w:rPr>
                <w:rFonts w:ascii="Arial"/>
                <w:b/>
                <w:spacing w:val="-2"/>
                <w:sz w:val="22"/>
              </w:rPr>
              <w:t>Programme:</w:t>
            </w:r>
          </w:p>
        </w:tc>
        <w:tc>
          <w:tcPr>
            <w:tcW w:w="3943" w:type="pct"/>
            <w:gridSpan w:val="3"/>
          </w:tcPr>
          <w:p w14:paraId="627EE213">
            <w:pPr>
              <w:pStyle w:val="20"/>
              <w:spacing w:before="120"/>
              <w:ind w:left="105"/>
              <w:rPr>
                <w:rFonts w:ascii="Arial"/>
                <w:b/>
                <w:sz w:val="22"/>
              </w:rPr>
            </w:pPr>
            <w:r>
              <w:rPr>
                <w:rFonts w:ascii="Arial"/>
                <w:b/>
                <w:sz w:val="22"/>
              </w:rPr>
              <w:t xml:space="preserve">Certificate of Higher Education Skills for the Workplace (Health &amp; Social </w:t>
            </w:r>
            <w:r>
              <w:rPr>
                <w:rFonts w:ascii="Arial"/>
                <w:b/>
                <w:spacing w:val="-2"/>
                <w:sz w:val="22"/>
              </w:rPr>
              <w:t>Care)</w:t>
            </w:r>
          </w:p>
        </w:tc>
      </w:tr>
      <w:tr w14:paraId="11D607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2" w:hRule="atLeast"/>
        </w:trPr>
        <w:tc>
          <w:tcPr>
            <w:tcW w:w="1056" w:type="pct"/>
            <w:shd w:val="clear" w:color="auto" w:fill="D9D9D9"/>
          </w:tcPr>
          <w:p w14:paraId="1BF4F2E4">
            <w:pPr>
              <w:pStyle w:val="20"/>
              <w:spacing w:before="120"/>
              <w:rPr>
                <w:rFonts w:ascii="Arial"/>
                <w:b/>
                <w:sz w:val="22"/>
              </w:rPr>
            </w:pPr>
            <w:r>
              <w:rPr>
                <w:rFonts w:ascii="Arial"/>
                <w:b/>
                <w:spacing w:val="-2"/>
                <w:sz w:val="22"/>
              </w:rPr>
              <w:t>Module:</w:t>
            </w:r>
          </w:p>
        </w:tc>
        <w:tc>
          <w:tcPr>
            <w:tcW w:w="3943" w:type="pct"/>
            <w:gridSpan w:val="3"/>
          </w:tcPr>
          <w:p w14:paraId="17A2B7D5">
            <w:pPr>
              <w:pStyle w:val="20"/>
              <w:spacing w:before="120"/>
              <w:ind w:left="105"/>
              <w:rPr>
                <w:rFonts w:ascii="Arial"/>
                <w:b/>
                <w:sz w:val="22"/>
              </w:rPr>
            </w:pPr>
            <w:r>
              <w:rPr>
                <w:rFonts w:ascii="Arial"/>
                <w:b/>
                <w:sz w:val="22"/>
              </w:rPr>
              <w:t>Digital</w:t>
            </w:r>
            <w:r>
              <w:rPr>
                <w:rFonts w:ascii="Arial"/>
                <w:b/>
                <w:spacing w:val="-3"/>
                <w:sz w:val="22"/>
              </w:rPr>
              <w:t xml:space="preserve"> </w:t>
            </w:r>
            <w:r>
              <w:rPr>
                <w:rFonts w:ascii="Arial"/>
                <w:b/>
                <w:sz w:val="22"/>
              </w:rPr>
              <w:t>Skills</w:t>
            </w:r>
            <w:r>
              <w:rPr>
                <w:rFonts w:ascii="Arial"/>
                <w:b/>
                <w:spacing w:val="-4"/>
                <w:sz w:val="22"/>
              </w:rPr>
              <w:t xml:space="preserve"> </w:t>
            </w:r>
            <w:r>
              <w:rPr>
                <w:rFonts w:ascii="Arial"/>
                <w:b/>
                <w:sz w:val="22"/>
              </w:rPr>
              <w:t>and</w:t>
            </w:r>
            <w:r>
              <w:rPr>
                <w:rFonts w:ascii="Arial"/>
                <w:b/>
                <w:spacing w:val="-6"/>
                <w:sz w:val="22"/>
              </w:rPr>
              <w:t xml:space="preserve"> </w:t>
            </w:r>
            <w:r>
              <w:rPr>
                <w:rFonts w:ascii="Arial"/>
                <w:b/>
                <w:sz w:val="22"/>
              </w:rPr>
              <w:t>Research</w:t>
            </w:r>
            <w:r>
              <w:rPr>
                <w:rFonts w:ascii="Arial"/>
                <w:b/>
                <w:spacing w:val="-6"/>
                <w:sz w:val="22"/>
              </w:rPr>
              <w:t xml:space="preserve"> </w:t>
            </w:r>
            <w:r>
              <w:rPr>
                <w:rFonts w:ascii="Arial"/>
                <w:b/>
                <w:spacing w:val="-2"/>
                <w:sz w:val="22"/>
              </w:rPr>
              <w:t>Methods</w:t>
            </w:r>
          </w:p>
        </w:tc>
      </w:tr>
      <w:tr w14:paraId="59676A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0" w:hRule="atLeast"/>
        </w:trPr>
        <w:tc>
          <w:tcPr>
            <w:tcW w:w="1056" w:type="pct"/>
            <w:shd w:val="clear" w:color="auto" w:fill="D9D9D9"/>
          </w:tcPr>
          <w:p w14:paraId="676AE77A">
            <w:pPr>
              <w:pStyle w:val="20"/>
              <w:spacing w:before="122"/>
              <w:rPr>
                <w:rFonts w:ascii="Arial"/>
                <w:b/>
                <w:sz w:val="22"/>
              </w:rPr>
            </w:pPr>
            <w:r>
              <w:rPr>
                <w:rFonts w:ascii="Arial"/>
                <w:b/>
                <w:sz w:val="22"/>
              </w:rPr>
              <w:t>Module</w:t>
            </w:r>
            <w:r>
              <w:rPr>
                <w:rFonts w:ascii="Arial"/>
                <w:b/>
                <w:spacing w:val="-8"/>
                <w:sz w:val="22"/>
              </w:rPr>
              <w:t xml:space="preserve"> </w:t>
            </w:r>
            <w:r>
              <w:rPr>
                <w:rFonts w:ascii="Arial"/>
                <w:b/>
                <w:spacing w:val="-2"/>
                <w:sz w:val="22"/>
              </w:rPr>
              <w:t>code:</w:t>
            </w:r>
          </w:p>
        </w:tc>
        <w:tc>
          <w:tcPr>
            <w:tcW w:w="1658" w:type="pct"/>
          </w:tcPr>
          <w:p w14:paraId="2670C3DB">
            <w:pPr>
              <w:pStyle w:val="20"/>
              <w:spacing w:before="122"/>
              <w:ind w:left="105"/>
              <w:rPr>
                <w:rFonts w:ascii="Arial"/>
                <w:b/>
                <w:sz w:val="22"/>
              </w:rPr>
            </w:pPr>
            <w:r>
              <w:rPr>
                <w:rFonts w:ascii="Arial"/>
                <w:b/>
                <w:spacing w:val="-2"/>
                <w:sz w:val="22"/>
              </w:rPr>
              <w:t>LCHS4007</w:t>
            </w:r>
          </w:p>
        </w:tc>
        <w:tc>
          <w:tcPr>
            <w:tcW w:w="1142" w:type="pct"/>
            <w:shd w:val="clear" w:color="auto" w:fill="D9D9D9"/>
          </w:tcPr>
          <w:p w14:paraId="3E80DA75">
            <w:pPr>
              <w:pStyle w:val="20"/>
              <w:spacing w:line="252" w:lineRule="exact"/>
              <w:ind w:right="94"/>
              <w:jc w:val="both"/>
              <w:rPr>
                <w:rFonts w:ascii="Arial"/>
                <w:b/>
                <w:sz w:val="22"/>
              </w:rPr>
            </w:pPr>
            <w:r>
              <w:rPr>
                <w:rFonts w:ascii="Arial"/>
                <w:b/>
                <w:sz w:val="22"/>
              </w:rPr>
              <w:t>Contribution to Overall Module Assessment (%):</w:t>
            </w:r>
          </w:p>
        </w:tc>
        <w:tc>
          <w:tcPr>
            <w:tcW w:w="1142" w:type="pct"/>
          </w:tcPr>
          <w:p w14:paraId="67B5742D">
            <w:pPr>
              <w:pStyle w:val="20"/>
              <w:spacing w:before="122"/>
              <w:ind w:left="108"/>
              <w:rPr>
                <w:rFonts w:ascii="Arial"/>
                <w:b/>
                <w:sz w:val="22"/>
              </w:rPr>
            </w:pPr>
            <w:r>
              <w:rPr>
                <w:rFonts w:ascii="Arial"/>
                <w:b/>
                <w:spacing w:val="-5"/>
                <w:sz w:val="22"/>
              </w:rPr>
              <w:t>50%</w:t>
            </w:r>
          </w:p>
        </w:tc>
      </w:tr>
      <w:tr w14:paraId="5F64AA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46" w:hRule="atLeast"/>
        </w:trPr>
        <w:tc>
          <w:tcPr>
            <w:tcW w:w="1056" w:type="pct"/>
            <w:shd w:val="clear" w:color="auto" w:fill="D9D9D9"/>
          </w:tcPr>
          <w:p w14:paraId="68F7BB1A">
            <w:pPr>
              <w:pStyle w:val="20"/>
              <w:spacing w:before="120"/>
              <w:rPr>
                <w:rFonts w:ascii="Arial"/>
                <w:b/>
                <w:sz w:val="22"/>
              </w:rPr>
            </w:pPr>
            <w:r>
              <w:rPr>
                <w:rFonts w:ascii="Arial"/>
                <w:b/>
                <w:spacing w:val="-2"/>
                <w:sz w:val="22"/>
              </w:rPr>
              <w:t>Lecturer:</w:t>
            </w:r>
          </w:p>
        </w:tc>
        <w:tc>
          <w:tcPr>
            <w:tcW w:w="1658" w:type="pct"/>
          </w:tcPr>
          <w:p w14:paraId="167C0336">
            <w:pPr>
              <w:pStyle w:val="20"/>
              <w:spacing w:before="120"/>
              <w:ind w:left="105"/>
              <w:rPr>
                <w:rFonts w:ascii="Arial"/>
                <w:b/>
                <w:sz w:val="22"/>
              </w:rPr>
            </w:pPr>
            <w:r>
              <w:rPr>
                <w:rFonts w:ascii="Arial"/>
                <w:b/>
                <w:sz w:val="22"/>
              </w:rPr>
              <w:t>Kwame</w:t>
            </w:r>
            <w:r>
              <w:rPr>
                <w:rFonts w:ascii="Arial"/>
                <w:b/>
                <w:spacing w:val="40"/>
                <w:sz w:val="22"/>
              </w:rPr>
              <w:t xml:space="preserve"> </w:t>
            </w:r>
            <w:r>
              <w:rPr>
                <w:rFonts w:ascii="Arial"/>
                <w:b/>
                <w:sz w:val="22"/>
              </w:rPr>
              <w:t>Assa-Agyei</w:t>
            </w:r>
            <w:r>
              <w:rPr>
                <w:rFonts w:ascii="Arial"/>
                <w:b/>
                <w:spacing w:val="40"/>
                <w:sz w:val="22"/>
              </w:rPr>
              <w:t xml:space="preserve"> </w:t>
            </w:r>
            <w:r>
              <w:rPr>
                <w:rFonts w:ascii="Arial"/>
                <w:b/>
                <w:sz w:val="22"/>
              </w:rPr>
              <w:t xml:space="preserve">(Module </w:t>
            </w:r>
            <w:r>
              <w:rPr>
                <w:rFonts w:ascii="Arial"/>
                <w:b/>
                <w:spacing w:val="-2"/>
                <w:sz w:val="22"/>
              </w:rPr>
              <w:t>Leader)</w:t>
            </w:r>
          </w:p>
        </w:tc>
        <w:tc>
          <w:tcPr>
            <w:tcW w:w="1142" w:type="pct"/>
            <w:shd w:val="clear" w:color="auto" w:fill="D9D9D9"/>
          </w:tcPr>
          <w:p w14:paraId="6697BAD6">
            <w:pPr>
              <w:pStyle w:val="20"/>
              <w:spacing w:before="120"/>
              <w:rPr>
                <w:rFonts w:ascii="Arial"/>
                <w:b/>
                <w:sz w:val="22"/>
              </w:rPr>
            </w:pPr>
            <w:r>
              <w:rPr>
                <w:rFonts w:ascii="Arial"/>
                <w:b/>
                <w:sz w:val="22"/>
              </w:rPr>
              <w:t>Internal</w:t>
            </w:r>
            <w:r>
              <w:rPr>
                <w:rFonts w:ascii="Arial"/>
                <w:b/>
                <w:spacing w:val="-6"/>
                <w:sz w:val="22"/>
              </w:rPr>
              <w:t xml:space="preserve"> </w:t>
            </w:r>
            <w:r>
              <w:rPr>
                <w:rFonts w:ascii="Arial"/>
                <w:b/>
                <w:spacing w:val="-2"/>
                <w:sz w:val="22"/>
              </w:rPr>
              <w:t>Verifier:</w:t>
            </w:r>
          </w:p>
        </w:tc>
        <w:tc>
          <w:tcPr>
            <w:tcW w:w="1142" w:type="pct"/>
          </w:tcPr>
          <w:p w14:paraId="2DCEB221">
            <w:pPr>
              <w:pStyle w:val="20"/>
              <w:spacing w:before="120"/>
              <w:ind w:left="108"/>
              <w:rPr>
                <w:rFonts w:ascii="Arial"/>
                <w:b/>
                <w:sz w:val="22"/>
              </w:rPr>
            </w:pPr>
            <w:r>
              <w:rPr>
                <w:rFonts w:ascii="Arial"/>
                <w:b/>
                <w:sz w:val="22"/>
              </w:rPr>
              <w:t>Dr</w:t>
            </w:r>
            <w:r>
              <w:rPr>
                <w:rFonts w:ascii="Arial"/>
                <w:b/>
                <w:spacing w:val="-3"/>
                <w:sz w:val="22"/>
              </w:rPr>
              <w:t xml:space="preserve"> </w:t>
            </w:r>
            <w:r>
              <w:rPr>
                <w:rFonts w:ascii="Arial"/>
                <w:b/>
                <w:sz w:val="22"/>
              </w:rPr>
              <w:t>Besty</w:t>
            </w:r>
            <w:r>
              <w:rPr>
                <w:rFonts w:ascii="Arial"/>
                <w:b/>
                <w:spacing w:val="-4"/>
                <w:sz w:val="22"/>
              </w:rPr>
              <w:t xml:space="preserve"> Jose</w:t>
            </w:r>
          </w:p>
        </w:tc>
      </w:tr>
    </w:tbl>
    <w:p w14:paraId="10FCC626">
      <w:pPr>
        <w:rPr>
          <w:highlight w:val="none"/>
        </w:rPr>
      </w:pPr>
    </w:p>
    <w:p w14:paraId="0150CEA4">
      <w:pPr>
        <w:rPr>
          <w:rFonts w:hint="default"/>
          <w:b/>
          <w:bCs/>
          <w:sz w:val="32"/>
          <w:szCs w:val="36"/>
          <w:highlight w:val="none"/>
          <w:lang w:val="en-US"/>
        </w:rPr>
      </w:pPr>
      <w:r>
        <w:rPr>
          <w:rFonts w:hint="default"/>
          <w:b/>
          <w:bCs/>
          <w:sz w:val="32"/>
          <w:szCs w:val="36"/>
          <w:highlight w:val="none"/>
          <w:lang w:val="en-US"/>
        </w:rPr>
        <w:t>Word Count: 1552</w:t>
      </w:r>
    </w:p>
    <w:p w14:paraId="53831729">
      <w:pPr>
        <w:rPr>
          <w:rFonts w:hint="default"/>
          <w:highlight w:val="none"/>
          <w:lang w:val="en-US"/>
        </w:rPr>
      </w:pPr>
    </w:p>
    <w:p w14:paraId="6749FC77">
      <w:pPr>
        <w:rPr>
          <w:rFonts w:hint="default"/>
          <w:highlight w:val="none"/>
          <w:lang w:val="en-US"/>
        </w:rPr>
      </w:pPr>
    </w:p>
    <w:p w14:paraId="3FD8F64E">
      <w:pPr>
        <w:rPr>
          <w:rFonts w:hint="default"/>
          <w:highlight w:val="none"/>
          <w:lang w:val="en-US"/>
        </w:rPr>
      </w:pPr>
    </w:p>
    <w:p w14:paraId="1F6BFAD9">
      <w:pPr>
        <w:rPr>
          <w:rFonts w:hint="default"/>
          <w:highlight w:val="none"/>
          <w:lang w:val="en-US"/>
        </w:rPr>
      </w:pPr>
    </w:p>
    <w:p w14:paraId="5B3C3F5E">
      <w:pPr>
        <w:rPr>
          <w:rFonts w:hint="default"/>
          <w:highlight w:val="none"/>
          <w:lang w:val="en-US"/>
        </w:rPr>
      </w:pPr>
    </w:p>
    <w:p w14:paraId="7C8037BC">
      <w:pPr>
        <w:rPr>
          <w:rFonts w:hint="default"/>
          <w:highlight w:val="none"/>
          <w:lang w:val="en-US"/>
        </w:rPr>
      </w:pPr>
    </w:p>
    <w:p w14:paraId="3C0CE2B5">
      <w:pPr>
        <w:rPr>
          <w:rFonts w:hint="default"/>
          <w:highlight w:val="none"/>
          <w:lang w:val="en-US"/>
        </w:rPr>
      </w:pPr>
    </w:p>
    <w:p w14:paraId="546E8099">
      <w:pPr>
        <w:rPr>
          <w:rFonts w:hint="default"/>
          <w:highlight w:val="none"/>
          <w:lang w:val="en-US"/>
        </w:rPr>
      </w:pPr>
    </w:p>
    <w:p w14:paraId="5A104941">
      <w:pPr>
        <w:rPr>
          <w:rFonts w:hint="default"/>
          <w:highlight w:val="none"/>
          <w:lang w:val="en-US"/>
        </w:rPr>
      </w:pPr>
    </w:p>
    <w:p w14:paraId="37FCC6DF">
      <w:pPr>
        <w:rPr>
          <w:rFonts w:hint="default"/>
          <w:highlight w:val="none"/>
          <w:lang w:val="en-US"/>
        </w:rPr>
      </w:pPr>
    </w:p>
    <w:p w14:paraId="2FC56F78">
      <w:pPr>
        <w:rPr>
          <w:rFonts w:hint="default"/>
          <w:highlight w:val="none"/>
          <w:lang w:val="en-US"/>
        </w:rPr>
      </w:pPr>
    </w:p>
    <w:p w14:paraId="75316239">
      <w:pPr>
        <w:rPr>
          <w:rFonts w:hint="default"/>
          <w:highlight w:val="none"/>
          <w:lang w:val="en-US"/>
        </w:rPr>
      </w:pPr>
    </w:p>
    <w:p w14:paraId="086BB9BB">
      <w:pPr>
        <w:rPr>
          <w:rFonts w:hint="default"/>
          <w:highlight w:val="none"/>
          <w:lang w:val="en-US"/>
        </w:rPr>
      </w:pPr>
    </w:p>
    <w:p w14:paraId="5B05F0DB">
      <w:pPr>
        <w:rPr>
          <w:rFonts w:hint="default"/>
          <w:highlight w:val="none"/>
          <w:lang w:val="en-US"/>
        </w:rPr>
      </w:pPr>
    </w:p>
    <w:p w14:paraId="681460C7">
      <w:pPr>
        <w:rPr>
          <w:rFonts w:hint="default"/>
          <w:highlight w:val="none"/>
          <w:lang w:val="en-US"/>
        </w:rPr>
      </w:pPr>
    </w:p>
    <w:p w14:paraId="7CBF9453">
      <w:pPr>
        <w:rPr>
          <w:rFonts w:hint="default"/>
          <w:highlight w:val="none"/>
          <w:lang w:val="en-US"/>
        </w:rPr>
      </w:pPr>
    </w:p>
    <w:p w14:paraId="52174790">
      <w:pPr>
        <w:rPr>
          <w:rFonts w:hint="default"/>
          <w:highlight w:val="none"/>
          <w:lang w:val="en-US"/>
        </w:rPr>
      </w:pPr>
    </w:p>
    <w:p w14:paraId="7088EC3D">
      <w:pPr>
        <w:rPr>
          <w:rFonts w:hint="default"/>
          <w:highlight w:val="none"/>
          <w:lang w:val="en-US"/>
        </w:rPr>
      </w:pPr>
    </w:p>
    <w:p w14:paraId="664D43CB">
      <w:pPr>
        <w:rPr>
          <w:rFonts w:hint="default"/>
          <w:highlight w:val="none"/>
          <w:lang w:val="en-US"/>
        </w:rPr>
      </w:pPr>
    </w:p>
    <w:p w14:paraId="1FD18A6C">
      <w:pPr>
        <w:rPr>
          <w:rFonts w:hint="default"/>
          <w:highlight w:val="none"/>
          <w:lang w:val="en-US"/>
        </w:rPr>
      </w:pPr>
    </w:p>
    <w:p w14:paraId="3B1389FA">
      <w:pPr>
        <w:rPr>
          <w:rFonts w:hint="default"/>
          <w:highlight w:val="none"/>
          <w:lang w:val="en-US"/>
        </w:rPr>
      </w:pPr>
    </w:p>
    <w:p w14:paraId="0FC508EE">
      <w:pPr>
        <w:rPr>
          <w:rFonts w:hint="default"/>
          <w:highlight w:val="none"/>
          <w:lang w:val="en-US"/>
        </w:rPr>
      </w:pPr>
    </w:p>
    <w:p w14:paraId="116E0B86">
      <w:pPr>
        <w:rPr>
          <w:rFonts w:hint="default"/>
          <w:highlight w:val="none"/>
          <w:lang w:val="en-US"/>
        </w:rPr>
      </w:pPr>
    </w:p>
    <w:p w14:paraId="1339FECE">
      <w:pPr>
        <w:pStyle w:val="16"/>
        <w:tabs>
          <w:tab w:val="right" w:leader="dot" w:pos="9026"/>
        </w:tabs>
        <w:spacing w:line="360" w:lineRule="auto"/>
        <w:jc w:val="center"/>
        <w:rPr>
          <w:rFonts w:hint="default" w:ascii="Arial" w:hAnsi="Arial" w:cs="Arial" w:eastAsiaTheme="minorEastAsia"/>
          <w:b/>
          <w:bCs/>
          <w:sz w:val="28"/>
          <w:szCs w:val="32"/>
          <w:highlight w:val="none"/>
          <w:lang w:val="en-US"/>
        </w:rPr>
      </w:pPr>
      <w:r>
        <w:rPr>
          <w:rFonts w:hint="default" w:ascii="Arial" w:hAnsi="Arial" w:cs="Arial" w:eastAsiaTheme="minorEastAsia"/>
          <w:b/>
          <w:bCs/>
          <w:sz w:val="28"/>
          <w:szCs w:val="32"/>
          <w:highlight w:val="none"/>
          <w:lang w:val="en-US"/>
        </w:rPr>
        <w:t>Table Of Content</w:t>
      </w:r>
    </w:p>
    <w:p w14:paraId="2B855EF4">
      <w:pPr>
        <w:pStyle w:val="16"/>
        <w:tabs>
          <w:tab w:val="right" w:leader="dot" w:pos="9026"/>
        </w:tabs>
        <w:spacing w:line="360" w:lineRule="auto"/>
        <w:rPr>
          <w:rFonts w:hint="default" w:ascii="Arial" w:hAnsi="Arial" w:cs="Arial" w:eastAsiaTheme="minorEastAsia"/>
          <w:sz w:val="22"/>
          <w:szCs w:val="24"/>
          <w:highlight w:val="none"/>
        </w:rPr>
      </w:pPr>
      <w:r>
        <w:rPr>
          <w:rFonts w:hint="default" w:ascii="Arial" w:hAnsi="Arial" w:cs="Arial" w:eastAsiaTheme="minorEastAsia"/>
          <w:sz w:val="22"/>
          <w:szCs w:val="24"/>
          <w:highlight w:val="none"/>
          <w:lang w:val="en-US"/>
        </w:rPr>
        <w:fldChar w:fldCharType="begin"/>
      </w:r>
      <w:r>
        <w:rPr>
          <w:rFonts w:hint="default" w:ascii="Arial" w:hAnsi="Arial" w:cs="Arial" w:eastAsiaTheme="minorEastAsia"/>
          <w:sz w:val="22"/>
          <w:szCs w:val="24"/>
          <w:highlight w:val="none"/>
          <w:lang w:val="en-US"/>
        </w:rPr>
        <w:instrText xml:space="preserve">TOC \o "1-3" \h \u </w:instrText>
      </w:r>
      <w:r>
        <w:rPr>
          <w:rFonts w:hint="default" w:ascii="Arial" w:hAnsi="Arial" w:cs="Arial" w:eastAsiaTheme="minorEastAsia"/>
          <w:sz w:val="22"/>
          <w:szCs w:val="24"/>
          <w:highlight w:val="none"/>
          <w:lang w:val="en-US"/>
        </w:rPr>
        <w:fldChar w:fldCharType="separate"/>
      </w:r>
      <w:r>
        <w:rPr>
          <w:rFonts w:hint="default" w:ascii="Arial" w:hAnsi="Arial" w:cs="Arial" w:eastAsiaTheme="minorEastAsia"/>
          <w:sz w:val="22"/>
          <w:szCs w:val="24"/>
          <w:highlight w:val="none"/>
          <w:lang w:val="en-US"/>
        </w:rPr>
        <w:fldChar w:fldCharType="begin"/>
      </w:r>
      <w:r>
        <w:rPr>
          <w:rFonts w:hint="default" w:ascii="Arial" w:hAnsi="Arial" w:cs="Arial" w:eastAsiaTheme="minorEastAsia"/>
          <w:sz w:val="22"/>
          <w:szCs w:val="24"/>
          <w:highlight w:val="none"/>
          <w:lang w:val="en-US"/>
        </w:rPr>
        <w:instrText xml:space="preserve"> HYPERLINK \l _Toc3049 </w:instrText>
      </w:r>
      <w:r>
        <w:rPr>
          <w:rFonts w:hint="default" w:ascii="Arial" w:hAnsi="Arial" w:cs="Arial" w:eastAsiaTheme="minorEastAsia"/>
          <w:sz w:val="22"/>
          <w:szCs w:val="24"/>
          <w:highlight w:val="none"/>
          <w:lang w:val="en-US"/>
        </w:rPr>
        <w:fldChar w:fldCharType="separate"/>
      </w:r>
      <w:r>
        <w:rPr>
          <w:rFonts w:hint="default" w:ascii="Arial" w:hAnsi="Arial" w:cs="Arial" w:eastAsiaTheme="minorEastAsia"/>
          <w:sz w:val="22"/>
          <w:szCs w:val="24"/>
          <w:highlight w:val="none"/>
        </w:rPr>
        <w:t>Section 1: Introducing the Research Paper and Topic Development</w:t>
      </w:r>
      <w:r>
        <w:rPr>
          <w:rFonts w:hint="default" w:ascii="Arial" w:hAnsi="Arial" w:cs="Arial" w:eastAsiaTheme="minorEastAsia"/>
          <w:sz w:val="22"/>
          <w:szCs w:val="24"/>
          <w:highlight w:val="none"/>
        </w:rPr>
        <w:tab/>
      </w:r>
      <w:r>
        <w:rPr>
          <w:rFonts w:hint="default" w:ascii="Arial" w:hAnsi="Arial" w:cs="Arial" w:eastAsiaTheme="minorEastAsia"/>
          <w:sz w:val="22"/>
          <w:szCs w:val="24"/>
          <w:highlight w:val="none"/>
        </w:rPr>
        <w:fldChar w:fldCharType="begin"/>
      </w:r>
      <w:r>
        <w:rPr>
          <w:rFonts w:hint="default" w:ascii="Arial" w:hAnsi="Arial" w:cs="Arial" w:eastAsiaTheme="minorEastAsia"/>
          <w:sz w:val="22"/>
          <w:szCs w:val="24"/>
          <w:highlight w:val="none"/>
        </w:rPr>
        <w:instrText xml:space="preserve"> PAGEREF _Toc3049 \h </w:instrText>
      </w:r>
      <w:r>
        <w:rPr>
          <w:rFonts w:hint="default" w:ascii="Arial" w:hAnsi="Arial" w:cs="Arial" w:eastAsiaTheme="minorEastAsia"/>
          <w:sz w:val="22"/>
          <w:szCs w:val="24"/>
          <w:highlight w:val="none"/>
        </w:rPr>
        <w:fldChar w:fldCharType="separate"/>
      </w:r>
      <w:r>
        <w:rPr>
          <w:rFonts w:hint="default" w:ascii="Arial" w:hAnsi="Arial" w:cs="Arial" w:eastAsiaTheme="minorEastAsia"/>
          <w:sz w:val="22"/>
          <w:szCs w:val="24"/>
          <w:highlight w:val="none"/>
        </w:rPr>
        <w:t>2</w:t>
      </w:r>
      <w:r>
        <w:rPr>
          <w:rFonts w:hint="default" w:ascii="Arial" w:hAnsi="Arial" w:cs="Arial" w:eastAsiaTheme="minorEastAsia"/>
          <w:sz w:val="22"/>
          <w:szCs w:val="24"/>
          <w:highlight w:val="none"/>
        </w:rPr>
        <w:fldChar w:fldCharType="end"/>
      </w:r>
      <w:r>
        <w:rPr>
          <w:rFonts w:hint="default" w:ascii="Arial" w:hAnsi="Arial" w:cs="Arial" w:eastAsiaTheme="minorEastAsia"/>
          <w:sz w:val="22"/>
          <w:szCs w:val="24"/>
          <w:highlight w:val="none"/>
          <w:lang w:val="en-US"/>
        </w:rPr>
        <w:fldChar w:fldCharType="end"/>
      </w:r>
    </w:p>
    <w:p w14:paraId="607856C3">
      <w:pPr>
        <w:pStyle w:val="16"/>
        <w:tabs>
          <w:tab w:val="right" w:leader="dot" w:pos="9026"/>
        </w:tabs>
        <w:spacing w:line="360" w:lineRule="auto"/>
        <w:rPr>
          <w:rFonts w:hint="default" w:ascii="Arial" w:hAnsi="Arial" w:cs="Arial" w:eastAsiaTheme="minorEastAsia"/>
          <w:sz w:val="22"/>
          <w:szCs w:val="24"/>
          <w:highlight w:val="none"/>
        </w:rPr>
      </w:pPr>
      <w:r>
        <w:rPr>
          <w:rFonts w:hint="default" w:ascii="Arial" w:hAnsi="Arial" w:cs="Arial" w:eastAsiaTheme="minorEastAsia"/>
          <w:sz w:val="22"/>
          <w:szCs w:val="24"/>
          <w:highlight w:val="none"/>
          <w:lang w:val="en-US"/>
        </w:rPr>
        <w:fldChar w:fldCharType="begin"/>
      </w:r>
      <w:r>
        <w:rPr>
          <w:rFonts w:hint="default" w:ascii="Arial" w:hAnsi="Arial" w:cs="Arial" w:eastAsiaTheme="minorEastAsia"/>
          <w:sz w:val="22"/>
          <w:szCs w:val="24"/>
          <w:highlight w:val="none"/>
          <w:lang w:val="en-US"/>
        </w:rPr>
        <w:instrText xml:space="preserve"> HYPERLINK \l _Toc31836 </w:instrText>
      </w:r>
      <w:r>
        <w:rPr>
          <w:rFonts w:hint="default" w:ascii="Arial" w:hAnsi="Arial" w:cs="Arial" w:eastAsiaTheme="minorEastAsia"/>
          <w:sz w:val="22"/>
          <w:szCs w:val="24"/>
          <w:highlight w:val="none"/>
          <w:lang w:val="en-US"/>
        </w:rPr>
        <w:fldChar w:fldCharType="separate"/>
      </w:r>
      <w:r>
        <w:rPr>
          <w:rFonts w:hint="default" w:ascii="Arial" w:hAnsi="Arial" w:cs="Arial" w:eastAsiaTheme="minorEastAsia"/>
          <w:sz w:val="22"/>
          <w:szCs w:val="24"/>
          <w:highlight w:val="none"/>
        </w:rPr>
        <w:t>Section 2: Understanding the Purpose and Research Question</w:t>
      </w:r>
      <w:r>
        <w:rPr>
          <w:rFonts w:hint="default" w:ascii="Arial" w:hAnsi="Arial" w:cs="Arial" w:eastAsiaTheme="minorEastAsia"/>
          <w:sz w:val="22"/>
          <w:szCs w:val="24"/>
          <w:highlight w:val="none"/>
        </w:rPr>
        <w:tab/>
      </w:r>
      <w:r>
        <w:rPr>
          <w:rFonts w:hint="default" w:ascii="Arial" w:hAnsi="Arial" w:cs="Arial" w:eastAsiaTheme="minorEastAsia"/>
          <w:sz w:val="22"/>
          <w:szCs w:val="24"/>
          <w:highlight w:val="none"/>
        </w:rPr>
        <w:fldChar w:fldCharType="begin"/>
      </w:r>
      <w:r>
        <w:rPr>
          <w:rFonts w:hint="default" w:ascii="Arial" w:hAnsi="Arial" w:cs="Arial" w:eastAsiaTheme="minorEastAsia"/>
          <w:sz w:val="22"/>
          <w:szCs w:val="24"/>
          <w:highlight w:val="none"/>
        </w:rPr>
        <w:instrText xml:space="preserve"> PAGEREF _Toc31836 \h </w:instrText>
      </w:r>
      <w:r>
        <w:rPr>
          <w:rFonts w:hint="default" w:ascii="Arial" w:hAnsi="Arial" w:cs="Arial" w:eastAsiaTheme="minorEastAsia"/>
          <w:sz w:val="22"/>
          <w:szCs w:val="24"/>
          <w:highlight w:val="none"/>
        </w:rPr>
        <w:fldChar w:fldCharType="separate"/>
      </w:r>
      <w:r>
        <w:rPr>
          <w:rFonts w:hint="default" w:ascii="Arial" w:hAnsi="Arial" w:cs="Arial" w:eastAsiaTheme="minorEastAsia"/>
          <w:sz w:val="22"/>
          <w:szCs w:val="24"/>
          <w:highlight w:val="none"/>
        </w:rPr>
        <w:t>3</w:t>
      </w:r>
      <w:r>
        <w:rPr>
          <w:rFonts w:hint="default" w:ascii="Arial" w:hAnsi="Arial" w:cs="Arial" w:eastAsiaTheme="minorEastAsia"/>
          <w:sz w:val="22"/>
          <w:szCs w:val="24"/>
          <w:highlight w:val="none"/>
        </w:rPr>
        <w:fldChar w:fldCharType="end"/>
      </w:r>
      <w:r>
        <w:rPr>
          <w:rFonts w:hint="default" w:ascii="Arial" w:hAnsi="Arial" w:cs="Arial" w:eastAsiaTheme="minorEastAsia"/>
          <w:sz w:val="22"/>
          <w:szCs w:val="24"/>
          <w:highlight w:val="none"/>
          <w:lang w:val="en-US"/>
        </w:rPr>
        <w:fldChar w:fldCharType="end"/>
      </w:r>
    </w:p>
    <w:p w14:paraId="3DBF56D0">
      <w:pPr>
        <w:pStyle w:val="16"/>
        <w:tabs>
          <w:tab w:val="right" w:leader="dot" w:pos="9026"/>
        </w:tabs>
        <w:spacing w:line="360" w:lineRule="auto"/>
        <w:rPr>
          <w:rFonts w:hint="default" w:ascii="Arial" w:hAnsi="Arial" w:cs="Arial" w:eastAsiaTheme="minorEastAsia"/>
          <w:sz w:val="22"/>
          <w:szCs w:val="24"/>
          <w:highlight w:val="none"/>
        </w:rPr>
      </w:pPr>
      <w:r>
        <w:rPr>
          <w:rFonts w:hint="default" w:ascii="Arial" w:hAnsi="Arial" w:cs="Arial" w:eastAsiaTheme="minorEastAsia"/>
          <w:sz w:val="22"/>
          <w:szCs w:val="24"/>
          <w:highlight w:val="none"/>
          <w:lang w:val="en-US"/>
        </w:rPr>
        <w:fldChar w:fldCharType="begin"/>
      </w:r>
      <w:r>
        <w:rPr>
          <w:rFonts w:hint="default" w:ascii="Arial" w:hAnsi="Arial" w:cs="Arial" w:eastAsiaTheme="minorEastAsia"/>
          <w:sz w:val="22"/>
          <w:szCs w:val="24"/>
          <w:highlight w:val="none"/>
          <w:lang w:val="en-US"/>
        </w:rPr>
        <w:instrText xml:space="preserve"> HYPERLINK \l _Toc31951 </w:instrText>
      </w:r>
      <w:r>
        <w:rPr>
          <w:rFonts w:hint="default" w:ascii="Arial" w:hAnsi="Arial" w:cs="Arial" w:eastAsiaTheme="minorEastAsia"/>
          <w:sz w:val="22"/>
          <w:szCs w:val="24"/>
          <w:highlight w:val="none"/>
          <w:lang w:val="en-US"/>
        </w:rPr>
        <w:fldChar w:fldCharType="separate"/>
      </w:r>
      <w:r>
        <w:rPr>
          <w:rFonts w:hint="default" w:ascii="Arial" w:hAnsi="Arial" w:cs="Arial" w:eastAsiaTheme="minorEastAsia"/>
          <w:sz w:val="22"/>
          <w:szCs w:val="24"/>
          <w:highlight w:val="none"/>
        </w:rPr>
        <w:t>Section 3: Understanding the Research Methods</w:t>
      </w:r>
      <w:r>
        <w:rPr>
          <w:rFonts w:hint="default" w:ascii="Arial" w:hAnsi="Arial" w:cs="Arial" w:eastAsiaTheme="minorEastAsia"/>
          <w:sz w:val="22"/>
          <w:szCs w:val="24"/>
          <w:highlight w:val="none"/>
        </w:rPr>
        <w:tab/>
      </w:r>
      <w:r>
        <w:rPr>
          <w:rFonts w:hint="default" w:ascii="Arial" w:hAnsi="Arial" w:cs="Arial" w:eastAsiaTheme="minorEastAsia"/>
          <w:sz w:val="22"/>
          <w:szCs w:val="24"/>
          <w:highlight w:val="none"/>
        </w:rPr>
        <w:fldChar w:fldCharType="begin"/>
      </w:r>
      <w:r>
        <w:rPr>
          <w:rFonts w:hint="default" w:ascii="Arial" w:hAnsi="Arial" w:cs="Arial" w:eastAsiaTheme="minorEastAsia"/>
          <w:sz w:val="22"/>
          <w:szCs w:val="24"/>
          <w:highlight w:val="none"/>
        </w:rPr>
        <w:instrText xml:space="preserve"> PAGEREF _Toc31951 \h </w:instrText>
      </w:r>
      <w:r>
        <w:rPr>
          <w:rFonts w:hint="default" w:ascii="Arial" w:hAnsi="Arial" w:cs="Arial" w:eastAsiaTheme="minorEastAsia"/>
          <w:sz w:val="22"/>
          <w:szCs w:val="24"/>
          <w:highlight w:val="none"/>
        </w:rPr>
        <w:fldChar w:fldCharType="separate"/>
      </w:r>
      <w:r>
        <w:rPr>
          <w:rFonts w:hint="default" w:ascii="Arial" w:hAnsi="Arial" w:cs="Arial" w:eastAsiaTheme="minorEastAsia"/>
          <w:sz w:val="22"/>
          <w:szCs w:val="24"/>
          <w:highlight w:val="none"/>
        </w:rPr>
        <w:t>3</w:t>
      </w:r>
      <w:r>
        <w:rPr>
          <w:rFonts w:hint="default" w:ascii="Arial" w:hAnsi="Arial" w:cs="Arial" w:eastAsiaTheme="minorEastAsia"/>
          <w:sz w:val="22"/>
          <w:szCs w:val="24"/>
          <w:highlight w:val="none"/>
        </w:rPr>
        <w:fldChar w:fldCharType="end"/>
      </w:r>
      <w:r>
        <w:rPr>
          <w:rFonts w:hint="default" w:ascii="Arial" w:hAnsi="Arial" w:cs="Arial" w:eastAsiaTheme="minorEastAsia"/>
          <w:sz w:val="22"/>
          <w:szCs w:val="24"/>
          <w:highlight w:val="none"/>
          <w:lang w:val="en-US"/>
        </w:rPr>
        <w:fldChar w:fldCharType="end"/>
      </w:r>
    </w:p>
    <w:p w14:paraId="164D9673">
      <w:pPr>
        <w:pStyle w:val="16"/>
        <w:tabs>
          <w:tab w:val="right" w:leader="dot" w:pos="9026"/>
        </w:tabs>
        <w:spacing w:line="360" w:lineRule="auto"/>
        <w:rPr>
          <w:rFonts w:hint="default" w:ascii="Arial" w:hAnsi="Arial" w:cs="Arial" w:eastAsiaTheme="minorEastAsia"/>
          <w:sz w:val="22"/>
          <w:szCs w:val="24"/>
          <w:highlight w:val="none"/>
        </w:rPr>
      </w:pPr>
      <w:r>
        <w:rPr>
          <w:rFonts w:hint="default" w:ascii="Arial" w:hAnsi="Arial" w:cs="Arial" w:eastAsiaTheme="minorEastAsia"/>
          <w:sz w:val="22"/>
          <w:szCs w:val="24"/>
          <w:highlight w:val="none"/>
          <w:lang w:val="en-US"/>
        </w:rPr>
        <w:fldChar w:fldCharType="begin"/>
      </w:r>
      <w:r>
        <w:rPr>
          <w:rFonts w:hint="default" w:ascii="Arial" w:hAnsi="Arial" w:cs="Arial" w:eastAsiaTheme="minorEastAsia"/>
          <w:sz w:val="22"/>
          <w:szCs w:val="24"/>
          <w:highlight w:val="none"/>
          <w:lang w:val="en-US"/>
        </w:rPr>
        <w:instrText xml:space="preserve"> HYPERLINK \l _Toc9154 </w:instrText>
      </w:r>
      <w:r>
        <w:rPr>
          <w:rFonts w:hint="default" w:ascii="Arial" w:hAnsi="Arial" w:cs="Arial" w:eastAsiaTheme="minorEastAsia"/>
          <w:sz w:val="22"/>
          <w:szCs w:val="24"/>
          <w:highlight w:val="none"/>
          <w:lang w:val="en-US"/>
        </w:rPr>
        <w:fldChar w:fldCharType="separate"/>
      </w:r>
      <w:r>
        <w:rPr>
          <w:rFonts w:hint="default" w:ascii="Arial" w:hAnsi="Arial" w:cs="Arial" w:eastAsiaTheme="minorEastAsia"/>
          <w:sz w:val="22"/>
          <w:szCs w:val="24"/>
          <w:highlight w:val="none"/>
        </w:rPr>
        <w:t>Section 4: Conclusion</w:t>
      </w:r>
      <w:r>
        <w:rPr>
          <w:rFonts w:hint="default" w:ascii="Arial" w:hAnsi="Arial" w:cs="Arial" w:eastAsiaTheme="minorEastAsia"/>
          <w:sz w:val="22"/>
          <w:szCs w:val="24"/>
          <w:highlight w:val="none"/>
        </w:rPr>
        <w:tab/>
      </w:r>
      <w:r>
        <w:rPr>
          <w:rFonts w:hint="default" w:ascii="Arial" w:hAnsi="Arial" w:cs="Arial" w:eastAsiaTheme="minorEastAsia"/>
          <w:sz w:val="22"/>
          <w:szCs w:val="24"/>
          <w:highlight w:val="none"/>
        </w:rPr>
        <w:fldChar w:fldCharType="begin"/>
      </w:r>
      <w:r>
        <w:rPr>
          <w:rFonts w:hint="default" w:ascii="Arial" w:hAnsi="Arial" w:cs="Arial" w:eastAsiaTheme="minorEastAsia"/>
          <w:sz w:val="22"/>
          <w:szCs w:val="24"/>
          <w:highlight w:val="none"/>
        </w:rPr>
        <w:instrText xml:space="preserve"> PAGEREF _Toc9154 \h </w:instrText>
      </w:r>
      <w:r>
        <w:rPr>
          <w:rFonts w:hint="default" w:ascii="Arial" w:hAnsi="Arial" w:cs="Arial" w:eastAsiaTheme="minorEastAsia"/>
          <w:sz w:val="22"/>
          <w:szCs w:val="24"/>
          <w:highlight w:val="none"/>
        </w:rPr>
        <w:fldChar w:fldCharType="separate"/>
      </w:r>
      <w:r>
        <w:rPr>
          <w:rFonts w:hint="default" w:ascii="Arial" w:hAnsi="Arial" w:cs="Arial" w:eastAsiaTheme="minorEastAsia"/>
          <w:sz w:val="22"/>
          <w:szCs w:val="24"/>
          <w:highlight w:val="none"/>
        </w:rPr>
        <w:t>5</w:t>
      </w:r>
      <w:r>
        <w:rPr>
          <w:rFonts w:hint="default" w:ascii="Arial" w:hAnsi="Arial" w:cs="Arial" w:eastAsiaTheme="minorEastAsia"/>
          <w:sz w:val="22"/>
          <w:szCs w:val="24"/>
          <w:highlight w:val="none"/>
        </w:rPr>
        <w:fldChar w:fldCharType="end"/>
      </w:r>
      <w:r>
        <w:rPr>
          <w:rFonts w:hint="default" w:ascii="Arial" w:hAnsi="Arial" w:cs="Arial" w:eastAsiaTheme="minorEastAsia"/>
          <w:sz w:val="22"/>
          <w:szCs w:val="24"/>
          <w:highlight w:val="none"/>
          <w:lang w:val="en-US"/>
        </w:rPr>
        <w:fldChar w:fldCharType="end"/>
      </w:r>
    </w:p>
    <w:p w14:paraId="169F4340">
      <w:pPr>
        <w:pStyle w:val="16"/>
        <w:tabs>
          <w:tab w:val="right" w:leader="dot" w:pos="9026"/>
        </w:tabs>
        <w:spacing w:line="360" w:lineRule="auto"/>
        <w:rPr>
          <w:rFonts w:hint="default" w:ascii="Arial" w:hAnsi="Arial" w:cs="Arial" w:eastAsiaTheme="minorEastAsia"/>
          <w:sz w:val="22"/>
          <w:szCs w:val="24"/>
          <w:highlight w:val="none"/>
        </w:rPr>
      </w:pPr>
      <w:r>
        <w:rPr>
          <w:rFonts w:hint="default" w:ascii="Arial" w:hAnsi="Arial" w:cs="Arial" w:eastAsiaTheme="minorEastAsia"/>
          <w:sz w:val="22"/>
          <w:szCs w:val="24"/>
          <w:highlight w:val="none"/>
          <w:lang w:val="en-US"/>
        </w:rPr>
        <w:fldChar w:fldCharType="begin"/>
      </w:r>
      <w:r>
        <w:rPr>
          <w:rFonts w:hint="default" w:ascii="Arial" w:hAnsi="Arial" w:cs="Arial" w:eastAsiaTheme="minorEastAsia"/>
          <w:sz w:val="22"/>
          <w:szCs w:val="24"/>
          <w:highlight w:val="none"/>
          <w:lang w:val="en-US"/>
        </w:rPr>
        <w:instrText xml:space="preserve"> HYPERLINK \l _Toc7410 </w:instrText>
      </w:r>
      <w:r>
        <w:rPr>
          <w:rFonts w:hint="default" w:ascii="Arial" w:hAnsi="Arial" w:cs="Arial" w:eastAsiaTheme="minorEastAsia"/>
          <w:sz w:val="22"/>
          <w:szCs w:val="24"/>
          <w:highlight w:val="none"/>
          <w:lang w:val="en-US"/>
        </w:rPr>
        <w:fldChar w:fldCharType="separate"/>
      </w:r>
      <w:r>
        <w:rPr>
          <w:rFonts w:hint="default" w:ascii="Arial" w:hAnsi="Arial" w:cs="Arial" w:eastAsiaTheme="minorEastAsia"/>
          <w:sz w:val="22"/>
          <w:szCs w:val="24"/>
          <w:highlight w:val="none"/>
        </w:rPr>
        <w:t>References</w:t>
      </w:r>
      <w:r>
        <w:rPr>
          <w:rFonts w:hint="default" w:ascii="Arial" w:hAnsi="Arial" w:cs="Arial" w:eastAsiaTheme="minorEastAsia"/>
          <w:sz w:val="22"/>
          <w:szCs w:val="24"/>
          <w:highlight w:val="none"/>
        </w:rPr>
        <w:tab/>
      </w:r>
      <w:r>
        <w:rPr>
          <w:rFonts w:hint="default" w:ascii="Arial" w:hAnsi="Arial" w:cs="Arial" w:eastAsiaTheme="minorEastAsia"/>
          <w:sz w:val="22"/>
          <w:szCs w:val="24"/>
          <w:highlight w:val="none"/>
        </w:rPr>
        <w:fldChar w:fldCharType="begin"/>
      </w:r>
      <w:r>
        <w:rPr>
          <w:rFonts w:hint="default" w:ascii="Arial" w:hAnsi="Arial" w:cs="Arial" w:eastAsiaTheme="minorEastAsia"/>
          <w:sz w:val="22"/>
          <w:szCs w:val="24"/>
          <w:highlight w:val="none"/>
        </w:rPr>
        <w:instrText xml:space="preserve"> PAGEREF _Toc7410 \h </w:instrText>
      </w:r>
      <w:r>
        <w:rPr>
          <w:rFonts w:hint="default" w:ascii="Arial" w:hAnsi="Arial" w:cs="Arial" w:eastAsiaTheme="minorEastAsia"/>
          <w:sz w:val="22"/>
          <w:szCs w:val="24"/>
          <w:highlight w:val="none"/>
        </w:rPr>
        <w:fldChar w:fldCharType="separate"/>
      </w:r>
      <w:r>
        <w:rPr>
          <w:rFonts w:hint="default" w:ascii="Arial" w:hAnsi="Arial" w:cs="Arial" w:eastAsiaTheme="minorEastAsia"/>
          <w:sz w:val="22"/>
          <w:szCs w:val="24"/>
          <w:highlight w:val="none"/>
        </w:rPr>
        <w:t>6</w:t>
      </w:r>
      <w:r>
        <w:rPr>
          <w:rFonts w:hint="default" w:ascii="Arial" w:hAnsi="Arial" w:cs="Arial" w:eastAsiaTheme="minorEastAsia"/>
          <w:sz w:val="22"/>
          <w:szCs w:val="24"/>
          <w:highlight w:val="none"/>
        </w:rPr>
        <w:fldChar w:fldCharType="end"/>
      </w:r>
      <w:r>
        <w:rPr>
          <w:rFonts w:hint="default" w:ascii="Arial" w:hAnsi="Arial" w:cs="Arial" w:eastAsiaTheme="minorEastAsia"/>
          <w:sz w:val="22"/>
          <w:szCs w:val="24"/>
          <w:highlight w:val="none"/>
          <w:lang w:val="en-US"/>
        </w:rPr>
        <w:fldChar w:fldCharType="end"/>
      </w:r>
    </w:p>
    <w:p w14:paraId="40AB6F4E">
      <w:pPr>
        <w:spacing w:line="360" w:lineRule="auto"/>
        <w:rPr>
          <w:rFonts w:hint="default" w:ascii="Arial" w:hAnsi="Arial" w:cs="Arial" w:eastAsiaTheme="minorEastAsia"/>
          <w:sz w:val="22"/>
          <w:szCs w:val="24"/>
          <w:highlight w:val="none"/>
          <w:lang w:val="en-US"/>
        </w:rPr>
      </w:pPr>
      <w:r>
        <w:rPr>
          <w:rFonts w:hint="default" w:ascii="Arial" w:hAnsi="Arial" w:cs="Arial" w:eastAsiaTheme="minorEastAsia"/>
          <w:sz w:val="22"/>
          <w:szCs w:val="24"/>
          <w:highlight w:val="none"/>
          <w:lang w:val="en-US"/>
        </w:rPr>
        <w:fldChar w:fldCharType="end"/>
      </w:r>
    </w:p>
    <w:p w14:paraId="04AB59DD">
      <w:pPr>
        <w:spacing w:line="360" w:lineRule="auto"/>
        <w:rPr>
          <w:rFonts w:hint="default" w:ascii="Arial" w:hAnsi="Arial" w:cs="Arial" w:eastAsiaTheme="minorEastAsia"/>
          <w:sz w:val="22"/>
          <w:szCs w:val="24"/>
          <w:highlight w:val="none"/>
          <w:lang w:val="en-US"/>
        </w:rPr>
      </w:pPr>
    </w:p>
    <w:p w14:paraId="03A36E49">
      <w:pPr>
        <w:spacing w:line="360" w:lineRule="auto"/>
        <w:rPr>
          <w:rFonts w:hint="default" w:ascii="Arial" w:hAnsi="Arial" w:cs="Arial" w:eastAsiaTheme="minorEastAsia"/>
          <w:sz w:val="22"/>
          <w:szCs w:val="24"/>
          <w:highlight w:val="none"/>
          <w:lang w:val="en-US"/>
        </w:rPr>
      </w:pPr>
    </w:p>
    <w:p w14:paraId="419E2739">
      <w:pPr>
        <w:spacing w:line="360" w:lineRule="auto"/>
        <w:rPr>
          <w:rFonts w:hint="default" w:ascii="Arial" w:hAnsi="Arial" w:cs="Arial" w:eastAsiaTheme="minorEastAsia"/>
          <w:sz w:val="22"/>
          <w:szCs w:val="24"/>
          <w:highlight w:val="none"/>
          <w:lang w:val="en-US"/>
        </w:rPr>
      </w:pPr>
    </w:p>
    <w:p w14:paraId="6D1321D7">
      <w:pPr>
        <w:spacing w:line="360" w:lineRule="auto"/>
        <w:rPr>
          <w:rFonts w:hint="default" w:ascii="Arial" w:hAnsi="Arial" w:cs="Arial" w:eastAsiaTheme="minorEastAsia"/>
          <w:sz w:val="22"/>
          <w:szCs w:val="24"/>
          <w:highlight w:val="none"/>
          <w:lang w:val="en-US"/>
        </w:rPr>
      </w:pPr>
    </w:p>
    <w:p w14:paraId="1507242E">
      <w:pPr>
        <w:spacing w:line="360" w:lineRule="auto"/>
        <w:rPr>
          <w:rFonts w:hint="default" w:ascii="Arial" w:hAnsi="Arial" w:cs="Arial" w:eastAsiaTheme="minorEastAsia"/>
          <w:sz w:val="22"/>
          <w:szCs w:val="24"/>
          <w:highlight w:val="none"/>
          <w:lang w:val="en-US"/>
        </w:rPr>
      </w:pPr>
    </w:p>
    <w:p w14:paraId="35BF81D0">
      <w:pPr>
        <w:spacing w:line="360" w:lineRule="auto"/>
        <w:rPr>
          <w:rFonts w:hint="default" w:ascii="Arial" w:hAnsi="Arial" w:cs="Arial" w:eastAsiaTheme="minorEastAsia"/>
          <w:sz w:val="22"/>
          <w:szCs w:val="24"/>
          <w:highlight w:val="none"/>
          <w:lang w:val="en-US"/>
        </w:rPr>
      </w:pPr>
    </w:p>
    <w:p w14:paraId="06B7FFA0">
      <w:pPr>
        <w:spacing w:line="360" w:lineRule="auto"/>
        <w:rPr>
          <w:rFonts w:hint="default" w:ascii="Arial" w:hAnsi="Arial" w:cs="Arial" w:eastAsiaTheme="minorEastAsia"/>
          <w:sz w:val="22"/>
          <w:szCs w:val="24"/>
          <w:highlight w:val="none"/>
          <w:lang w:val="en-US"/>
        </w:rPr>
      </w:pPr>
    </w:p>
    <w:p w14:paraId="237B8784">
      <w:pPr>
        <w:spacing w:line="360" w:lineRule="auto"/>
        <w:rPr>
          <w:rFonts w:hint="default" w:ascii="Arial" w:hAnsi="Arial" w:cs="Arial" w:eastAsiaTheme="minorEastAsia"/>
          <w:sz w:val="22"/>
          <w:szCs w:val="24"/>
          <w:highlight w:val="none"/>
          <w:lang w:val="en-US"/>
        </w:rPr>
      </w:pPr>
    </w:p>
    <w:p w14:paraId="1BA7E396">
      <w:pPr>
        <w:spacing w:line="360" w:lineRule="auto"/>
        <w:rPr>
          <w:rFonts w:hint="default" w:ascii="Arial" w:hAnsi="Arial" w:cs="Arial" w:eastAsiaTheme="minorEastAsia"/>
          <w:sz w:val="22"/>
          <w:szCs w:val="24"/>
          <w:highlight w:val="none"/>
          <w:lang w:val="en-US"/>
        </w:rPr>
      </w:pPr>
    </w:p>
    <w:p w14:paraId="0E612F0A">
      <w:pPr>
        <w:spacing w:line="360" w:lineRule="auto"/>
        <w:rPr>
          <w:rFonts w:hint="default" w:ascii="Arial" w:hAnsi="Arial" w:cs="Arial" w:eastAsiaTheme="minorEastAsia"/>
          <w:sz w:val="22"/>
          <w:szCs w:val="24"/>
          <w:highlight w:val="none"/>
          <w:lang w:val="en-US"/>
        </w:rPr>
      </w:pPr>
    </w:p>
    <w:p w14:paraId="27ABA3F4">
      <w:pPr>
        <w:spacing w:line="360" w:lineRule="auto"/>
        <w:rPr>
          <w:rFonts w:hint="default" w:ascii="Arial" w:hAnsi="Arial" w:cs="Arial" w:eastAsiaTheme="minorEastAsia"/>
          <w:sz w:val="22"/>
          <w:szCs w:val="24"/>
          <w:highlight w:val="none"/>
          <w:lang w:val="en-US"/>
        </w:rPr>
      </w:pPr>
    </w:p>
    <w:p w14:paraId="63063882">
      <w:pPr>
        <w:spacing w:line="360" w:lineRule="auto"/>
        <w:rPr>
          <w:rFonts w:hint="default" w:ascii="Arial" w:hAnsi="Arial" w:cs="Arial" w:eastAsiaTheme="minorEastAsia"/>
          <w:sz w:val="22"/>
          <w:szCs w:val="24"/>
          <w:highlight w:val="none"/>
          <w:lang w:val="en-US"/>
        </w:rPr>
      </w:pPr>
    </w:p>
    <w:p w14:paraId="2B13EE7C">
      <w:pPr>
        <w:spacing w:line="360" w:lineRule="auto"/>
        <w:rPr>
          <w:rFonts w:hint="default" w:ascii="Arial" w:hAnsi="Arial" w:cs="Arial" w:eastAsiaTheme="minorEastAsia"/>
          <w:sz w:val="22"/>
          <w:szCs w:val="24"/>
          <w:highlight w:val="none"/>
          <w:lang w:val="en-US"/>
        </w:rPr>
      </w:pPr>
    </w:p>
    <w:p w14:paraId="67E410FC">
      <w:pPr>
        <w:spacing w:line="360" w:lineRule="auto"/>
        <w:rPr>
          <w:rFonts w:hint="default" w:ascii="Arial" w:hAnsi="Arial" w:cs="Arial" w:eastAsiaTheme="minorEastAsia"/>
          <w:sz w:val="22"/>
          <w:szCs w:val="24"/>
          <w:highlight w:val="none"/>
          <w:lang w:val="en-US"/>
        </w:rPr>
      </w:pPr>
    </w:p>
    <w:p w14:paraId="1ECD3896">
      <w:pPr>
        <w:spacing w:line="360" w:lineRule="auto"/>
        <w:rPr>
          <w:rFonts w:hint="default" w:ascii="Arial" w:hAnsi="Arial" w:cs="Arial" w:eastAsiaTheme="minorEastAsia"/>
          <w:sz w:val="22"/>
          <w:szCs w:val="24"/>
          <w:highlight w:val="none"/>
          <w:lang w:val="en-US"/>
        </w:rPr>
      </w:pPr>
    </w:p>
    <w:p w14:paraId="3529916D">
      <w:pPr>
        <w:spacing w:line="360" w:lineRule="auto"/>
        <w:rPr>
          <w:rFonts w:hint="default" w:ascii="Arial" w:hAnsi="Arial" w:cs="Arial" w:eastAsiaTheme="minorEastAsia"/>
          <w:sz w:val="22"/>
          <w:szCs w:val="24"/>
          <w:highlight w:val="none"/>
          <w:lang w:val="en-US"/>
        </w:rPr>
      </w:pPr>
    </w:p>
    <w:p w14:paraId="37DDAE7C">
      <w:pPr>
        <w:spacing w:line="360" w:lineRule="auto"/>
        <w:rPr>
          <w:rFonts w:hint="default" w:ascii="Arial" w:hAnsi="Arial" w:cs="Arial" w:eastAsiaTheme="minorEastAsia"/>
          <w:sz w:val="22"/>
          <w:szCs w:val="24"/>
          <w:highlight w:val="none"/>
          <w:lang w:val="en-US"/>
        </w:rPr>
      </w:pPr>
    </w:p>
    <w:p w14:paraId="0355F0FB">
      <w:pPr>
        <w:spacing w:line="360" w:lineRule="auto"/>
        <w:rPr>
          <w:rFonts w:hint="default" w:ascii="Arial" w:hAnsi="Arial" w:cs="Arial" w:eastAsiaTheme="minorEastAsia"/>
          <w:sz w:val="22"/>
          <w:szCs w:val="24"/>
          <w:highlight w:val="none"/>
          <w:lang w:val="en-US"/>
        </w:rPr>
      </w:pPr>
    </w:p>
    <w:p w14:paraId="3BD2CEB6">
      <w:pPr>
        <w:spacing w:line="360" w:lineRule="auto"/>
        <w:rPr>
          <w:rFonts w:hint="default" w:ascii="Arial" w:hAnsi="Arial" w:cs="Arial" w:eastAsiaTheme="minorEastAsia"/>
          <w:sz w:val="22"/>
          <w:szCs w:val="24"/>
          <w:highlight w:val="none"/>
          <w:lang w:val="en-US"/>
        </w:rPr>
      </w:pPr>
    </w:p>
    <w:p w14:paraId="521C981A">
      <w:pPr>
        <w:spacing w:line="360" w:lineRule="auto"/>
        <w:rPr>
          <w:rFonts w:hint="default" w:ascii="Arial" w:hAnsi="Arial" w:cs="Arial" w:eastAsiaTheme="minorEastAsia"/>
          <w:sz w:val="22"/>
          <w:szCs w:val="24"/>
          <w:highlight w:val="none"/>
          <w:lang w:val="en-US"/>
        </w:rPr>
      </w:pPr>
    </w:p>
    <w:p w14:paraId="416D5FC3">
      <w:pPr>
        <w:spacing w:line="360" w:lineRule="auto"/>
        <w:rPr>
          <w:rFonts w:hint="default" w:ascii="Arial" w:hAnsi="Arial" w:cs="Arial" w:eastAsiaTheme="minorEastAsia"/>
          <w:sz w:val="22"/>
          <w:szCs w:val="24"/>
          <w:highlight w:val="none"/>
          <w:lang w:val="en-US"/>
        </w:rPr>
      </w:pPr>
    </w:p>
    <w:p w14:paraId="4B7C88D8">
      <w:pPr>
        <w:spacing w:line="360" w:lineRule="auto"/>
        <w:rPr>
          <w:rFonts w:hint="default" w:ascii="Arial" w:hAnsi="Arial" w:cs="Arial" w:eastAsiaTheme="minorEastAsia"/>
          <w:sz w:val="22"/>
          <w:szCs w:val="24"/>
          <w:highlight w:val="none"/>
          <w:lang w:val="en-US"/>
        </w:rPr>
      </w:pPr>
    </w:p>
    <w:p w14:paraId="2CA6C01B">
      <w:pPr>
        <w:spacing w:line="360" w:lineRule="auto"/>
        <w:rPr>
          <w:rFonts w:hint="default" w:ascii="Arial" w:hAnsi="Arial" w:cs="Arial" w:eastAsiaTheme="minorEastAsia"/>
          <w:sz w:val="22"/>
          <w:szCs w:val="24"/>
          <w:highlight w:val="none"/>
          <w:lang w:val="en-US"/>
        </w:rPr>
      </w:pPr>
    </w:p>
    <w:p w14:paraId="12FF9676">
      <w:pPr>
        <w:spacing w:line="360" w:lineRule="auto"/>
        <w:rPr>
          <w:rFonts w:hint="default" w:ascii="Arial" w:hAnsi="Arial" w:cs="Arial" w:eastAsiaTheme="minorEastAsia"/>
          <w:sz w:val="22"/>
          <w:szCs w:val="24"/>
          <w:highlight w:val="none"/>
          <w:lang w:val="en-US"/>
        </w:rPr>
      </w:pPr>
    </w:p>
    <w:p w14:paraId="514E2971">
      <w:pPr>
        <w:spacing w:line="360" w:lineRule="auto"/>
        <w:rPr>
          <w:rFonts w:hint="default" w:ascii="Arial" w:hAnsi="Arial" w:cs="Arial" w:eastAsiaTheme="minorEastAsia"/>
          <w:sz w:val="22"/>
          <w:szCs w:val="24"/>
          <w:highlight w:val="none"/>
          <w:lang w:val="en-US"/>
        </w:rPr>
      </w:pPr>
    </w:p>
    <w:p w14:paraId="17B51AC8">
      <w:pPr>
        <w:spacing w:line="360" w:lineRule="auto"/>
        <w:rPr>
          <w:rFonts w:hint="default" w:ascii="Arial" w:hAnsi="Arial" w:cs="Arial" w:eastAsiaTheme="minorEastAsia"/>
          <w:sz w:val="22"/>
          <w:szCs w:val="24"/>
          <w:highlight w:val="none"/>
          <w:lang w:val="en-US"/>
        </w:rPr>
      </w:pPr>
    </w:p>
    <w:p w14:paraId="49278DAA">
      <w:pPr>
        <w:spacing w:line="360" w:lineRule="auto"/>
        <w:rPr>
          <w:rFonts w:hint="default" w:ascii="Arial" w:hAnsi="Arial" w:cs="Arial" w:eastAsiaTheme="minorEastAsia"/>
          <w:sz w:val="22"/>
          <w:szCs w:val="24"/>
          <w:highlight w:val="none"/>
          <w:lang w:val="en-US"/>
        </w:rPr>
      </w:pPr>
    </w:p>
    <w:p w14:paraId="3008C563">
      <w:pPr>
        <w:spacing w:line="360" w:lineRule="auto"/>
        <w:rPr>
          <w:rFonts w:hint="default" w:ascii="Arial" w:hAnsi="Arial" w:cs="Arial" w:eastAsiaTheme="minorEastAsia"/>
          <w:sz w:val="22"/>
          <w:szCs w:val="24"/>
          <w:highlight w:val="none"/>
          <w:lang w:val="en-US"/>
        </w:rPr>
      </w:pPr>
    </w:p>
    <w:p w14:paraId="3EF431CB">
      <w:pPr>
        <w:pStyle w:val="2"/>
        <w:spacing w:before="300" w:after="200" w:line="360" w:lineRule="auto"/>
        <w:rPr>
          <w:highlight w:val="none"/>
        </w:rPr>
      </w:pPr>
      <w:bookmarkStart w:id="0" w:name="_Toc3049"/>
      <w:r>
        <w:rPr>
          <w:rFonts w:ascii="Arial" w:hAnsi="Arial" w:eastAsia="Arial" w:cs="Arial"/>
          <w:b/>
          <w:bCs/>
          <w:sz w:val="26"/>
          <w:szCs w:val="26"/>
          <w:highlight w:val="none"/>
        </w:rPr>
        <w:t>Section 1: Introducing the Research Paper and Topic Development</w:t>
      </w:r>
      <w:bookmarkEnd w:id="0"/>
    </w:p>
    <w:p w14:paraId="7AD00E59">
      <w:pPr>
        <w:spacing w:line="360" w:lineRule="auto"/>
        <w:jc w:val="both"/>
        <w:rPr>
          <w:rFonts w:hint="default" w:ascii="Arial" w:hAnsi="Arial" w:cs="Arial" w:eastAsiaTheme="minorEastAsia"/>
          <w:sz w:val="22"/>
          <w:szCs w:val="24"/>
          <w:highlight w:val="none"/>
        </w:rPr>
      </w:pPr>
      <w:r>
        <w:rPr>
          <w:rFonts w:hint="default" w:ascii="Arial" w:hAnsi="Arial" w:cs="Arial" w:eastAsiaTheme="minorEastAsia"/>
          <w:sz w:val="22"/>
          <w:szCs w:val="24"/>
          <w:highlight w:val="none"/>
        </w:rPr>
        <w:t>The paper chosen for this report is A cross-sectional study of discipline-based self-perceived digital literacy competencies of nursing students (2024) by Martzoukou, Luders, Mair, Kostagiolas, Johnson, Work and Fulton (2024) published in the Journal of Advanced Nursing. The paper examines the self-reported benchmark of nursing, midwifery and paramedic students' digital competency at a Scottish university in a wide variety of competency areas which span everyday digital participation, information literacy, digital creation, digital communication and digital wellbeing.</w:t>
      </w:r>
    </w:p>
    <w:p w14:paraId="6DB150B1">
      <w:pPr>
        <w:spacing w:line="360" w:lineRule="auto"/>
        <w:jc w:val="both"/>
        <w:rPr>
          <w:rFonts w:hint="default" w:ascii="Arial" w:hAnsi="Arial" w:cs="Arial" w:eastAsiaTheme="minorEastAsia"/>
          <w:sz w:val="22"/>
          <w:szCs w:val="24"/>
          <w:highlight w:val="none"/>
        </w:rPr>
      </w:pPr>
    </w:p>
    <w:p w14:paraId="5AE4B568">
      <w:pPr>
        <w:spacing w:line="360" w:lineRule="auto"/>
        <w:jc w:val="both"/>
        <w:rPr>
          <w:rFonts w:hint="default" w:ascii="Arial" w:hAnsi="Arial" w:cs="Arial" w:eastAsiaTheme="minorEastAsia"/>
          <w:sz w:val="22"/>
          <w:szCs w:val="24"/>
          <w:highlight w:val="none"/>
        </w:rPr>
      </w:pPr>
      <w:r>
        <w:rPr>
          <w:rFonts w:hint="default" w:ascii="Arial" w:hAnsi="Arial" w:cs="Arial" w:eastAsiaTheme="minorEastAsia"/>
          <w:sz w:val="22"/>
          <w:szCs w:val="24"/>
          <w:highlight w:val="none"/>
        </w:rPr>
        <w:t>This subject area arose from a larger institutional study of Digital literacy in varying disciplinary areas at a University in Scotland. The scientists observed that previous digital expertise frameworks were largely technology-dependent, instead of looking at digital competencies for a particular field of work, and that healthcare education-related technologies have been slow to include digital provision based on authentic clinical needs. The team developed a re-designed self-assessment questionnaire based on a broad criteria from a previously implemented general self-assessment survey tool, to better mirror the digital activities that nursing students encounter in their studies including access to clinical databases, digital health applications and simulation technologies.</w:t>
      </w:r>
    </w:p>
    <w:p w14:paraId="6EFA2AAD">
      <w:pPr>
        <w:spacing w:line="360" w:lineRule="auto"/>
        <w:jc w:val="both"/>
        <w:rPr>
          <w:rFonts w:hint="default" w:ascii="Arial" w:hAnsi="Arial" w:cs="Arial" w:eastAsiaTheme="minorEastAsia"/>
          <w:sz w:val="22"/>
          <w:szCs w:val="24"/>
          <w:highlight w:val="none"/>
        </w:rPr>
      </w:pPr>
    </w:p>
    <w:p w14:paraId="559DE265">
      <w:pPr>
        <w:spacing w:line="360" w:lineRule="auto"/>
        <w:jc w:val="both"/>
        <w:rPr>
          <w:rFonts w:hint="default" w:ascii="Arial" w:hAnsi="Arial" w:cs="Arial" w:eastAsiaTheme="minorEastAsia"/>
          <w:sz w:val="22"/>
          <w:szCs w:val="24"/>
          <w:highlight w:val="none"/>
        </w:rPr>
      </w:pPr>
      <w:r>
        <w:rPr>
          <w:rFonts w:hint="default" w:ascii="Arial" w:hAnsi="Arial" w:cs="Arial" w:eastAsiaTheme="minorEastAsia"/>
          <w:sz w:val="22"/>
          <w:szCs w:val="24"/>
          <w:highlight w:val="none"/>
        </w:rPr>
        <w:t>The focus of the research is primarily on nursing students including the vast majority that are female and were enrolled in undergraduate courses leading to registration as a nurse in the United Kingdom, with smaller numbers of customers in midwifery and paramedic practice courses. This population is significant because today’s digital transformation has impacted nursing: policy documents, including those from the Royal College of Nursing, state that all nurses should be ‘e-nurses’ who are able to work with tech to support their patients, and the COVID-19 pandemic has helped this transition to move even faster to digitally enabled delivery of health care and services (Royal College of Nursing, 2018). Other studies that identified the problem of newly qualified nurses having low levels of digital literacy and the impacts on patient outcomes and confidence in clinical settings have also emphasized this (Harerimana, Duma and Mtshali, 2022). Identifying digital skills gaps in prospective nurses is therefore crucial when considering curriculum provision, facilitating safe and effective clinical care and training the next generation of UK Health and Social care workers for evidence-based practice in an ever technologically advanced system.</w:t>
      </w:r>
    </w:p>
    <w:p w14:paraId="2B1AA528">
      <w:pPr>
        <w:pStyle w:val="2"/>
        <w:spacing w:before="300" w:after="200" w:line="360" w:lineRule="auto"/>
        <w:rPr>
          <w:highlight w:val="none"/>
        </w:rPr>
      </w:pPr>
      <w:bookmarkStart w:id="1" w:name="_Toc31836"/>
      <w:r>
        <w:rPr>
          <w:rFonts w:ascii="Arial" w:hAnsi="Arial" w:eastAsia="Arial" w:cs="Arial"/>
          <w:b/>
          <w:bCs/>
          <w:sz w:val="26"/>
          <w:szCs w:val="26"/>
          <w:highlight w:val="none"/>
        </w:rPr>
        <w:t>Section 2: Understanding the Purpose and Research Question</w:t>
      </w:r>
      <w:bookmarkEnd w:id="1"/>
    </w:p>
    <w:p w14:paraId="429546DD">
      <w:pPr>
        <w:spacing w:line="360" w:lineRule="auto"/>
        <w:jc w:val="both"/>
        <w:rPr>
          <w:rFonts w:hint="default" w:ascii="Arial" w:hAnsi="Arial" w:cs="Arial" w:eastAsiaTheme="minorEastAsia"/>
          <w:sz w:val="22"/>
          <w:szCs w:val="24"/>
          <w:highlight w:val="none"/>
        </w:rPr>
      </w:pPr>
      <w:r>
        <w:rPr>
          <w:rFonts w:hint="default" w:ascii="Arial" w:hAnsi="Arial" w:cs="Arial" w:eastAsiaTheme="minorEastAsia"/>
          <w:sz w:val="22"/>
          <w:szCs w:val="24"/>
          <w:highlight w:val="none"/>
        </w:rPr>
        <w:t>The aim of the study was to investigate the perception of nursing, midwifery and paramedic students in relation to their digital competency and if this perception was different based on course type and age of students. Specifically, the researchers aimed to discover what digital skills students believed they excelled at, and which would need improvement; as well as test two hypotheses: that the relationships between students' generation (age) cohort and their self-assessment of digital competence would differ, and that the relationship between acting students on pre- and post-registration courses would differ. Contemporary digital literacy provision in nursing education is not always aligned with technological literacy required in practice, and this purpose represents a general concern (Nes et al., 2021).</w:t>
      </w:r>
    </w:p>
    <w:p w14:paraId="6B0E8892">
      <w:pPr>
        <w:pStyle w:val="2"/>
        <w:spacing w:before="300" w:after="200" w:line="360" w:lineRule="auto"/>
        <w:rPr>
          <w:highlight w:val="none"/>
        </w:rPr>
      </w:pPr>
      <w:bookmarkStart w:id="2" w:name="_Toc31951"/>
      <w:r>
        <w:rPr>
          <w:rFonts w:ascii="Arial" w:hAnsi="Arial" w:eastAsia="Arial" w:cs="Arial"/>
          <w:b/>
          <w:bCs/>
          <w:sz w:val="26"/>
          <w:szCs w:val="26"/>
          <w:highlight w:val="none"/>
        </w:rPr>
        <w:t>Section 3: Understanding the Research Methods</w:t>
      </w:r>
      <w:bookmarkEnd w:id="2"/>
    </w:p>
    <w:p w14:paraId="45464CEC">
      <w:pPr>
        <w:spacing w:line="360" w:lineRule="auto"/>
        <w:jc w:val="both"/>
        <w:rPr>
          <w:rFonts w:hint="default" w:ascii="Arial" w:hAnsi="Arial" w:cs="Arial" w:eastAsiaTheme="minorEastAsia"/>
          <w:sz w:val="22"/>
          <w:szCs w:val="24"/>
          <w:highlight w:val="none"/>
        </w:rPr>
      </w:pPr>
      <w:r>
        <w:rPr>
          <w:rFonts w:hint="default" w:ascii="Arial" w:hAnsi="Arial" w:cs="Arial" w:eastAsiaTheme="minorEastAsia"/>
          <w:sz w:val="22"/>
          <w:szCs w:val="24"/>
          <w:highlight w:val="none"/>
        </w:rPr>
        <w:t>There are three general methods that are used to describe research in health and social care. Quantitative research is a method that involves numerical data and statistical analysis to look for patterns, relationships or difference between groups; it results in measurable, generalisable information. Qualitative research on the other hand investigates the lived experiences, opinions, and perspectives of people, especially traditional data collection techniques like open-ended questions, interviews, and in some cases observation, are used to collect information, and analytical themes and significance are identified in the study of this data. Both techniques may be used in the same study, in what is often called mixed-methods research, to provokely learn the trends in numbers and their contexts in rich detail.</w:t>
      </w:r>
    </w:p>
    <w:p w14:paraId="2CFEEE19">
      <w:pPr>
        <w:spacing w:line="360" w:lineRule="auto"/>
        <w:jc w:val="both"/>
        <w:rPr>
          <w:rFonts w:hint="default" w:ascii="Arial" w:hAnsi="Arial" w:cs="Arial" w:eastAsiaTheme="minorEastAsia"/>
          <w:sz w:val="22"/>
          <w:szCs w:val="24"/>
          <w:highlight w:val="none"/>
        </w:rPr>
      </w:pPr>
    </w:p>
    <w:p w14:paraId="2F0E93A4">
      <w:pPr>
        <w:spacing w:line="360" w:lineRule="auto"/>
        <w:jc w:val="both"/>
        <w:rPr>
          <w:rFonts w:hint="default" w:ascii="Arial" w:hAnsi="Arial" w:cs="Arial" w:eastAsiaTheme="minorEastAsia"/>
          <w:sz w:val="22"/>
          <w:szCs w:val="24"/>
          <w:highlight w:val="none"/>
        </w:rPr>
      </w:pPr>
    </w:p>
    <w:p w14:paraId="7D49D82D">
      <w:pPr>
        <w:spacing w:line="360" w:lineRule="auto"/>
        <w:jc w:val="both"/>
        <w:rPr>
          <w:rFonts w:hint="default" w:ascii="Arial" w:hAnsi="Arial" w:cs="Arial" w:eastAsiaTheme="minorEastAsia"/>
          <w:sz w:val="22"/>
          <w:szCs w:val="24"/>
          <w:highlight w:val="none"/>
        </w:rPr>
      </w:pPr>
      <w:r>
        <w:rPr>
          <w:rFonts w:hint="default" w:ascii="Arial" w:hAnsi="Arial" w:cs="Arial" w:eastAsiaTheme="minorEastAsia"/>
          <w:sz w:val="22"/>
          <w:szCs w:val="24"/>
          <w:highlight w:val="none"/>
        </w:rPr>
        <w:t>The study featured in this report can be described as quantitative cross-sectional in nature with some qualitative. The basics of the research was a Likert scale questionnaire that provided numerical competency scores, and these scores were statistically analysed. It also comprised open questions which invited students to share about how they learnt enables and how they are keeping their digital skills up to date as well as how they have received support on overcoming challenges in learning. Although the quantitative strand of the study was the primary focus of this paper, the responses were analysed thematically, the study had a mixed-methods approach.</w:t>
      </w:r>
    </w:p>
    <w:p w14:paraId="5E99B77E">
      <w:pPr>
        <w:spacing w:line="360" w:lineRule="auto"/>
        <w:jc w:val="both"/>
        <w:rPr>
          <w:rFonts w:hint="default" w:ascii="Arial" w:hAnsi="Arial" w:cs="Arial" w:eastAsiaTheme="minorEastAsia"/>
          <w:sz w:val="22"/>
          <w:szCs w:val="24"/>
          <w:highlight w:val="none"/>
        </w:rPr>
      </w:pPr>
    </w:p>
    <w:p w14:paraId="7B2617DC">
      <w:pPr>
        <w:spacing w:line="360" w:lineRule="auto"/>
        <w:jc w:val="both"/>
        <w:rPr>
          <w:rFonts w:hint="default" w:ascii="Arial" w:hAnsi="Arial" w:cs="Arial" w:eastAsiaTheme="minorEastAsia"/>
          <w:sz w:val="22"/>
          <w:szCs w:val="24"/>
          <w:highlight w:val="none"/>
        </w:rPr>
      </w:pPr>
    </w:p>
    <w:p w14:paraId="24E2C79B">
      <w:pPr>
        <w:spacing w:line="360" w:lineRule="auto"/>
        <w:jc w:val="both"/>
        <w:rPr>
          <w:rFonts w:hint="default" w:ascii="Arial" w:hAnsi="Arial" w:cs="Arial" w:eastAsiaTheme="minorEastAsia"/>
          <w:sz w:val="22"/>
          <w:szCs w:val="24"/>
          <w:highlight w:val="none"/>
        </w:rPr>
      </w:pPr>
      <w:r>
        <w:rPr>
          <w:rFonts w:hint="default" w:ascii="Arial" w:hAnsi="Arial" w:cs="Arial" w:eastAsiaTheme="minorEastAsia"/>
          <w:sz w:val="22"/>
          <w:szCs w:val="24"/>
          <w:highlight w:val="none"/>
        </w:rPr>
        <w:t>A mixed design, one that has a visibly prominent quantitative element and a lesser qualitative element is quite frequently used within the field of health and social care and fits the bill of measuring the size of a problem, as well as understanding some of its causes. At the same time, approaches have been applied in other digital competency research with learners in the healthcare field to match quantitative scores against qualitative descriptions of learning experiences to gain a richer understanding of the learning gap (Frings et al., 2022).</w:t>
      </w:r>
    </w:p>
    <w:p w14:paraId="5951493F">
      <w:pPr>
        <w:spacing w:line="360" w:lineRule="auto"/>
        <w:jc w:val="both"/>
        <w:rPr>
          <w:rFonts w:hint="default" w:ascii="Arial" w:hAnsi="Arial" w:cs="Arial" w:eastAsiaTheme="minorEastAsia"/>
          <w:sz w:val="22"/>
          <w:szCs w:val="24"/>
          <w:highlight w:val="none"/>
        </w:rPr>
      </w:pPr>
    </w:p>
    <w:p w14:paraId="5B5E31C1">
      <w:pPr>
        <w:spacing w:line="360" w:lineRule="auto"/>
        <w:jc w:val="both"/>
        <w:rPr>
          <w:rFonts w:hint="default" w:ascii="Arial" w:hAnsi="Arial" w:cs="Arial" w:eastAsiaTheme="minorEastAsia"/>
          <w:sz w:val="22"/>
          <w:szCs w:val="24"/>
          <w:highlight w:val="none"/>
        </w:rPr>
      </w:pPr>
      <w:r>
        <w:rPr>
          <w:rFonts w:hint="default" w:ascii="Arial" w:hAnsi="Arial" w:cs="Arial" w:eastAsiaTheme="minorEastAsia"/>
          <w:sz w:val="22"/>
          <w:szCs w:val="24"/>
          <w:highlight w:val="none"/>
        </w:rPr>
        <w:t>It’s also important to differentiate between primary and secondary data. Primary data is first hand data collected by the researchers for their study, secondary data means all the data that was already gathered for some other reason such as by a government or hospital or in research papers etc. Data has been gathered solely from primary sources, with the closed questioning set (Likert scale) as well as the open-ended comments for this specific study purpose, rather than being reused from another source for another purpose.</w:t>
      </w:r>
    </w:p>
    <w:p w14:paraId="12D38E1F">
      <w:pPr>
        <w:spacing w:line="360" w:lineRule="auto"/>
        <w:jc w:val="both"/>
        <w:rPr>
          <w:rFonts w:hint="default" w:ascii="Arial" w:hAnsi="Arial" w:cs="Arial" w:eastAsiaTheme="minorEastAsia"/>
          <w:sz w:val="22"/>
          <w:szCs w:val="24"/>
          <w:highlight w:val="none"/>
        </w:rPr>
      </w:pPr>
    </w:p>
    <w:p w14:paraId="664C8A67">
      <w:pPr>
        <w:spacing w:line="360" w:lineRule="auto"/>
        <w:jc w:val="both"/>
        <w:rPr>
          <w:rFonts w:hint="default" w:ascii="Arial" w:hAnsi="Arial" w:cs="Arial" w:eastAsiaTheme="minorEastAsia"/>
          <w:sz w:val="22"/>
          <w:szCs w:val="24"/>
          <w:highlight w:val="none"/>
        </w:rPr>
      </w:pPr>
      <w:r>
        <w:rPr>
          <w:rFonts w:hint="default" w:ascii="Arial" w:hAnsi="Arial" w:cs="Arial" w:eastAsiaTheme="minorEastAsia"/>
          <w:sz w:val="22"/>
          <w:szCs w:val="24"/>
          <w:highlight w:val="none"/>
        </w:rPr>
        <w:t>The data collection method was an online questionnaire using the total population sampling method (all students of the participating school, 1200 participants were invited to participate in the survey rather than a selection of a smaller sample). The survey was conducted voluntary, anonymous and GDPR-friendly. A total of 182 students responded (roughly fifteen per cent). The questionnaire included three open-ended items, demographic items and 14 scales ranging from 'novice' to 'expert', based on four dimensions of digital competence. In addition to administering the main survey, consultation meetings were conducted with the academic staff and a nursing student representative prior to administering the main survey, but can be considered a secondary and smaller phase of data collection.</w:t>
      </w:r>
    </w:p>
    <w:p w14:paraId="7F87DE01">
      <w:pPr>
        <w:spacing w:line="360" w:lineRule="auto"/>
        <w:jc w:val="both"/>
        <w:rPr>
          <w:rFonts w:hint="default" w:ascii="Arial" w:hAnsi="Arial" w:cs="Arial" w:eastAsiaTheme="minorEastAsia"/>
          <w:sz w:val="22"/>
          <w:szCs w:val="24"/>
          <w:highlight w:val="none"/>
        </w:rPr>
      </w:pPr>
    </w:p>
    <w:p w14:paraId="3F8F8545">
      <w:pPr>
        <w:spacing w:line="360" w:lineRule="auto"/>
        <w:jc w:val="both"/>
        <w:rPr>
          <w:rFonts w:hint="default" w:ascii="Arial" w:hAnsi="Arial" w:cs="Arial" w:eastAsiaTheme="minorEastAsia"/>
          <w:sz w:val="22"/>
          <w:szCs w:val="24"/>
          <w:highlight w:val="none"/>
        </w:rPr>
      </w:pPr>
      <w:r>
        <w:rPr>
          <w:rFonts w:hint="default" w:ascii="Arial" w:hAnsi="Arial" w:cs="Arial" w:eastAsiaTheme="minorEastAsia"/>
          <w:sz w:val="22"/>
          <w:szCs w:val="24"/>
          <w:highlight w:val="none"/>
        </w:rPr>
        <w:t>IBM SPSS software was used to analyse the quantitative data. Students' level of self-perceived competence for each of the dimensions was summarised by descriptive statistics; frequencies, means, median and mode. Due to lack of normal distribution the researchers employed "non-parametric" statistical tests "Mann-Whitney U-test" and "Kruskal-Wallis H-test" to determine if there was a significant difference between the digital competence scores by age group and course type. Cronbach alpha was also computed to ensure that the group of survey questions measured a desired concept in a similar manner. The qualitative open-text responses were also analysed alongside using thematic analysis whereby the researchers analysed the qualitative content in students' submissions and coded them into themes which occurred frequently in the data, including informal or formal learning of digital skills, to provide depth and explanation to the numerical analysis. The sequence of statistical testing and thematic coding enabled the authors to substantiate their numerical results with illustrative examples from their students, which has enhanced their findings' credibility and highlighted recommendations on regard to the need for measuring and embedding in real-world context digital competence in the context of healthcare education: Recommendations for digital competence in healthcare education: measuring as documenting a broad and evolving competence requires contextualization (Booth et al., 2021).</w:t>
      </w:r>
    </w:p>
    <w:p w14:paraId="307E3C22">
      <w:pPr>
        <w:pStyle w:val="2"/>
        <w:spacing w:before="300" w:after="200" w:line="360" w:lineRule="auto"/>
        <w:rPr>
          <w:highlight w:val="none"/>
        </w:rPr>
      </w:pPr>
      <w:bookmarkStart w:id="3" w:name="_Toc9154"/>
      <w:r>
        <w:rPr>
          <w:rFonts w:ascii="Arial" w:hAnsi="Arial" w:eastAsia="Arial" w:cs="Arial"/>
          <w:b/>
          <w:bCs/>
          <w:sz w:val="26"/>
          <w:szCs w:val="26"/>
          <w:highlight w:val="none"/>
        </w:rPr>
        <w:t>Section 4: Conclusion</w:t>
      </w:r>
      <w:bookmarkEnd w:id="3"/>
    </w:p>
    <w:p w14:paraId="33981D07">
      <w:pPr>
        <w:spacing w:line="360" w:lineRule="auto"/>
        <w:jc w:val="both"/>
        <w:rPr>
          <w:rFonts w:hint="default" w:ascii="Arial" w:hAnsi="Arial" w:cs="Arial"/>
          <w:sz w:val="22"/>
          <w:szCs w:val="24"/>
          <w:highlight w:val="none"/>
        </w:rPr>
      </w:pPr>
      <w:r>
        <w:rPr>
          <w:rFonts w:hint="default" w:ascii="Arial" w:hAnsi="Arial" w:cs="Arial"/>
          <w:sz w:val="22"/>
          <w:szCs w:val="24"/>
          <w:highlight w:val="none"/>
        </w:rPr>
        <w:t>The main overall results of the study were that, while there was a general level of confidence among the nursing students in digital skills and social media, their confidence was lower in skills related to academic and professional practice, such as information literacy, digital research, and digital innovation. Younger students scored higher than older students and most students said they learnt to develop their digital skills in an informal way; through day-to-day experimentation. These results resonate with other reports from the UK that indicate pre-registration students have a fractured understanding of their baseline digital literacy skills and require the same to be managed and supported through the curriculum (Lokmic-Tomkins et al., 2022).</w:t>
      </w:r>
    </w:p>
    <w:p w14:paraId="1DD5C791">
      <w:pPr>
        <w:spacing w:line="360" w:lineRule="auto"/>
        <w:jc w:val="both"/>
        <w:rPr>
          <w:rFonts w:hint="default" w:ascii="Arial" w:hAnsi="Arial" w:cs="Arial"/>
          <w:sz w:val="22"/>
          <w:szCs w:val="24"/>
          <w:highlight w:val="none"/>
        </w:rPr>
      </w:pPr>
    </w:p>
    <w:p w14:paraId="004566D3">
      <w:pPr>
        <w:spacing w:line="360" w:lineRule="auto"/>
        <w:jc w:val="both"/>
        <w:rPr>
          <w:rFonts w:hint="default" w:ascii="Arial" w:hAnsi="Arial" w:cs="Arial"/>
          <w:sz w:val="22"/>
          <w:szCs w:val="24"/>
          <w:highlight w:val="none"/>
        </w:rPr>
      </w:pPr>
      <w:r>
        <w:rPr>
          <w:rFonts w:hint="default" w:ascii="Arial" w:hAnsi="Arial" w:cs="Arial"/>
          <w:sz w:val="22"/>
          <w:szCs w:val="24"/>
          <w:highlight w:val="none"/>
        </w:rPr>
        <w:t>I feel that being involved in detail on the working through of this paper has enhanced my understanding of the construction of the research study and why it is important to consider choices of methodological procedures. I learned the difference between quantitative and qualitative research and that for many studies, including the study, a combination of both is used and not just one or the other type of study independently. Additionally I've become more knowledgeable about the difference between primary and secondary data sources, as well as of the reasons why researchers select certain kinds of statistical tests when their data does not fit certain assumptions for other kinds of tests. Deconstructing the paper in terms of purpose, methods and findings has enabled me to see how every part of the study flows logically from one to the other, and how they converge to the conclusions.</w:t>
      </w:r>
    </w:p>
    <w:p w14:paraId="504C8AE6">
      <w:pPr>
        <w:spacing w:line="360" w:lineRule="auto"/>
        <w:jc w:val="both"/>
        <w:rPr>
          <w:rFonts w:hint="default" w:ascii="Arial" w:hAnsi="Arial" w:cs="Arial"/>
          <w:sz w:val="22"/>
          <w:szCs w:val="24"/>
          <w:highlight w:val="none"/>
        </w:rPr>
      </w:pPr>
    </w:p>
    <w:p w14:paraId="0DA555D3">
      <w:pPr>
        <w:spacing w:line="360" w:lineRule="auto"/>
        <w:jc w:val="both"/>
        <w:rPr>
          <w:rFonts w:hint="default" w:ascii="Arial" w:hAnsi="Arial" w:cs="Arial"/>
          <w:sz w:val="22"/>
          <w:szCs w:val="24"/>
          <w:highlight w:val="none"/>
        </w:rPr>
      </w:pPr>
      <w:r>
        <w:rPr>
          <w:rFonts w:hint="default" w:ascii="Arial" w:hAnsi="Arial" w:cs="Arial"/>
          <w:sz w:val="22"/>
          <w:szCs w:val="24"/>
          <w:highlight w:val="none"/>
        </w:rPr>
        <w:t>This activity will be useful to my studies in the future and to my practice as a health and social care professional, where evidence-based decision making is increasingly becoming a requirement in practice. I'll be able to critically read research papers so I can assess the strength of evidence I come across and use it with the right context to my future work.</w:t>
      </w:r>
    </w:p>
    <w:p w14:paraId="5C1FC5C4">
      <w:pPr>
        <w:spacing w:after="200" w:line="360" w:lineRule="auto"/>
        <w:rPr>
          <w:highlight w:val="none"/>
        </w:rPr>
      </w:pPr>
    </w:p>
    <w:p w14:paraId="663069B2">
      <w:pPr>
        <w:spacing w:after="200" w:line="360" w:lineRule="auto"/>
        <w:rPr>
          <w:highlight w:val="none"/>
        </w:rPr>
      </w:pPr>
    </w:p>
    <w:p w14:paraId="5361B078">
      <w:pPr>
        <w:spacing w:after="200" w:line="360" w:lineRule="auto"/>
        <w:rPr>
          <w:highlight w:val="none"/>
        </w:rPr>
      </w:pPr>
    </w:p>
    <w:p w14:paraId="7FEA21A1">
      <w:pPr>
        <w:spacing w:after="200" w:line="360" w:lineRule="auto"/>
        <w:rPr>
          <w:highlight w:val="none"/>
        </w:rPr>
      </w:pPr>
    </w:p>
    <w:p w14:paraId="69E07210">
      <w:pPr>
        <w:spacing w:after="200" w:line="360" w:lineRule="auto"/>
        <w:rPr>
          <w:highlight w:val="none"/>
        </w:rPr>
      </w:pPr>
    </w:p>
    <w:p w14:paraId="7991AD70">
      <w:pPr>
        <w:pStyle w:val="2"/>
        <w:spacing w:before="300" w:after="200" w:line="360" w:lineRule="auto"/>
        <w:rPr>
          <w:highlight w:val="none"/>
        </w:rPr>
      </w:pPr>
      <w:bookmarkStart w:id="4" w:name="_Toc7410"/>
      <w:r>
        <w:rPr>
          <w:rFonts w:ascii="Arial" w:hAnsi="Arial" w:eastAsia="Arial" w:cs="Arial"/>
          <w:b/>
          <w:bCs/>
          <w:sz w:val="26"/>
          <w:szCs w:val="26"/>
          <w:highlight w:val="none"/>
        </w:rPr>
        <w:t>References</w:t>
      </w:r>
      <w:bookmarkEnd w:id="4"/>
    </w:p>
    <w:p w14:paraId="432C38C0">
      <w:pPr>
        <w:spacing w:after="200" w:line="360" w:lineRule="auto"/>
        <w:ind w:left="720" w:hanging="720"/>
        <w:rPr>
          <w:highlight w:val="none"/>
        </w:rPr>
      </w:pPr>
      <w:r>
        <w:rPr>
          <w:rFonts w:ascii="Arial" w:hAnsi="Arial" w:eastAsia="Arial" w:cs="Arial"/>
          <w:sz w:val="22"/>
          <w:szCs w:val="22"/>
          <w:highlight w:val="none"/>
        </w:rPr>
        <w:t>Booth, R.G., Strudwick, G., McBride, S., O'Connor, S. and Solano López, A.L. (2021) 'How the nursing profession should adapt for a digital future', British Medical Journal, 373, p.1190. doi: 10.1136/bmj.n1190.</w:t>
      </w:r>
    </w:p>
    <w:p w14:paraId="417100B7">
      <w:pPr>
        <w:spacing w:after="200" w:line="360" w:lineRule="auto"/>
        <w:ind w:left="720" w:hanging="720"/>
        <w:rPr>
          <w:highlight w:val="none"/>
        </w:rPr>
      </w:pPr>
      <w:r>
        <w:rPr>
          <w:rFonts w:ascii="Arial" w:hAnsi="Arial" w:eastAsia="Arial" w:cs="Arial"/>
          <w:sz w:val="22"/>
          <w:szCs w:val="22"/>
          <w:highlight w:val="none"/>
        </w:rPr>
        <w:t>Frings, D., Sykes, S., Ojo, A., Rowlands, G., Trasolini, A., Dadaczynski, K., Okan, O. and Wills, J. (2022) 'Differences in digital health literacy and future anxiety between health care and other university students in England during the COVID-19 pandemic', BMC Public Health, 22(1), p.658. doi: 10.1186/s12889-022-13087-y.</w:t>
      </w:r>
    </w:p>
    <w:p w14:paraId="2AFF11FA">
      <w:pPr>
        <w:spacing w:after="200" w:line="360" w:lineRule="auto"/>
        <w:ind w:left="720" w:hanging="720"/>
        <w:rPr>
          <w:highlight w:val="none"/>
        </w:rPr>
      </w:pPr>
      <w:r>
        <w:rPr>
          <w:rFonts w:ascii="Arial" w:hAnsi="Arial" w:eastAsia="Arial" w:cs="Arial"/>
          <w:sz w:val="22"/>
          <w:szCs w:val="22"/>
          <w:highlight w:val="none"/>
        </w:rPr>
        <w:t>Harerimana, A., Duma, S.E. and Mtshali, N.G. (2022) 'First-year nursing students' digital literacy: a cross-sectional study', Journal of Nursing Education and Practice, 13(1), pp.31–37. doi: 10.5430/jnep.v13n1p31.</w:t>
      </w:r>
    </w:p>
    <w:p w14:paraId="409A1730">
      <w:pPr>
        <w:spacing w:after="200" w:line="360" w:lineRule="auto"/>
        <w:ind w:left="720" w:hanging="720"/>
        <w:rPr>
          <w:highlight w:val="none"/>
        </w:rPr>
      </w:pPr>
      <w:r>
        <w:rPr>
          <w:rFonts w:ascii="Arial" w:hAnsi="Arial" w:eastAsia="Arial" w:cs="Arial"/>
          <w:sz w:val="22"/>
          <w:szCs w:val="22"/>
          <w:highlight w:val="none"/>
        </w:rPr>
        <w:t>Lokmic-Tomkins, Z., Choo, D., Foley, P., Dix, S., Wong, P. and Brand, G. (2022) 'Pre-registration nursing students' perceptions of their baseline digital literacy and what it means for education: a prospective cohort survey study', Nurse Education Today, 111, pp.1–18. doi: 10.1016/j.nedt.2022.105308.</w:t>
      </w:r>
    </w:p>
    <w:p w14:paraId="2EF9964A">
      <w:pPr>
        <w:spacing w:after="200" w:line="360" w:lineRule="auto"/>
        <w:ind w:left="720" w:hanging="720"/>
        <w:rPr>
          <w:highlight w:val="none"/>
        </w:rPr>
      </w:pPr>
      <w:r>
        <w:rPr>
          <w:rFonts w:ascii="Arial" w:hAnsi="Arial" w:eastAsia="Arial" w:cs="Arial"/>
          <w:sz w:val="22"/>
          <w:szCs w:val="22"/>
          <w:highlight w:val="none"/>
        </w:rPr>
        <w:t>Martzoukou, K., Luders, E.S., Mair, J., Kostagiolas, P., Johnson, N., Work, F. and Fulton, C. (2024) 'A cross-sectional study of discipline-based self-perceived digital literacy competencies of nursing students', Journal of Advanced Nursing, 80(2), pp.656–672. doi: 10.1111/jan.15801.</w:t>
      </w:r>
    </w:p>
    <w:p w14:paraId="42A62438">
      <w:pPr>
        <w:spacing w:after="200" w:line="360" w:lineRule="auto"/>
        <w:ind w:left="720" w:hanging="720"/>
        <w:rPr>
          <w:highlight w:val="none"/>
        </w:rPr>
      </w:pPr>
      <w:r>
        <w:rPr>
          <w:rFonts w:ascii="Arial" w:hAnsi="Arial" w:eastAsia="Arial" w:cs="Arial"/>
          <w:sz w:val="22"/>
          <w:szCs w:val="22"/>
          <w:highlight w:val="none"/>
        </w:rPr>
        <w:t>Nes, A.A., Steindal, S.A., Larsen, M.H., Heer, H.C., Lærum-Onsager, E. and Gjevjon, E.R. (2021) 'Technological literacy in nursing education: a scoping review', Journal of Professional Nursing, 37(2), pp.320–334. doi: 10.1016/j.profnurs.2021.01.008.</w:t>
      </w:r>
    </w:p>
    <w:p w14:paraId="57D6E091">
      <w:pPr>
        <w:spacing w:after="200" w:line="360" w:lineRule="auto"/>
        <w:ind w:left="720" w:hanging="720"/>
        <w:rPr>
          <w:highlight w:val="none"/>
        </w:rPr>
      </w:pPr>
      <w:r>
        <w:rPr>
          <w:rFonts w:ascii="Arial" w:hAnsi="Arial" w:eastAsia="Arial" w:cs="Arial"/>
          <w:sz w:val="22"/>
          <w:szCs w:val="22"/>
          <w:highlight w:val="none"/>
        </w:rPr>
        <w:t>Royal College of Nursing (2018) The UK Nursing Labour Market Review 2018. London: RCN. Available at: https://www.rcn.org.uk/professionaldevelopment/publications/pub-007397 (Accessed: 22 August 2026).</w:t>
      </w:r>
    </w:p>
    <w:sectPr>
      <w:footerReference r:id="rId3" w:type="default"/>
      <w:pgSz w:w="11906" w:h="16838"/>
      <w:pgMar w:top="1440" w:right="1440" w:bottom="1440" w:left="1440" w:header="708" w:footer="708"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Calibri">
    <w:panose1 w:val="020F0502020204030204"/>
    <w:charset w:val="86"/>
    <w:family w:val="swiss"/>
    <w:pitch w:val="default"/>
    <w:sig w:usb0="E4002EFF" w:usb1="C200247B" w:usb2="00000009" w:usb3="00000000" w:csb0="200001FF" w:csb1="00000000"/>
  </w:font>
  <w:font w:name="Arial MT">
    <w:altName w:val="Arial"/>
    <w:panose1 w:val="00000000000000000000"/>
    <w:charset w:val="01"/>
    <w:family w:val="swiss"/>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6AAC18">
    <w:pPr>
      <w:jc w:val="center"/>
    </w:pPr>
    <w:r>
      <w:rPr>
        <w:rFonts w:ascii="Arial" w:hAnsi="Arial" w:eastAsia="Arial" w:cs="Arial"/>
        <w:sz w:val="22"/>
        <w:szCs w:val="22"/>
      </w:rPr>
      <w:fldChar w:fldCharType="begin"/>
    </w:r>
    <w:r>
      <w:rPr>
        <w:rFonts w:ascii="Arial" w:hAnsi="Arial" w:eastAsia="Arial" w:cs="Arial"/>
        <w:sz w:val="22"/>
        <w:szCs w:val="22"/>
      </w:rPr>
      <w:instrText xml:space="preserve">PAGE</w:instrText>
    </w:r>
    <w:r>
      <w:rPr>
        <w:rFonts w:ascii="Arial" w:hAnsi="Arial" w:eastAsia="Arial" w:cs="Arial"/>
        <w:sz w:val="22"/>
        <w:szCs w:val="22"/>
      </w:rPr>
      <w:fldChar w:fldCharType="separate"/>
    </w:r>
    <w:r>
      <w:rPr>
        <w:rFonts w:ascii="Arial" w:hAnsi="Arial" w:eastAsia="Arial" w:cs="Arial"/>
        <w:sz w:val="22"/>
        <w:szCs w:val="22"/>
      </w:rP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isplayHorizontalDrawingGridEvery w:val="1"/>
  <w:displayVerticalDrawingGridEvery w:val="1"/>
  <w:noPunctuationKerning w:val="1"/>
  <w:compat>
    <w:doNotExpandShiftReturn/>
    <w:doNotWrapTextWithPunct/>
    <w:doNotUseEastAsianBreakRules/>
    <w:compatSetting w:name="compatibilityMode" w:uri="http://schemas.microsoft.com/office/word" w:val="15"/>
  </w:compat>
  <w:rsids>
    <w:rsidRoot w:val="00000000"/>
    <w:rsid w:val="3465170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iPriority="99"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iPriority="99" w:name="footnote reference"/>
    <w:lsdException w:unhideWhenUsed="0" w:uiPriority="0" w:semiHidden="0" w:name="annotation reference"/>
    <w:lsdException w:unhideWhenUsed="0" w:uiPriority="0" w:semiHidden="0" w:name="line number"/>
    <w:lsdException w:unhideWhenUsed="0" w:uiPriority="0" w:semiHidden="0" w:name="page number"/>
    <w:lsdException w:qFormat="1" w:uiPriority="99" w:name="endnote reference"/>
    <w:lsdException w:qFormat="1" w:uiPriority="99"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sz w:val="21"/>
      <w:szCs w:val="22"/>
    </w:rPr>
  </w:style>
  <w:style w:type="paragraph" w:styleId="2">
    <w:name w:val="heading 1"/>
    <w:next w:val="1"/>
    <w:qFormat/>
    <w:uiPriority w:val="0"/>
    <w:rPr>
      <w:color w:val="2E74B5"/>
      <w:sz w:val="32"/>
      <w:szCs w:val="32"/>
    </w:rPr>
  </w:style>
  <w:style w:type="paragraph" w:styleId="3">
    <w:name w:val="heading 2"/>
    <w:next w:val="1"/>
    <w:qFormat/>
    <w:uiPriority w:val="0"/>
    <w:rPr>
      <w:color w:val="2E74B5"/>
      <w:sz w:val="26"/>
      <w:szCs w:val="26"/>
    </w:rPr>
  </w:style>
  <w:style w:type="paragraph" w:styleId="4">
    <w:name w:val="heading 3"/>
    <w:next w:val="1"/>
    <w:qFormat/>
    <w:uiPriority w:val="0"/>
    <w:rPr>
      <w:color w:val="1F4D78"/>
      <w:sz w:val="24"/>
      <w:szCs w:val="24"/>
    </w:rPr>
  </w:style>
  <w:style w:type="paragraph" w:styleId="5">
    <w:name w:val="heading 4"/>
    <w:next w:val="1"/>
    <w:qFormat/>
    <w:uiPriority w:val="0"/>
    <w:rPr>
      <w:i/>
      <w:iCs/>
      <w:color w:val="2E74B5"/>
      <w:sz w:val="21"/>
      <w:szCs w:val="22"/>
    </w:rPr>
  </w:style>
  <w:style w:type="paragraph" w:styleId="6">
    <w:name w:val="heading 5"/>
    <w:next w:val="1"/>
    <w:qFormat/>
    <w:uiPriority w:val="0"/>
    <w:rPr>
      <w:color w:val="2E74B5"/>
      <w:sz w:val="21"/>
      <w:szCs w:val="22"/>
    </w:rPr>
  </w:style>
  <w:style w:type="paragraph" w:styleId="7">
    <w:name w:val="heading 6"/>
    <w:next w:val="1"/>
    <w:qFormat/>
    <w:uiPriority w:val="0"/>
    <w:rPr>
      <w:color w:val="1F4D78"/>
      <w:sz w:val="21"/>
      <w:szCs w:val="22"/>
    </w:rPr>
  </w:style>
  <w:style w:type="character" w:default="1" w:styleId="8">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character" w:styleId="10">
    <w:name w:val="endnote reference"/>
    <w:semiHidden/>
    <w:unhideWhenUsed/>
    <w:qFormat/>
    <w:uiPriority w:val="99"/>
    <w:rPr>
      <w:vertAlign w:val="superscript"/>
    </w:rPr>
  </w:style>
  <w:style w:type="paragraph" w:styleId="11">
    <w:name w:val="endnote text"/>
    <w:link w:val="19"/>
    <w:semiHidden/>
    <w:unhideWhenUsed/>
    <w:qFormat/>
    <w:uiPriority w:val="99"/>
    <w:pPr>
      <w:spacing w:after="0" w:line="240" w:lineRule="auto"/>
    </w:pPr>
    <w:rPr>
      <w:sz w:val="20"/>
      <w:szCs w:val="20"/>
    </w:rPr>
  </w:style>
  <w:style w:type="character" w:styleId="12">
    <w:name w:val="footnote reference"/>
    <w:semiHidden/>
    <w:unhideWhenUsed/>
    <w:qFormat/>
    <w:uiPriority w:val="99"/>
    <w:rPr>
      <w:vertAlign w:val="superscript"/>
    </w:rPr>
  </w:style>
  <w:style w:type="paragraph" w:styleId="13">
    <w:name w:val="footnote text"/>
    <w:link w:val="18"/>
    <w:semiHidden/>
    <w:unhideWhenUsed/>
    <w:qFormat/>
    <w:uiPriority w:val="99"/>
    <w:pPr>
      <w:spacing w:after="0" w:line="240" w:lineRule="auto"/>
    </w:pPr>
    <w:rPr>
      <w:sz w:val="20"/>
      <w:szCs w:val="20"/>
    </w:rPr>
  </w:style>
  <w:style w:type="character" w:styleId="14">
    <w:name w:val="Hyperlink"/>
    <w:unhideWhenUsed/>
    <w:qFormat/>
    <w:uiPriority w:val="99"/>
    <w:rPr>
      <w:color w:val="0563C1"/>
      <w:u w:val="single"/>
    </w:rPr>
  </w:style>
  <w:style w:type="paragraph" w:styleId="15">
    <w:name w:val="Title"/>
    <w:qFormat/>
    <w:uiPriority w:val="0"/>
    <w:rPr>
      <w:sz w:val="56"/>
      <w:szCs w:val="56"/>
    </w:rPr>
  </w:style>
  <w:style w:type="paragraph" w:styleId="16">
    <w:name w:val="toc 1"/>
    <w:basedOn w:val="1"/>
    <w:next w:val="1"/>
    <w:uiPriority w:val="0"/>
  </w:style>
  <w:style w:type="paragraph" w:styleId="17">
    <w:name w:val="List Paragraph"/>
    <w:qFormat/>
    <w:uiPriority w:val="0"/>
    <w:rPr>
      <w:sz w:val="21"/>
      <w:szCs w:val="22"/>
    </w:rPr>
  </w:style>
  <w:style w:type="character" w:customStyle="1" w:styleId="18">
    <w:name w:val="Footnote Text Char"/>
    <w:link w:val="13"/>
    <w:semiHidden/>
    <w:unhideWhenUsed/>
    <w:qFormat/>
    <w:uiPriority w:val="99"/>
    <w:rPr>
      <w:sz w:val="20"/>
      <w:szCs w:val="20"/>
    </w:rPr>
  </w:style>
  <w:style w:type="character" w:customStyle="1" w:styleId="19">
    <w:name w:val="Endnote Text Char"/>
    <w:link w:val="11"/>
    <w:semiHidden/>
    <w:unhideWhenUsed/>
    <w:qFormat/>
    <w:uiPriority w:val="99"/>
    <w:rPr>
      <w:sz w:val="20"/>
      <w:szCs w:val="20"/>
    </w:rPr>
  </w:style>
  <w:style w:type="paragraph" w:customStyle="1" w:styleId="20">
    <w:name w:val="Table Paragraph"/>
    <w:basedOn w:val="1"/>
    <w:qFormat/>
    <w:uiPriority w:val="1"/>
    <w:pPr>
      <w:ind w:left="107"/>
    </w:pPr>
    <w:rPr>
      <w:rFonts w:ascii="Arial MT" w:hAnsi="Arial MT" w:eastAsia="Arial MT" w:cs="Arial MT"/>
      <w:lang w:val="en-US" w:eastAsia="en-US"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otalTime>3</TotalTime>
  <Pages>7</Pages>
  <Words>1678</Words>
  <Characters>10486</Characters>
  <ScaleCrop>false</ScaleCrop>
  <LinksUpToDate>false</LinksUpToDate>
  <CharactersWithSpaces>12132</CharactersWithSpac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2026-08-21T20:29:00Z</dcterms:created>
  <dcterms:modified xsi:type="dcterms:W3CDTF">2026-08-21T21:13:36Z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eyJoZGlkIjoiNWRlN2VmNWE2ZDVkMmU2YzNjMGYzYzQ0MTYwNGQ2YWEiLCJ1c2VySWQiOiIxOTQxODQ5NDAwNDEwIn0=</vt:lpwstr>
  </property>
  <property fmtid="{D5CDD505-2E9C-101B-9397-08002B2CF9AE}" pid="3" name="KSOProductBuildVer">
    <vt:lpwstr>1033-12.1.0.28032</vt:lpwstr>
  </property>
  <property fmtid="{D5CDD505-2E9C-101B-9397-08002B2CF9AE}" pid="4" name="ICV">
    <vt:lpwstr>095C301C413941579FBC891A956C7BCA_12</vt:lpwstr>
  </property>
</Properties>
</file>