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eastAsia="Times New Roman" w:cs="Times New Roman"/>
          <w:b/>
          <w:sz w:val="32"/>
          <w:szCs w:val="32"/>
        </w:rPr>
      </w:pPr>
    </w:p>
    <w:p>
      <w:pPr>
        <w:jc w:val="center"/>
        <w:rPr>
          <w:rFonts w:ascii="Times New Roman" w:hAnsi="Times New Roman" w:eastAsia="Times New Roman" w:cs="Times New Roman"/>
          <w:b/>
          <w:sz w:val="32"/>
          <w:szCs w:val="32"/>
        </w:rPr>
      </w:pPr>
    </w:p>
    <w:p>
      <w:pPr>
        <w:jc w:val="center"/>
        <w:rPr>
          <w:rFonts w:ascii="Times New Roman" w:hAnsi="Times New Roman" w:eastAsia="Times New Roman" w:cs="Times New Roman"/>
          <w:b/>
          <w:sz w:val="32"/>
          <w:szCs w:val="32"/>
        </w:rPr>
      </w:pPr>
    </w:p>
    <w:p>
      <w:pPr>
        <w:jc w:val="center"/>
        <w:rPr>
          <w:rFonts w:ascii="Times New Roman" w:hAnsi="Times New Roman" w:eastAsia="Times New Roman" w:cs="Times New Roman"/>
          <w:b/>
          <w:sz w:val="32"/>
          <w:szCs w:val="32"/>
        </w:rPr>
      </w:pPr>
    </w:p>
    <w:p>
      <w:pPr>
        <w:jc w:val="center"/>
        <w:rPr>
          <w:rFonts w:ascii="Times New Roman" w:hAnsi="Times New Roman" w:eastAsia="Times New Roman" w:cs="Times New Roman"/>
          <w:b/>
          <w:sz w:val="32"/>
          <w:szCs w:val="32"/>
        </w:rPr>
      </w:pPr>
    </w:p>
    <w:p>
      <w:pPr>
        <w:jc w:val="center"/>
        <w:rPr>
          <w:rFonts w:ascii="Times New Roman" w:hAnsi="Times New Roman" w:eastAsia="Times New Roman" w:cs="Times New Roman"/>
          <w:b/>
          <w:sz w:val="32"/>
          <w:szCs w:val="32"/>
        </w:rPr>
      </w:pPr>
    </w:p>
    <w:p>
      <w:pPr>
        <w:jc w:val="center"/>
        <w:rPr>
          <w:rFonts w:ascii="Times New Roman" w:hAnsi="Times New Roman" w:eastAsia="Times New Roman" w:cs="Times New Roman"/>
          <w:b/>
          <w:sz w:val="32"/>
          <w:szCs w:val="32"/>
        </w:rPr>
      </w:pPr>
    </w:p>
    <w:p>
      <w:pPr>
        <w:jc w:val="center"/>
        <w:rPr>
          <w:rFonts w:ascii="Times New Roman" w:hAnsi="Times New Roman" w:eastAsia="Times New Roman" w:cs="Times New Roman"/>
          <w:b/>
          <w:sz w:val="32"/>
          <w:szCs w:val="32"/>
        </w:rPr>
      </w:pPr>
    </w:p>
    <w:p>
      <w:pPr>
        <w:jc w:val="center"/>
        <w:rPr>
          <w:rFonts w:ascii="Times New Roman" w:hAnsi="Times New Roman" w:eastAsia="Times New Roman" w:cs="Times New Roman"/>
          <w:b/>
          <w:sz w:val="32"/>
          <w:szCs w:val="32"/>
        </w:rPr>
      </w:pPr>
    </w:p>
    <w:p>
      <w:pPr>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Pr>
        <w:t>MANAGEMENT ECONOMICS</w:t>
      </w:r>
    </w:p>
    <w:p>
      <w:pPr>
        <w:jc w:val="center"/>
        <w:rPr>
          <w:rFonts w:ascii="Times New Roman" w:hAnsi="Times New Roman" w:eastAsia="Times New Roman" w:cs="Times New Roman"/>
          <w:b/>
          <w:sz w:val="32"/>
          <w:szCs w:val="32"/>
        </w:rPr>
      </w:pPr>
    </w:p>
    <w:p>
      <w:pPr>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Pr>
        <w:t>ASSESSMENT 1</w:t>
      </w:r>
    </w:p>
    <w:p>
      <w:pPr>
        <w:spacing w:before="240" w:after="240" w:line="360" w:lineRule="auto"/>
        <w:jc w:val="center"/>
        <w:rPr>
          <w:rFonts w:ascii="Times New Roman" w:hAnsi="Times New Roman" w:cs="Times New Roman"/>
          <w:b/>
          <w:color w:val="000000" w:themeColor="text1"/>
          <w:sz w:val="32"/>
          <w:szCs w:val="24"/>
          <w14:textFill>
            <w14:solidFill>
              <w14:schemeClr w14:val="tx1"/>
            </w14:solidFill>
          </w14:textFill>
        </w:rPr>
      </w:pPr>
      <w:r>
        <w:rPr>
          <w:rFonts w:ascii="Times New Roman" w:hAnsi="Times New Roman" w:cs="Times New Roman"/>
          <w:b/>
          <w:color w:val="000000" w:themeColor="text1"/>
          <w:sz w:val="32"/>
          <w:szCs w:val="24"/>
          <w14:textFill>
            <w14:solidFill>
              <w14:schemeClr w14:val="tx1"/>
            </w14:solidFill>
          </w14:textFill>
        </w:rPr>
        <w:t>Anca Vasile</w:t>
      </w:r>
    </w:p>
    <w:p>
      <w:pPr>
        <w:jc w:val="center"/>
        <w:rPr>
          <w:rFonts w:ascii="Times New Roman" w:hAnsi="Times New Roman" w:eastAsia="Times New Roman" w:cs="Times New Roman"/>
          <w:b/>
          <w:sz w:val="24"/>
          <w:szCs w:val="24"/>
        </w:rPr>
      </w:pPr>
      <w:r>
        <w:rPr>
          <w:rFonts w:ascii="Times New Roman" w:hAnsi="Times New Roman" w:cs="Times New Roman"/>
          <w:b/>
          <w:color w:val="000000" w:themeColor="text1"/>
          <w:sz w:val="32"/>
          <w:szCs w:val="24"/>
          <w14:textFill>
            <w14:solidFill>
              <w14:schemeClr w14:val="tx1"/>
            </w14:solidFill>
          </w14:textFill>
        </w:rPr>
        <w:t>Student id:2018716</w:t>
      </w:r>
      <w:bookmarkStart w:id="6" w:name="_GoBack"/>
      <w:bookmarkEnd w:id="6"/>
      <w:r>
        <w:rPr>
          <w:rFonts w:ascii="Times New Roman" w:hAnsi="Times New Roman" w:eastAsia="Times New Roman" w:cs="Times New Roman"/>
          <w:b/>
          <w:sz w:val="24"/>
          <w:szCs w:val="24"/>
        </w:rPr>
        <w:br w:type="page"/>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8"/>
          <w:szCs w:val="28"/>
        </w:rPr>
        <w:t>Executive Summary</w:t>
      </w:r>
    </w:p>
    <w:p>
      <w:pPr>
        <w:spacing w:line="360" w:lineRule="auto"/>
        <w:jc w:val="both"/>
        <w:rPr>
          <w:rFonts w:ascii="Times New Roman" w:hAnsi="Times New Roman" w:eastAsia="Times New Roman" w:cs="Times New Roman"/>
          <w:bCs/>
          <w:sz w:val="24"/>
          <w:szCs w:val="24"/>
        </w:rPr>
      </w:pPr>
      <w:r>
        <w:rPr>
          <w:rFonts w:ascii="Times New Roman" w:hAnsi="Times New Roman" w:eastAsia="Times New Roman" w:cs="Times New Roman"/>
          <w:bCs/>
          <w:sz w:val="24"/>
          <w:szCs w:val="24"/>
        </w:rPr>
        <w:t xml:space="preserve">The persistence of demand and supply is seen to operate in this report through the variation of British Airways as the chosen organisation. Here, competitive landscape is seen absent majorly for the organisation because of its persisting nature of oligopoly in real terms by not counting any of its competitors as business rivals. Financial losses due to inefficient management in price skimming after the post pandemic scenario has been majorly identified as the operational cause of huge losses of the organisation. The nature of royalty along with planned cost cuttings in the customer conveyance for shorter tours is a highlighted negative side that has been affecting along with identified lacunas in IT Management. The report includes 2 price-oriented recommendations to suggest timely collaboration and establishment of business name with its contemporary companies for maintained service demand amid customers through better reach to the global audiences amid present functional losses.       </w:t>
      </w:r>
      <w:r>
        <w:rPr>
          <w:rFonts w:ascii="Times New Roman" w:hAnsi="Times New Roman" w:eastAsia="Times New Roman" w:cs="Times New Roman"/>
          <w:bCs/>
          <w:sz w:val="24"/>
          <w:szCs w:val="24"/>
        </w:rPr>
        <w:br w:type="page"/>
      </w:r>
    </w:p>
    <w:sdt>
      <w:sdtPr>
        <w:id w:val="120190411"/>
      </w:sdtPr>
      <w:sdtEndPr>
        <w:rPr>
          <w:rFonts w:ascii="Arial" w:hAnsi="Arial" w:eastAsia="Arial" w:cs="Arial"/>
          <w:b/>
          <w:bCs/>
          <w:color w:val="auto"/>
          <w:sz w:val="22"/>
          <w:szCs w:val="22"/>
          <w:lang w:val="en-GB" w:eastAsia="en-IN"/>
        </w:rPr>
      </w:sdtEndPr>
      <w:sdtContent>
        <w:p>
          <w:pPr>
            <w:pStyle w:val="19"/>
            <w:jc w:val="center"/>
          </w:pPr>
          <w:r>
            <w:rPr>
              <w:rFonts w:ascii="Times New Roman" w:hAnsi="Times New Roman" w:cs="Times New Roman"/>
              <w:b/>
              <w:bCs/>
              <w:color w:val="000000" w:themeColor="text1"/>
              <w:sz w:val="28"/>
              <w:szCs w:val="28"/>
              <w14:textFill>
                <w14:solidFill>
                  <w14:schemeClr w14:val="tx1"/>
                </w14:solidFill>
              </w14:textFill>
            </w:rPr>
            <w:t>Table of Contents</w:t>
          </w:r>
        </w:p>
        <w:p>
          <w:pPr>
            <w:pStyle w:val="13"/>
            <w:tabs>
              <w:tab w:val="right" w:leader="dot" w:pos="9350"/>
            </w:tabs>
            <w:spacing w:line="360" w:lineRule="auto"/>
            <w:jc w:val="both"/>
            <w:rPr>
              <w:rFonts w:ascii="Times New Roman" w:hAnsi="Times New Roman" w:cs="Times New Roman"/>
              <w:sz w:val="24"/>
              <w:szCs w:val="24"/>
            </w:rPr>
          </w:pPr>
          <w:r>
            <w:fldChar w:fldCharType="begin"/>
          </w:r>
          <w:r>
            <w:instrText xml:space="preserve"> TOC \o "1-3" \h \z \u </w:instrText>
          </w:r>
          <w:r>
            <w:fldChar w:fldCharType="separate"/>
          </w:r>
          <w:r>
            <w:fldChar w:fldCharType="begin"/>
          </w:r>
          <w:r>
            <w:instrText xml:space="preserve"> HYPERLINK \l "_Toc109414502" </w:instrText>
          </w:r>
          <w:r>
            <w:fldChar w:fldCharType="separate"/>
          </w:r>
          <w:r>
            <w:rPr>
              <w:rStyle w:val="15"/>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_Toc109414502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350"/>
            </w:tabs>
            <w:spacing w:line="360" w:lineRule="auto"/>
            <w:jc w:val="both"/>
            <w:rPr>
              <w:rFonts w:ascii="Times New Roman" w:hAnsi="Times New Roman" w:cs="Times New Roman"/>
              <w:sz w:val="24"/>
              <w:szCs w:val="24"/>
            </w:rPr>
          </w:pPr>
          <w:r>
            <w:fldChar w:fldCharType="begin"/>
          </w:r>
          <w:r>
            <w:instrText xml:space="preserve"> HYPERLINK \l "_Toc109414503" </w:instrText>
          </w:r>
          <w:r>
            <w:fldChar w:fldCharType="separate"/>
          </w:r>
          <w:r>
            <w:rPr>
              <w:rStyle w:val="15"/>
              <w:rFonts w:ascii="Times New Roman" w:hAnsi="Times New Roman" w:cs="Times New Roman"/>
              <w:sz w:val="24"/>
              <w:szCs w:val="24"/>
            </w:rPr>
            <w:t>Description of business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_Toc109414503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350"/>
            </w:tabs>
            <w:spacing w:line="360" w:lineRule="auto"/>
            <w:jc w:val="both"/>
            <w:rPr>
              <w:rFonts w:ascii="Times New Roman" w:hAnsi="Times New Roman" w:cs="Times New Roman"/>
              <w:sz w:val="24"/>
              <w:szCs w:val="24"/>
            </w:rPr>
          </w:pPr>
          <w:r>
            <w:fldChar w:fldCharType="begin"/>
          </w:r>
          <w:r>
            <w:instrText xml:space="preserve"> HYPERLINK \l "_Toc109414504" </w:instrText>
          </w:r>
          <w:r>
            <w:fldChar w:fldCharType="separate"/>
          </w:r>
          <w:r>
            <w:rPr>
              <w:rStyle w:val="15"/>
              <w:rFonts w:ascii="Times New Roman" w:hAnsi="Times New Roman" w:cs="Times New Roman"/>
              <w:sz w:val="24"/>
              <w:szCs w:val="24"/>
            </w:rPr>
            <w:t>Demand and Market Equilibrium</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_Toc109414504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350"/>
            </w:tabs>
            <w:spacing w:line="360" w:lineRule="auto"/>
            <w:jc w:val="both"/>
            <w:rPr>
              <w:rFonts w:ascii="Times New Roman" w:hAnsi="Times New Roman" w:cs="Times New Roman"/>
              <w:sz w:val="24"/>
              <w:szCs w:val="24"/>
            </w:rPr>
          </w:pPr>
          <w:r>
            <w:fldChar w:fldCharType="begin"/>
          </w:r>
          <w:r>
            <w:instrText xml:space="preserve"> HYPERLINK \l "_Toc109414505" </w:instrText>
          </w:r>
          <w:r>
            <w:fldChar w:fldCharType="separate"/>
          </w:r>
          <w:r>
            <w:rPr>
              <w:rStyle w:val="15"/>
              <w:rFonts w:ascii="Times New Roman" w:hAnsi="Times New Roman" w:cs="Times New Roman"/>
              <w:sz w:val="24"/>
              <w:szCs w:val="24"/>
            </w:rPr>
            <w:t>Indication of demand as elastic or inelastic</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_Toc109414505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350"/>
            </w:tabs>
            <w:spacing w:line="360" w:lineRule="auto"/>
            <w:jc w:val="both"/>
            <w:rPr>
              <w:rFonts w:ascii="Times New Roman" w:hAnsi="Times New Roman" w:cs="Times New Roman"/>
              <w:sz w:val="24"/>
              <w:szCs w:val="24"/>
            </w:rPr>
          </w:pPr>
          <w:r>
            <w:fldChar w:fldCharType="begin"/>
          </w:r>
          <w:r>
            <w:instrText xml:space="preserve"> HYPERLINK \l "_Toc109414506" </w:instrText>
          </w:r>
          <w:r>
            <w:fldChar w:fldCharType="separate"/>
          </w:r>
          <w:r>
            <w:rPr>
              <w:rStyle w:val="15"/>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_Toc109414506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350"/>
            </w:tabs>
            <w:spacing w:line="360" w:lineRule="auto"/>
            <w:jc w:val="both"/>
            <w:rPr>
              <w:rFonts w:ascii="Times New Roman" w:hAnsi="Times New Roman" w:cs="Times New Roman"/>
              <w:sz w:val="24"/>
              <w:szCs w:val="24"/>
            </w:rPr>
          </w:pPr>
          <w:r>
            <w:fldChar w:fldCharType="begin"/>
          </w:r>
          <w:r>
            <w:instrText xml:space="preserve"> HYPERLINK \l "_Toc109414507" </w:instrText>
          </w:r>
          <w:r>
            <w:fldChar w:fldCharType="separate"/>
          </w:r>
          <w:r>
            <w:rPr>
              <w:rStyle w:val="15"/>
              <w:rFonts w:ascii="Times New Roman" w:hAnsi="Times New Roman" w:cs="Times New Roman"/>
              <w:sz w:val="24"/>
              <w:szCs w:val="24"/>
              <w:lang w:val="en-US"/>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_Toc109414507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r>
            <w:rPr>
              <w:b/>
              <w:bCs/>
            </w:rPr>
            <w:fldChar w:fldCharType="end"/>
          </w:r>
        </w:p>
      </w:sdtContent>
    </w:sdt>
    <w:p>
      <w:pPr>
        <w:rPr>
          <w:rFonts w:ascii="Times New Roman" w:hAnsi="Times New Roman" w:eastAsia="Times New Roman" w:cs="Times New Roman"/>
          <w:b/>
          <w:sz w:val="24"/>
          <w:szCs w:val="24"/>
        </w:rPr>
      </w:pPr>
      <w:r>
        <w:rPr>
          <w:rFonts w:ascii="Times New Roman" w:hAnsi="Times New Roman" w:eastAsia="Times New Roman" w:cs="Times New Roman"/>
          <w:b/>
          <w:sz w:val="24"/>
          <w:szCs w:val="24"/>
        </w:rPr>
        <w:br w:type="page"/>
      </w:r>
    </w:p>
    <w:p>
      <w:pPr>
        <w:pStyle w:val="2"/>
      </w:pPr>
      <w:bookmarkStart w:id="0" w:name="_Toc109414502"/>
      <w:r>
        <w:t>Introduction</w:t>
      </w:r>
      <w:bookmarkEnd w:id="0"/>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Concept of demand for a product or service in relation to the stability in market demand and access is the main consideration for establishment of market equilibrium. The constant of balanced availability retains the function of demand under elastic or inelastic as per the change of effect affecting overall quantity per price. In this report, the research would focus on British Airways as the chosen company. An overall business to quality applicability through customer acceptance would be highlighted in depth to understand real functional stipulation through applicability amid immediate substitutes to the chosen business. Thereafter, a functional recommendation on business policies shall be posited to conclude this report. </w:t>
      </w:r>
    </w:p>
    <w:p>
      <w:pPr>
        <w:pStyle w:val="2"/>
      </w:pPr>
      <w:bookmarkStart w:id="1" w:name="_Toc109414503"/>
      <w:r>
        <w:t>Description of business</w:t>
      </w:r>
      <w:bookmarkEnd w:id="1"/>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chosen business to address this report is British Airways. The aviation industry market demand is a subject worth debate and discussion even in post pandemic situation. As opined by Iata.org (2022), the market demand for airways has comparably witnessed 82.3% rise from 2021 market scenario. There are 11 immediate competitors of British Airways in which safety, customer service functions and transportation efficiency are identified as top three identifiers of market demand maintenance (Bhasin, 2018). The demand and loss of British Airways is also a significant question as per the external incurrence of conflicts or for the pandemic situation. Here, the perception of operations as per demand is also significant because of routes and availability of services.</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5943600" cy="3517900"/>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5"/>
                    <a:srcRect l="-801" r="801"/>
                    <a:stretch>
                      <a:fillRect/>
                    </a:stretch>
                  </pic:blipFill>
                  <pic:spPr>
                    <a:xfrm>
                      <a:off x="0" y="0"/>
                      <a:ext cx="5943600" cy="3517900"/>
                    </a:xfrm>
                    <a:prstGeom prst="rect">
                      <a:avLst/>
                    </a:prstGeom>
                    <a:ln w="25400">
                      <a:solidFill>
                        <a:srgbClr val="000000"/>
                      </a:solidFill>
                      <a:prstDash val="solid"/>
                    </a:ln>
                  </pic:spPr>
                </pic:pic>
              </a:graphicData>
            </a:graphic>
          </wp:inline>
        </w:drawing>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1: Actual passenger count in British Airways explained</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 Statista.com, 2022)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Pr>
        <w:t xml:space="preserve">Under Airways segment, the concern of a direct expansion mindset along with enhanced route capacity is also a major concern for British Airways (Philip, 2022). Moreover, seasonal based short trips and long travel functions are also considerations under profitability and operations of British Airways. The nature of demand and competition that British Airways would face with its competitors would fall under an Oligopoly structure through price elasticity and simulation of demand as can be observed from the public end. The equilibrium of demand is entirely dependent upon “Short Haul economy” based operations as per the present operational structure of British airways is concerned. As opined by Byers and Adams (2022), under this abovementioned complementary function, to ensure proper expansion of brand name, “British Airways Executive Club” flyer program is the main operational booster to enhance customer purchasing knack towards their specific aviation services. As opined by Philip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(2022), Operational demands along with lower customer affordability is also a concern of research because of employment layoffs along with lowered salaries of staff and public as well amid the pandemic.      </w:t>
      </w:r>
      <w:r>
        <w:rPr>
          <w:rFonts w:ascii="Times New Roman" w:hAnsi="Times New Roman" w:eastAsia="Times New Roman" w:cs="Times New Roman"/>
          <w:b/>
          <w:sz w:val="24"/>
          <w:szCs w:val="24"/>
        </w:rPr>
        <w:t xml:space="preserve"> </w:t>
      </w:r>
    </w:p>
    <w:p>
      <w:pPr>
        <w:pStyle w:val="2"/>
      </w:pPr>
      <w:bookmarkStart w:id="2" w:name="_Toc109414504"/>
      <w:r>
        <w:t>Demand and Market Equilibrium</w:t>
      </w:r>
      <w:bookmarkEnd w:id="2"/>
    </w:p>
    <w:p>
      <w:pPr>
        <w:spacing w:line="360" w:lineRule="auto"/>
        <w:jc w:val="both"/>
        <w:rPr>
          <w:rFonts w:ascii="Times New Roman" w:hAnsi="Times New Roman" w:eastAsia="Times New Roman" w:cs="Times New Roman"/>
          <w:i/>
          <w:sz w:val="24"/>
          <w:szCs w:val="24"/>
        </w:rPr>
      </w:pPr>
      <w:r>
        <w:rPr>
          <w:rFonts w:ascii="Times New Roman" w:hAnsi="Times New Roman" w:eastAsia="Times New Roman" w:cs="Times New Roman"/>
          <w:i/>
          <w:sz w:val="24"/>
          <w:szCs w:val="24"/>
        </w:rPr>
        <w:t>Price of Substitutes</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4766945" cy="327533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6"/>
                    <a:stretch>
                      <a:fillRect/>
                    </a:stretch>
                  </pic:blipFill>
                  <pic:spPr>
                    <a:xfrm>
                      <a:off x="0" y="0"/>
                      <a:ext cx="4767263" cy="3275349"/>
                    </a:xfrm>
                    <a:prstGeom prst="rect">
                      <a:avLst/>
                    </a:prstGeom>
                    <a:ln w="25400">
                      <a:solidFill>
                        <a:srgbClr val="000000"/>
                      </a:solidFill>
                      <a:prstDash val="solid"/>
                    </a:ln>
                  </pic:spPr>
                </pic:pic>
              </a:graphicData>
            </a:graphic>
          </wp:inline>
        </w:drawing>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2: Competitive impact on British Airways</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Horton, 2020)</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this aspect, the immediate substitute is also concerning those organisations that deal with the aviation industry. As opined by Ford (2021), there are ten immediate rival companies named as "Jet2.com", "Delta Airlines", "Easyjet”, “Virgin atlantic” and others who are there to substitute the market structure as held by British airways. Here, the substitution is only based upon aviation medium that remains entirely competitive within the market based upon customer experience. The substitute concept in the airline industry is related with that of route division and equalisation of route frequency changes made to substantiate the growth in competitive landscape. Major substitution power is observed as to remain with passenger-based capacity to access the offered services by the airplane companies in a country (Thelle and la Cour Sonne, 2018).   Now, talking of substitute prices, it is seen that Jet2.com has comparably cheaper price range for short aviation packages ranging between 39 to 90 GBP under Summer and Winter schemas (Jet2.com, 2022). Delta Airlines in the list usually is reported to vary aviation fares between $19 to $59 on every single seat (Potter, 2022). However, Delta airlines in UK has only reflected costly aviation fares because of long tour setup starting from 500 GBP and up (Flightcentre.co.uk, 2019). Easyjet has also kept their aviation prices very nominal in between 13 to 30 GBP in short trips (Easyjet.com, 2022). The impact of competition on British airways is seen as negative because of staff shortage because of rapid furlough mechanisms (Tweed and Summerfield, 2022). The organisation has also not paid any heed to its competitors over short route tours with its increase in prices upto 419 GBP.</w:t>
      </w:r>
    </w:p>
    <w:p>
      <w:pPr>
        <w:spacing w:line="360" w:lineRule="auto"/>
        <w:jc w:val="both"/>
        <w:rPr>
          <w:rFonts w:ascii="Times New Roman" w:hAnsi="Times New Roman" w:eastAsia="Times New Roman" w:cs="Times New Roman"/>
          <w:i/>
          <w:sz w:val="24"/>
          <w:szCs w:val="24"/>
        </w:rPr>
      </w:pPr>
      <w:r>
        <w:rPr>
          <w:rFonts w:ascii="Times New Roman" w:hAnsi="Times New Roman" w:eastAsia="Times New Roman" w:cs="Times New Roman"/>
          <w:i/>
          <w:sz w:val="24"/>
          <w:szCs w:val="24"/>
        </w:rPr>
        <w:t>Complement Pricing</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Complementary product or service is the add on to a product or service that is provided to add on extra holistic value base to the overall experience of availing demanded package. In this scenario, the British Airways had mentioned products and services like free drinks, WiFi facility and kid meal facilities considering the tours that were counted under long haul by the organisation (Mediacentre.britishairways.com, 2019). Previously, to ensure a strict annual savings of 400 million GBP, the complementary services like food and drinks varieties were curtailed from the shorter flights. At present, due to immense competitive landscape from organistaions like RyanAir, British Airways has ensured reshaping their offer to the customer base (Churchill, 2022). Yes, the complementary function re added by British Airways was only to stop the leakage of shares during the pandemic and to repair its reputation as well at present.</w:t>
      </w:r>
    </w:p>
    <w:p>
      <w:pPr>
        <w:spacing w:line="360" w:lineRule="auto"/>
        <w:jc w:val="both"/>
        <w:rPr>
          <w:rFonts w:ascii="Times New Roman" w:hAnsi="Times New Roman" w:eastAsia="Times New Roman" w:cs="Times New Roman"/>
          <w:i/>
          <w:sz w:val="24"/>
          <w:szCs w:val="24"/>
        </w:rPr>
      </w:pPr>
      <w:r>
        <w:rPr>
          <w:rFonts w:ascii="Times New Roman" w:hAnsi="Times New Roman" w:eastAsia="Times New Roman" w:cs="Times New Roman"/>
          <w:i/>
          <w:sz w:val="24"/>
          <w:szCs w:val="24"/>
        </w:rPr>
        <w:t>Consumer Income effect</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5943600" cy="337820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7"/>
                    <a:stretch>
                      <a:fillRect/>
                    </a:stretch>
                  </pic:blipFill>
                  <pic:spPr>
                    <a:xfrm>
                      <a:off x="0" y="0"/>
                      <a:ext cx="5943600" cy="3378200"/>
                    </a:xfrm>
                    <a:prstGeom prst="rect">
                      <a:avLst/>
                    </a:prstGeom>
                    <a:ln w="25400">
                      <a:solidFill>
                        <a:srgbClr val="000000"/>
                      </a:solidFill>
                      <a:prstDash val="solid"/>
                    </a:ln>
                  </pic:spPr>
                </pic:pic>
              </a:graphicData>
            </a:graphic>
          </wp:inline>
        </w:drawing>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3: UK generic income rate illustrated</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Ons.gov.uk, 2021)</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Consumer Income in the UK region is seen to witness a 5% negative fall in 2022 (Deloitte.com, 2022). In addition, the level of UK disposable income level is also negative in overall trend as recorded at -23 points (Ons.gov.uk, 2021). The consumer sentiment percentile has also resulted to witness -73% at present. </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5943600" cy="3784600"/>
            <wp:effectExtent l="25400" t="25400" r="25400" b="2540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8"/>
                    <a:stretch>
                      <a:fillRect/>
                    </a:stretch>
                  </pic:blipFill>
                  <pic:spPr>
                    <a:xfrm>
                      <a:off x="0" y="0"/>
                      <a:ext cx="5943600" cy="3784600"/>
                    </a:xfrm>
                    <a:prstGeom prst="rect">
                      <a:avLst/>
                    </a:prstGeom>
                    <a:ln w="25400">
                      <a:solidFill>
                        <a:srgbClr val="000000"/>
                      </a:solidFill>
                      <a:prstDash val="solid"/>
                    </a:ln>
                  </pic:spPr>
                </pic:pic>
              </a:graphicData>
            </a:graphic>
          </wp:inline>
        </w:drawing>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4: Global Revenue decrease projected for British Airways</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Salas, 2022)</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Here, it is also seen that the social mobility along with income distribution has witnessed a rapid fall due to the pandemic along with an increase in personal liabilities and less personal asset holdings with the general public. It is also evident that due to a less accumulation of disposable income within the UK, the aviation industry has also witnessed rapid functional decline (Salas, 2022). Hence, British airways have also witnessed a severe operational downfall post 2019 ranging to "13290 million GBP in 2019", "3947 million GBP" in 2020 and in 2021, the organisation has only managed to accumulate global revenue worth "3699 million GBP".</w:t>
      </w:r>
    </w:p>
    <w:p>
      <w:pPr>
        <w:spacing w:line="360" w:lineRule="auto"/>
        <w:jc w:val="both"/>
        <w:rPr>
          <w:rFonts w:ascii="Times New Roman" w:hAnsi="Times New Roman" w:eastAsia="Times New Roman" w:cs="Times New Roman"/>
          <w:i/>
          <w:sz w:val="24"/>
          <w:szCs w:val="24"/>
        </w:rPr>
      </w:pPr>
      <w:r>
        <w:rPr>
          <w:rFonts w:ascii="Times New Roman" w:hAnsi="Times New Roman" w:eastAsia="Times New Roman" w:cs="Times New Roman"/>
          <w:i/>
          <w:sz w:val="24"/>
          <w:szCs w:val="24"/>
        </w:rPr>
        <w:t>Change in consumer preference</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5943600" cy="35433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943600" cy="3543300"/>
                    </a:xfrm>
                    <a:prstGeom prst="rect">
                      <a:avLst/>
                    </a:prstGeom>
                    <a:ln w="25400">
                      <a:solidFill>
                        <a:srgbClr val="000000"/>
                      </a:solidFill>
                      <a:prstDash val="solid"/>
                    </a:ln>
                  </pic:spPr>
                </pic:pic>
              </a:graphicData>
            </a:graphic>
          </wp:inline>
        </w:drawing>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5: Customer preference change process</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 Hammoud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2018)</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At present, the buying capacity of the customers has improved manifolds considering the fact of "online viral shopping style" and by immediate price comparison while opting for any aviation transportation service. 59% of customers have shaped traditional on spot decision making into online trends of immediate comparison through feature judgement functioning (Hammoud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2018). Presently, the mode of service based transaction has changed the mind of customers into flashy content based on lucrative additional services that organisations promise to them as packages along with profitable "commercial deals" in the name of gifts and coupons. Customer preference as per the trends is not about the features provided by the airline in terms of brand value but is extensively focused upon the third party retail functions that the customers can ensure as profitable channels. As opined by Young (2019), constant increase in customer preference for “value for money products” have degraded the rate wise evaluation provided to British Airways because of their cheap quality commodities and additional comfort products like drinks and eatables, IT server failures and rampant employee mismanagement.</w:t>
      </w:r>
    </w:p>
    <w:p>
      <w:pPr>
        <w:spacing w:line="360" w:lineRule="auto"/>
        <w:jc w:val="both"/>
        <w:rPr>
          <w:rFonts w:ascii="Times New Roman" w:hAnsi="Times New Roman" w:eastAsia="Times New Roman" w:cs="Times New Roman"/>
          <w:i/>
          <w:sz w:val="24"/>
          <w:szCs w:val="24"/>
        </w:rPr>
      </w:pPr>
      <w:r>
        <w:rPr>
          <w:rFonts w:ascii="Times New Roman" w:hAnsi="Times New Roman" w:eastAsia="Times New Roman" w:cs="Times New Roman"/>
          <w:i/>
          <w:sz w:val="24"/>
          <w:szCs w:val="24"/>
        </w:rPr>
        <w:t>Price Expectations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customers expects no less pricing in terms of low cost or affordable shorter travel distances from British Airways. As opined by Fleming (2019), customers have jointly rated negatively by giving a -2.9 rating to the organisation due to its no news of price drop or any consideration to the customers during trips. As a result, the customer experience had also lowered to avail the company because of poorer customer address or retention. </w:t>
      </w:r>
    </w:p>
    <w:p>
      <w:pPr>
        <w:spacing w:line="360" w:lineRule="auto"/>
        <w:jc w:val="both"/>
        <w:rPr>
          <w:rFonts w:ascii="Times New Roman" w:hAnsi="Times New Roman" w:eastAsia="Times New Roman" w:cs="Times New Roman"/>
          <w:i/>
          <w:sz w:val="24"/>
          <w:szCs w:val="24"/>
        </w:rPr>
      </w:pPr>
      <w:r>
        <w:rPr>
          <w:rFonts w:ascii="Times New Roman" w:hAnsi="Times New Roman" w:eastAsia="Times New Roman" w:cs="Times New Roman"/>
          <w:i/>
          <w:sz w:val="24"/>
          <w:szCs w:val="24"/>
        </w:rPr>
        <w:t>Demography</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British Airways target customer segment from 20 to 50 years under their primary customer base. The company at present is operating in 75 countries globally, functioning for more than 40 million customers count annually (Still, 2018). The customer base have already witnessed a steep downfall when Covid-19 pandemic came and had created a worldwide lockdown. The measurement of customer loss is around 32.9 million (Statista.com, 2022). Because of the huge sudden customer loss that the company had to incur in the post pandemic situation, a huge amount of 7.4 billion loss count was registered under the company along with huge staff furlough and aeroplane service curtailment as well (Sweney and Topham, 2021). The company had also reported about direct inability to cater to fuel requirements and staff maintenance as well. As a result, a bit of elasticity had been reflected from the company head by not focusing on a profit motive, but on customer health and safety considerations.             </w:t>
      </w:r>
    </w:p>
    <w:p>
      <w:pPr>
        <w:pStyle w:val="2"/>
      </w:pPr>
      <w:bookmarkStart w:id="3" w:name="_Toc109414505"/>
      <w:r>
        <w:t>Indication of demand as elastic or inelastic</w:t>
      </w:r>
      <w:bookmarkEnd w:id="3"/>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i/>
          <w:sz w:val="24"/>
          <w:szCs w:val="24"/>
        </w:rPr>
        <w:t>Luxury or a necessity</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As already mentioned, it is clear that the adamant nature of no price drop enhances the brand display mechanism of British Airways. As opined by Travel Expert (2019), British Airways is in direct collaboration with "The White Company". Here, the specialisation considering Longhaul premium services and “best in class” amenities are provided. Hence, it proves no necessity but a natural lavish lifestyle reflection with multiple comforts worth the affordability into “business class segment”. Here, in addition, the food that is available for the customers is directly offered by branded companies, which again is tagged under "business class segment". Now, it can also be interpreted as a necessity for those who claim themselves as sole user of this brand and would never be switching to any other brand of choice. The amount of satisfaction through status displayed in this scenario is a luxury to necessity substitution as can be seen in here regarding the choice of customers travelling with British Airways. As opined by Light (2020), as the mentality behind creation of British Airways was to cater "premium class and top tier" businessmen, the lavishness soon turns into a bare necessity for the target public of this brand.   </w:t>
      </w:r>
    </w:p>
    <w:p>
      <w:pPr>
        <w:spacing w:line="360" w:lineRule="auto"/>
        <w:jc w:val="both"/>
        <w:rPr>
          <w:rFonts w:ascii="Times New Roman" w:hAnsi="Times New Roman" w:eastAsia="Times New Roman" w:cs="Times New Roman"/>
          <w:i/>
          <w:sz w:val="24"/>
          <w:szCs w:val="24"/>
        </w:rPr>
      </w:pPr>
      <w:r>
        <w:rPr>
          <w:rFonts w:ascii="Times New Roman" w:hAnsi="Times New Roman" w:eastAsia="Times New Roman" w:cs="Times New Roman"/>
          <w:i/>
          <w:sz w:val="24"/>
          <w:szCs w:val="24"/>
        </w:rPr>
        <w:t>Above condition as elastic or in-elastic demand</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Here, it is obvious to comment that elastic demand prevails here to guide the customers to retain constancy in luxurious experiences along with paying premium pricing while flying to distant places. The target population would never go for sacrifice their pricing at present. It has been already discussed that online booking functions have transformed the customer nature into profitable entities to ensure maximum satisfaction from their payments. As opined by Still (2018), the ability of shaped premiums that the company has to offer to its customers provides an ensured nature of trust based relationship with the company. As opined by Parameswaran (2018), this situation of customer elastic demand to the organisation is because of Heathrow’s premium route in and across London. The best air career functions are also availed by the top class personalities across the globe without any second thought towards sensibility of celebrity based endorsements. Hare, the more pricing is increased, the general demand for associated services also gets increased for the customers.   </w:t>
      </w:r>
    </w:p>
    <w:p>
      <w:pPr>
        <w:spacing w:line="360" w:lineRule="auto"/>
        <w:jc w:val="both"/>
        <w:rPr>
          <w:rFonts w:ascii="Times New Roman" w:hAnsi="Times New Roman" w:eastAsia="Times New Roman" w:cs="Times New Roman"/>
          <w:i/>
          <w:sz w:val="24"/>
          <w:szCs w:val="24"/>
        </w:rPr>
      </w:pPr>
      <w:r>
        <w:rPr>
          <w:rFonts w:ascii="Times New Roman" w:hAnsi="Times New Roman" w:eastAsia="Times New Roman" w:cs="Times New Roman"/>
          <w:i/>
          <w:sz w:val="24"/>
          <w:szCs w:val="24"/>
        </w:rPr>
        <w:t>Representation of consumer income by choice</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As opined by Pooley (2022), it is seen that British Airways treats their premium customers as an excess savings holder population who are free to afford luxury aviation service at any price point without a second thought. The idea of "consumer's willingness to pay" is the main consideration that speculates and finalises whether aviation customers would be paying a larger or smaller fee to afford additional benefits and services from their travel (Rouncivell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2018). The population-based income group is sequentially distributed among the age sequence starting from 18 to 70 years. Here, distribution is based on business and economy class.</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5943600" cy="3695700"/>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0"/>
                    <a:stretch>
                      <a:fillRect/>
                    </a:stretch>
                  </pic:blipFill>
                  <pic:spPr>
                    <a:xfrm>
                      <a:off x="0" y="0"/>
                      <a:ext cx="5943600" cy="3695700"/>
                    </a:xfrm>
                    <a:prstGeom prst="rect">
                      <a:avLst/>
                    </a:prstGeom>
                    <a:ln w="25400">
                      <a:solidFill>
                        <a:srgbClr val="000000"/>
                      </a:solidFill>
                      <a:prstDash val="solid"/>
                    </a:ln>
                  </pic:spPr>
                </pic:pic>
              </a:graphicData>
            </a:graphic>
          </wp:inline>
        </w:drawing>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6: Choice of additional aviation leisure in customers</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 Rouncivell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2018)</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Additional requirement section is seen through amount deposit between 5 to 8 GBP. Hence, a moderate to minimum addition of income for ensured satisfaction is noted under purchasing of “required service” through assured value. As opined by Investopedia (2022), 12% of plane fair comes under business class seats. These seats booking amount when accumulated ensures 75% of aviation industry revenue. Hence, saying that a small portion of customer income can also enlist service association.       </w:t>
      </w:r>
    </w:p>
    <w:p>
      <w:pPr>
        <w:spacing w:line="360" w:lineRule="auto"/>
        <w:jc w:val="both"/>
        <w:rPr>
          <w:rFonts w:ascii="Times New Roman" w:hAnsi="Times New Roman" w:eastAsia="Times New Roman" w:cs="Times New Roman"/>
          <w:i/>
          <w:sz w:val="24"/>
          <w:szCs w:val="24"/>
        </w:rPr>
      </w:pPr>
      <w:r>
        <w:rPr>
          <w:rFonts w:ascii="Times New Roman" w:hAnsi="Times New Roman" w:eastAsia="Times New Roman" w:cs="Times New Roman"/>
          <w:i/>
          <w:sz w:val="24"/>
          <w:szCs w:val="24"/>
        </w:rPr>
        <w:t>Above condition as elastic or in-elastic demand</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Here, the options before the customers would be fewer. However, inelastic or elastic demand would entirely depend upon the "nature of travel". For leisure and trips, choices would be more, hence, elasticity would be more. The opposite would happen for business groups. Demand for strict timings and assured safety to the destination is what business groups would ask against the payment made for fair conveyances.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i/>
          <w:sz w:val="24"/>
          <w:szCs w:val="24"/>
        </w:rPr>
        <w:t>Recommendation on pricing policy</w:t>
      </w:r>
    </w:p>
    <w:p>
      <w:pPr>
        <w:numPr>
          <w:ilvl w:val="0"/>
          <w:numId w:val="1"/>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i/>
          <w:sz w:val="24"/>
          <w:szCs w:val="24"/>
        </w:rPr>
        <w:t>Price drop considering the post-pandemic situation</w:t>
      </w:r>
      <w:r>
        <w:rPr>
          <w:rFonts w:ascii="Times New Roman" w:hAnsi="Times New Roman" w:eastAsia="Times New Roman" w:cs="Times New Roman"/>
          <w:sz w:val="24"/>
          <w:szCs w:val="24"/>
        </w:rPr>
        <w:t xml:space="preserve">: It is already clear about UK's major hit to country economy after the Covid-19 pandemic. Hence, the company should focus on two value based pricing models based on the "penetration and economic model" of pricing. Through this, assured price skimming would be assured in the advertisement section and not with the facilities (Collins, 2021). Secondly, the company should immediately focus on competitive pricing based on differentiation. Building a brand completely upon significance and not on the present generic entry-based market would be a bummer in acquisition mindset. Here, market consolidation could also be controlled through a sensitive judgement of employee retention as well to avoid global unemployment. </w:t>
      </w:r>
    </w:p>
    <w:p>
      <w:pPr>
        <w:numPr>
          <w:ilvl w:val="0"/>
          <w:numId w:val="1"/>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i/>
          <w:sz w:val="24"/>
          <w:szCs w:val="24"/>
        </w:rPr>
        <w:t>Working on networking and connectivity pricing:</w:t>
      </w:r>
      <w:r>
        <w:rPr>
          <w:rFonts w:ascii="Times New Roman" w:hAnsi="Times New Roman" w:eastAsia="Times New Roman" w:cs="Times New Roman"/>
          <w:sz w:val="24"/>
          <w:szCs w:val="24"/>
        </w:rPr>
        <w:t xml:space="preserve"> As opined by Edwards (2022), it can be recommended that British Airways should analyse the cost cum operational possibility of low cost and “connecting network carriers” with other aviation companies. This would help to increase less fascinating fair prices for those people who are conscious about their budget and still wants to afford a safe ride as well. The company had already invoked public negligence due to their approach of cost cutting through removal of complementary items. Here, those items would also come in handy that too in a packed manner for every seat occupant. Hence, pricing profitability through displayed loyalty would ensure competition skipping mechanism for the brand in near future        </w:t>
      </w:r>
    </w:p>
    <w:p>
      <w:pPr>
        <w:pStyle w:val="2"/>
      </w:pPr>
      <w:bookmarkStart w:id="4" w:name="_Toc109414506"/>
      <w:r>
        <w:t>Conclusion</w:t>
      </w:r>
      <w:bookmarkEnd w:id="4"/>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British airlines although carries a big and versatile brand name are projected with insufficiencies due to their rigid pricing and placement errors in the competitive landscape of aviation industry. It is seen that the immediate rivals of this brand have attached to a low cost and less display approach to cater to its audiences amid the lockdown. Hence, recommendation of strategic insertion of networking connectivity carriers and having considerable pricing discounts would enhance the business through equal opportunities for the general public. The nature of substitution is identified as high for this company. Thus, application towards systematic collaboration with other companies would ultimately affect positive business scaling because of less tension in aviation management. Accepting "timely service recovery" is major learning in here because of which demand acceptance and supply inefficiencies are seen to improve within the organisation at large. Here, elasticity is operational within the economy groups, whereas for the business class, inelastic efficacy of demand is functional. </w:t>
      </w:r>
    </w:p>
    <w:p>
      <w:pPr>
        <w:rPr>
          <w:rFonts w:ascii="Times New Roman" w:hAnsi="Times New Roman" w:eastAsia="Times New Roman" w:cs="Times New Roman"/>
          <w:sz w:val="24"/>
          <w:szCs w:val="24"/>
        </w:rPr>
      </w:pPr>
      <w:r>
        <w:rPr>
          <w:rFonts w:ascii="Times New Roman" w:hAnsi="Times New Roman" w:eastAsia="Times New Roman" w:cs="Times New Roman"/>
          <w:sz w:val="24"/>
          <w:szCs w:val="24"/>
        </w:rPr>
        <w:br w:type="page"/>
      </w:r>
    </w:p>
    <w:p>
      <w:pPr>
        <w:pStyle w:val="2"/>
        <w:rPr>
          <w:lang w:val="en-US"/>
        </w:rPr>
      </w:pPr>
      <w:bookmarkStart w:id="5" w:name="_Toc109414507"/>
      <w:r>
        <w:rPr>
          <w:lang w:val="en-US"/>
        </w:rPr>
        <w:t>References</w:t>
      </w:r>
      <w:bookmarkEnd w:id="5"/>
    </w:p>
    <w:p>
      <w:pPr>
        <w:pStyle w:val="10"/>
        <w:spacing w:before="0" w:beforeAutospacing="0" w:after="240" w:afterAutospacing="0" w:line="360" w:lineRule="auto"/>
        <w:jc w:val="both"/>
      </w:pPr>
      <w:r>
        <w:t xml:space="preserve">Bhasin, H. (2018). </w:t>
      </w:r>
      <w:r>
        <w:rPr>
          <w:i/>
          <w:iCs/>
        </w:rPr>
        <w:t>Top 11 British Airways Competitors - Competitors of British Airways</w:t>
      </w:r>
      <w:r>
        <w:t>. Marketing91.com. Available at: https://www.marketing91.com/top-british-airways-competitors/ [Accessed 21 July 2022].</w:t>
      </w:r>
    </w:p>
    <w:p>
      <w:pPr>
        <w:pStyle w:val="10"/>
        <w:spacing w:before="0" w:beforeAutospacing="0" w:after="240" w:afterAutospacing="0" w:line="360" w:lineRule="auto"/>
        <w:jc w:val="both"/>
      </w:pPr>
      <w:r>
        <w:t xml:space="preserve">Byers, A. and Adams, D. (2022). </w:t>
      </w:r>
      <w:r>
        <w:rPr>
          <w:i/>
          <w:iCs/>
        </w:rPr>
        <w:t>British Airways Executive Club: Frequent Flyer Program Guide</w:t>
      </w:r>
      <w:r>
        <w:t>. [online] Forbes.com. Available at: https://www.forbes.com/advisor/travel-rewards/british-airways-executive-club/ [Accessed 21 July 2022].</w:t>
      </w:r>
    </w:p>
    <w:p>
      <w:pPr>
        <w:pStyle w:val="10"/>
        <w:spacing w:before="0" w:beforeAutospacing="0" w:after="240" w:afterAutospacing="0" w:line="360" w:lineRule="auto"/>
        <w:jc w:val="both"/>
      </w:pPr>
      <w:r>
        <w:t xml:space="preserve">Churchill, D., 2022. </w:t>
      </w:r>
      <w:r>
        <w:rPr>
          <w:i/>
          <w:iCs/>
        </w:rPr>
        <w:t>Free snacks are BACK on British Airways flights as boss admits mistake</w:t>
      </w:r>
      <w:r>
        <w:t>. Dailymail.co.uk. Available at: https://www.dailymail.co.uk/news/article-10458543/Free-snacks-British-Airways-flights-boss-admits-mistake-axe-luxury.html [Accessed 21 July 2022].</w:t>
      </w:r>
    </w:p>
    <w:p>
      <w:pPr>
        <w:pStyle w:val="10"/>
        <w:spacing w:before="0" w:beforeAutospacing="0" w:after="240" w:afterAutospacing="0" w:line="360" w:lineRule="auto"/>
        <w:jc w:val="both"/>
      </w:pPr>
      <w:r>
        <w:t xml:space="preserve">Collins, T., 2021. Pricing policy and profitability level of an organisation: Case study Finnair. </w:t>
      </w:r>
    </w:p>
    <w:p>
      <w:pPr>
        <w:pStyle w:val="10"/>
        <w:spacing w:before="0" w:beforeAutospacing="0" w:after="240" w:afterAutospacing="0" w:line="360" w:lineRule="auto"/>
        <w:jc w:val="both"/>
      </w:pPr>
      <w:r>
        <w:t xml:space="preserve">Deloitte.com, 2022. </w:t>
      </w:r>
      <w:r>
        <w:rPr>
          <w:i/>
          <w:iCs/>
        </w:rPr>
        <w:t>Consumer disposable income confidence falls to record low, as rising cost of living takes hold</w:t>
      </w:r>
      <w:r>
        <w:t>. Available at: https://www2.deloitte.com/uk/en/pages/press-releases/articles/consumer-disposable-income-confidence-falls-to-record-low-as-rising-cost-of-living-takes-hold.html [Accessed 21 July 2022].</w:t>
      </w:r>
    </w:p>
    <w:p>
      <w:pPr>
        <w:pStyle w:val="10"/>
        <w:spacing w:before="0" w:beforeAutospacing="0" w:after="240" w:afterAutospacing="0" w:line="360" w:lineRule="auto"/>
        <w:jc w:val="both"/>
      </w:pPr>
      <w:r>
        <w:t xml:space="preserve">Easyjet.com, 2022. </w:t>
      </w:r>
      <w:r>
        <w:rPr>
          <w:i/>
          <w:iCs/>
        </w:rPr>
        <w:t>Home | easyJet.com</w:t>
      </w:r>
      <w:r>
        <w:t>. Available at: https://www.easyjet.com/en [Accessed 21 July 2022].</w:t>
      </w:r>
    </w:p>
    <w:p>
      <w:pPr>
        <w:pStyle w:val="10"/>
        <w:spacing w:before="0" w:beforeAutospacing="0" w:after="240" w:afterAutospacing="0" w:line="360" w:lineRule="auto"/>
      </w:pPr>
      <w:r>
        <w:t xml:space="preserve">Edwards, K., 2022. </w:t>
      </w:r>
      <w:r>
        <w:rPr>
          <w:i/>
          <w:iCs/>
        </w:rPr>
        <w:t>Airline Pricing Strategies Explained: Types, Examples &amp; Tips</w:t>
      </w:r>
      <w:r>
        <w:t>. Pricefx. Available at: https://www.pricefx.com/learning-center/airline-pricing-strategies-explained-types-examples-tips/ [Accessed 21 July 2022].</w:t>
      </w:r>
    </w:p>
    <w:p>
      <w:pPr>
        <w:pStyle w:val="10"/>
        <w:spacing w:before="0" w:beforeAutospacing="0" w:after="240" w:afterAutospacing="0" w:line="360" w:lineRule="auto"/>
        <w:jc w:val="both"/>
      </w:pPr>
      <w:r>
        <w:t xml:space="preserve">Fleming, M., 2019. </w:t>
      </w:r>
      <w:r>
        <w:rPr>
          <w:i/>
          <w:iCs/>
        </w:rPr>
        <w:t>British Airways needs to ensure its reality matches up to its advertising</w:t>
      </w:r>
      <w:r>
        <w:t>. Marketingweek.com. Available at: https://www.marketingweek.com/british-airways-customer-experience/ [Accessed 21 July 2022].</w:t>
      </w:r>
    </w:p>
    <w:p>
      <w:pPr>
        <w:pStyle w:val="10"/>
        <w:spacing w:before="0" w:beforeAutospacing="0" w:after="240" w:afterAutospacing="0" w:line="360" w:lineRule="auto"/>
        <w:jc w:val="both"/>
      </w:pPr>
      <w:r>
        <w:t xml:space="preserve">Flightcentre.co.uk, 2019. </w:t>
      </w:r>
      <w:r>
        <w:rPr>
          <w:i/>
          <w:iCs/>
        </w:rPr>
        <w:t>Delta Air Lines</w:t>
      </w:r>
      <w:r>
        <w:t>. Available at: https://www.flightcentre.co.uk/airlines/delta-air-lines-dl [Accessed 21 July 2022].</w:t>
      </w:r>
    </w:p>
    <w:p>
      <w:pPr>
        <w:pStyle w:val="10"/>
        <w:spacing w:before="0" w:beforeAutospacing="0" w:after="240" w:afterAutospacing="0" w:line="360" w:lineRule="auto"/>
        <w:jc w:val="both"/>
      </w:pPr>
      <w:r>
        <w:t xml:space="preserve">Ford, J., 2021. </w:t>
      </w:r>
      <w:r>
        <w:rPr>
          <w:i/>
          <w:iCs/>
        </w:rPr>
        <w:t>Who are British Airways main competitors? – AnswersToAll</w:t>
      </w:r>
      <w:r>
        <w:t>. Answer-to-all.com. Available at: https://answer-to-all.com/technology/who-are-british-airways-main-competitors/#Who_are_British_Airways_main_competitors [Accessed 21 July 2022].</w:t>
      </w:r>
    </w:p>
    <w:p>
      <w:pPr>
        <w:pStyle w:val="10"/>
        <w:spacing w:before="0" w:beforeAutospacing="0" w:after="240" w:afterAutospacing="0" w:line="360" w:lineRule="auto"/>
        <w:jc w:val="both"/>
      </w:pPr>
      <w:r>
        <w:t xml:space="preserve">Hammoud, G.A., Tawfik, H.F. and Fahmy, R.S., 2018. Development of airlines’ distribution capabilities. Journal of Tourism and Hospitality Management, 6(1), pp.66-80. DOI: </w:t>
      </w:r>
      <w:r>
        <w:fldChar w:fldCharType="begin"/>
      </w:r>
      <w:r>
        <w:instrText xml:space="preserve"> HYPERLINK "https://doi.org/10.15640/jthm.v6n1a7" </w:instrText>
      </w:r>
      <w:r>
        <w:fldChar w:fldCharType="separate"/>
      </w:r>
      <w:r>
        <w:rPr>
          <w:rStyle w:val="15"/>
        </w:rPr>
        <w:t>https://doi.org/10.15640/jthm.v6n1a7</w:t>
      </w:r>
      <w:r>
        <w:rPr>
          <w:rStyle w:val="15"/>
        </w:rPr>
        <w:fldChar w:fldCharType="end"/>
      </w:r>
    </w:p>
    <w:p>
      <w:pPr>
        <w:pStyle w:val="10"/>
        <w:spacing w:before="0" w:beforeAutospacing="0" w:after="240" w:afterAutospacing="0" w:line="360" w:lineRule="auto"/>
        <w:jc w:val="both"/>
      </w:pPr>
      <w:r>
        <w:t xml:space="preserve">Horton, W., 2020. </w:t>
      </w:r>
      <w:r>
        <w:rPr>
          <w:i/>
          <w:iCs/>
        </w:rPr>
        <w:t>British Airways Cuts Threaten Crown Jewel Of Slots At London Heathrow And Gatwick</w:t>
      </w:r>
      <w:r>
        <w:t>. Forbes.com. Available at: https://www.forbes.com/sites/willhorton1/2020/05/04/british-airways-cuts-threaten-crown-jewel-of-slots-at-london-heathrow-and-gatwick/?sh=e5a9737cdf72 [Accessed 21 July 2022].</w:t>
      </w:r>
    </w:p>
    <w:p>
      <w:pPr>
        <w:pStyle w:val="10"/>
        <w:spacing w:before="0" w:beforeAutospacing="0" w:after="240" w:afterAutospacing="0" w:line="360" w:lineRule="auto"/>
        <w:jc w:val="both"/>
      </w:pPr>
      <w:r>
        <w:t xml:space="preserve">Iata.org, 2022. </w:t>
      </w:r>
      <w:r>
        <w:rPr>
          <w:i/>
          <w:iCs/>
        </w:rPr>
        <w:t>Air Travel Sees Strong Demand Recovery in January but Impacted by Omicron</w:t>
      </w:r>
      <w:r>
        <w:t>. Available at: https://www.iata.org/en/pressroom/2022-releases/2022-03-10-01/ [Accessed 21 July 2022].</w:t>
      </w:r>
    </w:p>
    <w:p>
      <w:pPr>
        <w:pStyle w:val="10"/>
        <w:spacing w:before="0" w:beforeAutospacing="0" w:after="240" w:afterAutospacing="0" w:line="360" w:lineRule="auto"/>
      </w:pPr>
      <w:r>
        <w:t xml:space="preserve">Investopedia, 2022. </w:t>
      </w:r>
      <w:r>
        <w:rPr>
          <w:i/>
          <w:iCs/>
        </w:rPr>
        <w:t>How does revenue compare between leisure and business travelers?</w:t>
      </w:r>
      <w:r>
        <w:t xml:space="preserve"> Investopedia. Available at: https://www.investopedia.com/ask/answers/041315/how-much-revenue-airline-industry-comes-business-travelers-compared-leisure-travelers.asp [Accessed 21 July 2022].</w:t>
      </w:r>
    </w:p>
    <w:p>
      <w:pPr>
        <w:pStyle w:val="10"/>
        <w:spacing w:before="0" w:beforeAutospacing="0" w:after="240" w:afterAutospacing="0" w:line="360" w:lineRule="auto"/>
        <w:jc w:val="both"/>
      </w:pPr>
      <w:r>
        <w:t xml:space="preserve">Jet2.com, 2022. </w:t>
      </w:r>
      <w:r>
        <w:rPr>
          <w:i/>
          <w:iCs/>
        </w:rPr>
        <w:t>Jet2.com Friendly Low Fares</w:t>
      </w:r>
      <w:r>
        <w:t>. Available at: https://www.jet2.com/ [Accessed 21 July 2022].</w:t>
      </w:r>
    </w:p>
    <w:p>
      <w:pPr>
        <w:pStyle w:val="10"/>
        <w:spacing w:before="0" w:beforeAutospacing="0" w:after="240" w:afterAutospacing="0" w:line="360" w:lineRule="auto"/>
        <w:jc w:val="both"/>
      </w:pPr>
      <w:r>
        <w:t xml:space="preserve">Light, L., 2020. </w:t>
      </w:r>
      <w:r>
        <w:rPr>
          <w:i/>
          <w:iCs/>
        </w:rPr>
        <w:t>British Airways Needs To Revitalize Its Brand</w:t>
      </w:r>
      <w:r>
        <w:t>. Forbes. Available at: https://www.forbes.com/sites/larrylight/2020/08/14/british-airways-needs-to-revitalize-its-brand/?sh=3f93aa17747e [Accessed 21 July 2022].</w:t>
      </w:r>
    </w:p>
    <w:p>
      <w:pPr>
        <w:pStyle w:val="10"/>
        <w:spacing w:before="0" w:beforeAutospacing="0" w:after="240" w:afterAutospacing="0" w:line="360" w:lineRule="auto"/>
        <w:jc w:val="both"/>
      </w:pPr>
      <w:r>
        <w:t xml:space="preserve">Mediacentre.britishairways.com, 2019. </w:t>
      </w:r>
      <w:r>
        <w:rPr>
          <w:i/>
          <w:iCs/>
        </w:rPr>
        <w:t>BRITISH AIRWAYS’ CUSTOMER EXPERIENCE</w:t>
      </w:r>
      <w:r>
        <w:t>. Available at: https://mediacentre.britishairways.com/factsheets/details/86/Customer-Experience-25/43?category=1&amp;pgck=L2ZhY3RzaGVldHM- [Accessed 21 July 2022].</w:t>
      </w:r>
    </w:p>
    <w:p>
      <w:pPr>
        <w:pStyle w:val="10"/>
        <w:spacing w:before="0" w:beforeAutospacing="0" w:after="240" w:afterAutospacing="0" w:line="360" w:lineRule="auto"/>
        <w:jc w:val="both"/>
      </w:pPr>
      <w:r>
        <w:t xml:space="preserve">Ons.gov.uk, 2021. </w:t>
      </w:r>
      <w:r>
        <w:rPr>
          <w:i/>
          <w:iCs/>
        </w:rPr>
        <w:t>Coronavirus and the impact on UK households and businesses: 2021</w:t>
      </w:r>
      <w:r>
        <w:t>. Available at: https://www.ons.gov.uk/economy/nationalaccounts/uksectoraccounts/articles/coronavirusandtheimpactonukhouseholdsandbusinesses/2021 [Accessed 21 July 2022].</w:t>
      </w:r>
    </w:p>
    <w:p>
      <w:pPr>
        <w:pStyle w:val="10"/>
        <w:spacing w:before="0" w:beforeAutospacing="0" w:after="240" w:afterAutospacing="0" w:line="360" w:lineRule="auto"/>
        <w:jc w:val="both"/>
      </w:pPr>
      <w:r>
        <w:t>Parameswaran, K., 2018. Does First Class Make Sense for Airlines?. Studia Humana, 7(2), pp.31-44. DOI: 10.2478/sh-2018-0009</w:t>
      </w:r>
    </w:p>
    <w:p>
      <w:pPr>
        <w:pStyle w:val="10"/>
        <w:spacing w:before="0" w:beforeAutospacing="0" w:after="240" w:afterAutospacing="0" w:line="360" w:lineRule="auto"/>
        <w:jc w:val="both"/>
      </w:pPr>
      <w:r>
        <w:t xml:space="preserve">Philip, S.V., 2022. </w:t>
      </w:r>
      <w:r>
        <w:rPr>
          <w:i/>
          <w:iCs/>
        </w:rPr>
        <w:t>British Airways Owner IAG Sees Return to Profit This Spring</w:t>
      </w:r>
      <w:r>
        <w:t>. Bloomberg.com. Available at: https://www.bloomberg.com/news/articles/2022-02-25/british-airways-owner-iag-sees-return-to-profit-this-spring [Accessed 22 July 2022].</w:t>
      </w:r>
    </w:p>
    <w:p>
      <w:pPr>
        <w:pStyle w:val="10"/>
        <w:spacing w:before="0" w:beforeAutospacing="0" w:after="240" w:afterAutospacing="0" w:line="360" w:lineRule="auto"/>
        <w:jc w:val="both"/>
      </w:pPr>
      <w:r>
        <w:t xml:space="preserve">Philip, S.V., Jasper, C. and Wilkes, W., 2022. </w:t>
      </w:r>
      <w:r>
        <w:rPr>
          <w:i/>
          <w:iCs/>
        </w:rPr>
        <w:t>How Europe Became the Epicenter for This Summer’s Travel Chaos</w:t>
      </w:r>
      <w:r>
        <w:t>. www.bloomberg.com. Available at: https://www.bloomberg.com/news/features/2022-07-01/record-flight-delays-cancellations-make-europe-2022-s-worst-place-to-travel [Accessed 21 July 2022].</w:t>
      </w:r>
    </w:p>
    <w:p>
      <w:pPr>
        <w:pStyle w:val="10"/>
        <w:spacing w:before="0" w:beforeAutospacing="0" w:after="240" w:afterAutospacing="0" w:line="360" w:lineRule="auto"/>
        <w:jc w:val="both"/>
      </w:pPr>
      <w:r>
        <w:t xml:space="preserve">Pooley, C.R., 2022. British Airways has a nostalgia problem. </w:t>
      </w:r>
      <w:r>
        <w:rPr>
          <w:i/>
          <w:iCs/>
        </w:rPr>
        <w:t>Financial Times</w:t>
      </w:r>
      <w:r>
        <w:t>. 3 Feb. Available at: https://www.ft.com/content/c9240a70-0535-4961-85bc-c4a476e21efc [Accessed 21 July 2022].</w:t>
      </w:r>
    </w:p>
    <w:p>
      <w:pPr>
        <w:pStyle w:val="10"/>
        <w:spacing w:before="0" w:beforeAutospacing="0" w:after="240" w:afterAutospacing="0" w:line="360" w:lineRule="auto"/>
        <w:jc w:val="both"/>
      </w:pPr>
      <w:r>
        <w:t xml:space="preserve">Potter, K., 2022. </w:t>
      </w:r>
      <w:r>
        <w:rPr>
          <w:i/>
          <w:iCs/>
        </w:rPr>
        <w:t>British Airways Flights, Information and Deals | Skyscanner</w:t>
      </w:r>
      <w:r>
        <w:t>. Skyscanner.net. Available at: https://www.skyscanner.net/airline/airline-british-airways-ba.html [Accessed 21 July 2022].</w:t>
      </w:r>
    </w:p>
    <w:p>
      <w:pPr>
        <w:pStyle w:val="10"/>
        <w:spacing w:before="0" w:beforeAutospacing="0" w:after="240" w:afterAutospacing="0" w:line="360" w:lineRule="auto"/>
        <w:jc w:val="both"/>
      </w:pPr>
      <w:r>
        <w:t xml:space="preserve">Rouncivell, A., Timmis, A.J. and Ison, S.G., 2018. Willingness to pay for preferred seat selection on UK domestic flights. Journal of Air Transport Management, 70, pp.57-61. DOI: </w:t>
      </w:r>
      <w:r>
        <w:fldChar w:fldCharType="begin"/>
      </w:r>
      <w:r>
        <w:instrText xml:space="preserve"> HYPERLINK "https://doi.org/10.1016/j.jairtraman.2018.04.018" </w:instrText>
      </w:r>
      <w:r>
        <w:fldChar w:fldCharType="separate"/>
      </w:r>
      <w:r>
        <w:rPr>
          <w:rStyle w:val="15"/>
        </w:rPr>
        <w:t>https://doi.org/10.1016/j.jairtraman.2018.04.018</w:t>
      </w:r>
      <w:r>
        <w:rPr>
          <w:rStyle w:val="15"/>
        </w:rPr>
        <w:fldChar w:fldCharType="end"/>
      </w:r>
    </w:p>
    <w:p>
      <w:pPr>
        <w:pStyle w:val="10"/>
        <w:spacing w:before="0" w:beforeAutospacing="0" w:after="240" w:afterAutospacing="0" w:line="360" w:lineRule="auto"/>
        <w:jc w:val="both"/>
      </w:pPr>
      <w:r>
        <w:t xml:space="preserve">Salas, E.B., 2022. </w:t>
      </w:r>
      <w:r>
        <w:rPr>
          <w:i/>
          <w:iCs/>
        </w:rPr>
        <w:t>British Airways Plc’s worldwide revenue from FY 2010 to FY 2021</w:t>
      </w:r>
      <w:r>
        <w:t>. Statista.com. Available at: https://www.statista.com/statistics/264296/british-airways-worldwide-revenues-since-2006/ [Accessed 21 July 2022].</w:t>
      </w:r>
    </w:p>
    <w:p>
      <w:pPr>
        <w:pStyle w:val="10"/>
        <w:spacing w:before="0" w:beforeAutospacing="0" w:after="240" w:afterAutospacing="0" w:line="360" w:lineRule="auto"/>
        <w:jc w:val="both"/>
      </w:pPr>
      <w:r>
        <w:t xml:space="preserve">Statista.com, 2022. </w:t>
      </w:r>
      <w:r>
        <w:rPr>
          <w:i/>
          <w:iCs/>
        </w:rPr>
        <w:t>Number of passengers uplifted by British Airways plc from 2008 to 2020</w:t>
      </w:r>
      <w:r>
        <w:t>. Available at: https://www.statista.com/statistics/309349/british-airways-uk-passenger-numbers/ [Accessed 21 July 2022].</w:t>
      </w:r>
    </w:p>
    <w:p>
      <w:pPr>
        <w:pStyle w:val="10"/>
        <w:spacing w:before="0" w:beforeAutospacing="0" w:after="240" w:afterAutospacing="0" w:line="360" w:lineRule="auto"/>
        <w:jc w:val="both"/>
      </w:pPr>
      <w:r>
        <w:t xml:space="preserve">Still, J., 2018. </w:t>
      </w:r>
      <w:r>
        <w:rPr>
          <w:i/>
          <w:iCs/>
        </w:rPr>
        <w:t>I fly dozens of times a year, and my favorite airline is British Airways - here’s why</w:t>
      </w:r>
      <w:r>
        <w:t>. Businessinsider.in. Available at: https://www.businessinsider.in/i-fly-dozens-of-times-a-year-and-my-favorite-airline-is-british-airways-heres-why/articleshow/64607396.cms [Accessed 21 July 2022].</w:t>
      </w:r>
    </w:p>
    <w:p>
      <w:pPr>
        <w:pStyle w:val="10"/>
        <w:spacing w:before="0" w:beforeAutospacing="0" w:after="240" w:afterAutospacing="0" w:line="360" w:lineRule="auto"/>
        <w:jc w:val="both"/>
      </w:pPr>
      <w:r>
        <w:t xml:space="preserve">Sweney, M. and Topham, G., 2021. British Airways owner IAG hit by record €7.4bn loss. </w:t>
      </w:r>
      <w:r>
        <w:rPr>
          <w:i/>
          <w:iCs/>
        </w:rPr>
        <w:t>The Guardian</w:t>
      </w:r>
      <w:r>
        <w:t>. 26 Feb. Available at: https://www.theguardian.com/business/2021/feb/26/british-airways-owner-iag-hit-by-record-loss-covid [Accessed 21 July 2022].</w:t>
      </w:r>
    </w:p>
    <w:p>
      <w:pPr>
        <w:pStyle w:val="10"/>
        <w:spacing w:before="0" w:beforeAutospacing="0" w:after="240" w:afterAutospacing="0" w:line="360" w:lineRule="auto"/>
        <w:jc w:val="both"/>
      </w:pPr>
      <w:r>
        <w:t xml:space="preserve">Thelle, M.H. and la Cour Sonne, M., 2018. Airport competition in Europe. Journal of Air Transport Management, 67, pp.232-240. DOI: </w:t>
      </w:r>
      <w:r>
        <w:fldChar w:fldCharType="begin"/>
      </w:r>
      <w:r>
        <w:instrText xml:space="preserve"> HYPERLINK "https://doi.org/10.1016/j.jairtraman.2017.03.005" </w:instrText>
      </w:r>
      <w:r>
        <w:fldChar w:fldCharType="separate"/>
      </w:r>
      <w:r>
        <w:rPr>
          <w:rStyle w:val="15"/>
        </w:rPr>
        <w:t>https://doi.org/10.1016/j.jairtraman.2017.03.005</w:t>
      </w:r>
      <w:r>
        <w:rPr>
          <w:rStyle w:val="15"/>
        </w:rPr>
        <w:fldChar w:fldCharType="end"/>
      </w:r>
    </w:p>
    <w:p>
      <w:pPr>
        <w:pStyle w:val="10"/>
        <w:spacing w:before="0" w:beforeAutospacing="0" w:after="240" w:afterAutospacing="0" w:line="360" w:lineRule="auto"/>
        <w:jc w:val="both"/>
      </w:pPr>
      <w:r>
        <w:t xml:space="preserve">Travel Expert, T.L., 2019. </w:t>
      </w:r>
      <w:r>
        <w:rPr>
          <w:i/>
          <w:iCs/>
        </w:rPr>
        <w:t>Top 10 reasons why I like to fly British Airways (again)</w:t>
      </w:r>
      <w:r>
        <w:t>. Theluxurytravelexpert.com. Available at: https://theluxurytravelexpert.com/2019/05/27/10-reasons-why-i-like-british-airways/#:~:text=British%20Airways%20partners%20with%20The [Accessed 22 July 2022].</w:t>
      </w:r>
    </w:p>
    <w:p>
      <w:pPr>
        <w:pStyle w:val="10"/>
        <w:spacing w:before="0" w:beforeAutospacing="0" w:after="240" w:afterAutospacing="0" w:line="360" w:lineRule="auto"/>
        <w:jc w:val="both"/>
      </w:pPr>
      <w:r>
        <w:t xml:space="preserve">Tweed, L. and Summerfield, A., 2022. </w:t>
      </w:r>
      <w:r>
        <w:rPr>
          <w:i/>
          <w:iCs/>
        </w:rPr>
        <w:t>British Airways massively increases fares over Easter holidays</w:t>
      </w:r>
      <w:r>
        <w:t>. Walesonline.co.uk. Available at: https://www.walesonline.co.uk/whats-on/travel/british-airways-ticket-prices-surge-23596230 [Accessed 21 July 2022].</w:t>
      </w:r>
    </w:p>
    <w:p>
      <w:pPr>
        <w:pStyle w:val="10"/>
        <w:spacing w:before="0" w:beforeAutospacing="0" w:after="240" w:afterAutospacing="0" w:line="360" w:lineRule="auto"/>
        <w:jc w:val="both"/>
      </w:pPr>
      <w:r>
        <w:t xml:space="preserve">Young, S., 2019. British Airways loses height in UK customer survey. </w:t>
      </w:r>
      <w:r>
        <w:rPr>
          <w:i/>
          <w:iCs/>
        </w:rPr>
        <w:t>Reuters.com</w:t>
      </w:r>
      <w:r>
        <w:t xml:space="preserve">. 19 Dec. Available at: https://www.reuters.com/article/iag-british-airways-survey-idUSL8N28T1PJ [Accessed 21 July 2022].    </w:t>
      </w:r>
    </w:p>
    <w:sectPr>
      <w:footerReference r:id="rId3" w:type="default"/>
      <w:pgSz w:w="12240" w:h="15840"/>
      <w:pgMar w:top="1440" w:right="1440" w:bottom="1440" w:left="1440" w:header="720" w:footer="720" w:gutter="0"/>
      <w:pgNumType w:start="1"/>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86"/>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imSun">
    <w:altName w:val="宋体-简"/>
    <w:panose1 w:val="00000000000000000000"/>
    <w:charset w:val="86"/>
    <w:family w:val="auto"/>
    <w:pitch w:val="default"/>
    <w:sig w:usb0="00000000" w:usb1="00000000" w:usb2="00000000" w:usb3="00000000" w:csb0="00000000" w:csb1="00000000"/>
  </w:font>
  <w:font w:name="Hiragino Sans GB">
    <w:panose1 w:val="020B0300000000000000"/>
    <w:charset w:val="86"/>
    <w:family w:val="auto"/>
    <w:pitch w:val="default"/>
    <w:sig w:usb0="A00002BF" w:usb1="1ACF7CFA" w:usb2="00000016" w:usb3="00000000" w:csb0="00060007" w:csb1="00000000"/>
  </w:font>
  <w:font w:name="SimSun">
    <w:altName w:val="宋体-简"/>
    <w:panose1 w:val="02010600030101010101"/>
    <w:charset w:val="86"/>
    <w:family w:val="auto"/>
    <w:pitch w:val="default"/>
    <w:sig w:usb0="00000000" w:usb1="00000000" w:usb2="00000010" w:usb3="00000000" w:csb0="00040001" w:csb1="00000000"/>
  </w:font>
  <w:font w:name="Symbol">
    <w:altName w:val="Kingsoft Sign"/>
    <w:panose1 w:val="05050102010706020507"/>
    <w:charset w:val="02"/>
    <w:family w:val="roman"/>
    <w:pitch w:val="default"/>
    <w:sig w:usb0="00000000" w:usb1="00000000" w:usb2="00000000" w:usb3="00000000" w:csb0="80000000" w:csb1="00000000"/>
  </w:font>
  <w:font w:name="Wingdings">
    <w:panose1 w:val="05000000000000000000"/>
    <w:charset w:val="02"/>
    <w:family w:val="auto"/>
    <w:pitch w:val="default"/>
    <w:sig w:usb0="00000000" w:usb1="00000000" w:usb2="00000000" w:usb3="00000000" w:csb0="80000000" w:csb1="00000000"/>
  </w:font>
  <w:font w:name="Tahoma">
    <w:panose1 w:val="020B0604030504040204"/>
    <w:charset w:val="00"/>
    <w:family w:val="swiss"/>
    <w:pitch w:val="default"/>
    <w:sig w:usb0="E1002AFF" w:usb1="C000605B" w:usb2="00000029" w:usb3="00000000" w:csb0="200101FF" w:csb1="20280000"/>
  </w:font>
  <w:font w:name="Cambria Math">
    <w:altName w:val="Kingsoft Math"/>
    <w:panose1 w:val="02040503050406030204"/>
    <w:charset w:val="00"/>
    <w:family w:val="roman"/>
    <w:pitch w:val="default"/>
    <w:sig w:usb0="00000000" w:usb1="00000000" w:usb2="00000000" w:usb3="00000000" w:csb0="0000019F" w:csb1="00000000"/>
  </w:font>
  <w:font w:name="Kingsoft Math">
    <w:panose1 w:val="02040503050406030204"/>
    <w:charset w:val="00"/>
    <w:family w:val="auto"/>
    <w:pitch w:val="default"/>
    <w:sig w:usb0="80000087" w:usb1="00002068" w:usb2="00000000" w:usb3="00000000" w:csb0="2000019F" w:csb1="00000000"/>
  </w:font>
  <w:font w:name="Kingsoft Sign">
    <w:panose1 w:val="05050102010706020507"/>
    <w:charset w:val="00"/>
    <w:family w:val="auto"/>
    <w:pitch w:val="default"/>
    <w:sig w:usb0="00000000" w:usb1="1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0"/>
    </w:sdtPr>
    <w:sdtEndPr>
      <w:rPr>
        <w:rFonts w:ascii="Times New Roman" w:hAnsi="Times New Roman" w:cs="Times New Roman"/>
        <w:sz w:val="20"/>
        <w:szCs w:val="20"/>
      </w:rPr>
    </w:sdtEndPr>
    <w:sdtContent>
      <w:p>
        <w:pPr>
          <w:pStyle w:val="8"/>
          <w:spacing w:line="360" w:lineRule="auto"/>
          <w:jc w:val="right"/>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 MERGEFORMAT </w:instrText>
        </w:r>
        <w:r>
          <w:rPr>
            <w:rFonts w:ascii="Times New Roman" w:hAnsi="Times New Roman" w:cs="Times New Roman"/>
            <w:sz w:val="20"/>
            <w:szCs w:val="20"/>
          </w:rPr>
          <w:fldChar w:fldCharType="separate"/>
        </w:r>
        <w:r>
          <w:rPr>
            <w:rFonts w:ascii="Times New Roman" w:hAnsi="Times New Roman" w:cs="Times New Roman"/>
            <w:sz w:val="20"/>
            <w:szCs w:val="20"/>
          </w:rPr>
          <w:t>2</w:t>
        </w:r>
        <w:r>
          <w:rPr>
            <w:rFonts w:ascii="Times New Roman" w:hAnsi="Times New Roman" w:cs="Times New Roman"/>
            <w:sz w:val="20"/>
            <w:szCs w:val="20"/>
          </w:rPr>
          <w:fldChar w:fldCharType="end"/>
        </w:r>
      </w:p>
    </w:sdtContent>
  </w:sdt>
  <w:p>
    <w:pPr>
      <w:pStyle w:val="8"/>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CC412DB"/>
    <w:multiLevelType w:val="multilevel"/>
    <w:tmpl w:val="5CC412DB"/>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651C"/>
    <w:rsid w:val="00025DED"/>
    <w:rsid w:val="00036185"/>
    <w:rsid w:val="000D72AE"/>
    <w:rsid w:val="00186AB6"/>
    <w:rsid w:val="001D450D"/>
    <w:rsid w:val="00206B1A"/>
    <w:rsid w:val="0021331C"/>
    <w:rsid w:val="002673CC"/>
    <w:rsid w:val="003A3D1E"/>
    <w:rsid w:val="00440278"/>
    <w:rsid w:val="004B651C"/>
    <w:rsid w:val="004C6DDF"/>
    <w:rsid w:val="00594546"/>
    <w:rsid w:val="00601178"/>
    <w:rsid w:val="006D2276"/>
    <w:rsid w:val="00704838"/>
    <w:rsid w:val="007251A1"/>
    <w:rsid w:val="007370A9"/>
    <w:rsid w:val="007D3585"/>
    <w:rsid w:val="00B6447A"/>
    <w:rsid w:val="00C94C6D"/>
    <w:rsid w:val="00D04B4D"/>
    <w:rsid w:val="00D508CA"/>
    <w:rsid w:val="00D77CDA"/>
    <w:rsid w:val="00DC306B"/>
    <w:rsid w:val="00ED5058"/>
    <w:rsid w:val="00F36F83"/>
    <w:rsid w:val="79FB2B5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rial" w:hAnsi="Arial" w:eastAsia="Arial" w:cs="Arial"/>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GB" w:eastAsia="en-IN" w:bidi="ar-SA"/>
    </w:rPr>
  </w:style>
  <w:style w:type="paragraph" w:styleId="2">
    <w:name w:val="heading 1"/>
    <w:basedOn w:val="1"/>
    <w:next w:val="1"/>
    <w:qFormat/>
    <w:uiPriority w:val="9"/>
    <w:pPr>
      <w:keepNext/>
      <w:keepLines/>
      <w:spacing w:before="400" w:after="120" w:line="360" w:lineRule="auto"/>
      <w:jc w:val="both"/>
      <w:outlineLvl w:val="0"/>
    </w:pPr>
    <w:rPr>
      <w:rFonts w:ascii="Times New Roman" w:hAnsi="Times New Roman"/>
      <w:b/>
      <w:sz w:val="28"/>
      <w:szCs w:val="40"/>
    </w:rPr>
  </w:style>
  <w:style w:type="paragraph" w:styleId="3">
    <w:name w:val="heading 2"/>
    <w:basedOn w:val="1"/>
    <w:next w:val="1"/>
    <w:unhideWhenUsed/>
    <w:qFormat/>
    <w:uiPriority w:val="9"/>
    <w:pPr>
      <w:keepNext/>
      <w:keepLines/>
      <w:spacing w:before="360" w:after="120"/>
      <w:outlineLvl w:val="1"/>
    </w:pPr>
    <w:rPr>
      <w:sz w:val="32"/>
      <w:szCs w:val="32"/>
    </w:rPr>
  </w:style>
  <w:style w:type="paragraph" w:styleId="4">
    <w:name w:val="heading 3"/>
    <w:basedOn w:val="1"/>
    <w:next w:val="1"/>
    <w:unhideWhenUsed/>
    <w:qFormat/>
    <w:uiPriority w:val="9"/>
    <w:pPr>
      <w:keepNext/>
      <w:keepLines/>
      <w:spacing w:before="320" w:after="80"/>
      <w:outlineLvl w:val="2"/>
    </w:pPr>
    <w:rPr>
      <w:color w:val="434343"/>
      <w:sz w:val="28"/>
      <w:szCs w:val="28"/>
    </w:rPr>
  </w:style>
  <w:style w:type="paragraph" w:styleId="5">
    <w:name w:val="heading 4"/>
    <w:basedOn w:val="1"/>
    <w:next w:val="1"/>
    <w:unhideWhenUsed/>
    <w:qFormat/>
    <w:uiPriority w:val="9"/>
    <w:pPr>
      <w:keepNext/>
      <w:keepLines/>
      <w:spacing w:before="280" w:after="80"/>
      <w:outlineLvl w:val="3"/>
    </w:pPr>
    <w:rPr>
      <w:color w:val="666666"/>
      <w:sz w:val="24"/>
      <w:szCs w:val="24"/>
    </w:rPr>
  </w:style>
  <w:style w:type="paragraph" w:styleId="6">
    <w:name w:val="heading 5"/>
    <w:basedOn w:val="1"/>
    <w:next w:val="1"/>
    <w:unhideWhenUsed/>
    <w:qFormat/>
    <w:uiPriority w:val="9"/>
    <w:pPr>
      <w:keepNext/>
      <w:keepLines/>
      <w:spacing w:before="240" w:after="80"/>
      <w:outlineLvl w:val="4"/>
    </w:pPr>
    <w:rPr>
      <w:color w:val="666666"/>
    </w:rPr>
  </w:style>
  <w:style w:type="paragraph" w:styleId="7">
    <w:name w:val="heading 6"/>
    <w:basedOn w:val="1"/>
    <w:next w:val="1"/>
    <w:unhideWhenUsed/>
    <w:qFormat/>
    <w:uiPriority w:val="9"/>
    <w:pPr>
      <w:keepNext/>
      <w:keepLines/>
      <w:spacing w:before="240" w:after="80"/>
      <w:outlineLvl w:val="5"/>
    </w:pPr>
    <w:rPr>
      <w:i/>
      <w:color w:val="666666"/>
    </w:rPr>
  </w:style>
  <w:style w:type="character" w:default="1" w:styleId="14">
    <w:name w:val="Default Paragraph Font"/>
    <w:unhideWhenUsed/>
    <w:qFormat/>
    <w:uiPriority w:val="1"/>
  </w:style>
  <w:style w:type="table" w:default="1" w:styleId="16">
    <w:name w:val="Normal Table"/>
    <w:unhideWhenUsed/>
    <w:qFormat/>
    <w:uiPriority w:val="99"/>
    <w:tblPr>
      <w:tblCellMar>
        <w:top w:w="0" w:type="dxa"/>
        <w:left w:w="108" w:type="dxa"/>
        <w:bottom w:w="0" w:type="dxa"/>
        <w:right w:w="108" w:type="dxa"/>
      </w:tblCellMar>
    </w:tblPr>
  </w:style>
  <w:style w:type="paragraph" w:styleId="8">
    <w:name w:val="footer"/>
    <w:basedOn w:val="1"/>
    <w:link w:val="18"/>
    <w:unhideWhenUsed/>
    <w:qFormat/>
    <w:uiPriority w:val="99"/>
    <w:pPr>
      <w:tabs>
        <w:tab w:val="center" w:pos="4513"/>
        <w:tab w:val="right" w:pos="9026"/>
      </w:tabs>
      <w:spacing w:line="240" w:lineRule="auto"/>
    </w:pPr>
  </w:style>
  <w:style w:type="paragraph" w:styleId="9">
    <w:name w:val="header"/>
    <w:basedOn w:val="1"/>
    <w:link w:val="17"/>
    <w:unhideWhenUsed/>
    <w:qFormat/>
    <w:uiPriority w:val="99"/>
    <w:pPr>
      <w:tabs>
        <w:tab w:val="center" w:pos="4513"/>
        <w:tab w:val="right" w:pos="9026"/>
      </w:tabs>
      <w:spacing w:line="240" w:lineRule="auto"/>
    </w:pPr>
  </w:style>
  <w:style w:type="paragraph" w:styleId="10">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 w:val="24"/>
      <w:szCs w:val="24"/>
      <w:lang w:val="en-IN"/>
    </w:rPr>
  </w:style>
  <w:style w:type="paragraph" w:styleId="11">
    <w:name w:val="Subtitle"/>
    <w:basedOn w:val="1"/>
    <w:next w:val="1"/>
    <w:qFormat/>
    <w:uiPriority w:val="11"/>
    <w:pPr>
      <w:keepNext/>
      <w:keepLines/>
      <w:spacing w:after="320"/>
    </w:pPr>
    <w:rPr>
      <w:color w:val="666666"/>
      <w:sz w:val="30"/>
      <w:szCs w:val="30"/>
    </w:rPr>
  </w:style>
  <w:style w:type="paragraph" w:styleId="12">
    <w:name w:val="Title"/>
    <w:basedOn w:val="1"/>
    <w:next w:val="1"/>
    <w:qFormat/>
    <w:uiPriority w:val="10"/>
    <w:pPr>
      <w:keepNext/>
      <w:keepLines/>
      <w:spacing w:after="60"/>
    </w:pPr>
    <w:rPr>
      <w:sz w:val="52"/>
      <w:szCs w:val="52"/>
    </w:rPr>
  </w:style>
  <w:style w:type="paragraph" w:styleId="13">
    <w:name w:val="toc 1"/>
    <w:basedOn w:val="1"/>
    <w:next w:val="1"/>
    <w:unhideWhenUsed/>
    <w:qFormat/>
    <w:uiPriority w:val="39"/>
    <w:pPr>
      <w:spacing w:after="100"/>
    </w:pPr>
  </w:style>
  <w:style w:type="character" w:styleId="15">
    <w:name w:val="Hyperlink"/>
    <w:basedOn w:val="14"/>
    <w:unhideWhenUsed/>
    <w:qFormat/>
    <w:uiPriority w:val="99"/>
    <w:rPr>
      <w:color w:val="0000FF" w:themeColor="hyperlink"/>
      <w:u w:val="single"/>
      <w14:textFill>
        <w14:solidFill>
          <w14:schemeClr w14:val="hlink"/>
        </w14:solidFill>
      </w14:textFill>
    </w:rPr>
  </w:style>
  <w:style w:type="character" w:customStyle="1" w:styleId="17">
    <w:name w:val="Header Char"/>
    <w:basedOn w:val="14"/>
    <w:link w:val="9"/>
    <w:qFormat/>
    <w:uiPriority w:val="99"/>
  </w:style>
  <w:style w:type="character" w:customStyle="1" w:styleId="18">
    <w:name w:val="Footer Char"/>
    <w:basedOn w:val="14"/>
    <w:link w:val="8"/>
    <w:qFormat/>
    <w:uiPriority w:val="99"/>
  </w:style>
  <w:style w:type="paragraph" w:customStyle="1" w:styleId="19">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color w:val="376092" w:themeColor="accent1" w:themeShade="BF"/>
      <w:sz w:val="32"/>
      <w:szCs w:val="32"/>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17</Pages>
  <Words>3780</Words>
  <Characters>21547</Characters>
  <Lines>179</Lines>
  <Paragraphs>50</Paragraphs>
  <TotalTime>0</TotalTime>
  <ScaleCrop>false</ScaleCrop>
  <LinksUpToDate>false</LinksUpToDate>
  <CharactersWithSpaces>25277</CharactersWithSpaces>
  <Application>WPS Office_3.2.0.6370_F1E327BC-269C-435d-A152-05C5408002CA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2022-07-22T15:58:00Z</dcterms:created>
  <dc:creator>Data</dc:creator>
  <cp:lastModifiedBy>owner</cp:lastModifiedBy>
  <dcterms:modified xsi:type="dcterms:W3CDTF">2022-08-02T10:10:38Z</dcterms:modified>
  <cp:revision>37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