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E096E" w14:textId="77777777" w:rsidR="00102469" w:rsidRDefault="00102469" w:rsidP="00CB1EF0">
      <w:pPr>
        <w:rPr>
          <w:rFonts w:asciiTheme="majorBidi" w:hAnsiTheme="majorBidi" w:cstheme="majorBidi"/>
          <w:szCs w:val="24"/>
        </w:rPr>
      </w:pPr>
    </w:p>
    <w:p w14:paraId="1DB874DA" w14:textId="77777777" w:rsidR="00102469" w:rsidRDefault="00102469" w:rsidP="00CB1EF0">
      <w:pPr>
        <w:rPr>
          <w:rFonts w:asciiTheme="majorBidi" w:hAnsiTheme="majorBidi" w:cstheme="majorBidi"/>
          <w:szCs w:val="24"/>
        </w:rPr>
      </w:pPr>
    </w:p>
    <w:p w14:paraId="461291E6" w14:textId="77777777" w:rsidR="00102469" w:rsidRDefault="00102469" w:rsidP="00CB1EF0">
      <w:pPr>
        <w:rPr>
          <w:rFonts w:asciiTheme="majorBidi" w:hAnsiTheme="majorBidi" w:cstheme="majorBidi"/>
          <w:szCs w:val="24"/>
        </w:rPr>
      </w:pPr>
    </w:p>
    <w:p w14:paraId="68A5C95D" w14:textId="77777777" w:rsidR="00102469" w:rsidRDefault="00102469" w:rsidP="00CB1EF0">
      <w:pPr>
        <w:rPr>
          <w:rFonts w:asciiTheme="majorBidi" w:hAnsiTheme="majorBidi" w:cstheme="majorBidi"/>
          <w:szCs w:val="24"/>
        </w:rPr>
      </w:pPr>
    </w:p>
    <w:p w14:paraId="76DAC40D" w14:textId="77777777" w:rsidR="00102469" w:rsidRDefault="00102469" w:rsidP="00CB1EF0">
      <w:pPr>
        <w:rPr>
          <w:rFonts w:asciiTheme="majorBidi" w:hAnsiTheme="majorBidi" w:cstheme="majorBidi"/>
          <w:szCs w:val="24"/>
        </w:rPr>
      </w:pPr>
    </w:p>
    <w:p w14:paraId="33E05370" w14:textId="77777777" w:rsidR="00102469" w:rsidRDefault="00102469" w:rsidP="00CB1EF0">
      <w:pPr>
        <w:rPr>
          <w:rFonts w:asciiTheme="majorBidi" w:hAnsiTheme="majorBidi" w:cstheme="majorBidi"/>
          <w:szCs w:val="24"/>
        </w:rPr>
      </w:pPr>
    </w:p>
    <w:p w14:paraId="2822AE4D" w14:textId="77777777" w:rsidR="00102469" w:rsidRDefault="00102469" w:rsidP="00CB1EF0">
      <w:pPr>
        <w:rPr>
          <w:rFonts w:asciiTheme="majorBidi" w:hAnsiTheme="majorBidi" w:cstheme="majorBidi"/>
          <w:szCs w:val="24"/>
        </w:rPr>
      </w:pPr>
    </w:p>
    <w:p w14:paraId="0E1694F5" w14:textId="3D4816EE" w:rsidR="006C3D29" w:rsidRDefault="00102469" w:rsidP="00102469">
      <w:pPr>
        <w:jc w:val="center"/>
        <w:rPr>
          <w:rFonts w:asciiTheme="majorBidi" w:hAnsiTheme="majorBidi" w:cstheme="majorBidi"/>
          <w:b/>
          <w:bCs/>
          <w:sz w:val="32"/>
          <w:szCs w:val="32"/>
        </w:rPr>
      </w:pPr>
      <w:r w:rsidRPr="00102469">
        <w:rPr>
          <w:rFonts w:asciiTheme="majorBidi" w:hAnsiTheme="majorBidi" w:cstheme="majorBidi"/>
          <w:b/>
          <w:bCs/>
          <w:sz w:val="32"/>
          <w:szCs w:val="32"/>
        </w:rPr>
        <w:t>Academic Skill</w:t>
      </w:r>
    </w:p>
    <w:p w14:paraId="11A48646" w14:textId="6FBFEECA" w:rsidR="00102469" w:rsidRDefault="00102469" w:rsidP="00102469">
      <w:pPr>
        <w:jc w:val="center"/>
        <w:rPr>
          <w:rFonts w:asciiTheme="majorBidi" w:hAnsiTheme="majorBidi" w:cstheme="majorBidi"/>
          <w:b/>
          <w:bCs/>
          <w:sz w:val="32"/>
          <w:szCs w:val="32"/>
        </w:rPr>
      </w:pPr>
    </w:p>
    <w:p w14:paraId="3138A08A" w14:textId="64738A00" w:rsidR="00102469" w:rsidRDefault="00102469" w:rsidP="00102469">
      <w:pPr>
        <w:jc w:val="center"/>
        <w:rPr>
          <w:rFonts w:asciiTheme="majorBidi" w:hAnsiTheme="majorBidi" w:cstheme="majorBidi"/>
          <w:b/>
          <w:bCs/>
          <w:sz w:val="32"/>
          <w:szCs w:val="32"/>
        </w:rPr>
      </w:pPr>
    </w:p>
    <w:p w14:paraId="3F8200DC" w14:textId="7967D01C" w:rsidR="00102469" w:rsidRDefault="00102469" w:rsidP="00102469">
      <w:pPr>
        <w:jc w:val="center"/>
        <w:rPr>
          <w:rFonts w:asciiTheme="majorBidi" w:hAnsiTheme="majorBidi" w:cstheme="majorBidi"/>
          <w:b/>
          <w:bCs/>
          <w:sz w:val="32"/>
          <w:szCs w:val="32"/>
        </w:rPr>
      </w:pPr>
    </w:p>
    <w:p w14:paraId="1EA7BA5C" w14:textId="23A51C63" w:rsidR="00102469" w:rsidRDefault="00102469" w:rsidP="00102469">
      <w:pPr>
        <w:jc w:val="center"/>
        <w:rPr>
          <w:rFonts w:asciiTheme="majorBidi" w:hAnsiTheme="majorBidi" w:cstheme="majorBidi"/>
          <w:b/>
          <w:bCs/>
          <w:sz w:val="32"/>
          <w:szCs w:val="32"/>
        </w:rPr>
      </w:pPr>
    </w:p>
    <w:p w14:paraId="103EC7F3" w14:textId="77777777" w:rsidR="00102469" w:rsidRPr="00102469" w:rsidRDefault="00102469" w:rsidP="00102469">
      <w:pPr>
        <w:jc w:val="center"/>
        <w:rPr>
          <w:rFonts w:asciiTheme="majorBidi" w:hAnsiTheme="majorBidi" w:cstheme="majorBidi"/>
          <w:b/>
          <w:bCs/>
          <w:szCs w:val="24"/>
        </w:rPr>
      </w:pPr>
    </w:p>
    <w:p w14:paraId="7BE372CA" w14:textId="2A171E55" w:rsidR="006C3D29" w:rsidRPr="00CB1EF0" w:rsidRDefault="002414AA" w:rsidP="00CB1EF0">
      <w:pPr>
        <w:rPr>
          <w:rFonts w:asciiTheme="majorBidi" w:hAnsiTheme="majorBidi" w:cstheme="majorBidi"/>
          <w:szCs w:val="24"/>
        </w:rPr>
      </w:pPr>
      <w:r w:rsidRPr="00CB1EF0">
        <w:rPr>
          <w:rFonts w:asciiTheme="majorBidi" w:hAnsiTheme="majorBidi" w:cstheme="majorBidi"/>
          <w:szCs w:val="24"/>
        </w:rPr>
        <w:t xml:space="preserve">Module Tutor: </w:t>
      </w:r>
      <w:proofErr w:type="spellStart"/>
      <w:r w:rsidR="00B878D6">
        <w:rPr>
          <w:rFonts w:asciiTheme="majorBidi" w:hAnsiTheme="majorBidi" w:cstheme="majorBidi"/>
          <w:szCs w:val="24"/>
        </w:rPr>
        <w:t>Lizeta</w:t>
      </w:r>
      <w:proofErr w:type="spellEnd"/>
      <w:r w:rsidR="00B878D6">
        <w:rPr>
          <w:rFonts w:asciiTheme="majorBidi" w:hAnsiTheme="majorBidi" w:cstheme="majorBidi"/>
          <w:szCs w:val="24"/>
        </w:rPr>
        <w:t xml:space="preserve"> </w:t>
      </w:r>
      <w:proofErr w:type="spellStart"/>
      <w:r w:rsidR="00B878D6">
        <w:rPr>
          <w:rFonts w:asciiTheme="majorBidi" w:hAnsiTheme="majorBidi" w:cstheme="majorBidi"/>
          <w:szCs w:val="24"/>
        </w:rPr>
        <w:t>Demetriou</w:t>
      </w:r>
      <w:proofErr w:type="spellEnd"/>
    </w:p>
    <w:p w14:paraId="5FB79A61" w14:textId="0806662E" w:rsidR="006C3D29" w:rsidRPr="00CB1EF0" w:rsidRDefault="002414AA" w:rsidP="00CB1EF0">
      <w:pPr>
        <w:rPr>
          <w:rFonts w:asciiTheme="majorBidi" w:hAnsiTheme="majorBidi" w:cstheme="majorBidi"/>
          <w:szCs w:val="24"/>
        </w:rPr>
      </w:pPr>
      <w:r w:rsidRPr="00CB1EF0">
        <w:rPr>
          <w:rFonts w:asciiTheme="majorBidi" w:hAnsiTheme="majorBidi" w:cstheme="majorBidi"/>
          <w:szCs w:val="24"/>
        </w:rPr>
        <w:t xml:space="preserve">Student Name: </w:t>
      </w:r>
      <w:r w:rsidR="00D9216E">
        <w:rPr>
          <w:rFonts w:asciiTheme="majorBidi" w:hAnsiTheme="majorBidi" w:cstheme="majorBidi"/>
          <w:szCs w:val="24"/>
        </w:rPr>
        <w:t xml:space="preserve">Marius Florin </w:t>
      </w:r>
      <w:proofErr w:type="spellStart"/>
      <w:r w:rsidR="00D9216E">
        <w:rPr>
          <w:rFonts w:asciiTheme="majorBidi" w:hAnsiTheme="majorBidi" w:cstheme="majorBidi"/>
          <w:szCs w:val="24"/>
        </w:rPr>
        <w:t>Neagoe</w:t>
      </w:r>
      <w:proofErr w:type="spellEnd"/>
    </w:p>
    <w:p w14:paraId="3CD490BB" w14:textId="3058D9DB" w:rsidR="006C3D29" w:rsidRPr="00CB1EF0" w:rsidRDefault="002414AA" w:rsidP="00CB1EF0">
      <w:pPr>
        <w:rPr>
          <w:rFonts w:asciiTheme="majorBidi" w:hAnsiTheme="majorBidi" w:cstheme="majorBidi"/>
          <w:szCs w:val="24"/>
        </w:rPr>
        <w:sectPr w:rsidR="006C3D29" w:rsidRPr="00CB1EF0" w:rsidSect="001A6B94">
          <w:footerReference w:type="default" r:id="rId7"/>
          <w:pgSz w:w="12240" w:h="15840"/>
          <w:pgMar w:top="1440" w:right="1440" w:bottom="1440" w:left="1440" w:header="720" w:footer="720" w:gutter="0"/>
          <w:cols w:space="720"/>
          <w:docGrid w:linePitch="360"/>
        </w:sectPr>
      </w:pPr>
      <w:r w:rsidRPr="00CB1EF0">
        <w:rPr>
          <w:rFonts w:asciiTheme="majorBidi" w:hAnsiTheme="majorBidi" w:cstheme="majorBidi"/>
          <w:szCs w:val="24"/>
        </w:rPr>
        <w:t>Student I</w:t>
      </w:r>
      <w:r w:rsidR="008C1902" w:rsidRPr="00CB1EF0">
        <w:rPr>
          <w:rFonts w:asciiTheme="majorBidi" w:hAnsiTheme="majorBidi" w:cstheme="majorBidi"/>
          <w:szCs w:val="24"/>
        </w:rPr>
        <w:t>D</w:t>
      </w:r>
      <w:r w:rsidRPr="00CB1EF0">
        <w:rPr>
          <w:rFonts w:asciiTheme="majorBidi" w:hAnsiTheme="majorBidi" w:cstheme="majorBidi"/>
          <w:szCs w:val="24"/>
        </w:rPr>
        <w:t>:</w:t>
      </w:r>
      <w:r w:rsidR="000A6333">
        <w:rPr>
          <w:rFonts w:asciiTheme="majorBidi" w:hAnsiTheme="majorBidi" w:cstheme="majorBidi"/>
          <w:szCs w:val="24"/>
        </w:rPr>
        <w:t>2026828</w:t>
      </w:r>
    </w:p>
    <w:sdt>
      <w:sdtPr>
        <w:rPr>
          <w:rFonts w:asciiTheme="majorBidi" w:eastAsiaTheme="minorHAnsi" w:hAnsiTheme="majorBidi" w:cstheme="minorBidi"/>
          <w:b/>
          <w:bCs/>
          <w:color w:val="auto"/>
          <w:sz w:val="24"/>
          <w:szCs w:val="22"/>
          <w:lang w:eastAsia="en-US"/>
        </w:rPr>
        <w:id w:val="943114622"/>
        <w:docPartObj>
          <w:docPartGallery w:val="Table of Contents"/>
          <w:docPartUnique/>
        </w:docPartObj>
      </w:sdtPr>
      <w:sdtEndPr>
        <w:rPr>
          <w:szCs w:val="24"/>
        </w:rPr>
      </w:sdtEndPr>
      <w:sdtContent>
        <w:p w14:paraId="7571DB48" w14:textId="55EA646C" w:rsidR="0059600E" w:rsidRPr="00057B41" w:rsidRDefault="0059600E" w:rsidP="00CB1EF0">
          <w:pPr>
            <w:pStyle w:val="TOCHeading"/>
            <w:rPr>
              <w:rFonts w:asciiTheme="majorBidi" w:hAnsiTheme="majorBidi"/>
              <w:b/>
              <w:bCs/>
            </w:rPr>
          </w:pPr>
          <w:r w:rsidRPr="00057B41">
            <w:rPr>
              <w:rFonts w:asciiTheme="majorBidi" w:hAnsiTheme="majorBidi"/>
              <w:b/>
              <w:bCs/>
            </w:rPr>
            <w:t>Table of Contents</w:t>
          </w:r>
        </w:p>
        <w:p w14:paraId="72759E1B" w14:textId="3FE7A8EA" w:rsidR="00CB1EF0" w:rsidRPr="00CB1EF0" w:rsidRDefault="0059600E" w:rsidP="00CB1EF0">
          <w:pPr>
            <w:pStyle w:val="TOC1"/>
            <w:tabs>
              <w:tab w:val="right" w:leader="dot" w:pos="9350"/>
            </w:tabs>
            <w:rPr>
              <w:rFonts w:asciiTheme="majorBidi" w:eastAsiaTheme="minorEastAsia" w:hAnsiTheme="majorBidi" w:cstheme="majorBidi"/>
              <w:noProof/>
              <w:kern w:val="2"/>
              <w:szCs w:val="24"/>
              <w:lang w:eastAsia="en-GB" w:bidi="bn-IN"/>
              <w14:ligatures w14:val="standardContextual"/>
            </w:rPr>
          </w:pPr>
          <w:r w:rsidRPr="00CB1EF0">
            <w:rPr>
              <w:rFonts w:asciiTheme="majorBidi" w:hAnsiTheme="majorBidi" w:cstheme="majorBidi"/>
              <w:szCs w:val="24"/>
            </w:rPr>
            <w:fldChar w:fldCharType="begin"/>
          </w:r>
          <w:r w:rsidRPr="00CB1EF0">
            <w:rPr>
              <w:rFonts w:asciiTheme="majorBidi" w:hAnsiTheme="majorBidi" w:cstheme="majorBidi"/>
              <w:szCs w:val="24"/>
            </w:rPr>
            <w:instrText xml:space="preserve"> TOC \o "1-3" \h \z \u </w:instrText>
          </w:r>
          <w:r w:rsidRPr="00CB1EF0">
            <w:rPr>
              <w:rFonts w:asciiTheme="majorBidi" w:hAnsiTheme="majorBidi" w:cstheme="majorBidi"/>
              <w:szCs w:val="24"/>
            </w:rPr>
            <w:fldChar w:fldCharType="separate"/>
          </w:r>
          <w:hyperlink w:anchor="_Toc143808624" w:history="1">
            <w:r w:rsidR="00CB1EF0" w:rsidRPr="00CB1EF0">
              <w:rPr>
                <w:rStyle w:val="Hyperlink"/>
                <w:rFonts w:asciiTheme="majorBidi" w:hAnsiTheme="majorBidi" w:cstheme="majorBidi"/>
                <w:noProof/>
                <w:szCs w:val="24"/>
              </w:rPr>
              <w:t>Introduction</w:t>
            </w:r>
            <w:r w:rsidR="00CB1EF0" w:rsidRPr="00CB1EF0">
              <w:rPr>
                <w:rFonts w:asciiTheme="majorBidi" w:hAnsiTheme="majorBidi" w:cstheme="majorBidi"/>
                <w:noProof/>
                <w:webHidden/>
                <w:szCs w:val="24"/>
              </w:rPr>
              <w:tab/>
            </w:r>
            <w:r w:rsidR="00CB1EF0" w:rsidRPr="00CB1EF0">
              <w:rPr>
                <w:rFonts w:asciiTheme="majorBidi" w:hAnsiTheme="majorBidi" w:cstheme="majorBidi"/>
                <w:noProof/>
                <w:webHidden/>
                <w:szCs w:val="24"/>
              </w:rPr>
              <w:fldChar w:fldCharType="begin"/>
            </w:r>
            <w:r w:rsidR="00CB1EF0" w:rsidRPr="00CB1EF0">
              <w:rPr>
                <w:rFonts w:asciiTheme="majorBidi" w:hAnsiTheme="majorBidi" w:cstheme="majorBidi"/>
                <w:noProof/>
                <w:webHidden/>
                <w:szCs w:val="24"/>
              </w:rPr>
              <w:instrText xml:space="preserve"> PAGEREF _Toc143808624 \h </w:instrText>
            </w:r>
            <w:r w:rsidR="00CB1EF0" w:rsidRPr="00CB1EF0">
              <w:rPr>
                <w:rFonts w:asciiTheme="majorBidi" w:hAnsiTheme="majorBidi" w:cstheme="majorBidi"/>
                <w:noProof/>
                <w:webHidden/>
                <w:szCs w:val="24"/>
              </w:rPr>
            </w:r>
            <w:r w:rsidR="00CB1EF0" w:rsidRPr="00CB1EF0">
              <w:rPr>
                <w:rFonts w:asciiTheme="majorBidi" w:hAnsiTheme="majorBidi" w:cstheme="majorBidi"/>
                <w:noProof/>
                <w:webHidden/>
                <w:szCs w:val="24"/>
              </w:rPr>
              <w:fldChar w:fldCharType="separate"/>
            </w:r>
            <w:r w:rsidR="00CB1EF0" w:rsidRPr="00CB1EF0">
              <w:rPr>
                <w:rFonts w:asciiTheme="majorBidi" w:hAnsiTheme="majorBidi" w:cstheme="majorBidi"/>
                <w:noProof/>
                <w:webHidden/>
                <w:szCs w:val="24"/>
              </w:rPr>
              <w:t>1</w:t>
            </w:r>
            <w:r w:rsidR="00CB1EF0" w:rsidRPr="00CB1EF0">
              <w:rPr>
                <w:rFonts w:asciiTheme="majorBidi" w:hAnsiTheme="majorBidi" w:cstheme="majorBidi"/>
                <w:noProof/>
                <w:webHidden/>
                <w:szCs w:val="24"/>
              </w:rPr>
              <w:fldChar w:fldCharType="end"/>
            </w:r>
          </w:hyperlink>
        </w:p>
        <w:p w14:paraId="253F5BFC" w14:textId="43F2C7CF" w:rsidR="00CB1EF0" w:rsidRPr="00CB1EF0" w:rsidRDefault="00F37867" w:rsidP="00CB1EF0">
          <w:pPr>
            <w:pStyle w:val="TOC1"/>
            <w:tabs>
              <w:tab w:val="right" w:leader="dot" w:pos="9350"/>
            </w:tabs>
            <w:rPr>
              <w:rFonts w:asciiTheme="majorBidi" w:eastAsiaTheme="minorEastAsia" w:hAnsiTheme="majorBidi" w:cstheme="majorBidi"/>
              <w:noProof/>
              <w:kern w:val="2"/>
              <w:szCs w:val="24"/>
              <w:lang w:eastAsia="en-GB" w:bidi="bn-IN"/>
              <w14:ligatures w14:val="standardContextual"/>
            </w:rPr>
          </w:pPr>
          <w:hyperlink w:anchor="_Toc143808625" w:history="1">
            <w:r w:rsidR="00CB1EF0" w:rsidRPr="00CB1EF0">
              <w:rPr>
                <w:rStyle w:val="Hyperlink"/>
                <w:rFonts w:asciiTheme="majorBidi" w:hAnsiTheme="majorBidi" w:cstheme="majorBidi"/>
                <w:noProof/>
                <w:szCs w:val="24"/>
              </w:rPr>
              <w:t>Importance of Teamwork for Academic Success</w:t>
            </w:r>
            <w:r w:rsidR="00CB1EF0" w:rsidRPr="00CB1EF0">
              <w:rPr>
                <w:rFonts w:asciiTheme="majorBidi" w:hAnsiTheme="majorBidi" w:cstheme="majorBidi"/>
                <w:noProof/>
                <w:webHidden/>
                <w:szCs w:val="24"/>
              </w:rPr>
              <w:tab/>
            </w:r>
            <w:r w:rsidR="00CB1EF0" w:rsidRPr="00CB1EF0">
              <w:rPr>
                <w:rFonts w:asciiTheme="majorBidi" w:hAnsiTheme="majorBidi" w:cstheme="majorBidi"/>
                <w:noProof/>
                <w:webHidden/>
                <w:szCs w:val="24"/>
              </w:rPr>
              <w:fldChar w:fldCharType="begin"/>
            </w:r>
            <w:r w:rsidR="00CB1EF0" w:rsidRPr="00CB1EF0">
              <w:rPr>
                <w:rFonts w:asciiTheme="majorBidi" w:hAnsiTheme="majorBidi" w:cstheme="majorBidi"/>
                <w:noProof/>
                <w:webHidden/>
                <w:szCs w:val="24"/>
              </w:rPr>
              <w:instrText xml:space="preserve"> PAGEREF _Toc143808625 \h </w:instrText>
            </w:r>
            <w:r w:rsidR="00CB1EF0" w:rsidRPr="00CB1EF0">
              <w:rPr>
                <w:rFonts w:asciiTheme="majorBidi" w:hAnsiTheme="majorBidi" w:cstheme="majorBidi"/>
                <w:noProof/>
                <w:webHidden/>
                <w:szCs w:val="24"/>
              </w:rPr>
            </w:r>
            <w:r w:rsidR="00CB1EF0" w:rsidRPr="00CB1EF0">
              <w:rPr>
                <w:rFonts w:asciiTheme="majorBidi" w:hAnsiTheme="majorBidi" w:cstheme="majorBidi"/>
                <w:noProof/>
                <w:webHidden/>
                <w:szCs w:val="24"/>
              </w:rPr>
              <w:fldChar w:fldCharType="separate"/>
            </w:r>
            <w:r w:rsidR="00CB1EF0" w:rsidRPr="00CB1EF0">
              <w:rPr>
                <w:rFonts w:asciiTheme="majorBidi" w:hAnsiTheme="majorBidi" w:cstheme="majorBidi"/>
                <w:noProof/>
                <w:webHidden/>
                <w:szCs w:val="24"/>
              </w:rPr>
              <w:t>2</w:t>
            </w:r>
            <w:r w:rsidR="00CB1EF0" w:rsidRPr="00CB1EF0">
              <w:rPr>
                <w:rFonts w:asciiTheme="majorBidi" w:hAnsiTheme="majorBidi" w:cstheme="majorBidi"/>
                <w:noProof/>
                <w:webHidden/>
                <w:szCs w:val="24"/>
              </w:rPr>
              <w:fldChar w:fldCharType="end"/>
            </w:r>
          </w:hyperlink>
        </w:p>
        <w:p w14:paraId="0AB894DD" w14:textId="12800368" w:rsidR="00CB1EF0" w:rsidRPr="00CB1EF0" w:rsidRDefault="00F37867" w:rsidP="00CB1EF0">
          <w:pPr>
            <w:pStyle w:val="TOC1"/>
            <w:tabs>
              <w:tab w:val="right" w:leader="dot" w:pos="9350"/>
            </w:tabs>
            <w:rPr>
              <w:rFonts w:asciiTheme="majorBidi" w:eastAsiaTheme="minorEastAsia" w:hAnsiTheme="majorBidi" w:cstheme="majorBidi"/>
              <w:noProof/>
              <w:kern w:val="2"/>
              <w:szCs w:val="24"/>
              <w:lang w:eastAsia="en-GB" w:bidi="bn-IN"/>
              <w14:ligatures w14:val="standardContextual"/>
            </w:rPr>
          </w:pPr>
          <w:hyperlink w:anchor="_Toc143808626" w:history="1">
            <w:r w:rsidR="00CB1EF0" w:rsidRPr="00CB1EF0">
              <w:rPr>
                <w:rStyle w:val="Hyperlink"/>
                <w:rFonts w:asciiTheme="majorBidi" w:hAnsiTheme="majorBidi" w:cstheme="majorBidi"/>
                <w:noProof/>
                <w:szCs w:val="24"/>
              </w:rPr>
              <w:t>Benefits of Time Management in Academic Success</w:t>
            </w:r>
            <w:r w:rsidR="00CB1EF0" w:rsidRPr="00CB1EF0">
              <w:rPr>
                <w:rFonts w:asciiTheme="majorBidi" w:hAnsiTheme="majorBidi" w:cstheme="majorBidi"/>
                <w:noProof/>
                <w:webHidden/>
                <w:szCs w:val="24"/>
              </w:rPr>
              <w:tab/>
            </w:r>
            <w:r w:rsidR="00CB1EF0" w:rsidRPr="00CB1EF0">
              <w:rPr>
                <w:rFonts w:asciiTheme="majorBidi" w:hAnsiTheme="majorBidi" w:cstheme="majorBidi"/>
                <w:noProof/>
                <w:webHidden/>
                <w:szCs w:val="24"/>
              </w:rPr>
              <w:fldChar w:fldCharType="begin"/>
            </w:r>
            <w:r w:rsidR="00CB1EF0" w:rsidRPr="00CB1EF0">
              <w:rPr>
                <w:rFonts w:asciiTheme="majorBidi" w:hAnsiTheme="majorBidi" w:cstheme="majorBidi"/>
                <w:noProof/>
                <w:webHidden/>
                <w:szCs w:val="24"/>
              </w:rPr>
              <w:instrText xml:space="preserve"> PAGEREF _Toc143808626 \h </w:instrText>
            </w:r>
            <w:r w:rsidR="00CB1EF0" w:rsidRPr="00CB1EF0">
              <w:rPr>
                <w:rFonts w:asciiTheme="majorBidi" w:hAnsiTheme="majorBidi" w:cstheme="majorBidi"/>
                <w:noProof/>
                <w:webHidden/>
                <w:szCs w:val="24"/>
              </w:rPr>
            </w:r>
            <w:r w:rsidR="00CB1EF0" w:rsidRPr="00CB1EF0">
              <w:rPr>
                <w:rFonts w:asciiTheme="majorBidi" w:hAnsiTheme="majorBidi" w:cstheme="majorBidi"/>
                <w:noProof/>
                <w:webHidden/>
                <w:szCs w:val="24"/>
              </w:rPr>
              <w:fldChar w:fldCharType="separate"/>
            </w:r>
            <w:r w:rsidR="00CB1EF0" w:rsidRPr="00CB1EF0">
              <w:rPr>
                <w:rFonts w:asciiTheme="majorBidi" w:hAnsiTheme="majorBidi" w:cstheme="majorBidi"/>
                <w:noProof/>
                <w:webHidden/>
                <w:szCs w:val="24"/>
              </w:rPr>
              <w:t>4</w:t>
            </w:r>
            <w:r w:rsidR="00CB1EF0" w:rsidRPr="00CB1EF0">
              <w:rPr>
                <w:rFonts w:asciiTheme="majorBidi" w:hAnsiTheme="majorBidi" w:cstheme="majorBidi"/>
                <w:noProof/>
                <w:webHidden/>
                <w:szCs w:val="24"/>
              </w:rPr>
              <w:fldChar w:fldCharType="end"/>
            </w:r>
          </w:hyperlink>
        </w:p>
        <w:p w14:paraId="66338C3E" w14:textId="257E7318" w:rsidR="00CB1EF0" w:rsidRPr="00CB1EF0" w:rsidRDefault="00F37867" w:rsidP="00CB1EF0">
          <w:pPr>
            <w:pStyle w:val="TOC1"/>
            <w:tabs>
              <w:tab w:val="right" w:leader="dot" w:pos="9350"/>
            </w:tabs>
            <w:rPr>
              <w:rFonts w:asciiTheme="majorBidi" w:eastAsiaTheme="minorEastAsia" w:hAnsiTheme="majorBidi" w:cstheme="majorBidi"/>
              <w:noProof/>
              <w:kern w:val="2"/>
              <w:szCs w:val="24"/>
              <w:lang w:eastAsia="en-GB" w:bidi="bn-IN"/>
              <w14:ligatures w14:val="standardContextual"/>
            </w:rPr>
          </w:pPr>
          <w:hyperlink w:anchor="_Toc143808627" w:history="1">
            <w:r w:rsidR="00CB1EF0" w:rsidRPr="00CB1EF0">
              <w:rPr>
                <w:rStyle w:val="Hyperlink"/>
                <w:rFonts w:asciiTheme="majorBidi" w:hAnsiTheme="majorBidi" w:cstheme="majorBidi"/>
                <w:noProof/>
                <w:szCs w:val="24"/>
              </w:rPr>
              <w:t>Conclusion</w:t>
            </w:r>
            <w:r w:rsidR="00CB1EF0" w:rsidRPr="00CB1EF0">
              <w:rPr>
                <w:rFonts w:asciiTheme="majorBidi" w:hAnsiTheme="majorBidi" w:cstheme="majorBidi"/>
                <w:noProof/>
                <w:webHidden/>
                <w:szCs w:val="24"/>
              </w:rPr>
              <w:tab/>
            </w:r>
            <w:r w:rsidR="00CB1EF0" w:rsidRPr="00CB1EF0">
              <w:rPr>
                <w:rFonts w:asciiTheme="majorBidi" w:hAnsiTheme="majorBidi" w:cstheme="majorBidi"/>
                <w:noProof/>
                <w:webHidden/>
                <w:szCs w:val="24"/>
              </w:rPr>
              <w:fldChar w:fldCharType="begin"/>
            </w:r>
            <w:r w:rsidR="00CB1EF0" w:rsidRPr="00CB1EF0">
              <w:rPr>
                <w:rFonts w:asciiTheme="majorBidi" w:hAnsiTheme="majorBidi" w:cstheme="majorBidi"/>
                <w:noProof/>
                <w:webHidden/>
                <w:szCs w:val="24"/>
              </w:rPr>
              <w:instrText xml:space="preserve"> PAGEREF _Toc143808627 \h </w:instrText>
            </w:r>
            <w:r w:rsidR="00CB1EF0" w:rsidRPr="00CB1EF0">
              <w:rPr>
                <w:rFonts w:asciiTheme="majorBidi" w:hAnsiTheme="majorBidi" w:cstheme="majorBidi"/>
                <w:noProof/>
                <w:webHidden/>
                <w:szCs w:val="24"/>
              </w:rPr>
            </w:r>
            <w:r w:rsidR="00CB1EF0" w:rsidRPr="00CB1EF0">
              <w:rPr>
                <w:rFonts w:asciiTheme="majorBidi" w:hAnsiTheme="majorBidi" w:cstheme="majorBidi"/>
                <w:noProof/>
                <w:webHidden/>
                <w:szCs w:val="24"/>
              </w:rPr>
              <w:fldChar w:fldCharType="separate"/>
            </w:r>
            <w:r w:rsidR="00CB1EF0" w:rsidRPr="00CB1EF0">
              <w:rPr>
                <w:rFonts w:asciiTheme="majorBidi" w:hAnsiTheme="majorBidi" w:cstheme="majorBidi"/>
                <w:noProof/>
                <w:webHidden/>
                <w:szCs w:val="24"/>
              </w:rPr>
              <w:t>6</w:t>
            </w:r>
            <w:r w:rsidR="00CB1EF0" w:rsidRPr="00CB1EF0">
              <w:rPr>
                <w:rFonts w:asciiTheme="majorBidi" w:hAnsiTheme="majorBidi" w:cstheme="majorBidi"/>
                <w:noProof/>
                <w:webHidden/>
                <w:szCs w:val="24"/>
              </w:rPr>
              <w:fldChar w:fldCharType="end"/>
            </w:r>
          </w:hyperlink>
        </w:p>
        <w:p w14:paraId="62981BEF" w14:textId="0E0171FA" w:rsidR="00CB1EF0" w:rsidRPr="00CB1EF0" w:rsidRDefault="00F37867" w:rsidP="00CB1EF0">
          <w:pPr>
            <w:pStyle w:val="TOC1"/>
            <w:tabs>
              <w:tab w:val="right" w:leader="dot" w:pos="9350"/>
            </w:tabs>
            <w:rPr>
              <w:rFonts w:asciiTheme="majorBidi" w:eastAsiaTheme="minorEastAsia" w:hAnsiTheme="majorBidi" w:cstheme="majorBidi"/>
              <w:noProof/>
              <w:kern w:val="2"/>
              <w:szCs w:val="24"/>
              <w:lang w:eastAsia="en-GB" w:bidi="bn-IN"/>
              <w14:ligatures w14:val="standardContextual"/>
            </w:rPr>
          </w:pPr>
          <w:hyperlink w:anchor="_Toc143808628" w:history="1">
            <w:r w:rsidR="00CB1EF0" w:rsidRPr="00CB1EF0">
              <w:rPr>
                <w:rStyle w:val="Hyperlink"/>
                <w:rFonts w:asciiTheme="majorBidi" w:hAnsiTheme="majorBidi" w:cstheme="majorBidi"/>
                <w:noProof/>
                <w:szCs w:val="24"/>
              </w:rPr>
              <w:t>References</w:t>
            </w:r>
            <w:r w:rsidR="00CB1EF0" w:rsidRPr="00CB1EF0">
              <w:rPr>
                <w:rFonts w:asciiTheme="majorBidi" w:hAnsiTheme="majorBidi" w:cstheme="majorBidi"/>
                <w:noProof/>
                <w:webHidden/>
                <w:szCs w:val="24"/>
              </w:rPr>
              <w:tab/>
            </w:r>
            <w:r w:rsidR="00CB1EF0" w:rsidRPr="00CB1EF0">
              <w:rPr>
                <w:rFonts w:asciiTheme="majorBidi" w:hAnsiTheme="majorBidi" w:cstheme="majorBidi"/>
                <w:noProof/>
                <w:webHidden/>
                <w:szCs w:val="24"/>
              </w:rPr>
              <w:fldChar w:fldCharType="begin"/>
            </w:r>
            <w:r w:rsidR="00CB1EF0" w:rsidRPr="00CB1EF0">
              <w:rPr>
                <w:rFonts w:asciiTheme="majorBidi" w:hAnsiTheme="majorBidi" w:cstheme="majorBidi"/>
                <w:noProof/>
                <w:webHidden/>
                <w:szCs w:val="24"/>
              </w:rPr>
              <w:instrText xml:space="preserve"> PAGEREF _Toc143808628 \h </w:instrText>
            </w:r>
            <w:r w:rsidR="00CB1EF0" w:rsidRPr="00CB1EF0">
              <w:rPr>
                <w:rFonts w:asciiTheme="majorBidi" w:hAnsiTheme="majorBidi" w:cstheme="majorBidi"/>
                <w:noProof/>
                <w:webHidden/>
                <w:szCs w:val="24"/>
              </w:rPr>
            </w:r>
            <w:r w:rsidR="00CB1EF0" w:rsidRPr="00CB1EF0">
              <w:rPr>
                <w:rFonts w:asciiTheme="majorBidi" w:hAnsiTheme="majorBidi" w:cstheme="majorBidi"/>
                <w:noProof/>
                <w:webHidden/>
                <w:szCs w:val="24"/>
              </w:rPr>
              <w:fldChar w:fldCharType="separate"/>
            </w:r>
            <w:r w:rsidR="00CB1EF0" w:rsidRPr="00CB1EF0">
              <w:rPr>
                <w:rFonts w:asciiTheme="majorBidi" w:hAnsiTheme="majorBidi" w:cstheme="majorBidi"/>
                <w:noProof/>
                <w:webHidden/>
                <w:szCs w:val="24"/>
              </w:rPr>
              <w:t>7</w:t>
            </w:r>
            <w:r w:rsidR="00CB1EF0" w:rsidRPr="00CB1EF0">
              <w:rPr>
                <w:rFonts w:asciiTheme="majorBidi" w:hAnsiTheme="majorBidi" w:cstheme="majorBidi"/>
                <w:noProof/>
                <w:webHidden/>
                <w:szCs w:val="24"/>
              </w:rPr>
              <w:fldChar w:fldCharType="end"/>
            </w:r>
          </w:hyperlink>
        </w:p>
        <w:p w14:paraId="22EF8731" w14:textId="007491DF" w:rsidR="004A056F" w:rsidRPr="00CB1EF0" w:rsidRDefault="0059600E" w:rsidP="00CB1EF0">
          <w:pPr>
            <w:rPr>
              <w:rFonts w:asciiTheme="majorBidi" w:hAnsiTheme="majorBidi" w:cstheme="majorBidi"/>
              <w:szCs w:val="24"/>
            </w:rPr>
          </w:pPr>
          <w:r w:rsidRPr="00CB1EF0">
            <w:rPr>
              <w:rFonts w:asciiTheme="majorBidi" w:hAnsiTheme="majorBidi" w:cstheme="majorBidi"/>
              <w:b/>
              <w:bCs/>
              <w:szCs w:val="24"/>
            </w:rPr>
            <w:fldChar w:fldCharType="end"/>
          </w:r>
        </w:p>
      </w:sdtContent>
    </w:sdt>
    <w:p w14:paraId="4382B452" w14:textId="2B4C2336" w:rsidR="006A641C" w:rsidRPr="00CB1EF0" w:rsidRDefault="006A641C" w:rsidP="00CB1EF0">
      <w:pPr>
        <w:spacing w:before="120"/>
        <w:rPr>
          <w:rFonts w:asciiTheme="majorBidi" w:hAnsiTheme="majorBidi" w:cstheme="majorBidi"/>
          <w:szCs w:val="24"/>
        </w:rPr>
        <w:sectPr w:rsidR="006A641C" w:rsidRPr="00CB1EF0" w:rsidSect="001A6B94">
          <w:footerReference w:type="default" r:id="rId8"/>
          <w:pgSz w:w="12240" w:h="15840"/>
          <w:pgMar w:top="1440" w:right="1440" w:bottom="1440" w:left="1440" w:header="720" w:footer="720" w:gutter="0"/>
          <w:cols w:space="720"/>
          <w:docGrid w:linePitch="360"/>
        </w:sectPr>
      </w:pPr>
      <w:r w:rsidRPr="00CB1EF0">
        <w:rPr>
          <w:rFonts w:asciiTheme="majorBidi" w:hAnsiTheme="majorBidi" w:cstheme="majorBidi"/>
          <w:szCs w:val="24"/>
        </w:rPr>
        <w:br w:type="page"/>
      </w:r>
    </w:p>
    <w:p w14:paraId="0D7E83B7" w14:textId="77777777" w:rsidR="004A056F" w:rsidRPr="00CB1EF0" w:rsidRDefault="00997368" w:rsidP="00CB1EF0">
      <w:pPr>
        <w:pStyle w:val="Heading1"/>
      </w:pPr>
      <w:bookmarkStart w:id="0" w:name="_Toc143808624"/>
      <w:r w:rsidRPr="00CB1EF0">
        <w:t>Introduction</w:t>
      </w:r>
      <w:bookmarkEnd w:id="0"/>
    </w:p>
    <w:p w14:paraId="1AAC1DC7" w14:textId="042F6FEB" w:rsidR="00997368" w:rsidRPr="00CB1EF0" w:rsidRDefault="00206AFD" w:rsidP="00CB1EF0">
      <w:pPr>
        <w:spacing w:before="120"/>
        <w:rPr>
          <w:rFonts w:asciiTheme="majorBidi" w:hAnsiTheme="majorBidi" w:cstheme="majorBidi"/>
          <w:szCs w:val="24"/>
        </w:rPr>
      </w:pPr>
      <w:r w:rsidRPr="00CB1EF0">
        <w:rPr>
          <w:rFonts w:asciiTheme="majorBidi" w:hAnsiTheme="majorBidi" w:cstheme="majorBidi"/>
          <w:szCs w:val="24"/>
        </w:rPr>
        <w:t xml:space="preserve">In the quest </w:t>
      </w:r>
      <w:r w:rsidR="00160437">
        <w:rPr>
          <w:rFonts w:asciiTheme="majorBidi" w:hAnsiTheme="majorBidi" w:cstheme="majorBidi"/>
          <w:szCs w:val="24"/>
        </w:rPr>
        <w:t>for</w:t>
      </w:r>
      <w:r w:rsidRPr="00CB1EF0">
        <w:rPr>
          <w:rFonts w:asciiTheme="majorBidi" w:hAnsiTheme="majorBidi" w:cstheme="majorBidi"/>
          <w:szCs w:val="24"/>
        </w:rPr>
        <w:t xml:space="preserve"> academic greatness, the symbiotic relationship between teamwork and time management emerges as a crucial part of student success. Education is no longer confined to individual initiatives rather, it thrives in an ecosystem where collaborative efforts and efficient use of time intersect to define the route toward accomplishments</w:t>
      </w:r>
      <w:sdt>
        <w:sdtPr>
          <w:rPr>
            <w:rFonts w:asciiTheme="majorBidi" w:hAnsiTheme="majorBidi" w:cstheme="majorBidi"/>
            <w:szCs w:val="24"/>
          </w:rPr>
          <w:id w:val="-1575190994"/>
          <w:citation/>
        </w:sdtPr>
        <w:sdtEndPr/>
        <w:sdtContent>
          <w:r w:rsidR="00F36322" w:rsidRPr="00CB1EF0">
            <w:rPr>
              <w:rFonts w:asciiTheme="majorBidi" w:hAnsiTheme="majorBidi" w:cstheme="majorBidi"/>
              <w:szCs w:val="24"/>
            </w:rPr>
            <w:fldChar w:fldCharType="begin"/>
          </w:r>
          <w:r w:rsidR="00F36322" w:rsidRPr="00CB1EF0">
            <w:rPr>
              <w:rFonts w:asciiTheme="majorBidi" w:hAnsiTheme="majorBidi" w:cstheme="majorBidi"/>
              <w:szCs w:val="24"/>
              <w:lang w:val="en-US"/>
            </w:rPr>
            <w:instrText xml:space="preserve"> CITATION akpur2020critical \l 1033 </w:instrText>
          </w:r>
          <w:r w:rsidR="00F36322" w:rsidRPr="00CB1EF0">
            <w:rPr>
              <w:rFonts w:asciiTheme="majorBidi" w:hAnsiTheme="majorBidi" w:cstheme="majorBidi"/>
              <w:szCs w:val="24"/>
            </w:rPr>
            <w:fldChar w:fldCharType="separate"/>
          </w:r>
          <w:r w:rsidR="00F36322" w:rsidRPr="00CB1EF0">
            <w:rPr>
              <w:rFonts w:asciiTheme="majorBidi" w:hAnsiTheme="majorBidi" w:cstheme="majorBidi"/>
              <w:noProof/>
              <w:szCs w:val="24"/>
              <w:lang w:val="en-US"/>
            </w:rPr>
            <w:t xml:space="preserve"> (Akpur, 2020)</w:t>
          </w:r>
          <w:r w:rsidR="00F36322" w:rsidRPr="00CB1EF0">
            <w:rPr>
              <w:rFonts w:asciiTheme="majorBidi" w:hAnsiTheme="majorBidi" w:cstheme="majorBidi"/>
              <w:szCs w:val="24"/>
            </w:rPr>
            <w:fldChar w:fldCharType="end"/>
          </w:r>
        </w:sdtContent>
      </w:sdt>
      <w:r w:rsidRPr="00CB1EF0">
        <w:rPr>
          <w:rFonts w:asciiTheme="majorBidi" w:hAnsiTheme="majorBidi" w:cstheme="majorBidi"/>
          <w:szCs w:val="24"/>
        </w:rPr>
        <w:t>. As students negotiate the varied terrain of learning, the synergy of teamwork equips them with diverse views and interpersonal skills, while efficient time management empowers them to optimize their efforts and minimize stress. This assignment dives into the significant significance of teamwork and time management in the area of academic achievement, putting light on their varied benefits and illustrating how they intersect to orchestrate holistic success</w:t>
      </w:r>
      <w:sdt>
        <w:sdtPr>
          <w:rPr>
            <w:rFonts w:asciiTheme="majorBidi" w:hAnsiTheme="majorBidi" w:cstheme="majorBidi"/>
            <w:szCs w:val="24"/>
          </w:rPr>
          <w:id w:val="1724722965"/>
          <w:citation/>
        </w:sdtPr>
        <w:sdtEndPr/>
        <w:sdtContent>
          <w:r w:rsidR="00F36322" w:rsidRPr="00CB1EF0">
            <w:rPr>
              <w:rFonts w:asciiTheme="majorBidi" w:hAnsiTheme="majorBidi" w:cstheme="majorBidi"/>
              <w:szCs w:val="24"/>
            </w:rPr>
            <w:fldChar w:fldCharType="begin"/>
          </w:r>
          <w:r w:rsidR="00F36322" w:rsidRPr="00CB1EF0">
            <w:rPr>
              <w:rFonts w:asciiTheme="majorBidi" w:hAnsiTheme="majorBidi" w:cstheme="majorBidi"/>
              <w:szCs w:val="24"/>
              <w:lang w:val="en-US"/>
            </w:rPr>
            <w:instrText xml:space="preserve"> CITATION asakereh2018reflective \l 1033 </w:instrText>
          </w:r>
          <w:r w:rsidR="00F36322" w:rsidRPr="00CB1EF0">
            <w:rPr>
              <w:rFonts w:asciiTheme="majorBidi" w:hAnsiTheme="majorBidi" w:cstheme="majorBidi"/>
              <w:szCs w:val="24"/>
            </w:rPr>
            <w:fldChar w:fldCharType="separate"/>
          </w:r>
          <w:r w:rsidR="00F36322" w:rsidRPr="00CB1EF0">
            <w:rPr>
              <w:rFonts w:asciiTheme="majorBidi" w:hAnsiTheme="majorBidi" w:cstheme="majorBidi"/>
              <w:noProof/>
              <w:szCs w:val="24"/>
              <w:lang w:val="en-US"/>
            </w:rPr>
            <w:t xml:space="preserve"> (Asakereh &amp; Yousofi, 2018)</w:t>
          </w:r>
          <w:r w:rsidR="00F36322" w:rsidRPr="00CB1EF0">
            <w:rPr>
              <w:rFonts w:asciiTheme="majorBidi" w:hAnsiTheme="majorBidi" w:cstheme="majorBidi"/>
              <w:szCs w:val="24"/>
            </w:rPr>
            <w:fldChar w:fldCharType="end"/>
          </w:r>
        </w:sdtContent>
      </w:sdt>
      <w:r w:rsidRPr="00CB1EF0">
        <w:rPr>
          <w:rFonts w:asciiTheme="majorBidi" w:hAnsiTheme="majorBidi" w:cstheme="majorBidi"/>
          <w:szCs w:val="24"/>
        </w:rPr>
        <w:t>.</w:t>
      </w:r>
      <w:r w:rsidR="00997368" w:rsidRPr="00CB1EF0">
        <w:rPr>
          <w:rFonts w:asciiTheme="majorBidi" w:hAnsiTheme="majorBidi" w:cstheme="majorBidi"/>
          <w:szCs w:val="24"/>
        </w:rPr>
        <w:br w:type="page"/>
      </w:r>
    </w:p>
    <w:p w14:paraId="536EE4B5" w14:textId="77777777" w:rsidR="004A056F" w:rsidRPr="00CB1EF0" w:rsidRDefault="004A056F" w:rsidP="00CB1EF0">
      <w:pPr>
        <w:pStyle w:val="Heading1"/>
      </w:pPr>
      <w:bookmarkStart w:id="1" w:name="_Toc143808625"/>
      <w:r w:rsidRPr="00CB1EF0">
        <w:t>Importance of Teamwork for Academic Success</w:t>
      </w:r>
      <w:bookmarkEnd w:id="1"/>
    </w:p>
    <w:p w14:paraId="54DD5FAE" w14:textId="3A11E205"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 xml:space="preserve">Teamwork stands as a vital aspect in the field of academic performance, </w:t>
      </w:r>
      <w:proofErr w:type="spellStart"/>
      <w:r w:rsidR="00160437">
        <w:rPr>
          <w:rFonts w:asciiTheme="majorBidi" w:hAnsiTheme="majorBidi" w:cstheme="majorBidi"/>
          <w:szCs w:val="24"/>
        </w:rPr>
        <w:t>catalyzing</w:t>
      </w:r>
      <w:proofErr w:type="spellEnd"/>
      <w:r w:rsidRPr="00CB1EF0">
        <w:rPr>
          <w:rFonts w:asciiTheme="majorBidi" w:hAnsiTheme="majorBidi" w:cstheme="majorBidi"/>
          <w:szCs w:val="24"/>
        </w:rPr>
        <w:t xml:space="preserve"> collaborative achievement. In the educational realm, the relevance of collaboration surpasses fundamental cooperation, embracing the amalgamation of diverse perspectives, the training of interpersonal skills, and the promotion of creative thinking</w:t>
      </w:r>
      <w:sdt>
        <w:sdtPr>
          <w:rPr>
            <w:rFonts w:asciiTheme="majorBidi" w:hAnsiTheme="majorBidi" w:cstheme="majorBidi"/>
            <w:szCs w:val="24"/>
          </w:rPr>
          <w:id w:val="218406434"/>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cintamulya2019analysis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(Cintamulya,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This part dives into the numerous dimensions of teamwork's importance within the framework of academic activities</w:t>
      </w:r>
      <w:sdt>
        <w:sdtPr>
          <w:rPr>
            <w:rFonts w:asciiTheme="majorBidi" w:hAnsiTheme="majorBidi" w:cstheme="majorBidi"/>
            <w:szCs w:val="24"/>
          </w:rPr>
          <w:id w:val="-334069880"/>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erdogan2019effect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(Erdogan,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5E0DE858" w14:textId="5B18A053"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Teamwork shines clearly in the landscape of group initiatives. These responsibilities, spanning from research ventures to presentations, demand collective efforts. Through collaboration, students internalize their knowledge and competencies, harmonizing them to achieve comprehensive outputs</w:t>
      </w:r>
      <w:sdt>
        <w:sdtPr>
          <w:rPr>
            <w:rFonts w:asciiTheme="majorBidi" w:hAnsiTheme="majorBidi" w:cstheme="majorBidi"/>
            <w:szCs w:val="24"/>
          </w:rPr>
          <w:id w:val="162366871"/>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rakhmawati2021examining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(Rakhmawati &amp; Mustadi, 2021)</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This method comprises not just work delegation in conformity with individual proficiencies but also group dedication to attain common objectives. The dynamic process of brainstorming, sharing insights, and refining concepts within a collaborative atmosphere enhances the academic fabric</w:t>
      </w:r>
      <w:sdt>
        <w:sdtPr>
          <w:rPr>
            <w:rFonts w:asciiTheme="majorBidi" w:hAnsiTheme="majorBidi" w:cstheme="majorBidi"/>
            <w:szCs w:val="24"/>
          </w:rPr>
          <w:id w:val="-170566603"/>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griggs2018reflective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(Griggs, et al.,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63F400C2" w14:textId="5ACB6711"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An equally powerful feature of collaboration is the synergy of varied ideas it develops. In the framework of a team, players came from diverse backgrounds, each bringing a distinct lens through which to interpret difficulties</w:t>
      </w:r>
      <w:sdt>
        <w:sdtPr>
          <w:rPr>
            <w:rFonts w:asciiTheme="majorBidi" w:hAnsiTheme="majorBidi" w:cstheme="majorBidi"/>
            <w:szCs w:val="24"/>
          </w:rPr>
          <w:id w:val="-1520618664"/>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stevens2023journal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(Stevens &amp; Cooper, 2023)</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This mixture of ideas engenders a fertile foundation for imaginative problem-solving. The fusion of varied ideas not only kindles innovative solutions but also promotes critical thinking. Collaborative learning encourages creativity, as the interplay of ideas often births innovative concepts and approaches</w:t>
      </w:r>
      <w:sdt>
        <w:sdtPr>
          <w:rPr>
            <w:rFonts w:asciiTheme="majorBidi" w:hAnsiTheme="majorBidi" w:cstheme="majorBidi"/>
            <w:szCs w:val="24"/>
          </w:rPr>
          <w:id w:val="-1084213392"/>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slade2019impact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(Slade, et al.,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438731D5" w14:textId="089B7C08"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Crucially, cooperation functions as an incubator for essential interpersonal abilities that echo beyond academia. Effective teamwork demands articulate communication, active listening, and the capacity to engage in constructive dialogues</w:t>
      </w:r>
      <w:sdt>
        <w:sdtPr>
          <w:rPr>
            <w:rFonts w:asciiTheme="majorBidi" w:hAnsiTheme="majorBidi" w:cstheme="majorBidi"/>
            <w:szCs w:val="24"/>
          </w:rPr>
          <w:id w:val="663668685"/>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veine2020reflection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(Veine, et al., 2020)</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xml:space="preserve">. These skills </w:t>
      </w:r>
      <w:r w:rsidR="00160437">
        <w:rPr>
          <w:rFonts w:asciiTheme="majorBidi" w:hAnsiTheme="majorBidi" w:cstheme="majorBidi"/>
          <w:szCs w:val="24"/>
        </w:rPr>
        <w:t>apply</w:t>
      </w:r>
      <w:r w:rsidRPr="00CB1EF0">
        <w:rPr>
          <w:rFonts w:asciiTheme="majorBidi" w:hAnsiTheme="majorBidi" w:cstheme="majorBidi"/>
          <w:szCs w:val="24"/>
        </w:rPr>
        <w:t xml:space="preserve"> to many contexts, from professional arenas to personal relationships. Collaborative initiatives impart empathy, build an understanding </w:t>
      </w:r>
      <w:r w:rsidR="00160437">
        <w:rPr>
          <w:rFonts w:asciiTheme="majorBidi" w:hAnsiTheme="majorBidi" w:cstheme="majorBidi"/>
          <w:szCs w:val="24"/>
        </w:rPr>
        <w:t>of</w:t>
      </w:r>
      <w:r w:rsidRPr="00CB1EF0">
        <w:rPr>
          <w:rFonts w:asciiTheme="majorBidi" w:hAnsiTheme="majorBidi" w:cstheme="majorBidi"/>
          <w:szCs w:val="24"/>
        </w:rPr>
        <w:t xml:space="preserve"> various ideas, and offer </w:t>
      </w:r>
      <w:r w:rsidR="00160437">
        <w:rPr>
          <w:rFonts w:asciiTheme="majorBidi" w:hAnsiTheme="majorBidi" w:cstheme="majorBidi"/>
          <w:szCs w:val="24"/>
        </w:rPr>
        <w:t>dispute-resolution</w:t>
      </w:r>
      <w:r w:rsidRPr="00CB1EF0">
        <w:rPr>
          <w:rFonts w:asciiTheme="majorBidi" w:hAnsiTheme="majorBidi" w:cstheme="majorBidi"/>
          <w:szCs w:val="24"/>
        </w:rPr>
        <w:t xml:space="preserve"> prowess. As students traverse collaborative projects, they emerge not only with greater academic prowess but also with an enriched toolset of life skills</w:t>
      </w:r>
      <w:sdt>
        <w:sdtPr>
          <w:rPr>
            <w:rFonts w:asciiTheme="majorBidi" w:hAnsiTheme="majorBidi" w:cstheme="majorBidi"/>
            <w:szCs w:val="24"/>
          </w:rPr>
          <w:id w:val="-1411764281"/>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stevens2023journal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(Stevens &amp; Cooper, 2023)</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3200A079" w14:textId="0507BECA"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Examining a real scenario further shows the rewards of teamwork. Consider a scenario where a group of students collaborates on a diverse research activity</w:t>
      </w:r>
      <w:sdt>
        <w:sdtPr>
          <w:rPr>
            <w:rFonts w:asciiTheme="majorBidi" w:hAnsiTheme="majorBidi" w:cstheme="majorBidi"/>
            <w:szCs w:val="24"/>
          </w:rPr>
          <w:id w:val="1370803201"/>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akpur2020critical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(Akpur, 2020)</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xml:space="preserve">. Within this </w:t>
      </w:r>
      <w:r w:rsidR="00160437">
        <w:rPr>
          <w:rFonts w:asciiTheme="majorBidi" w:hAnsiTheme="majorBidi" w:cstheme="majorBidi"/>
          <w:szCs w:val="24"/>
        </w:rPr>
        <w:t>collaboration</w:t>
      </w:r>
      <w:r w:rsidRPr="00CB1EF0">
        <w:rPr>
          <w:rFonts w:asciiTheme="majorBidi" w:hAnsiTheme="majorBidi" w:cstheme="majorBidi"/>
          <w:szCs w:val="24"/>
        </w:rPr>
        <w:t>, each person adds a particular ability — one adept in data analysis, another in composing narratives, and still another excellent in graphic depiction</w:t>
      </w:r>
      <w:sdt>
        <w:sdtPr>
          <w:rPr>
            <w:rFonts w:asciiTheme="majorBidi" w:hAnsiTheme="majorBidi" w:cstheme="majorBidi"/>
            <w:szCs w:val="24"/>
          </w:rPr>
          <w:id w:val="251317164"/>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cintamulya2019analysis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(Cintamulya,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xml:space="preserve">. </w:t>
      </w:r>
      <w:r w:rsidR="00160437">
        <w:rPr>
          <w:rFonts w:asciiTheme="majorBidi" w:hAnsiTheme="majorBidi" w:cstheme="majorBidi"/>
          <w:szCs w:val="24"/>
        </w:rPr>
        <w:t>By</w:t>
      </w:r>
      <w:r w:rsidRPr="00CB1EF0">
        <w:rPr>
          <w:rFonts w:asciiTheme="majorBidi" w:hAnsiTheme="majorBidi" w:cstheme="majorBidi"/>
          <w:szCs w:val="24"/>
        </w:rPr>
        <w:t xml:space="preserve"> exploiting their different talents, they allocate responsibilities adeptly, optimize time allocation prudently, and merge their efforts to develop an all-encompassing study report. The continual communication and harmonious group </w:t>
      </w:r>
      <w:r w:rsidR="00160437">
        <w:rPr>
          <w:rFonts w:asciiTheme="majorBidi" w:hAnsiTheme="majorBidi" w:cstheme="majorBidi"/>
          <w:szCs w:val="24"/>
        </w:rPr>
        <w:t>labour</w:t>
      </w:r>
      <w:r w:rsidRPr="00CB1EF0">
        <w:rPr>
          <w:rFonts w:asciiTheme="majorBidi" w:hAnsiTheme="majorBidi" w:cstheme="majorBidi"/>
          <w:szCs w:val="24"/>
        </w:rPr>
        <w:t xml:space="preserve"> culminate in a final output that embodies the synergy borne of cooperation</w:t>
      </w:r>
      <w:sdt>
        <w:sdtPr>
          <w:rPr>
            <w:rFonts w:asciiTheme="majorBidi" w:hAnsiTheme="majorBidi" w:cstheme="majorBidi"/>
            <w:szCs w:val="24"/>
          </w:rPr>
          <w:id w:val="1996456250"/>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asakereh2018reflective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(Asakereh &amp; Yousofi,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6837FB1F" w14:textId="3FD317AB" w:rsidR="004A056F" w:rsidRPr="00CB1EF0" w:rsidRDefault="004A056F" w:rsidP="00CB1EF0">
      <w:pPr>
        <w:rPr>
          <w:rFonts w:asciiTheme="majorBidi" w:hAnsiTheme="majorBidi" w:cstheme="majorBidi"/>
          <w:szCs w:val="24"/>
        </w:rPr>
      </w:pPr>
      <w:r w:rsidRPr="00CB1EF0">
        <w:rPr>
          <w:rFonts w:asciiTheme="majorBidi" w:hAnsiTheme="majorBidi" w:cstheme="majorBidi"/>
          <w:szCs w:val="24"/>
        </w:rPr>
        <w:t>To conclude, the import of teamwork transcends beyond academic utility, resonating as a stimulant for holistic development. Its role is important in handling collaborative undertakings, supporting varied opinions, and cultivating indispensable interpersonal skills</w:t>
      </w:r>
      <w:sdt>
        <w:sdtPr>
          <w:rPr>
            <w:rFonts w:asciiTheme="majorBidi" w:hAnsiTheme="majorBidi" w:cstheme="majorBidi"/>
            <w:szCs w:val="24"/>
          </w:rPr>
          <w:id w:val="951123380"/>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griggs2018reflective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(Griggs, et al.,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The milieu of creativity that flourishes within collaborative environments instigates unique ideas and improves the educational experience. Additionally, real-world illustrations like the study project underline the actual benefits of teamwork. As students join in collaborative initiatives, they not only augment their academic trajectory but also develop a sturdy foundation for traversing a linked and multidimensional world</w:t>
      </w:r>
      <w:sdt>
        <w:sdtPr>
          <w:rPr>
            <w:rFonts w:asciiTheme="majorBidi" w:hAnsiTheme="majorBidi" w:cstheme="majorBidi"/>
            <w:szCs w:val="24"/>
          </w:rPr>
          <w:id w:val="-1883317154"/>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griggs2018reflective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(Griggs, et al.,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7E268C8F" w14:textId="27EB43DC" w:rsidR="009C0E00" w:rsidRPr="00CB1EF0" w:rsidRDefault="009C0E00" w:rsidP="00CB1EF0">
      <w:pPr>
        <w:spacing w:before="120"/>
        <w:rPr>
          <w:rFonts w:asciiTheme="majorBidi" w:hAnsiTheme="majorBidi" w:cstheme="majorBidi"/>
          <w:szCs w:val="24"/>
        </w:rPr>
      </w:pPr>
      <w:r w:rsidRPr="00CB1EF0">
        <w:rPr>
          <w:rFonts w:asciiTheme="majorBidi" w:hAnsiTheme="majorBidi" w:cstheme="majorBidi"/>
          <w:szCs w:val="24"/>
        </w:rPr>
        <w:br w:type="page"/>
      </w:r>
    </w:p>
    <w:p w14:paraId="557F84AD" w14:textId="028B32B6" w:rsidR="009C0E00" w:rsidRPr="00CB1EF0" w:rsidRDefault="009C0E00" w:rsidP="00CB1EF0">
      <w:pPr>
        <w:pStyle w:val="Heading1"/>
      </w:pPr>
      <w:bookmarkStart w:id="2" w:name="_Toc143808626"/>
      <w:r w:rsidRPr="00CB1EF0">
        <w:t>Benefits of Time Management in Academic Success</w:t>
      </w:r>
      <w:bookmarkEnd w:id="2"/>
    </w:p>
    <w:p w14:paraId="11227D5D" w14:textId="2E3F2EE3"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 xml:space="preserve">Time management serves as a keystone in the domain of academic success, delivering a disciplined method that pushes effective learning, heightened productivity, and personal development. Beyond its surface role in scheduling, time management helps students to utilize their available time resourcefully, resulting </w:t>
      </w:r>
      <w:r w:rsidR="00160437">
        <w:rPr>
          <w:rFonts w:asciiTheme="majorBidi" w:hAnsiTheme="majorBidi" w:cstheme="majorBidi"/>
          <w:szCs w:val="24"/>
        </w:rPr>
        <w:t>in</w:t>
      </w:r>
      <w:r w:rsidRPr="00CB1EF0">
        <w:rPr>
          <w:rFonts w:asciiTheme="majorBidi" w:hAnsiTheme="majorBidi" w:cstheme="majorBidi"/>
          <w:szCs w:val="24"/>
        </w:rPr>
        <w:t xml:space="preserve"> reduced stress levels and increased overall performance</w:t>
      </w:r>
      <w:sdt>
        <w:sdtPr>
          <w:rPr>
            <w:rFonts w:asciiTheme="majorBidi" w:hAnsiTheme="majorBidi" w:cstheme="majorBidi"/>
            <w:szCs w:val="24"/>
          </w:rPr>
          <w:id w:val="1637065417"/>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rakhmawati2021examining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(Rakhmawati &amp; Mustadi, 2021)</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Within the context of educational accomplishment, the multiple advantages of effective time management come to the fore.</w:t>
      </w:r>
    </w:p>
    <w:p w14:paraId="19AD2E79" w14:textId="44F1F21C" w:rsidR="009C0E00" w:rsidRPr="00CB1EF0" w:rsidRDefault="009C0E00" w:rsidP="00CB1EF0">
      <w:pPr>
        <w:rPr>
          <w:rFonts w:asciiTheme="majorBidi" w:hAnsiTheme="majorBidi" w:cstheme="majorBidi"/>
          <w:b/>
          <w:bCs/>
          <w:szCs w:val="24"/>
        </w:rPr>
      </w:pPr>
      <w:r w:rsidRPr="00CB1EF0">
        <w:rPr>
          <w:rFonts w:asciiTheme="majorBidi" w:hAnsiTheme="majorBidi" w:cstheme="majorBidi"/>
          <w:b/>
          <w:bCs/>
          <w:szCs w:val="24"/>
        </w:rPr>
        <w:t>Stress Reduction and Elevated Productivity</w:t>
      </w:r>
    </w:p>
    <w:p w14:paraId="360738C9" w14:textId="4BFBDA65"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A fundamental advantage of time management resides in its power to decrease stress. The academic journey is packed with varied responsibilities</w:t>
      </w:r>
      <w:r w:rsidR="00C21907" w:rsidRPr="00CB1EF0">
        <w:rPr>
          <w:rFonts w:asciiTheme="majorBidi" w:hAnsiTheme="majorBidi" w:cstheme="majorBidi"/>
          <w:szCs w:val="24"/>
        </w:rPr>
        <w:t>,</w:t>
      </w:r>
      <w:r w:rsidRPr="00CB1EF0">
        <w:rPr>
          <w:rFonts w:asciiTheme="majorBidi" w:hAnsiTheme="majorBidi" w:cstheme="majorBidi"/>
          <w:szCs w:val="24"/>
        </w:rPr>
        <w:t xml:space="preserve"> assignments, tests, </w:t>
      </w:r>
      <w:r w:rsidR="00160437">
        <w:rPr>
          <w:rFonts w:asciiTheme="majorBidi" w:hAnsiTheme="majorBidi" w:cstheme="majorBidi"/>
          <w:szCs w:val="24"/>
        </w:rPr>
        <w:t xml:space="preserve">and </w:t>
      </w:r>
      <w:r w:rsidRPr="00CB1EF0">
        <w:rPr>
          <w:rFonts w:asciiTheme="majorBidi" w:hAnsiTheme="majorBidi" w:cstheme="majorBidi"/>
          <w:szCs w:val="24"/>
        </w:rPr>
        <w:t>extracurricular activities</w:t>
      </w:r>
      <w:r w:rsidR="00C21907" w:rsidRPr="00CB1EF0">
        <w:rPr>
          <w:rFonts w:asciiTheme="majorBidi" w:hAnsiTheme="majorBidi" w:cstheme="majorBidi"/>
          <w:szCs w:val="24"/>
        </w:rPr>
        <w:t>,</w:t>
      </w:r>
      <w:r w:rsidRPr="00CB1EF0">
        <w:rPr>
          <w:rFonts w:asciiTheme="majorBidi" w:hAnsiTheme="majorBidi" w:cstheme="majorBidi"/>
          <w:szCs w:val="24"/>
        </w:rPr>
        <w:t xml:space="preserve"> that can </w:t>
      </w:r>
      <w:r w:rsidR="00160437">
        <w:rPr>
          <w:rFonts w:asciiTheme="majorBidi" w:hAnsiTheme="majorBidi" w:cstheme="majorBidi"/>
          <w:szCs w:val="24"/>
        </w:rPr>
        <w:t>quickly</w:t>
      </w:r>
      <w:r w:rsidRPr="00CB1EF0">
        <w:rPr>
          <w:rFonts w:asciiTheme="majorBidi" w:hAnsiTheme="majorBidi" w:cstheme="majorBidi"/>
          <w:szCs w:val="24"/>
        </w:rPr>
        <w:t xml:space="preserve"> become burdensome without a planned approach</w:t>
      </w:r>
      <w:sdt>
        <w:sdtPr>
          <w:rPr>
            <w:rFonts w:asciiTheme="majorBidi" w:hAnsiTheme="majorBidi" w:cstheme="majorBidi"/>
            <w:szCs w:val="24"/>
          </w:rPr>
          <w:id w:val="1414287387"/>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risku2018situated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(Risku,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xml:space="preserve">. Implementing time management concepts leads </w:t>
      </w:r>
      <w:r w:rsidR="00160437">
        <w:rPr>
          <w:rFonts w:asciiTheme="majorBidi" w:hAnsiTheme="majorBidi" w:cstheme="majorBidi"/>
          <w:szCs w:val="24"/>
        </w:rPr>
        <w:t>to</w:t>
      </w:r>
      <w:r w:rsidRPr="00CB1EF0">
        <w:rPr>
          <w:rFonts w:asciiTheme="majorBidi" w:hAnsiTheme="majorBidi" w:cstheme="majorBidi"/>
          <w:szCs w:val="24"/>
        </w:rPr>
        <w:t xml:space="preserve"> an equitable distribution of tasks, ensuring that deadlines are not focused in a frenzy. This fair distribution minimizes the weight of imminent due dates and curtails the worry they can elicit. Reduced stress levels offer pupils the mental space to concentrate on studying and internalizing the subject matter, boosting their total productivity</w:t>
      </w:r>
      <w:sdt>
        <w:sdtPr>
          <w:rPr>
            <w:rFonts w:asciiTheme="majorBidi" w:hAnsiTheme="majorBidi" w:cstheme="majorBidi"/>
            <w:szCs w:val="24"/>
          </w:rPr>
          <w:id w:val="-1324429868"/>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slade2019impact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(Slade, et al.,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31DBE4EE" w14:textId="10E1F544" w:rsidR="009C0E00" w:rsidRPr="00CB1EF0" w:rsidRDefault="009C0E00" w:rsidP="00CB1EF0">
      <w:pPr>
        <w:rPr>
          <w:rFonts w:asciiTheme="majorBidi" w:hAnsiTheme="majorBidi" w:cstheme="majorBidi"/>
          <w:b/>
          <w:bCs/>
          <w:szCs w:val="24"/>
        </w:rPr>
      </w:pPr>
      <w:r w:rsidRPr="00CB1EF0">
        <w:rPr>
          <w:rFonts w:asciiTheme="majorBidi" w:hAnsiTheme="majorBidi" w:cstheme="majorBidi"/>
          <w:b/>
          <w:bCs/>
          <w:szCs w:val="24"/>
        </w:rPr>
        <w:t>Focused Learning and Enhanced Information Retention</w:t>
      </w:r>
    </w:p>
    <w:p w14:paraId="356D838E" w14:textId="5BE517BF"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 xml:space="preserve">Effective time management helps substantively to </w:t>
      </w:r>
      <w:r w:rsidR="00160437">
        <w:rPr>
          <w:rFonts w:asciiTheme="majorBidi" w:hAnsiTheme="majorBidi" w:cstheme="majorBidi"/>
          <w:szCs w:val="24"/>
        </w:rPr>
        <w:t>focus</w:t>
      </w:r>
      <w:r w:rsidRPr="00CB1EF0">
        <w:rPr>
          <w:rFonts w:asciiTheme="majorBidi" w:hAnsiTheme="majorBidi" w:cstheme="majorBidi"/>
          <w:szCs w:val="24"/>
        </w:rPr>
        <w:t xml:space="preserve"> learning. By allocating specific periods to studying, students cultivate a habit of engaged, uninterrupted learning</w:t>
      </w:r>
      <w:sdt>
        <w:sdtPr>
          <w:rPr>
            <w:rFonts w:asciiTheme="majorBidi" w:hAnsiTheme="majorBidi" w:cstheme="majorBidi"/>
            <w:szCs w:val="24"/>
          </w:rPr>
          <w:id w:val="-602495559"/>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veine2020reflection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(Veine, et al., 2020)</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This concentrated approach not only promotes improved comprehension but also aids in the retention of knowledge. When study sessions are controlled and disciplined, the mind is better suited to process and retain knowledge. Furthermore, frequent and rigorous study sessions help the systematic review of content, a vital part of academic accomplishment</w:t>
      </w:r>
      <w:sdt>
        <w:sdtPr>
          <w:rPr>
            <w:rFonts w:asciiTheme="majorBidi" w:hAnsiTheme="majorBidi" w:cstheme="majorBidi"/>
            <w:szCs w:val="24"/>
          </w:rPr>
          <w:id w:val="-484856650"/>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stevens2023journal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(Stevens &amp; Cooper, 2023)</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0D2F7B16" w14:textId="478AE40E" w:rsidR="009C0E00" w:rsidRPr="00CB1EF0" w:rsidRDefault="009C0E00" w:rsidP="00CB1EF0">
      <w:pPr>
        <w:rPr>
          <w:rFonts w:asciiTheme="majorBidi" w:hAnsiTheme="majorBidi" w:cstheme="majorBidi"/>
          <w:b/>
          <w:bCs/>
          <w:szCs w:val="24"/>
        </w:rPr>
      </w:pPr>
      <w:r w:rsidRPr="00CB1EF0">
        <w:rPr>
          <w:rFonts w:asciiTheme="majorBidi" w:hAnsiTheme="majorBidi" w:cstheme="majorBidi"/>
          <w:b/>
          <w:bCs/>
          <w:szCs w:val="24"/>
        </w:rPr>
        <w:t>Realistic Goals and Attainable Deadlines</w:t>
      </w:r>
    </w:p>
    <w:p w14:paraId="646283C5" w14:textId="34A05685"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The discipline of defining sensible goals and deadlines is a crucial outcome of time management. This technique recommends splitting significant jobs into digestible chunks, rendering the entire workload less overwhelming</w:t>
      </w:r>
      <w:sdt>
        <w:sdtPr>
          <w:rPr>
            <w:rFonts w:asciiTheme="majorBidi" w:hAnsiTheme="majorBidi" w:cstheme="majorBidi"/>
            <w:szCs w:val="24"/>
          </w:rPr>
          <w:id w:val="-1714335413"/>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akpur2020critical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(Akpur, 2020)</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By creating reasonable targets, students enjoy a sense of success with each completed step, thereby increasing their incentive to persist. These milestones are crucial in preserving a sense of progress, particularly during protracted tasks or exhaustive exam preparations</w:t>
      </w:r>
      <w:sdt>
        <w:sdtPr>
          <w:rPr>
            <w:rFonts w:asciiTheme="majorBidi" w:hAnsiTheme="majorBidi" w:cstheme="majorBidi"/>
            <w:szCs w:val="24"/>
          </w:rPr>
          <w:id w:val="2046172089"/>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asakereh2018reflective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(Asakereh &amp; Yousofi,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474A76C6" w14:textId="365BC953" w:rsidR="009C0E00" w:rsidRPr="00CB1EF0" w:rsidRDefault="009C0E00" w:rsidP="00CB1EF0">
      <w:pPr>
        <w:rPr>
          <w:rFonts w:asciiTheme="majorBidi" w:hAnsiTheme="majorBidi" w:cstheme="majorBidi"/>
          <w:b/>
          <w:bCs/>
          <w:szCs w:val="24"/>
        </w:rPr>
      </w:pPr>
      <w:r w:rsidRPr="00CB1EF0">
        <w:rPr>
          <w:rFonts w:asciiTheme="majorBidi" w:hAnsiTheme="majorBidi" w:cstheme="majorBidi"/>
          <w:b/>
          <w:bCs/>
          <w:szCs w:val="24"/>
        </w:rPr>
        <w:t>Utilization of Time-Blocking Techniques</w:t>
      </w:r>
    </w:p>
    <w:p w14:paraId="110D7E9A" w14:textId="61AEBF00"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 xml:space="preserve">Time management approaches, such as the famed Pomodoro Technique, emerge as vital assets for academic performance. These approaches entail segmenting study sessions into focused intervals, often lasting around 25-30 minutes, alternating with brief breaks. Such a strategy capitalizes on the brain's capacity to concentrate intently for </w:t>
      </w:r>
      <w:r w:rsidR="00160437">
        <w:rPr>
          <w:rFonts w:asciiTheme="majorBidi" w:hAnsiTheme="majorBidi" w:cstheme="majorBidi"/>
          <w:szCs w:val="24"/>
        </w:rPr>
        <w:t xml:space="preserve">a </w:t>
      </w:r>
      <w:r w:rsidRPr="00CB1EF0">
        <w:rPr>
          <w:rFonts w:asciiTheme="majorBidi" w:hAnsiTheme="majorBidi" w:cstheme="majorBidi"/>
          <w:szCs w:val="24"/>
        </w:rPr>
        <w:t xml:space="preserve">limited </w:t>
      </w:r>
      <w:r w:rsidR="00160437">
        <w:rPr>
          <w:rFonts w:asciiTheme="majorBidi" w:hAnsiTheme="majorBidi" w:cstheme="majorBidi"/>
          <w:szCs w:val="24"/>
        </w:rPr>
        <w:t>time</w:t>
      </w:r>
      <w:sdt>
        <w:sdtPr>
          <w:rPr>
            <w:rFonts w:asciiTheme="majorBidi" w:hAnsiTheme="majorBidi" w:cstheme="majorBidi"/>
            <w:szCs w:val="24"/>
          </w:rPr>
          <w:id w:val="2141757727"/>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risku2018situated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(Risku,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This strategy not only averts burnout but also sustains high levels of attentiveness during the study session</w:t>
      </w:r>
      <w:sdt>
        <w:sdtPr>
          <w:rPr>
            <w:rFonts w:asciiTheme="majorBidi" w:hAnsiTheme="majorBidi" w:cstheme="majorBidi"/>
            <w:szCs w:val="24"/>
          </w:rPr>
          <w:id w:val="1905336791"/>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erdogan2019effect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(Erdogan, 2019)</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079716C8" w14:textId="646DAE1D" w:rsidR="009C0E00" w:rsidRPr="00CB1EF0" w:rsidRDefault="009C0E00" w:rsidP="00CB1EF0">
      <w:pPr>
        <w:rPr>
          <w:rFonts w:asciiTheme="majorBidi" w:hAnsiTheme="majorBidi" w:cstheme="majorBidi"/>
          <w:szCs w:val="24"/>
        </w:rPr>
      </w:pPr>
      <w:r w:rsidRPr="00CB1EF0">
        <w:rPr>
          <w:rFonts w:asciiTheme="majorBidi" w:hAnsiTheme="majorBidi" w:cstheme="majorBidi"/>
          <w:szCs w:val="24"/>
        </w:rPr>
        <w:t>In summation, the advantages of time management are important in establishing academic triumph. Beyond the perceptible benefits of stress relief and improved productivity, efficient time management encourages focused learning and the assimilation of knowledge</w:t>
      </w:r>
      <w:sdt>
        <w:sdtPr>
          <w:rPr>
            <w:rFonts w:asciiTheme="majorBidi" w:hAnsiTheme="majorBidi" w:cstheme="majorBidi"/>
            <w:szCs w:val="24"/>
          </w:rPr>
          <w:id w:val="312692353"/>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risku2018situated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(Risku,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 xml:space="preserve">. It supplies students with the skill to define pragmatic targets and timelines, fragmenting difficult activities into more manageable components. Techniques like the Pomodoro Technique give additional avenues for keeping consistent concentration. By internalizing these concepts, students unlock their entire potential, not simply within their academic </w:t>
      </w:r>
      <w:r w:rsidR="00160437">
        <w:rPr>
          <w:rFonts w:asciiTheme="majorBidi" w:hAnsiTheme="majorBidi" w:cstheme="majorBidi"/>
          <w:szCs w:val="24"/>
        </w:rPr>
        <w:t>endeavours</w:t>
      </w:r>
      <w:r w:rsidRPr="00CB1EF0">
        <w:rPr>
          <w:rFonts w:asciiTheme="majorBidi" w:hAnsiTheme="majorBidi" w:cstheme="majorBidi"/>
          <w:szCs w:val="24"/>
        </w:rPr>
        <w:t xml:space="preserve"> but also in the cultivation of key life skills</w:t>
      </w:r>
      <w:sdt>
        <w:sdtPr>
          <w:rPr>
            <w:rFonts w:asciiTheme="majorBidi" w:hAnsiTheme="majorBidi" w:cstheme="majorBidi"/>
            <w:szCs w:val="24"/>
          </w:rPr>
          <w:id w:val="-742337331"/>
          <w:citation/>
        </w:sdtPr>
        <w:sdtEndPr/>
        <w:sdtContent>
          <w:r w:rsidR="00C21907" w:rsidRPr="00CB1EF0">
            <w:rPr>
              <w:rFonts w:asciiTheme="majorBidi" w:hAnsiTheme="majorBidi" w:cstheme="majorBidi"/>
              <w:szCs w:val="24"/>
            </w:rPr>
            <w:fldChar w:fldCharType="begin"/>
          </w:r>
          <w:r w:rsidR="00C21907" w:rsidRPr="00CB1EF0">
            <w:rPr>
              <w:rFonts w:asciiTheme="majorBidi" w:hAnsiTheme="majorBidi" w:cstheme="majorBidi"/>
              <w:szCs w:val="24"/>
              <w:lang w:val="en-US"/>
            </w:rPr>
            <w:instrText xml:space="preserve"> CITATION griggs2018reflective \l 1033 </w:instrText>
          </w:r>
          <w:r w:rsidR="00C21907" w:rsidRPr="00CB1EF0">
            <w:rPr>
              <w:rFonts w:asciiTheme="majorBidi" w:hAnsiTheme="majorBidi" w:cstheme="majorBidi"/>
              <w:szCs w:val="24"/>
            </w:rPr>
            <w:fldChar w:fldCharType="separate"/>
          </w:r>
          <w:r w:rsidR="00C21907" w:rsidRPr="00CB1EF0">
            <w:rPr>
              <w:rFonts w:asciiTheme="majorBidi" w:hAnsiTheme="majorBidi" w:cstheme="majorBidi"/>
              <w:noProof/>
              <w:szCs w:val="24"/>
              <w:lang w:val="en-US"/>
            </w:rPr>
            <w:t xml:space="preserve"> (Griggs, et al., 2018)</w:t>
          </w:r>
          <w:r w:rsidR="00C21907" w:rsidRPr="00CB1EF0">
            <w:rPr>
              <w:rFonts w:asciiTheme="majorBidi" w:hAnsiTheme="majorBidi" w:cstheme="majorBidi"/>
              <w:szCs w:val="24"/>
            </w:rPr>
            <w:fldChar w:fldCharType="end"/>
          </w:r>
        </w:sdtContent>
      </w:sdt>
      <w:r w:rsidRPr="00CB1EF0">
        <w:rPr>
          <w:rFonts w:asciiTheme="majorBidi" w:hAnsiTheme="majorBidi" w:cstheme="majorBidi"/>
          <w:szCs w:val="24"/>
        </w:rPr>
        <w:t>.</w:t>
      </w:r>
    </w:p>
    <w:p w14:paraId="30C3900B" w14:textId="588C5286" w:rsidR="00997368" w:rsidRPr="00CB1EF0" w:rsidRDefault="00B22B10" w:rsidP="00CB1EF0">
      <w:pPr>
        <w:spacing w:before="120"/>
        <w:rPr>
          <w:rFonts w:asciiTheme="majorBidi" w:hAnsiTheme="majorBidi" w:cstheme="majorBidi"/>
          <w:szCs w:val="24"/>
        </w:rPr>
      </w:pPr>
      <w:r w:rsidRPr="00CB1EF0">
        <w:rPr>
          <w:rFonts w:asciiTheme="majorBidi" w:hAnsiTheme="majorBidi" w:cstheme="majorBidi"/>
          <w:szCs w:val="24"/>
        </w:rPr>
        <w:br w:type="page"/>
      </w:r>
    </w:p>
    <w:p w14:paraId="39C802DD" w14:textId="77777777" w:rsidR="004A056F" w:rsidRPr="00CB1EF0" w:rsidRDefault="00997368" w:rsidP="00CB1EF0">
      <w:pPr>
        <w:pStyle w:val="Heading1"/>
      </w:pPr>
      <w:bookmarkStart w:id="3" w:name="_Toc143808627"/>
      <w:r w:rsidRPr="00CB1EF0">
        <w:t>Conclusion</w:t>
      </w:r>
      <w:bookmarkEnd w:id="3"/>
    </w:p>
    <w:p w14:paraId="56478DF3" w14:textId="10A55A9A" w:rsidR="00997368" w:rsidRPr="00CB1EF0" w:rsidRDefault="0076343B" w:rsidP="00CB1EF0">
      <w:pPr>
        <w:spacing w:before="120"/>
        <w:rPr>
          <w:rFonts w:asciiTheme="majorBidi" w:hAnsiTheme="majorBidi" w:cstheme="majorBidi"/>
          <w:szCs w:val="24"/>
        </w:rPr>
      </w:pPr>
      <w:r w:rsidRPr="00CB1EF0">
        <w:rPr>
          <w:rFonts w:asciiTheme="majorBidi" w:hAnsiTheme="majorBidi" w:cstheme="majorBidi"/>
          <w:szCs w:val="24"/>
        </w:rPr>
        <w:t xml:space="preserve">In the tapestry of academic </w:t>
      </w:r>
      <w:r w:rsidR="00160437">
        <w:rPr>
          <w:rFonts w:asciiTheme="majorBidi" w:hAnsiTheme="majorBidi" w:cstheme="majorBidi"/>
          <w:szCs w:val="24"/>
        </w:rPr>
        <w:t>endeavours</w:t>
      </w:r>
      <w:r w:rsidRPr="00CB1EF0">
        <w:rPr>
          <w:rFonts w:asciiTheme="majorBidi" w:hAnsiTheme="majorBidi" w:cstheme="majorBidi"/>
          <w:szCs w:val="24"/>
        </w:rPr>
        <w:t xml:space="preserve">, the threads of teamwork and time management are interlaced, providing a fabric that increases learning, nurtures growth, and prepares the path for success. The value of teamwork extends beyond collaboration, stimulating creativity, increasing interpersonal skills, and diversifying perspectives. Concurrently, time management orchestrates a symphony of focused learning, stress reduction, and effective goal </w:t>
      </w:r>
      <w:r w:rsidR="00160437">
        <w:rPr>
          <w:rFonts w:asciiTheme="majorBidi" w:hAnsiTheme="majorBidi" w:cstheme="majorBidi"/>
          <w:szCs w:val="24"/>
        </w:rPr>
        <w:t>fulfilment</w:t>
      </w:r>
      <w:r w:rsidRPr="00CB1EF0">
        <w:rPr>
          <w:rFonts w:asciiTheme="majorBidi" w:hAnsiTheme="majorBidi" w:cstheme="majorBidi"/>
          <w:szCs w:val="24"/>
        </w:rPr>
        <w:t>. As students embrace the idea of working collaboratively and managing their time carefully, they not only enhance their academic achievements but also create abilities that are inherently woven into the fabric of lifelong success. Through the prism of teamwork and time management, children are set to begin on a journey that transcends the classroom, moulding them into resilient, capable, and accomplished individuals.</w:t>
      </w:r>
      <w:r w:rsidR="00997368" w:rsidRPr="00CB1EF0">
        <w:rPr>
          <w:rFonts w:asciiTheme="majorBidi" w:hAnsiTheme="majorBidi" w:cstheme="majorBidi"/>
          <w:szCs w:val="24"/>
        </w:rPr>
        <w:br w:type="page"/>
      </w:r>
    </w:p>
    <w:bookmarkStart w:id="4" w:name="_Toc143808628" w:displacedByCustomXml="next"/>
    <w:sdt>
      <w:sdtPr>
        <w:rPr>
          <w:rFonts w:ascii="Times New Roman" w:eastAsiaTheme="minorHAnsi" w:hAnsi="Times New Roman" w:cstheme="minorBidi"/>
          <w:b w:val="0"/>
          <w:color w:val="auto"/>
          <w:sz w:val="24"/>
          <w:szCs w:val="22"/>
        </w:rPr>
        <w:id w:val="-107357676"/>
        <w:docPartObj>
          <w:docPartGallery w:val="Bibliographies"/>
          <w:docPartUnique/>
        </w:docPartObj>
      </w:sdtPr>
      <w:sdtEndPr>
        <w:rPr>
          <w:szCs w:val="24"/>
        </w:rPr>
      </w:sdtEndPr>
      <w:sdtContent>
        <w:p w14:paraId="0F0760E3" w14:textId="4FE41A2F" w:rsidR="00C21907" w:rsidRPr="00CB1EF0" w:rsidRDefault="00C21907" w:rsidP="00CB1EF0">
          <w:pPr>
            <w:pStyle w:val="Heading1"/>
          </w:pPr>
          <w:r w:rsidRPr="00CB1EF0">
            <w:t>References</w:t>
          </w:r>
          <w:bookmarkEnd w:id="4"/>
        </w:p>
        <w:sdt>
          <w:sdtPr>
            <w:rPr>
              <w:rFonts w:asciiTheme="majorBidi" w:hAnsiTheme="majorBidi" w:cstheme="majorBidi"/>
              <w:szCs w:val="24"/>
            </w:rPr>
            <w:id w:val="-573587230"/>
            <w:bibliography/>
          </w:sdtPr>
          <w:sdtEndPr/>
          <w:sdtContent>
            <w:p w14:paraId="062B3C16"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szCs w:val="24"/>
                </w:rPr>
                <w:fldChar w:fldCharType="begin"/>
              </w:r>
              <w:r w:rsidRPr="00CB1EF0">
                <w:rPr>
                  <w:rFonts w:asciiTheme="majorBidi" w:hAnsiTheme="majorBidi" w:cstheme="majorBidi"/>
                  <w:szCs w:val="24"/>
                </w:rPr>
                <w:instrText xml:space="preserve"> BIBLIOGRAPHY </w:instrText>
              </w:r>
              <w:r w:rsidRPr="00CB1EF0">
                <w:rPr>
                  <w:rFonts w:asciiTheme="majorBidi" w:hAnsiTheme="majorBidi" w:cstheme="majorBidi"/>
                  <w:szCs w:val="24"/>
                </w:rPr>
                <w:fldChar w:fldCharType="separate"/>
              </w:r>
              <w:r w:rsidRPr="00CB1EF0">
                <w:rPr>
                  <w:rFonts w:asciiTheme="majorBidi" w:hAnsiTheme="majorBidi" w:cstheme="majorBidi"/>
                  <w:noProof/>
                  <w:szCs w:val="24"/>
                </w:rPr>
                <w:t xml:space="preserve">Akpur, U., 2020. Critical, reflective, creative thinking and their reflections on academic achievement. </w:t>
              </w:r>
              <w:r w:rsidRPr="00CB1EF0">
                <w:rPr>
                  <w:rFonts w:asciiTheme="majorBidi" w:hAnsiTheme="majorBidi" w:cstheme="majorBidi"/>
                  <w:i/>
                  <w:iCs/>
                  <w:noProof/>
                  <w:szCs w:val="24"/>
                </w:rPr>
                <w:t xml:space="preserve">Thinking Skills and Creativity, </w:t>
              </w:r>
              <w:r w:rsidRPr="00CB1EF0">
                <w:rPr>
                  <w:rFonts w:asciiTheme="majorBidi" w:hAnsiTheme="majorBidi" w:cstheme="majorBidi"/>
                  <w:noProof/>
                  <w:szCs w:val="24"/>
                </w:rPr>
                <w:t>Volume 37, p. 100683.</w:t>
              </w:r>
            </w:p>
            <w:p w14:paraId="43ACC2C7" w14:textId="15448F5F"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Asakereh, A. &amp; Yousofi, N., 2018. Reflective thinking, self-efficacy, self-esteem and academic achievement of Iranian EFL students in higher education: Is there a relationship</w:t>
              </w:r>
              <w:r w:rsidR="00160437">
                <w:rPr>
                  <w:rFonts w:asciiTheme="majorBidi" w:hAnsiTheme="majorBidi" w:cstheme="majorBidi"/>
                  <w:noProof/>
                  <w:szCs w:val="24"/>
                </w:rPr>
                <w:t>?</w:t>
              </w:r>
              <w:r w:rsidRPr="00CB1EF0">
                <w:rPr>
                  <w:rFonts w:asciiTheme="majorBidi" w:hAnsiTheme="majorBidi" w:cstheme="majorBidi"/>
                  <w:noProof/>
                  <w:szCs w:val="24"/>
                </w:rPr>
                <w:t xml:space="preserve"> </w:t>
              </w:r>
              <w:r w:rsidRPr="00CB1EF0">
                <w:rPr>
                  <w:rFonts w:asciiTheme="majorBidi" w:hAnsiTheme="majorBidi" w:cstheme="majorBidi"/>
                  <w:i/>
                  <w:iCs/>
                  <w:noProof/>
                  <w:szCs w:val="24"/>
                </w:rPr>
                <w:t xml:space="preserve">International Journal of Educational Psychology, </w:t>
              </w:r>
              <w:r w:rsidRPr="00CB1EF0">
                <w:rPr>
                  <w:rFonts w:asciiTheme="majorBidi" w:hAnsiTheme="majorBidi" w:cstheme="majorBidi"/>
                  <w:noProof/>
                  <w:szCs w:val="24"/>
                </w:rPr>
                <w:t>Volume 7, p. 68–89.</w:t>
              </w:r>
            </w:p>
            <w:p w14:paraId="55B91B44"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Cintamulya, I., 2019. </w:t>
              </w:r>
              <w:r w:rsidRPr="00CB1EF0">
                <w:rPr>
                  <w:rFonts w:asciiTheme="majorBidi" w:hAnsiTheme="majorBidi" w:cstheme="majorBidi"/>
                  <w:i/>
                  <w:iCs/>
                  <w:noProof/>
                  <w:szCs w:val="24"/>
                </w:rPr>
                <w:t xml:space="preserve">Analysis of students’ critical thinking skills with reflective and impulsive cognitive styles on conservation and environmental knowledge learning.. </w:t>
              </w:r>
              <w:r w:rsidRPr="00CB1EF0">
                <w:rPr>
                  <w:rFonts w:asciiTheme="majorBidi" w:hAnsiTheme="majorBidi" w:cstheme="majorBidi"/>
                  <w:noProof/>
                  <w:szCs w:val="24"/>
                </w:rPr>
                <w:t>s.l., s.n.</w:t>
              </w:r>
            </w:p>
            <w:p w14:paraId="3957EAC7" w14:textId="3DA6A71D"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Erdogan, F., 2019. Effect of cooperative learning supported by reflective thinking activities on students’ critical thinking skills. </w:t>
              </w:r>
              <w:r w:rsidRPr="00CB1EF0">
                <w:rPr>
                  <w:rFonts w:asciiTheme="majorBidi" w:hAnsiTheme="majorBidi" w:cstheme="majorBidi"/>
                  <w:i/>
                  <w:iCs/>
                  <w:noProof/>
                  <w:szCs w:val="24"/>
                </w:rPr>
                <w:t xml:space="preserve">Eurasian </w:t>
              </w:r>
              <w:r w:rsidR="00160437">
                <w:rPr>
                  <w:rFonts w:asciiTheme="majorBidi" w:hAnsiTheme="majorBidi" w:cstheme="majorBidi"/>
                  <w:i/>
                  <w:iCs/>
                  <w:noProof/>
                  <w:szCs w:val="24"/>
                </w:rPr>
                <w:t>Journal</w:t>
              </w:r>
              <w:r w:rsidRPr="00CB1EF0">
                <w:rPr>
                  <w:rFonts w:asciiTheme="majorBidi" w:hAnsiTheme="majorBidi" w:cstheme="majorBidi"/>
                  <w:i/>
                  <w:iCs/>
                  <w:noProof/>
                  <w:szCs w:val="24"/>
                </w:rPr>
                <w:t xml:space="preserve"> of </w:t>
              </w:r>
              <w:r w:rsidR="00160437">
                <w:rPr>
                  <w:rFonts w:asciiTheme="majorBidi" w:hAnsiTheme="majorBidi" w:cstheme="majorBidi"/>
                  <w:i/>
                  <w:iCs/>
                  <w:noProof/>
                  <w:szCs w:val="24"/>
                </w:rPr>
                <w:t>Educational Research</w:t>
              </w:r>
              <w:r w:rsidRPr="00CB1EF0">
                <w:rPr>
                  <w:rFonts w:asciiTheme="majorBidi" w:hAnsiTheme="majorBidi" w:cstheme="majorBidi"/>
                  <w:i/>
                  <w:iCs/>
                  <w:noProof/>
                  <w:szCs w:val="24"/>
                </w:rPr>
                <w:t xml:space="preserve">, </w:t>
              </w:r>
              <w:r w:rsidRPr="00CB1EF0">
                <w:rPr>
                  <w:rFonts w:asciiTheme="majorBidi" w:hAnsiTheme="majorBidi" w:cstheme="majorBidi"/>
                  <w:noProof/>
                  <w:szCs w:val="24"/>
                </w:rPr>
                <w:t>Volume 19, p. 89–112.</w:t>
              </w:r>
            </w:p>
            <w:p w14:paraId="7CD69D6B"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Griggs, V., Holden, R., Lawless, A. &amp; Rae, J., 2018. From reflective learning to reflective practice: assessing transfer. </w:t>
              </w:r>
              <w:r w:rsidRPr="00CB1EF0">
                <w:rPr>
                  <w:rFonts w:asciiTheme="majorBidi" w:hAnsiTheme="majorBidi" w:cstheme="majorBidi"/>
                  <w:i/>
                  <w:iCs/>
                  <w:noProof/>
                  <w:szCs w:val="24"/>
                </w:rPr>
                <w:t xml:space="preserve">Studies in Higher Education, </w:t>
              </w:r>
              <w:r w:rsidRPr="00CB1EF0">
                <w:rPr>
                  <w:rFonts w:asciiTheme="majorBidi" w:hAnsiTheme="majorBidi" w:cstheme="majorBidi"/>
                  <w:noProof/>
                  <w:szCs w:val="24"/>
                </w:rPr>
                <w:t>Volume 43, p. 1172–1183.</w:t>
              </w:r>
            </w:p>
            <w:p w14:paraId="50621CDD"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Rakhmawati, Y. &amp; Mustadi, A., 2021. Examining the necessity of reflective module: Literacy numeracy skill of students elementary school. </w:t>
              </w:r>
              <w:r w:rsidRPr="00CB1EF0">
                <w:rPr>
                  <w:rFonts w:asciiTheme="majorBidi" w:hAnsiTheme="majorBidi" w:cstheme="majorBidi"/>
                  <w:i/>
                  <w:iCs/>
                  <w:noProof/>
                  <w:szCs w:val="24"/>
                </w:rPr>
                <w:t xml:space="preserve">Al-Ishlah: Jurnal Pendidikan, </w:t>
              </w:r>
              <w:r w:rsidRPr="00CB1EF0">
                <w:rPr>
                  <w:rFonts w:asciiTheme="majorBidi" w:hAnsiTheme="majorBidi" w:cstheme="majorBidi"/>
                  <w:noProof/>
                  <w:szCs w:val="24"/>
                </w:rPr>
                <w:t>Volume 13, p. 597–609.</w:t>
              </w:r>
            </w:p>
            <w:p w14:paraId="5EFA2206"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Risku, H., 2018. Situated learning in translation research training: academic research as a reflection of practice. In: </w:t>
              </w:r>
              <w:r w:rsidRPr="00CB1EF0">
                <w:rPr>
                  <w:rFonts w:asciiTheme="majorBidi" w:hAnsiTheme="majorBidi" w:cstheme="majorBidi"/>
                  <w:i/>
                  <w:iCs/>
                  <w:noProof/>
                  <w:szCs w:val="24"/>
                </w:rPr>
                <w:t xml:space="preserve">Situated Learning in Translator and Interpreter Training. </w:t>
              </w:r>
              <w:r w:rsidRPr="00CB1EF0">
                <w:rPr>
                  <w:rFonts w:asciiTheme="majorBidi" w:hAnsiTheme="majorBidi" w:cstheme="majorBidi"/>
                  <w:noProof/>
                  <w:szCs w:val="24"/>
                </w:rPr>
                <w:t>s.l.:Routledge, p. 12–28.</w:t>
              </w:r>
            </w:p>
            <w:p w14:paraId="3CF834EB" w14:textId="44A10A5D"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Slade, M. L., Burnham, T. J., Catalana, S. M. &amp; Waters, T., 2019. The Impact of Reflective Practice on Teacher Candidates' Learning</w:t>
              </w:r>
              <w:r w:rsidR="00160437">
                <w:rPr>
                  <w:rFonts w:asciiTheme="majorBidi" w:hAnsiTheme="majorBidi" w:cstheme="majorBidi"/>
                  <w:noProof/>
                  <w:szCs w:val="24"/>
                </w:rPr>
                <w:t>.</w:t>
              </w:r>
              <w:r w:rsidRPr="00CB1EF0">
                <w:rPr>
                  <w:rFonts w:asciiTheme="majorBidi" w:hAnsiTheme="majorBidi" w:cstheme="majorBidi"/>
                  <w:noProof/>
                  <w:szCs w:val="24"/>
                </w:rPr>
                <w:t xml:space="preserve"> </w:t>
              </w:r>
              <w:r w:rsidRPr="00CB1EF0">
                <w:rPr>
                  <w:rFonts w:asciiTheme="majorBidi" w:hAnsiTheme="majorBidi" w:cstheme="majorBidi"/>
                  <w:i/>
                  <w:iCs/>
                  <w:noProof/>
                  <w:szCs w:val="24"/>
                </w:rPr>
                <w:t xml:space="preserve">International Journal for the Scholarship of Teaching and Learning, </w:t>
              </w:r>
              <w:r w:rsidRPr="00CB1EF0">
                <w:rPr>
                  <w:rFonts w:asciiTheme="majorBidi" w:hAnsiTheme="majorBidi" w:cstheme="majorBidi"/>
                  <w:noProof/>
                  <w:szCs w:val="24"/>
                </w:rPr>
                <w:t>Volume 13, p. 15.</w:t>
              </w:r>
            </w:p>
            <w:p w14:paraId="1912F510" w14:textId="77777777"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Stevens, D. D. &amp; Cooper, J. E., 2023. </w:t>
              </w:r>
              <w:r w:rsidRPr="00CB1EF0">
                <w:rPr>
                  <w:rFonts w:asciiTheme="majorBidi" w:hAnsiTheme="majorBidi" w:cstheme="majorBidi"/>
                  <w:i/>
                  <w:iCs/>
                  <w:noProof/>
                  <w:szCs w:val="24"/>
                </w:rPr>
                <w:t xml:space="preserve">Journal keeping: How to use reflective writing for learning, teaching, professional insight and positive change. </w:t>
              </w:r>
              <w:r w:rsidRPr="00CB1EF0">
                <w:rPr>
                  <w:rFonts w:asciiTheme="majorBidi" w:hAnsiTheme="majorBidi" w:cstheme="majorBidi"/>
                  <w:noProof/>
                  <w:szCs w:val="24"/>
                </w:rPr>
                <w:t>s.l.:Taylor &amp; Francis.</w:t>
              </w:r>
            </w:p>
            <w:p w14:paraId="07502A8D" w14:textId="2BD33BED" w:rsidR="00C21907" w:rsidRPr="00CB1EF0" w:rsidRDefault="00C21907" w:rsidP="00CB1EF0">
              <w:pPr>
                <w:pStyle w:val="Bibliography"/>
                <w:rPr>
                  <w:rFonts w:asciiTheme="majorBidi" w:hAnsiTheme="majorBidi" w:cstheme="majorBidi"/>
                  <w:noProof/>
                  <w:szCs w:val="24"/>
                </w:rPr>
              </w:pPr>
              <w:r w:rsidRPr="00CB1EF0">
                <w:rPr>
                  <w:rFonts w:asciiTheme="majorBidi" w:hAnsiTheme="majorBidi" w:cstheme="majorBidi"/>
                  <w:noProof/>
                  <w:szCs w:val="24"/>
                </w:rPr>
                <w:t xml:space="preserve">Veine, S. et al., 2020. Reflection as a core student learning activity in higher </w:t>
              </w:r>
              <w:r w:rsidR="00160437">
                <w:rPr>
                  <w:rFonts w:asciiTheme="majorBidi" w:hAnsiTheme="majorBidi" w:cstheme="majorBidi"/>
                  <w:noProof/>
                  <w:szCs w:val="24"/>
                </w:rPr>
                <w:t>education</w:t>
              </w:r>
              <w:r w:rsidRPr="00CB1EF0">
                <w:rPr>
                  <w:rFonts w:asciiTheme="majorBidi" w:hAnsiTheme="majorBidi" w:cstheme="majorBidi"/>
                  <w:noProof/>
                  <w:szCs w:val="24"/>
                </w:rPr>
                <w:t xml:space="preserve"> from nearly two decades of academic development. </w:t>
              </w:r>
              <w:r w:rsidRPr="00CB1EF0">
                <w:rPr>
                  <w:rFonts w:asciiTheme="majorBidi" w:hAnsiTheme="majorBidi" w:cstheme="majorBidi"/>
                  <w:i/>
                  <w:iCs/>
                  <w:noProof/>
                  <w:szCs w:val="24"/>
                </w:rPr>
                <w:t xml:space="preserve">International Journal for Academic Development, </w:t>
              </w:r>
              <w:r w:rsidRPr="00CB1EF0">
                <w:rPr>
                  <w:rFonts w:asciiTheme="majorBidi" w:hAnsiTheme="majorBidi" w:cstheme="majorBidi"/>
                  <w:noProof/>
                  <w:szCs w:val="24"/>
                </w:rPr>
                <w:t>Volume 25, p. 147–161.</w:t>
              </w:r>
            </w:p>
            <w:p w14:paraId="291C8C67" w14:textId="7DF58B0B" w:rsidR="00C21907" w:rsidRPr="00CB1EF0" w:rsidRDefault="00C21907" w:rsidP="00CB1EF0">
              <w:pPr>
                <w:rPr>
                  <w:rFonts w:asciiTheme="majorBidi" w:hAnsiTheme="majorBidi" w:cstheme="majorBidi"/>
                  <w:szCs w:val="24"/>
                </w:rPr>
              </w:pPr>
              <w:r w:rsidRPr="00CB1EF0">
                <w:rPr>
                  <w:rFonts w:asciiTheme="majorBidi" w:hAnsiTheme="majorBidi" w:cstheme="majorBidi"/>
                  <w:b/>
                  <w:bCs/>
                  <w:noProof/>
                  <w:szCs w:val="24"/>
                </w:rPr>
                <w:fldChar w:fldCharType="end"/>
              </w:r>
            </w:p>
          </w:sdtContent>
        </w:sdt>
      </w:sdtContent>
    </w:sdt>
    <w:p w14:paraId="7A9E0E70" w14:textId="56FE75AD" w:rsidR="00997368" w:rsidRPr="00CB1EF0" w:rsidRDefault="00997368" w:rsidP="00CB1EF0">
      <w:pPr>
        <w:rPr>
          <w:rFonts w:asciiTheme="majorBidi" w:hAnsiTheme="majorBidi" w:cstheme="majorBidi"/>
          <w:szCs w:val="24"/>
        </w:rPr>
      </w:pPr>
    </w:p>
    <w:sectPr w:rsidR="00997368" w:rsidRPr="00CB1EF0"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455AD" w14:textId="77777777" w:rsidR="00BC4FE6" w:rsidRDefault="00BC4FE6" w:rsidP="00117121">
      <w:pPr>
        <w:spacing w:after="0" w:line="240" w:lineRule="auto"/>
      </w:pPr>
      <w:r>
        <w:separator/>
      </w:r>
    </w:p>
  </w:endnote>
  <w:endnote w:type="continuationSeparator" w:id="0">
    <w:p w14:paraId="26515B1E" w14:textId="77777777" w:rsidR="00BC4FE6" w:rsidRDefault="00BC4FE6"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1C4B3" w14:textId="77777777" w:rsidR="009C0E00" w:rsidRDefault="009C0E00">
    <w:pPr>
      <w:pStyle w:val="Footer"/>
      <w:jc w:val="right"/>
    </w:pPr>
  </w:p>
  <w:p w14:paraId="431930A0" w14:textId="77777777" w:rsidR="00784FC2" w:rsidRDefault="00784F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1296365"/>
      <w:docPartObj>
        <w:docPartGallery w:val="Page Numbers (Bottom of Page)"/>
        <w:docPartUnique/>
      </w:docPartObj>
    </w:sdtPr>
    <w:sdtEndPr/>
    <w:sdtContent>
      <w:p w14:paraId="2374EE5B" w14:textId="77777777" w:rsidR="009C0E00" w:rsidRDefault="00784FC2">
        <w:pPr>
          <w:pStyle w:val="Footer"/>
          <w:jc w:val="right"/>
        </w:pPr>
        <w:r>
          <w:t>II</w:t>
        </w:r>
      </w:p>
    </w:sdtContent>
  </w:sdt>
  <w:p w14:paraId="5C1C3159" w14:textId="693EA60B" w:rsidR="00117121" w:rsidRDefault="001171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03EE928F" w14:textId="77777777" w:rsidR="009C0E00" w:rsidRDefault="00117121">
        <w:pPr>
          <w:pStyle w:val="Footer"/>
          <w:jc w:val="right"/>
        </w:pPr>
        <w:r>
          <w:fldChar w:fldCharType="begin"/>
        </w:r>
        <w:r>
          <w:instrText>PAGE   \* MERGEFORMAT</w:instrText>
        </w:r>
        <w:r>
          <w:fldChar w:fldCharType="separate"/>
        </w:r>
        <w:r>
          <w:t>2</w:t>
        </w:r>
        <w:r>
          <w:fldChar w:fldCharType="end"/>
        </w:r>
      </w:p>
    </w:sdtContent>
  </w:sdt>
  <w:p w14:paraId="12D596C8" w14:textId="0F0668C9"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90E7D" w14:textId="77777777" w:rsidR="00BC4FE6" w:rsidRDefault="00BC4FE6" w:rsidP="00117121">
      <w:pPr>
        <w:spacing w:after="0" w:line="240" w:lineRule="auto"/>
      </w:pPr>
      <w:r>
        <w:separator/>
      </w:r>
    </w:p>
  </w:footnote>
  <w:footnote w:type="continuationSeparator" w:id="0">
    <w:p w14:paraId="6ECFC83C" w14:textId="77777777" w:rsidR="00BC4FE6" w:rsidRDefault="00BC4FE6" w:rsidP="001171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Wa1APsurtssAAAA"/>
  </w:docVars>
  <w:rsids>
    <w:rsidRoot w:val="00C25798"/>
    <w:rsid w:val="00015DA6"/>
    <w:rsid w:val="00057B41"/>
    <w:rsid w:val="00073F69"/>
    <w:rsid w:val="000A6333"/>
    <w:rsid w:val="000B0E8A"/>
    <w:rsid w:val="00102469"/>
    <w:rsid w:val="00117121"/>
    <w:rsid w:val="00160437"/>
    <w:rsid w:val="001A6B94"/>
    <w:rsid w:val="001F519C"/>
    <w:rsid w:val="00206AFD"/>
    <w:rsid w:val="00216ACA"/>
    <w:rsid w:val="002414AA"/>
    <w:rsid w:val="002B5EE9"/>
    <w:rsid w:val="00330680"/>
    <w:rsid w:val="00336CFC"/>
    <w:rsid w:val="00336FD0"/>
    <w:rsid w:val="00373E59"/>
    <w:rsid w:val="00381A22"/>
    <w:rsid w:val="003D6D5F"/>
    <w:rsid w:val="00442CC4"/>
    <w:rsid w:val="004A056F"/>
    <w:rsid w:val="004A6008"/>
    <w:rsid w:val="005751DA"/>
    <w:rsid w:val="0059600E"/>
    <w:rsid w:val="00634032"/>
    <w:rsid w:val="0069170B"/>
    <w:rsid w:val="006A641C"/>
    <w:rsid w:val="006C3D29"/>
    <w:rsid w:val="00760388"/>
    <w:rsid w:val="0076343B"/>
    <w:rsid w:val="00784FC2"/>
    <w:rsid w:val="007A5FB4"/>
    <w:rsid w:val="007B22A6"/>
    <w:rsid w:val="00850FE8"/>
    <w:rsid w:val="008C1902"/>
    <w:rsid w:val="008C7870"/>
    <w:rsid w:val="008D21D5"/>
    <w:rsid w:val="008D39F4"/>
    <w:rsid w:val="009618D5"/>
    <w:rsid w:val="0097422F"/>
    <w:rsid w:val="00997368"/>
    <w:rsid w:val="009C0E00"/>
    <w:rsid w:val="009D5257"/>
    <w:rsid w:val="00A62C1E"/>
    <w:rsid w:val="00A87CA5"/>
    <w:rsid w:val="00AA228B"/>
    <w:rsid w:val="00AB144D"/>
    <w:rsid w:val="00AD3995"/>
    <w:rsid w:val="00B16C41"/>
    <w:rsid w:val="00B22B10"/>
    <w:rsid w:val="00B878D6"/>
    <w:rsid w:val="00BA6FC6"/>
    <w:rsid w:val="00BC4FE6"/>
    <w:rsid w:val="00BE5DC8"/>
    <w:rsid w:val="00C16795"/>
    <w:rsid w:val="00C21907"/>
    <w:rsid w:val="00C25798"/>
    <w:rsid w:val="00C3461A"/>
    <w:rsid w:val="00C52A13"/>
    <w:rsid w:val="00C56121"/>
    <w:rsid w:val="00CA0853"/>
    <w:rsid w:val="00CB1EF0"/>
    <w:rsid w:val="00CD4023"/>
    <w:rsid w:val="00D9216E"/>
    <w:rsid w:val="00DA241A"/>
    <w:rsid w:val="00DD6B2B"/>
    <w:rsid w:val="00E859B9"/>
    <w:rsid w:val="00E96B12"/>
    <w:rsid w:val="00EB0DA0"/>
    <w:rsid w:val="00EC68A5"/>
    <w:rsid w:val="00ED4729"/>
    <w:rsid w:val="00F11FA5"/>
    <w:rsid w:val="00F36322"/>
    <w:rsid w:val="00FA34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9B9"/>
    <w:pPr>
      <w:spacing w:before="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B1EF0"/>
    <w:pPr>
      <w:keepNext/>
      <w:keepLines/>
      <w:spacing w:after="0"/>
      <w:outlineLvl w:val="0"/>
    </w:pPr>
    <w:rPr>
      <w:rFonts w:asciiTheme="majorBidi" w:eastAsiaTheme="majorEastAsia" w:hAnsiTheme="majorBidi"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E859B9"/>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E859B9"/>
    <w:pPr>
      <w:keepNext/>
      <w:keepLines/>
      <w:spacing w:before="40" w:after="0"/>
      <w:outlineLvl w:val="2"/>
    </w:pPr>
    <w:rPr>
      <w:rFonts w:eastAsiaTheme="majorEastAsia" w:cstheme="majorBidi"/>
      <w:b/>
      <w:color w:val="C45911" w:themeColor="accent2" w:themeShade="BF"/>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EF0"/>
    <w:rPr>
      <w:rFonts w:asciiTheme="majorBidi" w:eastAsiaTheme="majorEastAsia" w:hAnsiTheme="majorBidi" w:cstheme="majorBidi"/>
      <w:b/>
      <w:color w:val="2F5496" w:themeColor="accent1" w:themeShade="BF"/>
      <w:sz w:val="32"/>
      <w:szCs w:val="32"/>
    </w:rPr>
  </w:style>
  <w:style w:type="character" w:customStyle="1" w:styleId="Heading2Char">
    <w:name w:val="Heading 2 Char"/>
    <w:basedOn w:val="DefaultParagraphFont"/>
    <w:link w:val="Heading2"/>
    <w:uiPriority w:val="9"/>
    <w:rsid w:val="00E859B9"/>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859B9"/>
    <w:rPr>
      <w:rFonts w:ascii="Times New Roman" w:eastAsiaTheme="majorEastAsia" w:hAnsi="Times New Roman" w:cstheme="majorBidi"/>
      <w:b/>
      <w:color w:val="C45911" w:themeColor="accent2" w:themeShade="BF"/>
      <w:sz w:val="24"/>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lang w:eastAsia="en-GB"/>
    </w:rPr>
  </w:style>
  <w:style w:type="paragraph" w:styleId="TOC1">
    <w:name w:val="toc 1"/>
    <w:basedOn w:val="Normal"/>
    <w:next w:val="Normal"/>
    <w:autoRedefine/>
    <w:uiPriority w:val="39"/>
    <w:unhideWhenUsed/>
    <w:rsid w:val="00997368"/>
    <w:pPr>
      <w:spacing w:after="100"/>
    </w:p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Bibliography">
    <w:name w:val="Bibliography"/>
    <w:basedOn w:val="Normal"/>
    <w:next w:val="Normal"/>
    <w:uiPriority w:val="37"/>
    <w:unhideWhenUsed/>
    <w:rsid w:val="00C219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0344">
      <w:bodyDiv w:val="1"/>
      <w:marLeft w:val="0"/>
      <w:marRight w:val="0"/>
      <w:marTop w:val="0"/>
      <w:marBottom w:val="0"/>
      <w:divBdr>
        <w:top w:val="none" w:sz="0" w:space="0" w:color="auto"/>
        <w:left w:val="none" w:sz="0" w:space="0" w:color="auto"/>
        <w:bottom w:val="none" w:sz="0" w:space="0" w:color="auto"/>
        <w:right w:val="none" w:sz="0" w:space="0" w:color="auto"/>
      </w:divBdr>
    </w:div>
    <w:div w:id="70857362">
      <w:bodyDiv w:val="1"/>
      <w:marLeft w:val="0"/>
      <w:marRight w:val="0"/>
      <w:marTop w:val="0"/>
      <w:marBottom w:val="0"/>
      <w:divBdr>
        <w:top w:val="none" w:sz="0" w:space="0" w:color="auto"/>
        <w:left w:val="none" w:sz="0" w:space="0" w:color="auto"/>
        <w:bottom w:val="none" w:sz="0" w:space="0" w:color="auto"/>
        <w:right w:val="none" w:sz="0" w:space="0" w:color="auto"/>
      </w:divBdr>
    </w:div>
    <w:div w:id="78720302">
      <w:bodyDiv w:val="1"/>
      <w:marLeft w:val="0"/>
      <w:marRight w:val="0"/>
      <w:marTop w:val="0"/>
      <w:marBottom w:val="0"/>
      <w:divBdr>
        <w:top w:val="none" w:sz="0" w:space="0" w:color="auto"/>
        <w:left w:val="none" w:sz="0" w:space="0" w:color="auto"/>
        <w:bottom w:val="none" w:sz="0" w:space="0" w:color="auto"/>
        <w:right w:val="none" w:sz="0" w:space="0" w:color="auto"/>
      </w:divBdr>
    </w:div>
    <w:div w:id="116029326">
      <w:bodyDiv w:val="1"/>
      <w:marLeft w:val="0"/>
      <w:marRight w:val="0"/>
      <w:marTop w:val="0"/>
      <w:marBottom w:val="0"/>
      <w:divBdr>
        <w:top w:val="none" w:sz="0" w:space="0" w:color="auto"/>
        <w:left w:val="none" w:sz="0" w:space="0" w:color="auto"/>
        <w:bottom w:val="none" w:sz="0" w:space="0" w:color="auto"/>
        <w:right w:val="none" w:sz="0" w:space="0" w:color="auto"/>
      </w:divBdr>
    </w:div>
    <w:div w:id="123818796">
      <w:bodyDiv w:val="1"/>
      <w:marLeft w:val="0"/>
      <w:marRight w:val="0"/>
      <w:marTop w:val="0"/>
      <w:marBottom w:val="0"/>
      <w:divBdr>
        <w:top w:val="none" w:sz="0" w:space="0" w:color="auto"/>
        <w:left w:val="none" w:sz="0" w:space="0" w:color="auto"/>
        <w:bottom w:val="none" w:sz="0" w:space="0" w:color="auto"/>
        <w:right w:val="none" w:sz="0" w:space="0" w:color="auto"/>
      </w:divBdr>
    </w:div>
    <w:div w:id="164367918">
      <w:bodyDiv w:val="1"/>
      <w:marLeft w:val="0"/>
      <w:marRight w:val="0"/>
      <w:marTop w:val="0"/>
      <w:marBottom w:val="0"/>
      <w:divBdr>
        <w:top w:val="none" w:sz="0" w:space="0" w:color="auto"/>
        <w:left w:val="none" w:sz="0" w:space="0" w:color="auto"/>
        <w:bottom w:val="none" w:sz="0" w:space="0" w:color="auto"/>
        <w:right w:val="none" w:sz="0" w:space="0" w:color="auto"/>
      </w:divBdr>
    </w:div>
    <w:div w:id="314259299">
      <w:bodyDiv w:val="1"/>
      <w:marLeft w:val="0"/>
      <w:marRight w:val="0"/>
      <w:marTop w:val="0"/>
      <w:marBottom w:val="0"/>
      <w:divBdr>
        <w:top w:val="none" w:sz="0" w:space="0" w:color="auto"/>
        <w:left w:val="none" w:sz="0" w:space="0" w:color="auto"/>
        <w:bottom w:val="none" w:sz="0" w:space="0" w:color="auto"/>
        <w:right w:val="none" w:sz="0" w:space="0" w:color="auto"/>
      </w:divBdr>
    </w:div>
    <w:div w:id="443156935">
      <w:bodyDiv w:val="1"/>
      <w:marLeft w:val="0"/>
      <w:marRight w:val="0"/>
      <w:marTop w:val="0"/>
      <w:marBottom w:val="0"/>
      <w:divBdr>
        <w:top w:val="none" w:sz="0" w:space="0" w:color="auto"/>
        <w:left w:val="none" w:sz="0" w:space="0" w:color="auto"/>
        <w:bottom w:val="none" w:sz="0" w:space="0" w:color="auto"/>
        <w:right w:val="none" w:sz="0" w:space="0" w:color="auto"/>
      </w:divBdr>
    </w:div>
    <w:div w:id="505170339">
      <w:bodyDiv w:val="1"/>
      <w:marLeft w:val="0"/>
      <w:marRight w:val="0"/>
      <w:marTop w:val="0"/>
      <w:marBottom w:val="0"/>
      <w:divBdr>
        <w:top w:val="none" w:sz="0" w:space="0" w:color="auto"/>
        <w:left w:val="none" w:sz="0" w:space="0" w:color="auto"/>
        <w:bottom w:val="none" w:sz="0" w:space="0" w:color="auto"/>
        <w:right w:val="none" w:sz="0" w:space="0" w:color="auto"/>
      </w:divBdr>
    </w:div>
    <w:div w:id="750391707">
      <w:bodyDiv w:val="1"/>
      <w:marLeft w:val="0"/>
      <w:marRight w:val="0"/>
      <w:marTop w:val="0"/>
      <w:marBottom w:val="0"/>
      <w:divBdr>
        <w:top w:val="none" w:sz="0" w:space="0" w:color="auto"/>
        <w:left w:val="none" w:sz="0" w:space="0" w:color="auto"/>
        <w:bottom w:val="none" w:sz="0" w:space="0" w:color="auto"/>
        <w:right w:val="none" w:sz="0" w:space="0" w:color="auto"/>
      </w:divBdr>
    </w:div>
    <w:div w:id="884028615">
      <w:bodyDiv w:val="1"/>
      <w:marLeft w:val="0"/>
      <w:marRight w:val="0"/>
      <w:marTop w:val="0"/>
      <w:marBottom w:val="0"/>
      <w:divBdr>
        <w:top w:val="none" w:sz="0" w:space="0" w:color="auto"/>
        <w:left w:val="none" w:sz="0" w:space="0" w:color="auto"/>
        <w:bottom w:val="none" w:sz="0" w:space="0" w:color="auto"/>
        <w:right w:val="none" w:sz="0" w:space="0" w:color="auto"/>
      </w:divBdr>
    </w:div>
    <w:div w:id="1048528775">
      <w:bodyDiv w:val="1"/>
      <w:marLeft w:val="0"/>
      <w:marRight w:val="0"/>
      <w:marTop w:val="0"/>
      <w:marBottom w:val="0"/>
      <w:divBdr>
        <w:top w:val="none" w:sz="0" w:space="0" w:color="auto"/>
        <w:left w:val="none" w:sz="0" w:space="0" w:color="auto"/>
        <w:bottom w:val="none" w:sz="0" w:space="0" w:color="auto"/>
        <w:right w:val="none" w:sz="0" w:space="0" w:color="auto"/>
      </w:divBdr>
    </w:div>
    <w:div w:id="1121418730">
      <w:bodyDiv w:val="1"/>
      <w:marLeft w:val="0"/>
      <w:marRight w:val="0"/>
      <w:marTop w:val="0"/>
      <w:marBottom w:val="0"/>
      <w:divBdr>
        <w:top w:val="none" w:sz="0" w:space="0" w:color="auto"/>
        <w:left w:val="none" w:sz="0" w:space="0" w:color="auto"/>
        <w:bottom w:val="none" w:sz="0" w:space="0" w:color="auto"/>
        <w:right w:val="none" w:sz="0" w:space="0" w:color="auto"/>
      </w:divBdr>
    </w:div>
    <w:div w:id="1195537640">
      <w:bodyDiv w:val="1"/>
      <w:marLeft w:val="0"/>
      <w:marRight w:val="0"/>
      <w:marTop w:val="0"/>
      <w:marBottom w:val="0"/>
      <w:divBdr>
        <w:top w:val="none" w:sz="0" w:space="0" w:color="auto"/>
        <w:left w:val="none" w:sz="0" w:space="0" w:color="auto"/>
        <w:bottom w:val="none" w:sz="0" w:space="0" w:color="auto"/>
        <w:right w:val="none" w:sz="0" w:space="0" w:color="auto"/>
      </w:divBdr>
    </w:div>
    <w:div w:id="1342202882">
      <w:bodyDiv w:val="1"/>
      <w:marLeft w:val="0"/>
      <w:marRight w:val="0"/>
      <w:marTop w:val="0"/>
      <w:marBottom w:val="0"/>
      <w:divBdr>
        <w:top w:val="none" w:sz="0" w:space="0" w:color="auto"/>
        <w:left w:val="none" w:sz="0" w:space="0" w:color="auto"/>
        <w:bottom w:val="none" w:sz="0" w:space="0" w:color="auto"/>
        <w:right w:val="none" w:sz="0" w:space="0" w:color="auto"/>
      </w:divBdr>
    </w:div>
    <w:div w:id="1393694197">
      <w:bodyDiv w:val="1"/>
      <w:marLeft w:val="0"/>
      <w:marRight w:val="0"/>
      <w:marTop w:val="0"/>
      <w:marBottom w:val="0"/>
      <w:divBdr>
        <w:top w:val="none" w:sz="0" w:space="0" w:color="auto"/>
        <w:left w:val="none" w:sz="0" w:space="0" w:color="auto"/>
        <w:bottom w:val="none" w:sz="0" w:space="0" w:color="auto"/>
        <w:right w:val="none" w:sz="0" w:space="0" w:color="auto"/>
      </w:divBdr>
    </w:div>
    <w:div w:id="1681662670">
      <w:bodyDiv w:val="1"/>
      <w:marLeft w:val="0"/>
      <w:marRight w:val="0"/>
      <w:marTop w:val="0"/>
      <w:marBottom w:val="0"/>
      <w:divBdr>
        <w:top w:val="none" w:sz="0" w:space="0" w:color="auto"/>
        <w:left w:val="none" w:sz="0" w:space="0" w:color="auto"/>
        <w:bottom w:val="none" w:sz="0" w:space="0" w:color="auto"/>
        <w:right w:val="none" w:sz="0" w:space="0" w:color="auto"/>
      </w:divBdr>
    </w:div>
    <w:div w:id="1721129337">
      <w:bodyDiv w:val="1"/>
      <w:marLeft w:val="0"/>
      <w:marRight w:val="0"/>
      <w:marTop w:val="0"/>
      <w:marBottom w:val="0"/>
      <w:divBdr>
        <w:top w:val="none" w:sz="0" w:space="0" w:color="auto"/>
        <w:left w:val="none" w:sz="0" w:space="0" w:color="auto"/>
        <w:bottom w:val="none" w:sz="0" w:space="0" w:color="auto"/>
        <w:right w:val="none" w:sz="0" w:space="0" w:color="auto"/>
      </w:divBdr>
    </w:div>
    <w:div w:id="1759058750">
      <w:bodyDiv w:val="1"/>
      <w:marLeft w:val="0"/>
      <w:marRight w:val="0"/>
      <w:marTop w:val="0"/>
      <w:marBottom w:val="0"/>
      <w:divBdr>
        <w:top w:val="none" w:sz="0" w:space="0" w:color="auto"/>
        <w:left w:val="none" w:sz="0" w:space="0" w:color="auto"/>
        <w:bottom w:val="none" w:sz="0" w:space="0" w:color="auto"/>
        <w:right w:val="none" w:sz="0" w:space="0" w:color="auto"/>
      </w:divBdr>
    </w:div>
    <w:div w:id="1825663409">
      <w:bodyDiv w:val="1"/>
      <w:marLeft w:val="0"/>
      <w:marRight w:val="0"/>
      <w:marTop w:val="0"/>
      <w:marBottom w:val="0"/>
      <w:divBdr>
        <w:top w:val="none" w:sz="0" w:space="0" w:color="auto"/>
        <w:left w:val="none" w:sz="0" w:space="0" w:color="auto"/>
        <w:bottom w:val="none" w:sz="0" w:space="0" w:color="auto"/>
        <w:right w:val="none" w:sz="0" w:space="0" w:color="auto"/>
      </w:divBdr>
    </w:div>
    <w:div w:id="1834904930">
      <w:bodyDiv w:val="1"/>
      <w:marLeft w:val="0"/>
      <w:marRight w:val="0"/>
      <w:marTop w:val="0"/>
      <w:marBottom w:val="0"/>
      <w:divBdr>
        <w:top w:val="none" w:sz="0" w:space="0" w:color="auto"/>
        <w:left w:val="none" w:sz="0" w:space="0" w:color="auto"/>
        <w:bottom w:val="none" w:sz="0" w:space="0" w:color="auto"/>
        <w:right w:val="none" w:sz="0" w:space="0" w:color="auto"/>
      </w:divBdr>
    </w:div>
    <w:div w:id="1856916351">
      <w:bodyDiv w:val="1"/>
      <w:marLeft w:val="0"/>
      <w:marRight w:val="0"/>
      <w:marTop w:val="0"/>
      <w:marBottom w:val="0"/>
      <w:divBdr>
        <w:top w:val="none" w:sz="0" w:space="0" w:color="auto"/>
        <w:left w:val="none" w:sz="0" w:space="0" w:color="auto"/>
        <w:bottom w:val="none" w:sz="0" w:space="0" w:color="auto"/>
        <w:right w:val="none" w:sz="0" w:space="0" w:color="auto"/>
      </w:divBdr>
    </w:div>
    <w:div w:id="2010014642">
      <w:bodyDiv w:val="1"/>
      <w:marLeft w:val="0"/>
      <w:marRight w:val="0"/>
      <w:marTop w:val="0"/>
      <w:marBottom w:val="0"/>
      <w:divBdr>
        <w:top w:val="none" w:sz="0" w:space="0" w:color="auto"/>
        <w:left w:val="none" w:sz="0" w:space="0" w:color="auto"/>
        <w:bottom w:val="none" w:sz="0" w:space="0" w:color="auto"/>
        <w:right w:val="none" w:sz="0" w:space="0" w:color="auto"/>
      </w:divBdr>
    </w:div>
    <w:div w:id="2054385157">
      <w:bodyDiv w:val="1"/>
      <w:marLeft w:val="0"/>
      <w:marRight w:val="0"/>
      <w:marTop w:val="0"/>
      <w:marBottom w:val="0"/>
      <w:divBdr>
        <w:top w:val="none" w:sz="0" w:space="0" w:color="auto"/>
        <w:left w:val="none" w:sz="0" w:space="0" w:color="auto"/>
        <w:bottom w:val="none" w:sz="0" w:space="0" w:color="auto"/>
        <w:right w:val="none" w:sz="0" w:space="0" w:color="auto"/>
      </w:divBdr>
    </w:div>
    <w:div w:id="2076927441">
      <w:bodyDiv w:val="1"/>
      <w:marLeft w:val="0"/>
      <w:marRight w:val="0"/>
      <w:marTop w:val="0"/>
      <w:marBottom w:val="0"/>
      <w:divBdr>
        <w:top w:val="none" w:sz="0" w:space="0" w:color="auto"/>
        <w:left w:val="none" w:sz="0" w:space="0" w:color="auto"/>
        <w:bottom w:val="none" w:sz="0" w:space="0" w:color="auto"/>
        <w:right w:val="none" w:sz="0" w:space="0" w:color="auto"/>
      </w:divBdr>
    </w:div>
    <w:div w:id="2091655207">
      <w:bodyDiv w:val="1"/>
      <w:marLeft w:val="0"/>
      <w:marRight w:val="0"/>
      <w:marTop w:val="0"/>
      <w:marBottom w:val="0"/>
      <w:divBdr>
        <w:top w:val="none" w:sz="0" w:space="0" w:color="auto"/>
        <w:left w:val="none" w:sz="0" w:space="0" w:color="auto"/>
        <w:bottom w:val="none" w:sz="0" w:space="0" w:color="auto"/>
        <w:right w:val="none" w:sz="0" w:space="0" w:color="auto"/>
      </w:divBdr>
    </w:div>
    <w:div w:id="2132742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_Custom.xsl" StyleName="Harvard - Anglia" Version="2008">
  <b:Source>
    <b:Year>2020</b:Year>
    <b:Volume>25</b:Volume>
    <b:BIBTEX_Entry>article</b:BIBTEX_Entry>
    <b:SourceType>JournalArticle</b:SourceType>
    <b:Title>Reflection as a core student learning activity in higher education-Insights from nearly two decades of academic development</b:Title>
    <b:Publisher>Taylor &amp; Francis</b:Publisher>
    <b:Tag>veine2020reflection</b:Tag>
    <b:Author>
      <b:Author>
        <b:NameList>
          <b:Person>
            <b:Last>Veine</b:Last>
            <b:First>Sven</b:First>
          </b:Person>
          <b:Person>
            <b:Last>Anderson</b:Last>
            <b:Middle>Kalvig</b:Middle>
            <b:First>Martha</b:First>
          </b:Person>
          <b:Person>
            <b:Last>Andersen</b:Last>
            <b:Middle>Haugland</b:Middle>
            <b:First>Nina</b:First>
          </b:Person>
          <b:Person>
            <b:Last>Espenes</b:Last>
            <b:Middle>Christian</b:Middle>
            <b:First>Thomas</b:First>
          </b:Person>
          <b:Person>
            <b:Last>Søyland</b:Last>
            <b:Middle>Bredesen</b:Middle>
            <b:First>Tove</b:First>
          </b:Person>
          <b:Person>
            <b:Last>Wallin</b:Last>
            <b:First>Patric</b:First>
          </b:Person>
          <b:Person>
            <b:Last>Reams</b:Last>
            <b:First>Jonathan</b:First>
          </b:Person>
        </b:NameList>
      </b:Author>
    </b:Author>
    <b:Pages>147–161</b:Pages>
    <b:JournalName>International Journal for Academic Development</b:JournalName>
    <b:Number>2</b:Number>
    <b:RefOrder>9</b:RefOrder>
  </b:Source>
  <b:Source>
    <b:Year>2023</b:Year>
    <b:BIBTEX_Entry>book</b:BIBTEX_Entry>
    <b:SourceType>Book</b:SourceType>
    <b:Title>Journal keeping: How to use reflective writing for learning, teaching, professional insight and positive change</b:Title>
    <b:Publisher>Taylor &amp; Francis</b:Publisher>
    <b:Tag>stevens2023journal</b:Tag>
    <b:Author>
      <b:Author>
        <b:NameList>
          <b:Person>
            <b:Last>Stevens</b:Last>
            <b:Middle>D.</b:Middle>
            <b:First>Dannelle</b:First>
          </b:Person>
          <b:Person>
            <b:Last>Cooper</b:Last>
            <b:Middle>E.</b:Middle>
            <b:First>Joanne</b:First>
          </b:Person>
        </b:NameList>
      </b:Author>
    </b:Author>
    <b:RefOrder>7</b:RefOrder>
  </b:Source>
  <b:Source>
    <b:Year>2019</b:Year>
    <b:Volume>13</b:Volume>
    <b:BIBTEX_Entry>article</b:BIBTEX_Entry>
    <b:SourceType>JournalArticle</b:SourceType>
    <b:Title>The Impact of Reflective Practice on Teacher Candidates' Learning.</b:Title>
    <b:Publisher>ERIC</b:Publisher>
    <b:Tag>slade2019impact</b:Tag>
    <b:Author>
      <b:Author>
        <b:NameList>
          <b:Person>
            <b:Last>Slade</b:Last>
            <b:Middle>L.</b:Middle>
            <b:First>Mary</b:First>
          </b:Person>
          <b:Person>
            <b:Last>Burnham</b:Last>
            <b:Middle>J.</b:Middle>
            <b:First>Tammy</b:First>
          </b:Person>
          <b:Person>
            <b:Last>Catalana</b:Last>
            <b:Middle>Marie</b:Middle>
            <b:First>Sarah</b:First>
          </b:Person>
          <b:Person>
            <b:Last>Waters</b:Last>
            <b:First>Tammy</b:First>
          </b:Person>
        </b:NameList>
      </b:Author>
    </b:Author>
    <b:Pages>15</b:Pages>
    <b:JournalName>International Journal for the Scholarship of Teaching and Learning</b:JournalName>
    <b:Number>2</b:Number>
    <b:RefOrder>8</b:RefOrder>
  </b:Source>
  <b:Source>
    <b:Year>2018</b:Year>
    <b:BIBTEX_Entry>incollection</b:BIBTEX_Entry>
    <b:SourceType>BookSection</b:SourceType>
    <b:Title>Situated learning in translation research training: academic research as a reflection of practice</b:Title>
    <b:Publisher>Routledge</b:Publisher>
    <b:Tag>risku2018situated</b:Tag>
    <b:BookTitle>Situated Learning in Translator and Interpreter Training</b:BookTitle>
    <b:Author>
      <b:Author>
        <b:NameList>
          <b:Person>
            <b:Last>Risku</b:Last>
            <b:First>Hanna</b:First>
          </b:Person>
        </b:NameList>
      </b:Author>
    </b:Author>
    <b:Pages>12–28</b:Pages>
    <b:ConferenceName>Situated Learning in Translator and Interpreter Training</b:ConferenceName>
    <b:RefOrder>10</b:RefOrder>
  </b:Source>
  <b:Source>
    <b:Year>2021</b:Year>
    <b:Volume>13</b:Volume>
    <b:BIBTEX_Entry>article</b:BIBTEX_Entry>
    <b:SourceType>JournalArticle</b:SourceType>
    <b:Title>Examining the necessity of reflective module: Literacy numeracy skill of students elementary school</b:Title>
    <b:Tag>rakhmawati2021examining</b:Tag>
    <b:Author>
      <b:Author>
        <b:NameList>
          <b:Person>
            <b:Last>Rakhmawati</b:Last>
            <b:First>Yeni</b:First>
          </b:Person>
          <b:Person>
            <b:Last>Mustadi</b:Last>
            <b:First>Ali</b:First>
          </b:Person>
        </b:NameList>
      </b:Author>
    </b:Author>
    <b:Pages>597–609</b:Pages>
    <b:JournalName>Al-Ishlah: Jurnal Pendidikan</b:JournalName>
    <b:Number>1</b:Number>
    <b:RefOrder>5</b:RefOrder>
  </b:Source>
  <b:Source>
    <b:Year>2018</b:Year>
    <b:Volume>43</b:Volume>
    <b:BIBTEX_Entry>article</b:BIBTEX_Entry>
    <b:SourceType>JournalArticle</b:SourceType>
    <b:Title>From reflective learning to reflective practice: assessing transfer</b:Title>
    <b:Publisher>Taylor &amp; Francis</b:Publisher>
    <b:Tag>griggs2018reflective</b:Tag>
    <b:Author>
      <b:Author>
        <b:NameList>
          <b:Person>
            <b:Last>Griggs</b:Last>
            <b:First>Vivienne</b:First>
          </b:Person>
          <b:Person>
            <b:Last>Holden</b:Last>
            <b:First>Richard</b:First>
          </b:Person>
          <b:Person>
            <b:Last>Lawless</b:Last>
            <b:First>Aileen</b:First>
          </b:Person>
          <b:Person>
            <b:Last>Rae</b:Last>
            <b:First>Jan</b:First>
          </b:Person>
        </b:NameList>
      </b:Author>
    </b:Author>
    <b:Pages>1172–1183</b:Pages>
    <b:JournalName>Studies in Higher Education</b:JournalName>
    <b:Number>7</b:Number>
    <b:RefOrder>6</b:RefOrder>
  </b:Source>
  <b:Source>
    <b:Year>2019</b:Year>
    <b:Volume>19</b:Volume>
    <b:BIBTEX_Entry>article</b:BIBTEX_Entry>
    <b:SourceType>JournalArticle</b:SourceType>
    <b:Title>Effect of cooperative learning supported by reflective thinking activities on students’ critical thinking skills</b:Title>
    <b:Publisher>Anı Yayıncılık</b:Publisher>
    <b:Tag>erdogan2019effect</b:Tag>
    <b:Author>
      <b:Author>
        <b:NameList>
          <b:Person>
            <b:Last>Erdogan</b:Last>
            <b:First>Fatma</b:First>
          </b:Person>
        </b:NameList>
      </b:Author>
    </b:Author>
    <b:Pages>89–112</b:Pages>
    <b:JournalName>Eurasian journal of educational research</b:JournalName>
    <b:Number>80</b:Number>
    <b:RefOrder>4</b:RefOrder>
  </b:Source>
  <b:Source>
    <b:Year>2019</b:Year>
    <b:Volume>20</b:Volume>
    <b:BIBTEX_Entry>inproceedings</b:BIBTEX_Entry>
    <b:SourceType>ConferenceProceedings</b:SourceType>
    <b:Title>Analysis of students’ critical thinking skills with reflective and impulsive cognitive styles on conservation and environmental knowledge learning.</b:Title>
    <b:Tag>cintamulya2019analysis</b:Tag>
    <b:BookTitle>Asia-Pacific Forum on Science Learning &amp; Teaching</b:BookTitle>
    <b:Author>
      <b:Author>
        <b:NameList>
          <b:Person>
            <b:Last>Cintamulya</b:Last>
            <b:First>Imas</b:First>
          </b:Person>
        </b:NameList>
      </b:Author>
    </b:Author>
    <b:Number>1</b:Number>
    <b:ConferenceName>Asia-Pacific Forum on Science Learning &amp; Teaching</b:ConferenceName>
    <b:RefOrder>3</b:RefOrder>
  </b:Source>
  <b:Source>
    <b:Year>2018</b:Year>
    <b:Volume>7</b:Volume>
    <b:BIBTEX_Entry>article</b:BIBTEX_Entry>
    <b:SourceType>JournalArticle</b:SourceType>
    <b:Title>Reflective thinking, self-efficacy, self-esteem and academic achievement of Iranian EFL students in higher education: Is there a relationship?</b:Title>
    <b:Tag>asakereh2018reflective</b:Tag>
    <b:Author>
      <b:Author>
        <b:NameList>
          <b:Person>
            <b:Last>Asakereh</b:Last>
            <b:First>Ahmad</b:First>
          </b:Person>
          <b:Person>
            <b:Last>Yousofi</b:Last>
            <b:First>Nouroddin</b:First>
          </b:Person>
        </b:NameList>
      </b:Author>
    </b:Author>
    <b:Pages>68–89</b:Pages>
    <b:JournalName>International Journal of Educational Psychology</b:JournalName>
    <b:Number>1</b:Number>
    <b:RefOrder>2</b:RefOrder>
  </b:Source>
  <b:Source>
    <b:Year>2020</b:Year>
    <b:Volume>37</b:Volume>
    <b:BIBTEX_Entry>article</b:BIBTEX_Entry>
    <b:SourceType>JournalArticle</b:SourceType>
    <b:Title>Critical, reflective, creative thinking and their reflections on academic achievement</b:Title>
    <b:Publisher>Elsevier</b:Publisher>
    <b:Tag>akpur2020critical</b:Tag>
    <b:Author>
      <b:Author>
        <b:NameList>
          <b:Person>
            <b:Last>Akpur</b:Last>
            <b:First>Uğur</b:First>
          </b:Person>
        </b:NameList>
      </b:Author>
    </b:Author>
    <b:Pages>100683</b:Pages>
    <b:JournalName>Thinking Skills and Creativity</b:JournalName>
    <b:RefOrder>1</b:RefOrder>
  </b:Source>
</b:Sources>
</file>

<file path=customXml/itemProps1.xml><?xml version="1.0" encoding="utf-8"?>
<ds:datastoreItem xmlns:ds="http://schemas.openxmlformats.org/officeDocument/2006/customXml" ds:itemID="{58B06B9B-D6CC-4B1A-9722-1BDE63D3C1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2023-08-26T10:19:00Z</dcterms:created>
  <dcterms:modified xsi:type="dcterms:W3CDTF">2023-08-26T10:19:00Z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866fd61d8d1476d5cd997b3561fdbec76b592e32dbc5d555427c9eb39ff9390d</vt:lpwstr>
  </property>
</Properties>
</file>