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B3A878" w14:textId="62D40ECA" w:rsidR="00582167" w:rsidRPr="00275915" w:rsidRDefault="00DF696D" w:rsidP="00275915">
      <w:pPr>
        <w:spacing w:after="0" w:line="360" w:lineRule="auto"/>
        <w:jc w:val="center"/>
        <w:rPr>
          <w:rFonts w:cstheme="minorHAnsi"/>
          <w:b/>
          <w:u w:val="single"/>
        </w:rPr>
      </w:pPr>
      <w:r w:rsidRPr="00275915">
        <w:rPr>
          <w:rFonts w:cstheme="minorHAnsi"/>
          <w:b/>
          <w:u w:val="single"/>
        </w:rPr>
        <w:t>Looking Forward: A critical analysis of literacy, numeracy and digital competence as cross-curricular responsibilities.</w:t>
      </w:r>
    </w:p>
    <w:p w14:paraId="242481FF" w14:textId="279BEAA1" w:rsidR="00DF696D" w:rsidRPr="00275915" w:rsidRDefault="00DF696D" w:rsidP="00275915">
      <w:pPr>
        <w:spacing w:after="0" w:line="360" w:lineRule="auto"/>
        <w:jc w:val="center"/>
        <w:rPr>
          <w:rFonts w:cstheme="minorHAnsi"/>
          <w:b/>
          <w:u w:val="single"/>
        </w:rPr>
      </w:pPr>
    </w:p>
    <w:p w14:paraId="319C0F07" w14:textId="2ADDC2CD" w:rsidR="00375183" w:rsidRPr="00275915" w:rsidRDefault="00DF696D" w:rsidP="00275915">
      <w:pPr>
        <w:spacing w:after="0" w:line="360" w:lineRule="auto"/>
        <w:rPr>
          <w:rFonts w:cstheme="minorHAnsi"/>
        </w:rPr>
      </w:pPr>
      <w:r w:rsidRPr="00275915">
        <w:rPr>
          <w:rFonts w:cstheme="minorHAnsi"/>
        </w:rPr>
        <w:t xml:space="preserve">The purposes of this essay </w:t>
      </w:r>
      <w:r w:rsidR="00C1444C" w:rsidRPr="00275915">
        <w:rPr>
          <w:rFonts w:cstheme="minorHAnsi"/>
        </w:rPr>
        <w:t>are</w:t>
      </w:r>
      <w:r w:rsidRPr="00275915">
        <w:rPr>
          <w:rFonts w:cstheme="minorHAnsi"/>
        </w:rPr>
        <w:t xml:space="preserve"> to provide a critical analysis of both literacy and numeracy, as well as digital competence and their cross</w:t>
      </w:r>
      <w:r w:rsidR="00C1444C" w:rsidRPr="00275915">
        <w:rPr>
          <w:rFonts w:cstheme="minorHAnsi"/>
        </w:rPr>
        <w:t>-</w:t>
      </w:r>
      <w:r w:rsidRPr="00275915">
        <w:rPr>
          <w:rFonts w:cstheme="minorHAnsi"/>
        </w:rPr>
        <w:t xml:space="preserve">curriculum responsibilities within the National Curriculum in Wales, as well as in general. </w:t>
      </w:r>
      <w:r w:rsidR="00A623C9" w:rsidRPr="00275915">
        <w:rPr>
          <w:rFonts w:cstheme="minorHAnsi"/>
        </w:rPr>
        <w:t xml:space="preserve">Before addressing </w:t>
      </w:r>
      <w:r w:rsidR="00C1444C" w:rsidRPr="00275915">
        <w:rPr>
          <w:rFonts w:cstheme="minorHAnsi"/>
        </w:rPr>
        <w:t xml:space="preserve">the cross curricular responsibilities of numeracy, literacy and digital competence there needs to be an understanding of what exactly is meant by the term ‘cross curricular’. According to Barnes (2015) cross curricular learning is defined as </w:t>
      </w:r>
      <w:r w:rsidR="00C1444C" w:rsidRPr="00275915">
        <w:rPr>
          <w:rFonts w:cstheme="minorHAnsi"/>
          <w:i/>
        </w:rPr>
        <w:t>“</w:t>
      </w:r>
      <w:r w:rsidR="008763FE" w:rsidRPr="00275915">
        <w:rPr>
          <w:rFonts w:cstheme="minorHAnsi"/>
          <w:i/>
        </w:rPr>
        <w:t xml:space="preserve">When the skills, knowledge and attitudes of a number of different disciplines are applied to a single experience, problem, question, theme or idea, we are working in a cross-curricular way”. </w:t>
      </w:r>
      <w:r w:rsidR="008763FE" w:rsidRPr="00275915">
        <w:rPr>
          <w:rFonts w:cstheme="minorHAnsi"/>
        </w:rPr>
        <w:t>(Barnes, 2015, p. 11). This is further supported by Savage (2010)</w:t>
      </w:r>
      <w:r w:rsidR="00375183" w:rsidRPr="00275915">
        <w:rPr>
          <w:rFonts w:cstheme="minorHAnsi"/>
        </w:rPr>
        <w:t xml:space="preserve"> who states, </w:t>
      </w:r>
    </w:p>
    <w:p w14:paraId="7FF6527F" w14:textId="77777777" w:rsidR="00F97B15" w:rsidRPr="00275915" w:rsidRDefault="00F97B15" w:rsidP="00275915">
      <w:pPr>
        <w:spacing w:after="0" w:line="360" w:lineRule="auto"/>
        <w:ind w:left="720"/>
        <w:rPr>
          <w:rStyle w:val="Emphasis"/>
          <w:rFonts w:cstheme="minorHAnsi"/>
          <w:bdr w:val="none" w:sz="0" w:space="0" w:color="auto" w:frame="1"/>
          <w:shd w:val="clear" w:color="auto" w:fill="FFFFFF"/>
        </w:rPr>
      </w:pPr>
    </w:p>
    <w:p w14:paraId="26D3D4FC" w14:textId="534101FE" w:rsidR="00835908" w:rsidRPr="00275915" w:rsidRDefault="00375183" w:rsidP="00275915">
      <w:pPr>
        <w:spacing w:after="0" w:line="360" w:lineRule="auto"/>
        <w:ind w:left="720"/>
        <w:rPr>
          <w:rFonts w:cstheme="minorHAnsi"/>
          <w:shd w:val="clear" w:color="auto" w:fill="FFFFFF"/>
        </w:rPr>
      </w:pPr>
      <w:r w:rsidRPr="00275915">
        <w:rPr>
          <w:rStyle w:val="Emphasis"/>
          <w:rFonts w:cstheme="minorHAnsi"/>
          <w:bdr w:val="none" w:sz="0" w:space="0" w:color="auto" w:frame="1"/>
          <w:shd w:val="clear" w:color="auto" w:fill="FFFFFF"/>
        </w:rPr>
        <w:t>“A cross-curricular approach to teaching is characterised by sensitivity towards, and a synthesis of, knowledge, skills and understandings from various subject areas. These inform an enriched pedagogy that promotes an approach to learning which embraces and explores this wider sensitivity through various methods</w:t>
      </w:r>
      <w:r w:rsidRPr="00275915">
        <w:rPr>
          <w:rFonts w:cstheme="minorHAnsi"/>
          <w:shd w:val="clear" w:color="auto" w:fill="FFFFFF"/>
        </w:rPr>
        <w:t>.”</w:t>
      </w:r>
    </w:p>
    <w:p w14:paraId="06AB9DCD" w14:textId="77777777" w:rsidR="00835908" w:rsidRPr="00275915" w:rsidRDefault="00835908" w:rsidP="00275915">
      <w:pPr>
        <w:spacing w:after="0" w:line="360" w:lineRule="auto"/>
        <w:rPr>
          <w:rStyle w:val="Emphasis"/>
          <w:rFonts w:cstheme="minorHAnsi"/>
          <w:bdr w:val="none" w:sz="0" w:space="0" w:color="auto" w:frame="1"/>
          <w:shd w:val="clear" w:color="auto" w:fill="FFFFFF"/>
        </w:rPr>
      </w:pPr>
    </w:p>
    <w:p w14:paraId="2384F7E9" w14:textId="6E157961" w:rsidR="00DF696D" w:rsidRPr="00275915" w:rsidRDefault="00314B28" w:rsidP="00275915">
      <w:pPr>
        <w:spacing w:after="0" w:line="360" w:lineRule="auto"/>
        <w:rPr>
          <w:rFonts w:cstheme="minorHAnsi"/>
        </w:rPr>
      </w:pPr>
      <w:r w:rsidRPr="00275915">
        <w:rPr>
          <w:rFonts w:cstheme="minorHAnsi"/>
        </w:rPr>
        <w:t xml:space="preserve">The arguments </w:t>
      </w:r>
      <w:r w:rsidR="00D13D22" w:rsidRPr="00275915">
        <w:rPr>
          <w:rFonts w:cstheme="minorHAnsi"/>
        </w:rPr>
        <w:t xml:space="preserve">for a more cross-curricula, or ‘holistic’ education have their roots in the constructivist view of learning theory. One of the key aspects of this </w:t>
      </w:r>
      <w:r w:rsidR="00567D38" w:rsidRPr="00275915">
        <w:rPr>
          <w:rFonts w:cstheme="minorHAnsi"/>
        </w:rPr>
        <w:t>constructivist learning</w:t>
      </w:r>
      <w:r w:rsidR="00D13D22" w:rsidRPr="00275915">
        <w:rPr>
          <w:rFonts w:cstheme="minorHAnsi"/>
        </w:rPr>
        <w:t xml:space="preserve"> theory is that of the child learning through their own experiences, as well as learning through the use of social interaction, both of which are core elements of the cross-curriculum teaching approach. (Hayes, 2010)</w:t>
      </w:r>
      <w:r w:rsidR="002802A8" w:rsidRPr="00275915">
        <w:rPr>
          <w:rFonts w:cstheme="minorHAnsi"/>
        </w:rPr>
        <w:t xml:space="preserve">. </w:t>
      </w:r>
      <w:r w:rsidR="000525CF" w:rsidRPr="00275915">
        <w:rPr>
          <w:rFonts w:cstheme="minorHAnsi"/>
        </w:rPr>
        <w:t>Constructivist</w:t>
      </w:r>
      <w:r w:rsidR="002802A8" w:rsidRPr="00275915">
        <w:rPr>
          <w:rFonts w:cstheme="minorHAnsi"/>
        </w:rPr>
        <w:t xml:space="preserve"> theorists such as John Dewey and Jerome Bruner argue that “</w:t>
      </w:r>
      <w:r w:rsidR="002802A8" w:rsidRPr="00275915">
        <w:rPr>
          <w:rFonts w:cstheme="minorHAnsi"/>
          <w:i/>
        </w:rPr>
        <w:t>education should be based on real-life situations including interaction with others</w:t>
      </w:r>
      <w:r w:rsidR="002802A8" w:rsidRPr="00275915">
        <w:rPr>
          <w:rFonts w:cstheme="minorHAnsi"/>
        </w:rPr>
        <w:t>” (Pound, 2014, p. 27) and that “</w:t>
      </w:r>
      <w:r w:rsidR="002802A8" w:rsidRPr="00275915">
        <w:rPr>
          <w:rFonts w:cstheme="minorHAnsi"/>
          <w:i/>
        </w:rPr>
        <w:t>the child is an active learner and problem-solver, struggling to make sense of the world</w:t>
      </w:r>
      <w:r w:rsidR="002802A8" w:rsidRPr="00275915">
        <w:rPr>
          <w:rFonts w:cstheme="minorHAnsi"/>
        </w:rPr>
        <w:t>” (Pound, 2014, p. 64).</w:t>
      </w:r>
    </w:p>
    <w:p w14:paraId="48DE7B5E" w14:textId="1A2FAC2D" w:rsidR="0093381B" w:rsidRPr="00275915" w:rsidRDefault="0093381B" w:rsidP="00275915">
      <w:pPr>
        <w:spacing w:after="0" w:line="360" w:lineRule="auto"/>
        <w:rPr>
          <w:rFonts w:cstheme="minorHAnsi"/>
          <w:shd w:val="clear" w:color="auto" w:fill="FFFFFF"/>
        </w:rPr>
      </w:pPr>
    </w:p>
    <w:p w14:paraId="31ED0AD2" w14:textId="2AD40671" w:rsidR="0093381B" w:rsidRPr="00275915" w:rsidRDefault="0093381B" w:rsidP="00275915">
      <w:pPr>
        <w:spacing w:after="0" w:line="360" w:lineRule="auto"/>
        <w:rPr>
          <w:rFonts w:cstheme="minorHAnsi"/>
          <w:shd w:val="clear" w:color="auto" w:fill="FFFFFF"/>
        </w:rPr>
      </w:pPr>
      <w:r w:rsidRPr="00275915">
        <w:rPr>
          <w:rFonts w:cstheme="minorHAnsi"/>
          <w:shd w:val="clear" w:color="auto" w:fill="FFFFFF"/>
        </w:rPr>
        <w:t>As has been shown the idea of teaching in a cross-curr</w:t>
      </w:r>
      <w:r w:rsidR="00306F62" w:rsidRPr="00275915">
        <w:rPr>
          <w:rFonts w:cstheme="minorHAnsi"/>
          <w:shd w:val="clear" w:color="auto" w:fill="FFFFFF"/>
        </w:rPr>
        <w:t>iculum way is nothing new in regard to educational terms. “</w:t>
      </w:r>
      <w:r w:rsidR="00306F62" w:rsidRPr="00275915">
        <w:rPr>
          <w:rFonts w:cstheme="minorHAnsi"/>
          <w:i/>
          <w:shd w:val="clear" w:color="auto" w:fill="FFFFFF"/>
        </w:rPr>
        <w:t>Cross-curricular planning and teaching has enjoyed long-standing popularity among primary teachers</w:t>
      </w:r>
      <w:r w:rsidR="00306F62" w:rsidRPr="00275915">
        <w:rPr>
          <w:rFonts w:cstheme="minorHAnsi"/>
          <w:shd w:val="clear" w:color="auto" w:fill="FFFFFF"/>
        </w:rPr>
        <w:t xml:space="preserve">” (Grigg, 2015, p.267). However, this popularity of the uses of cross-curriculum teaching among teachers can often be heavily influenced by the educational policies of whoever may be the current ruling political party, (Grigg, 2015, p.268) this is exemplified by the Conservative and Liberal Democrat coalition government of 2010 calling for a more subject based curriculum </w:t>
      </w:r>
      <w:r w:rsidR="0092623E" w:rsidRPr="00275915">
        <w:rPr>
          <w:rFonts w:cstheme="minorHAnsi"/>
          <w:shd w:val="clear" w:color="auto" w:fill="FFFFFF"/>
        </w:rPr>
        <w:t>instead of the ‘</w:t>
      </w:r>
      <w:r w:rsidR="007E34F6" w:rsidRPr="00275915">
        <w:rPr>
          <w:rFonts w:cstheme="minorHAnsi"/>
          <w:shd w:val="clear" w:color="auto" w:fill="FFFFFF"/>
        </w:rPr>
        <w:t>woolly</w:t>
      </w:r>
      <w:r w:rsidR="0092623E" w:rsidRPr="00275915">
        <w:rPr>
          <w:rFonts w:cstheme="minorHAnsi"/>
          <w:shd w:val="clear" w:color="auto" w:fill="FFFFFF"/>
        </w:rPr>
        <w:t>, cross-curricular skills’ of their Labour predecessors</w:t>
      </w:r>
      <w:r w:rsidR="00CD24E3" w:rsidRPr="00275915">
        <w:rPr>
          <w:rFonts w:cstheme="minorHAnsi"/>
          <w:shd w:val="clear" w:color="auto" w:fill="FFFFFF"/>
        </w:rPr>
        <w:t xml:space="preserve"> (Paton, 2013).</w:t>
      </w:r>
    </w:p>
    <w:p w14:paraId="2307DCAB" w14:textId="7FA947C3" w:rsidR="00B711FC" w:rsidRPr="00275915" w:rsidRDefault="00B711FC" w:rsidP="00275915">
      <w:pPr>
        <w:spacing w:after="0" w:line="360" w:lineRule="auto"/>
        <w:rPr>
          <w:rFonts w:cstheme="minorHAnsi"/>
          <w:shd w:val="clear" w:color="auto" w:fill="FFFFFF"/>
        </w:rPr>
      </w:pPr>
    </w:p>
    <w:p w14:paraId="1C32F429" w14:textId="26FF5FB9" w:rsidR="00B711FC" w:rsidRPr="00275915" w:rsidRDefault="00B711FC" w:rsidP="00275915">
      <w:pPr>
        <w:spacing w:after="0" w:line="360" w:lineRule="auto"/>
        <w:rPr>
          <w:rFonts w:cstheme="minorHAnsi"/>
          <w:shd w:val="clear" w:color="auto" w:fill="FFFFFF"/>
        </w:rPr>
      </w:pPr>
      <w:r w:rsidRPr="00275915">
        <w:rPr>
          <w:rFonts w:cstheme="minorHAnsi"/>
          <w:shd w:val="clear" w:color="auto" w:fill="FFFFFF"/>
        </w:rPr>
        <w:lastRenderedPageBreak/>
        <w:t>As with the rest of</w:t>
      </w:r>
      <w:r w:rsidR="001C0C20" w:rsidRPr="00275915">
        <w:rPr>
          <w:rFonts w:cstheme="minorHAnsi"/>
          <w:shd w:val="clear" w:color="auto" w:fill="FFFFFF"/>
        </w:rPr>
        <w:t xml:space="preserve"> the United Kingdom, cross-curriculum learning has been a core aspect of teaching and learning within Wales for a number of years. In September 2010 the Welsh Assembly Government fully introduced a new statutory curriculum for all children aged between three and seven years old within Wales. This new curriculum was to be known as the Foundation Phase. With the introduction of the Foundation Phase Framework the Welsh Assembly Government publicly stated that children learn best through their own first-hand experiences (Welsh Assembly Government, 2015b), which as discussed earlier is a key component of the constructivist learning theory. With this introduction of the Foundation Phase Framework, the Welsh assembly Government adopted an areas of learning based curriculum rather than the more traditional subjects based curriculum seen in that of Key Stage 2 and on, as well as those seen in curriculum of the past.</w:t>
      </w:r>
      <w:r w:rsidR="00685C58" w:rsidRPr="00275915">
        <w:rPr>
          <w:rFonts w:cstheme="minorHAnsi"/>
          <w:shd w:val="clear" w:color="auto" w:fill="FFFFFF"/>
        </w:rPr>
        <w:t xml:space="preserve"> The Welsh Assembly Government states that these areas of learning </w:t>
      </w:r>
      <w:r w:rsidR="00685C58" w:rsidRPr="00275915">
        <w:rPr>
          <w:rFonts w:cstheme="minorHAnsi"/>
          <w:i/>
          <w:shd w:val="clear" w:color="auto" w:fill="FFFFFF"/>
        </w:rPr>
        <w:t>‘must complement each other and work together to provide a cross-curricular approach to form a practical relevant curriculum. They should not be approached in isolation’</w:t>
      </w:r>
      <w:r w:rsidR="00685C58" w:rsidRPr="00275915">
        <w:rPr>
          <w:rFonts w:cstheme="minorHAnsi"/>
          <w:shd w:val="clear" w:color="auto" w:fill="FFFFFF"/>
        </w:rPr>
        <w:t xml:space="preserve"> (Welsh Assembly Government, 2015b). this implementation of a more cross-curriculum based learning for children aged between three and seven years old in Wales has led to improvements in pupil’s literacy and numeracy, as well as seeing those pupils who began their education in the Foundation Phase, being more likely to attain a Level 4 or above in their Key Stage 2 English (Welsh Assembly Government, 2015a)</w:t>
      </w:r>
      <w:r w:rsidR="00BA70BF" w:rsidRPr="00275915">
        <w:rPr>
          <w:rFonts w:cstheme="minorHAnsi"/>
          <w:shd w:val="clear" w:color="auto" w:fill="FFFFFF"/>
        </w:rPr>
        <w:t>.</w:t>
      </w:r>
    </w:p>
    <w:p w14:paraId="2E0803FD" w14:textId="048DDB34" w:rsidR="00BA70BF" w:rsidRPr="00275915" w:rsidRDefault="00BA70BF" w:rsidP="00275915">
      <w:pPr>
        <w:spacing w:after="0" w:line="360" w:lineRule="auto"/>
        <w:rPr>
          <w:rFonts w:cstheme="minorHAnsi"/>
          <w:shd w:val="clear" w:color="auto" w:fill="FFFFFF"/>
        </w:rPr>
      </w:pPr>
    </w:p>
    <w:p w14:paraId="511F08A5" w14:textId="6D2B6A88" w:rsidR="00BA70BF" w:rsidRPr="00275915" w:rsidRDefault="005F14F9" w:rsidP="00275915">
      <w:pPr>
        <w:spacing w:after="0" w:line="360" w:lineRule="auto"/>
        <w:rPr>
          <w:rFonts w:cstheme="minorHAnsi"/>
          <w:shd w:val="clear" w:color="auto" w:fill="FFFFFF"/>
        </w:rPr>
      </w:pPr>
      <w:r w:rsidRPr="00275915">
        <w:rPr>
          <w:rFonts w:cstheme="minorHAnsi"/>
          <w:shd w:val="clear" w:color="auto" w:fill="FFFFFF"/>
        </w:rPr>
        <w:t xml:space="preserve">The successful implementation of the Foundation Phase, as well as the use of </w:t>
      </w:r>
      <w:r w:rsidR="006C51AB" w:rsidRPr="00275915">
        <w:rPr>
          <w:rFonts w:cstheme="minorHAnsi"/>
          <w:shd w:val="clear" w:color="auto" w:fill="FFFFFF"/>
        </w:rPr>
        <w:t>Areas of Learning, led the Welsh Assembly Government to conduct a far reaching report into the educational system found within Wales. The report, entitled Successful Futures and authored by Professor Graham Donaldson further supports the view of the Welsh Assembly Government that one of the best things about the educational system in Wales is that of the Foundation Phase (Donaldson, 2015).</w:t>
      </w:r>
      <w:r w:rsidR="00C87370" w:rsidRPr="00275915">
        <w:rPr>
          <w:rFonts w:cstheme="minorHAnsi"/>
          <w:shd w:val="clear" w:color="auto" w:fill="FFFFFF"/>
        </w:rPr>
        <w:t xml:space="preserve"> The Successful Futures report further goes onto state that the curriculum as it is currently is “</w:t>
      </w:r>
      <w:r w:rsidR="00C87370" w:rsidRPr="00275915">
        <w:rPr>
          <w:rFonts w:cstheme="minorHAnsi"/>
          <w:i/>
          <w:shd w:val="clear" w:color="auto" w:fill="FFFFFF"/>
        </w:rPr>
        <w:t>defined largely in terms of discrete subjects…</w:t>
      </w:r>
      <w:r w:rsidR="00C87370" w:rsidRPr="00275915">
        <w:rPr>
          <w:rFonts w:cstheme="minorHAnsi"/>
          <w:shd w:val="clear" w:color="auto" w:fill="FFFFFF"/>
        </w:rPr>
        <w:t>” which “</w:t>
      </w:r>
      <w:r w:rsidR="00C87370" w:rsidRPr="00275915">
        <w:rPr>
          <w:rFonts w:cstheme="minorHAnsi"/>
          <w:i/>
          <w:shd w:val="clear" w:color="auto" w:fill="FFFFFF"/>
        </w:rPr>
        <w:t>…can become directly translated into a timetable within which cross-curricular learning can be marginalised</w:t>
      </w:r>
      <w:r w:rsidR="00C87370" w:rsidRPr="00275915">
        <w:rPr>
          <w:rFonts w:cstheme="minorHAnsi"/>
          <w:shd w:val="clear" w:color="auto" w:fill="FFFFFF"/>
        </w:rPr>
        <w:t xml:space="preserve">” (Donaldson, 2015). As a result of the Successful Futures report the Welsh Assembly Government </w:t>
      </w:r>
      <w:r w:rsidR="00413793" w:rsidRPr="00275915">
        <w:rPr>
          <w:rFonts w:cstheme="minorHAnsi"/>
          <w:shd w:val="clear" w:color="auto" w:fill="FFFFFF"/>
        </w:rPr>
        <w:t>have agreed to adopt the findings put forward by Professor Graham Donaldson. This has resulted in the Welsh Assembly Government creating a new curriculum for all pupils in Wales, based along an Areas of Learning and more holistic approach, already found in the Foundation Phase. This new curriculum is due to be rolled out to both primary and secondary schools within Wales in 2022.</w:t>
      </w:r>
    </w:p>
    <w:p w14:paraId="35A2CDF5" w14:textId="41C3EEDE" w:rsidR="0074231E" w:rsidRPr="00275915" w:rsidRDefault="0074231E" w:rsidP="00275915">
      <w:pPr>
        <w:spacing w:after="0" w:line="360" w:lineRule="auto"/>
        <w:rPr>
          <w:rFonts w:cstheme="minorHAnsi"/>
          <w:shd w:val="clear" w:color="auto" w:fill="FFFFFF"/>
        </w:rPr>
      </w:pPr>
    </w:p>
    <w:p w14:paraId="14AFA3B3" w14:textId="2202E6F8" w:rsidR="0074231E" w:rsidRPr="00275915" w:rsidRDefault="00711B1A" w:rsidP="00275915">
      <w:pPr>
        <w:spacing w:after="0" w:line="360" w:lineRule="auto"/>
        <w:rPr>
          <w:rFonts w:cstheme="minorHAnsi"/>
          <w:shd w:val="clear" w:color="auto" w:fill="FFFFFF"/>
        </w:rPr>
      </w:pPr>
      <w:r w:rsidRPr="00275915">
        <w:rPr>
          <w:rFonts w:cstheme="minorHAnsi"/>
          <w:shd w:val="clear" w:color="auto" w:fill="FFFFFF"/>
        </w:rPr>
        <w:t xml:space="preserve">The use of cross-curriculum teaching within the curriculum is not new in Wales. In response to the 2010 Programme for International Student Assessment (PISA) tests, the Welsh Assembly </w:t>
      </w:r>
      <w:r w:rsidRPr="00275915">
        <w:rPr>
          <w:rFonts w:cstheme="minorHAnsi"/>
          <w:shd w:val="clear" w:color="auto" w:fill="FFFFFF"/>
        </w:rPr>
        <w:lastRenderedPageBreak/>
        <w:t>Government were concerned that pupils in Wales were falling behind their contemporaries around the world (Newtown Primary School, date unknown). This concern resulted in the Welsh Assembly Government introducing the Literacy and Numeracy Framework, which was to become a statutory requirement in 2013. The Literacy and Numeracy Framework was introduced “</w:t>
      </w:r>
      <w:r w:rsidRPr="00275915">
        <w:rPr>
          <w:rFonts w:cstheme="minorHAnsi"/>
          <w:i/>
          <w:shd w:val="clear" w:color="auto" w:fill="FFFFFF"/>
        </w:rPr>
        <w:t>to help bring about coherent approaches to developing literacy and numeracy across the curriculum</w:t>
      </w:r>
      <w:r w:rsidRPr="00275915">
        <w:rPr>
          <w:rFonts w:cstheme="minorHAnsi"/>
          <w:shd w:val="clear" w:color="auto" w:fill="FFFFFF"/>
        </w:rPr>
        <w:t>” (Welsh Assembly Government, 2013). The Welsh Assembly Government stated with its introduction of the Literacy and Numeracy Framework</w:t>
      </w:r>
      <w:r w:rsidR="004D46D0" w:rsidRPr="00275915">
        <w:rPr>
          <w:rFonts w:cstheme="minorHAnsi"/>
          <w:shd w:val="clear" w:color="auto" w:fill="FFFFFF"/>
        </w:rPr>
        <w:t xml:space="preserve"> that “</w:t>
      </w:r>
      <w:r w:rsidR="004D46D0" w:rsidRPr="00275915">
        <w:rPr>
          <w:rFonts w:cstheme="minorHAnsi"/>
          <w:i/>
          <w:shd w:val="clear" w:color="auto" w:fill="FFFFFF"/>
        </w:rPr>
        <w:t>literacy and numeracy skills are absolutely essential in order for young people to reach their potential</w:t>
      </w:r>
      <w:r w:rsidR="004D46D0" w:rsidRPr="00275915">
        <w:rPr>
          <w:rFonts w:cstheme="minorHAnsi"/>
          <w:shd w:val="clear" w:color="auto" w:fill="FFFFFF"/>
        </w:rPr>
        <w:t>” (Welsh Assembly Government, 2013). This belief in literacy and numeracy being essential for young people is supported by the Irish Department of Education and Skills who stated, “</w:t>
      </w:r>
      <w:r w:rsidR="004D46D0" w:rsidRPr="00275915">
        <w:rPr>
          <w:rFonts w:cstheme="minorHAnsi"/>
          <w:i/>
          <w:shd w:val="clear" w:color="auto" w:fill="FFFFFF"/>
        </w:rPr>
        <w:t>literacy and numeracy are among the most important life skills that our schools teach</w:t>
      </w:r>
      <w:r w:rsidR="004D46D0" w:rsidRPr="00275915">
        <w:rPr>
          <w:rFonts w:cstheme="minorHAnsi"/>
          <w:shd w:val="clear" w:color="auto" w:fill="FFFFFF"/>
        </w:rPr>
        <w:t>” (Department of Education and Skills, 2011). It is also stated that “</w:t>
      </w:r>
      <w:r w:rsidR="004D46D0" w:rsidRPr="00275915">
        <w:rPr>
          <w:rFonts w:cstheme="minorHAnsi"/>
          <w:i/>
          <w:shd w:val="clear" w:color="auto" w:fill="FFFFFF"/>
        </w:rPr>
        <w:t>literacy and numeracy skills are crucial to a person’s ability to develop fully as an individual…</w:t>
      </w:r>
      <w:r w:rsidR="004D46D0" w:rsidRPr="00275915">
        <w:rPr>
          <w:rFonts w:cstheme="minorHAnsi"/>
          <w:shd w:val="clear" w:color="auto" w:fill="FFFFFF"/>
        </w:rPr>
        <w:t xml:space="preserve">” (Department of Education and Skills, 2011). </w:t>
      </w:r>
    </w:p>
    <w:p w14:paraId="204655F4" w14:textId="77777777" w:rsidR="00275915" w:rsidRPr="00275915" w:rsidRDefault="00275915" w:rsidP="00275915">
      <w:pPr>
        <w:shd w:val="clear" w:color="auto" w:fill="FFFFFF"/>
        <w:spacing w:after="0" w:line="360" w:lineRule="auto"/>
        <w:textAlignment w:val="baseline"/>
        <w:rPr>
          <w:rFonts w:cstheme="minorHAnsi"/>
          <w:shd w:val="clear" w:color="auto" w:fill="FFFFFF"/>
        </w:rPr>
      </w:pPr>
    </w:p>
    <w:p w14:paraId="303189AE" w14:textId="4B34D07C" w:rsidR="00BA7A45" w:rsidRDefault="003A7486" w:rsidP="00275915">
      <w:pPr>
        <w:shd w:val="clear" w:color="auto" w:fill="FFFFFF"/>
        <w:spacing w:after="0" w:line="360" w:lineRule="auto"/>
        <w:textAlignment w:val="baseline"/>
        <w:rPr>
          <w:rFonts w:eastAsia="Times New Roman" w:cstheme="minorHAnsi"/>
          <w:color w:val="2D2D2D"/>
          <w:lang w:eastAsia="en-GB"/>
        </w:rPr>
      </w:pPr>
      <w:r w:rsidRPr="00275915">
        <w:rPr>
          <w:rFonts w:cstheme="minorHAnsi"/>
          <w:shd w:val="clear" w:color="auto" w:fill="FFFFFF"/>
        </w:rPr>
        <w:t>Literacy and numeracy have always been seen as core foundations of the National Curriculum in Wales. However how each has been taught has not always looked the same throughout the years. “</w:t>
      </w:r>
      <w:r w:rsidRPr="00275915">
        <w:rPr>
          <w:rFonts w:cstheme="minorHAnsi"/>
          <w:i/>
          <w:shd w:val="clear" w:color="auto" w:fill="FFFFFF"/>
        </w:rPr>
        <w:t>In the 1990s teachers were advised to teach technical and specialist vocabulary</w:t>
      </w:r>
      <w:r w:rsidRPr="00275915">
        <w:rPr>
          <w:rFonts w:cstheme="minorHAnsi"/>
          <w:shd w:val="clear" w:color="auto" w:fill="FFFFFF"/>
        </w:rPr>
        <w:t>” (Grigg, 2015, p. 170). Within the Literacy and Numeracy Framework both literacy and numeracy have been broken down into a number of areas, known as Strands. These Strands are then in turn broken down into elements and then finally aspects.</w:t>
      </w:r>
      <w:r w:rsidR="00BA7A45" w:rsidRPr="00275915">
        <w:rPr>
          <w:rFonts w:cstheme="minorHAnsi"/>
          <w:shd w:val="clear" w:color="auto" w:fill="FFFFFF"/>
        </w:rPr>
        <w:t xml:space="preserve"> The strands that make up the literacy aspect of the Literacy and Numeracy Framework are oracy across the curriculum, reading across the curriculum and writing across the curriculum. The strands that make up the numeracy side of the Literacy and Numeracy Framework are d</w:t>
      </w:r>
      <w:r w:rsidR="00BA7A45" w:rsidRPr="00275915">
        <w:rPr>
          <w:rFonts w:eastAsia="Times New Roman" w:cstheme="minorHAnsi"/>
          <w:color w:val="2D2D2D"/>
          <w:lang w:eastAsia="en-GB"/>
        </w:rPr>
        <w:t>eveloping numerical reasoning,</w:t>
      </w:r>
      <w:r w:rsidR="00275915" w:rsidRPr="00275915">
        <w:rPr>
          <w:rFonts w:eastAsia="Times New Roman" w:cstheme="minorHAnsi"/>
          <w:color w:val="2D2D2D"/>
          <w:lang w:eastAsia="en-GB"/>
        </w:rPr>
        <w:t xml:space="preserve"> </w:t>
      </w:r>
      <w:r w:rsidR="00BA7A45" w:rsidRPr="00BA7A45">
        <w:rPr>
          <w:rFonts w:eastAsia="Times New Roman" w:cstheme="minorHAnsi"/>
          <w:color w:val="2D2D2D"/>
          <w:lang w:eastAsia="en-GB"/>
        </w:rPr>
        <w:t>using number skills</w:t>
      </w:r>
      <w:r w:rsidR="00275915" w:rsidRPr="00275915">
        <w:rPr>
          <w:rFonts w:eastAsia="Times New Roman" w:cstheme="minorHAnsi"/>
          <w:color w:val="2D2D2D"/>
          <w:lang w:eastAsia="en-GB"/>
        </w:rPr>
        <w:t xml:space="preserve">, </w:t>
      </w:r>
      <w:r w:rsidR="00BA7A45" w:rsidRPr="00BA7A45">
        <w:rPr>
          <w:rFonts w:eastAsia="Times New Roman" w:cstheme="minorHAnsi"/>
          <w:color w:val="2D2D2D"/>
          <w:lang w:eastAsia="en-GB"/>
        </w:rPr>
        <w:t>using measuring skills</w:t>
      </w:r>
      <w:r w:rsidR="00275915" w:rsidRPr="00275915">
        <w:rPr>
          <w:rFonts w:eastAsia="Times New Roman" w:cstheme="minorHAnsi"/>
          <w:color w:val="2D2D2D"/>
          <w:lang w:eastAsia="en-GB"/>
        </w:rPr>
        <w:t xml:space="preserve"> and </w:t>
      </w:r>
      <w:r w:rsidR="00BA7A45" w:rsidRPr="00BA7A45">
        <w:rPr>
          <w:rFonts w:eastAsia="Times New Roman" w:cstheme="minorHAnsi"/>
          <w:color w:val="2D2D2D"/>
          <w:lang w:eastAsia="en-GB"/>
        </w:rPr>
        <w:t>using data skills.</w:t>
      </w:r>
    </w:p>
    <w:p w14:paraId="442EF4B2" w14:textId="586E2DB9" w:rsidR="00275915" w:rsidRDefault="00275915" w:rsidP="00275915">
      <w:pPr>
        <w:shd w:val="clear" w:color="auto" w:fill="FFFFFF"/>
        <w:spacing w:after="0" w:line="360" w:lineRule="auto"/>
        <w:textAlignment w:val="baseline"/>
        <w:rPr>
          <w:rFonts w:eastAsia="Times New Roman" w:cstheme="minorHAnsi"/>
          <w:color w:val="2D2D2D"/>
          <w:lang w:eastAsia="en-GB"/>
        </w:rPr>
      </w:pPr>
    </w:p>
    <w:p w14:paraId="56651DBA" w14:textId="5D94D51B" w:rsidR="00647171" w:rsidRDefault="00275915" w:rsidP="00275915">
      <w:pPr>
        <w:shd w:val="clear" w:color="auto" w:fill="FFFFFF"/>
        <w:spacing w:after="0" w:line="360" w:lineRule="auto"/>
        <w:textAlignment w:val="baseline"/>
        <w:rPr>
          <w:rFonts w:cstheme="minorHAnsi"/>
          <w:shd w:val="clear" w:color="auto" w:fill="FFFFFF"/>
        </w:rPr>
      </w:pPr>
      <w:r>
        <w:rPr>
          <w:rFonts w:eastAsia="Times New Roman" w:cstheme="minorHAnsi"/>
          <w:color w:val="2D2D2D"/>
          <w:lang w:eastAsia="en-GB"/>
        </w:rPr>
        <w:t>The Welsh Assembly Government defines literacy “</w:t>
      </w:r>
      <w:r w:rsidRPr="00275915">
        <w:rPr>
          <w:rFonts w:eastAsia="Times New Roman" w:cstheme="minorHAnsi"/>
          <w:i/>
          <w:color w:val="2D2D2D"/>
          <w:lang w:eastAsia="en-GB"/>
        </w:rPr>
        <w:t xml:space="preserve">as </w:t>
      </w:r>
      <w:r w:rsidRPr="00275915">
        <w:rPr>
          <w:i/>
        </w:rPr>
        <w:t>the use of language skills in daily activities at school, at home, at work, and in the community</w:t>
      </w:r>
      <w:r>
        <w:rPr>
          <w:rFonts w:eastAsia="Times New Roman" w:cstheme="minorHAnsi"/>
          <w:color w:val="2D2D2D"/>
          <w:lang w:eastAsia="en-GB"/>
        </w:rPr>
        <w:t>” (Welsh Assembly Government, 2015b). “</w:t>
      </w:r>
      <w:r w:rsidRPr="00275915">
        <w:rPr>
          <w:i/>
        </w:rPr>
        <w:t>Literacy describes a set of skills, including speaking, listening, reading and writing, which enable us to make sense of the world around us</w:t>
      </w:r>
      <w:r>
        <w:rPr>
          <w:rFonts w:eastAsia="Times New Roman" w:cstheme="minorHAnsi"/>
          <w:color w:val="2D2D2D"/>
          <w:lang w:eastAsia="en-GB"/>
        </w:rPr>
        <w:t>” (Welsh Assembly Government, 2015b)</w:t>
      </w:r>
      <w:r w:rsidR="00FF32DC">
        <w:rPr>
          <w:rFonts w:eastAsia="Times New Roman" w:cstheme="minorHAnsi"/>
          <w:color w:val="2D2D2D"/>
          <w:lang w:eastAsia="en-GB"/>
        </w:rPr>
        <w:t>.</w:t>
      </w:r>
      <w:r w:rsidR="00647171">
        <w:rPr>
          <w:rFonts w:eastAsia="Times New Roman" w:cstheme="minorHAnsi"/>
          <w:color w:val="2D2D2D"/>
          <w:lang w:eastAsia="en-GB"/>
        </w:rPr>
        <w:t xml:space="preserve"> The need for literacy as a cross curriculum responsibility is of vital importance to the development of a child’s education, as well as their ability to fully function within the world of work. “</w:t>
      </w:r>
      <w:r w:rsidR="00647171" w:rsidRPr="00647171">
        <w:rPr>
          <w:rFonts w:cstheme="minorHAnsi"/>
          <w:i/>
          <w:shd w:val="clear" w:color="auto" w:fill="FFFFFF"/>
        </w:rPr>
        <w:t>Lacking vital literacy skills holds a person back at every stage of their life. As a child they won't be able to succeed at school, as a young adult they will be locked out of the job market</w:t>
      </w:r>
      <w:r w:rsidR="00647171">
        <w:rPr>
          <w:rFonts w:ascii="Helvetica" w:hAnsi="Helvetica" w:cs="Helvetica"/>
          <w:sz w:val="25"/>
          <w:szCs w:val="25"/>
          <w:shd w:val="clear" w:color="auto" w:fill="FFFFFF"/>
        </w:rPr>
        <w:t xml:space="preserve">” </w:t>
      </w:r>
      <w:r w:rsidR="00647171">
        <w:rPr>
          <w:rFonts w:cstheme="minorHAnsi"/>
          <w:shd w:val="clear" w:color="auto" w:fill="FFFFFF"/>
        </w:rPr>
        <w:t xml:space="preserve">(National Literacy Trust, date unknown). This effect of literacy in later life is supported by Didau (2014) who states that one in six people living in the </w:t>
      </w:r>
      <w:r w:rsidR="00647171">
        <w:rPr>
          <w:rFonts w:cstheme="minorHAnsi"/>
          <w:shd w:val="clear" w:color="auto" w:fill="FFFFFF"/>
        </w:rPr>
        <w:lastRenderedPageBreak/>
        <w:t xml:space="preserve">United Kingdom struggle with their literacy and that one in sixteen adults can not identify a concert venue on a musical band’s poster despite all the relevant information being present. </w:t>
      </w:r>
    </w:p>
    <w:p w14:paraId="31C0666B" w14:textId="3D25E925" w:rsidR="00E538DE" w:rsidRDefault="00E538DE" w:rsidP="00275915">
      <w:pPr>
        <w:shd w:val="clear" w:color="auto" w:fill="FFFFFF"/>
        <w:spacing w:after="0" w:line="360" w:lineRule="auto"/>
        <w:textAlignment w:val="baseline"/>
        <w:rPr>
          <w:rFonts w:cstheme="minorHAnsi"/>
          <w:shd w:val="clear" w:color="auto" w:fill="FFFFFF"/>
        </w:rPr>
      </w:pPr>
    </w:p>
    <w:p w14:paraId="726DF4D9" w14:textId="743C7F1B" w:rsidR="00E538DE" w:rsidRDefault="00E538DE" w:rsidP="00275915">
      <w:pPr>
        <w:shd w:val="clear" w:color="auto" w:fill="FFFFFF"/>
        <w:spacing w:after="0" w:line="360" w:lineRule="auto"/>
        <w:textAlignment w:val="baseline"/>
        <w:rPr>
          <w:rFonts w:cstheme="minorHAnsi"/>
          <w:shd w:val="clear" w:color="auto" w:fill="FFFFFF"/>
        </w:rPr>
      </w:pPr>
      <w:r>
        <w:rPr>
          <w:rFonts w:cstheme="minorHAnsi"/>
          <w:shd w:val="clear" w:color="auto" w:fill="FFFFFF"/>
        </w:rPr>
        <w:t xml:space="preserve">Alongside literacy </w:t>
      </w:r>
      <w:r w:rsidR="00D07DDD">
        <w:rPr>
          <w:rFonts w:cstheme="minorHAnsi"/>
          <w:shd w:val="clear" w:color="auto" w:fill="FFFFFF"/>
        </w:rPr>
        <w:t>both children and adults throughout the United Kingdom use numeracy throughout their daily lives.</w:t>
      </w:r>
    </w:p>
    <w:p w14:paraId="52E92727" w14:textId="0F1AD97E" w:rsidR="00647171" w:rsidRDefault="00647171" w:rsidP="00275915">
      <w:pPr>
        <w:shd w:val="clear" w:color="auto" w:fill="FFFFFF"/>
        <w:spacing w:after="0" w:line="360" w:lineRule="auto"/>
        <w:textAlignment w:val="baseline"/>
        <w:rPr>
          <w:rFonts w:eastAsia="Times New Roman" w:cstheme="minorHAnsi"/>
          <w:i/>
          <w:color w:val="2D2D2D"/>
          <w:lang w:eastAsia="en-GB"/>
        </w:rPr>
      </w:pPr>
    </w:p>
    <w:p w14:paraId="141664A2" w14:textId="2923CDA4" w:rsidR="00647171" w:rsidRPr="00E538DE" w:rsidRDefault="00E538DE" w:rsidP="00E538DE">
      <w:pPr>
        <w:shd w:val="clear" w:color="auto" w:fill="FFFFFF"/>
        <w:spacing w:after="0" w:line="360" w:lineRule="auto"/>
        <w:ind w:left="720"/>
        <w:textAlignment w:val="baseline"/>
        <w:rPr>
          <w:rFonts w:eastAsia="Times New Roman" w:cstheme="minorHAnsi"/>
          <w:color w:val="2D2D2D"/>
          <w:lang w:eastAsia="en-GB"/>
        </w:rPr>
      </w:pPr>
      <w:r>
        <w:rPr>
          <w:rFonts w:cstheme="minorHAnsi"/>
          <w:color w:val="000000"/>
          <w:shd w:val="clear" w:color="auto" w:fill="FFFFFF"/>
        </w:rPr>
        <w:t>“</w:t>
      </w:r>
      <w:r w:rsidR="00647171" w:rsidRPr="00E538DE">
        <w:rPr>
          <w:rFonts w:cstheme="minorHAnsi"/>
          <w:i/>
          <w:color w:val="000000"/>
          <w:shd w:val="clear" w:color="auto" w:fill="FFFFFF"/>
        </w:rPr>
        <w:t>We use maths in every aspect of our lives at work and in practical everyday activities at home and beyond. We use maths when we go shopping or plan a holiday, decide on a mortgage or decorate a room. Good numeracy is essential to us as parents helping our children learn, as patients understanding health information, as citizens making sense of statistics and economic news. Decisions in life are so often based on numerical information: to make the best choices, we need to be numerate.</w:t>
      </w:r>
      <w:r>
        <w:rPr>
          <w:rFonts w:cstheme="minorHAnsi"/>
          <w:i/>
          <w:color w:val="000000"/>
          <w:shd w:val="clear" w:color="auto" w:fill="FFFFFF"/>
        </w:rPr>
        <w:t xml:space="preserve">” </w:t>
      </w:r>
      <w:r>
        <w:rPr>
          <w:rFonts w:cstheme="minorHAnsi"/>
          <w:color w:val="000000"/>
          <w:shd w:val="clear" w:color="auto" w:fill="FFFFFF"/>
        </w:rPr>
        <w:t>(National Numeracy, date unknown)</w:t>
      </w:r>
    </w:p>
    <w:p w14:paraId="29AFFFBF" w14:textId="77777777" w:rsidR="00275915" w:rsidRPr="00275915" w:rsidRDefault="00275915" w:rsidP="00275915">
      <w:pPr>
        <w:shd w:val="clear" w:color="auto" w:fill="FFFFFF"/>
        <w:spacing w:after="0" w:line="360" w:lineRule="auto"/>
        <w:textAlignment w:val="baseline"/>
        <w:rPr>
          <w:rFonts w:eastAsia="Times New Roman" w:cstheme="minorHAnsi"/>
          <w:color w:val="2D2D2D"/>
          <w:lang w:eastAsia="en-GB"/>
        </w:rPr>
      </w:pPr>
    </w:p>
    <w:p w14:paraId="0582B1FE" w14:textId="455C45C9" w:rsidR="008C54C5" w:rsidRPr="00275915" w:rsidRDefault="003F2490" w:rsidP="00275915">
      <w:pPr>
        <w:spacing w:after="0" w:line="360" w:lineRule="auto"/>
        <w:rPr>
          <w:rFonts w:cstheme="minorHAnsi"/>
          <w:shd w:val="clear" w:color="auto" w:fill="FFFFFF"/>
        </w:rPr>
      </w:pPr>
      <w:r w:rsidRPr="00275915">
        <w:rPr>
          <w:rFonts w:cstheme="minorHAnsi"/>
          <w:shd w:val="clear" w:color="auto" w:fill="FFFFFF"/>
        </w:rPr>
        <w:t xml:space="preserve">As discussed previously, the Welsh Assembly Governments adoption of Professor Graham Donaldson’s Successful Futures report will introduce a new national curriculum to Wales in 2022. One of the of the key aspects of the recommendations put forward by Professor Donaldson in Successful Futures is that as a replacement of the current Literacy and Numeracy Framework, there be an adoption of three cross curricular responsibilities. These three cross curricular responsibilities will be Literacy, Numeracy and Digital Competence. </w:t>
      </w:r>
      <w:r w:rsidR="00883B1A" w:rsidRPr="00275915">
        <w:rPr>
          <w:rFonts w:cstheme="minorHAnsi"/>
          <w:shd w:val="clear" w:color="auto" w:fill="FFFFFF"/>
        </w:rPr>
        <w:t>Both Professor Donaldson and the ICT Steering Group (Arthur et al., 2013) suggest that “</w:t>
      </w:r>
      <w:r w:rsidR="00883B1A" w:rsidRPr="00275915">
        <w:rPr>
          <w:rFonts w:cstheme="minorHAnsi"/>
          <w:i/>
          <w:shd w:val="clear" w:color="auto" w:fill="FFFFFF"/>
        </w:rPr>
        <w:t>digital competence is increasingly fundamental to learning and life and that it should have similar status within the curriculum to that of literacy and numeracy</w:t>
      </w:r>
      <w:r w:rsidR="00883B1A" w:rsidRPr="00275915">
        <w:rPr>
          <w:rFonts w:cstheme="minorHAnsi"/>
          <w:shd w:val="clear" w:color="auto" w:fill="FFFFFF"/>
        </w:rPr>
        <w:t>” (</w:t>
      </w:r>
      <w:r w:rsidR="00710BD2" w:rsidRPr="00275915">
        <w:rPr>
          <w:rFonts w:cstheme="minorHAnsi"/>
          <w:shd w:val="clear" w:color="auto" w:fill="FFFFFF"/>
        </w:rPr>
        <w:t xml:space="preserve">Donaldson, 2015). </w:t>
      </w:r>
      <w:r w:rsidR="008C54C5" w:rsidRPr="00275915">
        <w:rPr>
          <w:rFonts w:cstheme="minorHAnsi"/>
          <w:shd w:val="clear" w:color="auto" w:fill="FFFFFF"/>
        </w:rPr>
        <w:t xml:space="preserve"> To understand the importance of digital competence in todays society it is important to understand what is meant by the term digital competence, which is often described elsewhere as digitally literate. </w:t>
      </w:r>
    </w:p>
    <w:p w14:paraId="63CDF351" w14:textId="77777777" w:rsidR="008C54C5" w:rsidRPr="00275915" w:rsidRDefault="008C54C5" w:rsidP="00275915">
      <w:pPr>
        <w:spacing w:after="0" w:line="360" w:lineRule="auto"/>
        <w:rPr>
          <w:rFonts w:cstheme="minorHAnsi"/>
          <w:shd w:val="clear" w:color="auto" w:fill="FFFFFF"/>
        </w:rPr>
      </w:pPr>
    </w:p>
    <w:p w14:paraId="6D8C5D19" w14:textId="6C86A10C" w:rsidR="0079743C" w:rsidRPr="00275915" w:rsidRDefault="008C54C5" w:rsidP="00275915">
      <w:pPr>
        <w:spacing w:after="0" w:line="360" w:lineRule="auto"/>
        <w:ind w:left="720"/>
        <w:rPr>
          <w:rFonts w:cstheme="minorHAnsi"/>
        </w:rPr>
      </w:pPr>
      <w:r w:rsidRPr="00275915">
        <w:rPr>
          <w:rFonts w:cstheme="minorHAnsi"/>
          <w:shd w:val="clear" w:color="auto" w:fill="FFFFFF"/>
        </w:rPr>
        <w:t>“</w:t>
      </w:r>
      <w:r w:rsidRPr="00275915">
        <w:rPr>
          <w:rFonts w:cstheme="minorHAnsi"/>
          <w:i/>
        </w:rPr>
        <w:t xml:space="preserve">Digital literacy is an important entitlement for all young people in an increasingly digital culture. It furnishes children and young people with the skills, knowledge and understanding that will help them to take a full and active part in social, cultural, economic, civic and intellectual life now and in the future. To be digitally literate is to have access to a broad range of practices and cultural resources that you are able to apply to digital tools. It is the ability to make and share meaning in different modes and formats; to create, collaborate and communicate effectively and to understand how and when digital technologies can best be used to support these processes.” </w:t>
      </w:r>
      <w:r w:rsidRPr="00275915">
        <w:rPr>
          <w:rFonts w:cstheme="minorHAnsi"/>
        </w:rPr>
        <w:t xml:space="preserve">(FutureLab, 2010). </w:t>
      </w:r>
    </w:p>
    <w:p w14:paraId="03DD352F" w14:textId="77777777" w:rsidR="00BA7A45" w:rsidRPr="00275915" w:rsidRDefault="00BA7A45" w:rsidP="00275915">
      <w:pPr>
        <w:spacing w:after="0" w:line="360" w:lineRule="auto"/>
        <w:ind w:left="720"/>
        <w:rPr>
          <w:rFonts w:cstheme="minorHAnsi"/>
        </w:rPr>
      </w:pPr>
    </w:p>
    <w:p w14:paraId="0986E673" w14:textId="522550D9" w:rsidR="0079743C" w:rsidRPr="00275915" w:rsidRDefault="0079743C" w:rsidP="00275915">
      <w:pPr>
        <w:spacing w:after="0" w:line="360" w:lineRule="auto"/>
        <w:rPr>
          <w:rFonts w:cstheme="minorHAnsi"/>
        </w:rPr>
      </w:pPr>
      <w:r w:rsidRPr="00275915">
        <w:rPr>
          <w:rFonts w:cstheme="minorHAnsi"/>
        </w:rPr>
        <w:lastRenderedPageBreak/>
        <w:t>Children today are living in an increasingly digital world, “</w:t>
      </w:r>
      <w:r w:rsidRPr="00275915">
        <w:rPr>
          <w:rFonts w:cstheme="minorHAnsi"/>
          <w:i/>
        </w:rPr>
        <w:t xml:space="preserve">Over the past decade digital technologies have become embedded in popular culture…Websites such as YouTube and Wikipedia are the first port of call for many people seeking information about a chosen area of interest.” </w:t>
      </w:r>
      <w:r w:rsidRPr="00275915">
        <w:rPr>
          <w:rFonts w:cstheme="minorHAnsi"/>
        </w:rPr>
        <w:t>(FutureLab, 2010). As such pupils will require a deeper understanding as well as a deeper knowledge of both hardware and software that previous generations did not. This will especially be the case when those children who are currently in education enter the world of work, “</w:t>
      </w:r>
      <w:r w:rsidRPr="00275915">
        <w:rPr>
          <w:rFonts w:cstheme="minorHAnsi"/>
          <w:i/>
        </w:rPr>
        <w:t>The ability to use digital technology skills creatively is an increasingly common feature of the modern workplace</w:t>
      </w:r>
      <w:r w:rsidRPr="00275915">
        <w:rPr>
          <w:rFonts w:cstheme="minorHAnsi"/>
        </w:rPr>
        <w:t>” (Donaldson, 2015). JISC (2014) argue that there are seven elements of digital literacy</w:t>
      </w:r>
      <w:r w:rsidR="00086A3F" w:rsidRPr="00275915">
        <w:rPr>
          <w:rFonts w:cstheme="minorHAnsi"/>
        </w:rPr>
        <w:t>. These seven elements are media literacy, information literacy, communications and collaboration, digital scholarship, career and identity management, learning skills and finally ICT literacy.</w:t>
      </w:r>
      <w:r w:rsidR="00D619C0" w:rsidRPr="00275915">
        <w:rPr>
          <w:rFonts w:cstheme="minorHAnsi"/>
        </w:rPr>
        <w:t xml:space="preserve"> </w:t>
      </w:r>
    </w:p>
    <w:p w14:paraId="7C9B68F9" w14:textId="711717FB" w:rsidR="00D82050" w:rsidRPr="00275915" w:rsidRDefault="00D82050" w:rsidP="00275915">
      <w:pPr>
        <w:spacing w:after="0" w:line="360" w:lineRule="auto"/>
        <w:rPr>
          <w:rFonts w:cstheme="minorHAnsi"/>
          <w:i/>
        </w:rPr>
      </w:pPr>
    </w:p>
    <w:p w14:paraId="1DFFFE62" w14:textId="19AF8AF2" w:rsidR="00D82050" w:rsidRDefault="00D82050" w:rsidP="00275915">
      <w:pPr>
        <w:spacing w:after="0" w:line="360" w:lineRule="auto"/>
        <w:rPr>
          <w:rFonts w:cstheme="minorHAnsi"/>
        </w:rPr>
      </w:pPr>
      <w:r w:rsidRPr="00275915">
        <w:rPr>
          <w:rFonts w:cstheme="minorHAnsi"/>
        </w:rPr>
        <w:t xml:space="preserve">Currently the use of digital competence as a cross curricular aspect of the current National Curriculum is highly dependant on a number of various factors. One key factor affecting this is the cost and availability of hardware. In the writer’s experiences of Professional Teaching Practice in both Year 1 and Year 2 </w:t>
      </w:r>
      <w:r w:rsidR="003A472F" w:rsidRPr="00275915">
        <w:rPr>
          <w:rFonts w:cstheme="minorHAnsi"/>
        </w:rPr>
        <w:t>pupils’</w:t>
      </w:r>
      <w:r w:rsidRPr="00275915">
        <w:rPr>
          <w:rFonts w:cstheme="minorHAnsi"/>
        </w:rPr>
        <w:t xml:space="preserve"> ability to access hardware, which could be used to further their digital literacy is highly dependent on the availability of said products within the school. Products such as </w:t>
      </w:r>
      <w:r w:rsidR="006D33D1" w:rsidRPr="00275915">
        <w:rPr>
          <w:rFonts w:cstheme="minorHAnsi"/>
        </w:rPr>
        <w:t>I pads</w:t>
      </w:r>
      <w:r w:rsidRPr="00275915">
        <w:rPr>
          <w:rFonts w:cstheme="minorHAnsi"/>
        </w:rPr>
        <w:t xml:space="preserve"> and laptops can often be expensive with the amount of ICT within a school being highly </w:t>
      </w:r>
      <w:r w:rsidR="003A472F" w:rsidRPr="00275915">
        <w:rPr>
          <w:rFonts w:cstheme="minorHAnsi"/>
        </w:rPr>
        <w:t>dependent</w:t>
      </w:r>
      <w:r w:rsidRPr="00275915">
        <w:rPr>
          <w:rFonts w:cstheme="minorHAnsi"/>
        </w:rPr>
        <w:t xml:space="preserve"> on the </w:t>
      </w:r>
      <w:r w:rsidR="003A472F" w:rsidRPr="00275915">
        <w:rPr>
          <w:rFonts w:cstheme="minorHAnsi"/>
        </w:rPr>
        <w:t>school’s</w:t>
      </w:r>
      <w:r w:rsidRPr="00275915">
        <w:rPr>
          <w:rFonts w:cstheme="minorHAnsi"/>
        </w:rPr>
        <w:t xml:space="preserve"> budget.</w:t>
      </w:r>
      <w:r w:rsidR="003A472F" w:rsidRPr="00275915">
        <w:rPr>
          <w:rFonts w:cstheme="minorHAnsi"/>
        </w:rPr>
        <w:t xml:space="preserve"> Qualifications Wales (2018) states that the level of funding for ICT within school budgets often equates to a few hundred pounds, and as such is only adequate to purchase basic hardware.</w:t>
      </w:r>
      <w:r w:rsidR="00413D3F" w:rsidRPr="00275915">
        <w:rPr>
          <w:rFonts w:cstheme="minorHAnsi"/>
        </w:rPr>
        <w:t xml:space="preserve"> Another aspect which </w:t>
      </w:r>
      <w:r w:rsidR="00A579CD" w:rsidRPr="00275915">
        <w:rPr>
          <w:rFonts w:cstheme="minorHAnsi"/>
        </w:rPr>
        <w:t>affects the use of digital competence as a cross curricular aspect of the current National Curriculum is the subject knowledge of the teacher themselves. Pupils often have a far greater benefit to their learning when their teachers own subject knowledge is sound. “</w:t>
      </w:r>
      <w:r w:rsidR="00A579CD" w:rsidRPr="00275915">
        <w:rPr>
          <w:rFonts w:cstheme="minorHAnsi"/>
          <w:i/>
        </w:rPr>
        <w:t xml:space="preserve">Teacher subject knowledge exerts a statistically and quantitatively significant impact on </w:t>
      </w:r>
      <w:r w:rsidR="00D46F48" w:rsidRPr="00275915">
        <w:rPr>
          <w:rFonts w:cstheme="minorHAnsi"/>
          <w:i/>
        </w:rPr>
        <w:t>student’s</w:t>
      </w:r>
      <w:r w:rsidR="00A579CD" w:rsidRPr="00275915">
        <w:rPr>
          <w:rFonts w:cstheme="minorHAnsi"/>
          <w:i/>
        </w:rPr>
        <w:t xml:space="preserve"> achievement” </w:t>
      </w:r>
      <w:r w:rsidR="00A579CD" w:rsidRPr="00275915">
        <w:rPr>
          <w:rFonts w:cstheme="minorHAnsi"/>
        </w:rPr>
        <w:t>(Metzler and Woessmann, 2010).</w:t>
      </w:r>
    </w:p>
    <w:p w14:paraId="6FBEB6A5" w14:textId="0271B84E" w:rsidR="00E00D4C" w:rsidRDefault="00E00D4C" w:rsidP="00275915">
      <w:pPr>
        <w:spacing w:after="0" w:line="360" w:lineRule="auto"/>
        <w:rPr>
          <w:rFonts w:cstheme="minorHAnsi"/>
        </w:rPr>
      </w:pPr>
    </w:p>
    <w:p w14:paraId="5FB82C3A" w14:textId="20AAAE57" w:rsidR="00E00D4C" w:rsidRPr="00275915" w:rsidRDefault="00E00D4C" w:rsidP="00275915">
      <w:pPr>
        <w:spacing w:after="0" w:line="360" w:lineRule="auto"/>
        <w:rPr>
          <w:rFonts w:cstheme="minorHAnsi"/>
        </w:rPr>
      </w:pPr>
      <w:r>
        <w:rPr>
          <w:rFonts w:cstheme="minorHAnsi"/>
        </w:rPr>
        <w:t xml:space="preserve">As we have seen throughout this essay the teaching </w:t>
      </w:r>
      <w:r w:rsidR="006D33D1">
        <w:rPr>
          <w:rFonts w:cstheme="minorHAnsi"/>
        </w:rPr>
        <w:t xml:space="preserve">of literacy and numeracy as cross curricular responsibilities is deeply ingrained within the Welsh curriculum. However, with the growing importance and access to technological products becoming more of a daily occurrence, the introduction of digital competence as a third cross curriculum responsibility, has not yet had opportunity to become part of everyday teaching in Wales. This in turn means that the effects of digital competence throughout the curriculum has yet to be fully seen. </w:t>
      </w:r>
    </w:p>
    <w:p w14:paraId="4FA0FC11" w14:textId="6DF2EC05" w:rsidR="005576E1" w:rsidRPr="00275915" w:rsidRDefault="005576E1" w:rsidP="00275915">
      <w:pPr>
        <w:spacing w:after="0" w:line="360" w:lineRule="auto"/>
        <w:rPr>
          <w:rFonts w:cstheme="minorHAnsi"/>
        </w:rPr>
      </w:pPr>
    </w:p>
    <w:p w14:paraId="21B9A720" w14:textId="77777777" w:rsidR="00650F7C" w:rsidRDefault="006D33D1" w:rsidP="00275915">
      <w:pPr>
        <w:spacing w:after="0" w:line="360" w:lineRule="auto"/>
        <w:rPr>
          <w:rFonts w:cstheme="minorHAnsi"/>
        </w:rPr>
      </w:pPr>
      <w:r>
        <w:rPr>
          <w:rFonts w:cstheme="minorHAnsi"/>
        </w:rPr>
        <w:t xml:space="preserve">When used correctly cross-curricular teaching can result in benefits to students of all attainment levels as well as in different ways (National Teachers Research Panel, 2010). Good cross-curricular </w:t>
      </w:r>
      <w:r>
        <w:rPr>
          <w:rFonts w:cstheme="minorHAnsi"/>
        </w:rPr>
        <w:lastRenderedPageBreak/>
        <w:t xml:space="preserve">teaching will also allow pupils to make connections with what they are learning to their real life experiences. </w:t>
      </w:r>
      <w:r w:rsidR="00F86658">
        <w:rPr>
          <w:rStyle w:val="Emphasis"/>
          <w:color w:val="000000"/>
          <w:sz w:val="27"/>
          <w:szCs w:val="27"/>
        </w:rPr>
        <w:t> </w:t>
      </w:r>
      <w:r w:rsidR="00F77F99">
        <w:rPr>
          <w:rStyle w:val="Emphasis"/>
          <w:i w:val="0"/>
          <w:color w:val="000000"/>
          <w:sz w:val="27"/>
          <w:szCs w:val="27"/>
        </w:rPr>
        <w:t>“</w:t>
      </w:r>
      <w:r w:rsidR="00F86658" w:rsidRPr="00F77F99">
        <w:rPr>
          <w:rStyle w:val="Emphasis"/>
          <w:color w:val="000000"/>
        </w:rPr>
        <w:t>Knowing how something is put together is worth a thousand facts about it. It permits you to go beyond it.”  (</w:t>
      </w:r>
      <w:r w:rsidR="00F77F99">
        <w:rPr>
          <w:rStyle w:val="Emphasis"/>
          <w:i w:val="0"/>
          <w:color w:val="000000"/>
        </w:rPr>
        <w:t xml:space="preserve">Bruner, </w:t>
      </w:r>
      <w:r w:rsidR="00F86658" w:rsidRPr="00F77F99">
        <w:rPr>
          <w:color w:val="000000"/>
        </w:rPr>
        <w:t>1984, p. 183.)</w:t>
      </w:r>
      <w:r w:rsidR="00F86658" w:rsidRPr="00F77F99">
        <w:rPr>
          <w:rFonts w:cstheme="minorHAnsi"/>
        </w:rPr>
        <w:t xml:space="preserve">  </w:t>
      </w:r>
    </w:p>
    <w:p w14:paraId="303A97C1" w14:textId="77777777" w:rsidR="00650F7C" w:rsidRDefault="00650F7C" w:rsidP="00275915">
      <w:pPr>
        <w:spacing w:after="0" w:line="360" w:lineRule="auto"/>
        <w:rPr>
          <w:rFonts w:cstheme="minorHAnsi"/>
        </w:rPr>
      </w:pPr>
    </w:p>
    <w:p w14:paraId="0E3A9B91" w14:textId="77777777" w:rsidR="00650F7C" w:rsidRDefault="00650F7C" w:rsidP="00275915">
      <w:pPr>
        <w:spacing w:after="0" w:line="360" w:lineRule="auto"/>
        <w:rPr>
          <w:rFonts w:cstheme="minorHAnsi"/>
        </w:rPr>
      </w:pPr>
      <w:r>
        <w:rPr>
          <w:rFonts w:cstheme="minorHAnsi"/>
        </w:rPr>
        <w:t>However, it is important to remember that the teaching of the three cross curricular responsibilities should not be done just for the sake of teaching in a cross curricular way. This form of tokenistic cross curricular teaching does not allow for any meaningful and genuine connections to be made and as a result only benefits the pupils learning in a single area (Barnes, 2015).</w:t>
      </w:r>
      <w:r w:rsidR="00F86658" w:rsidRPr="00F77F99">
        <w:rPr>
          <w:rFonts w:cstheme="minorHAnsi"/>
        </w:rPr>
        <w:t xml:space="preserve">     </w:t>
      </w:r>
    </w:p>
    <w:p w14:paraId="2B2FB240" w14:textId="77777777" w:rsidR="00650F7C" w:rsidRDefault="00650F7C" w:rsidP="00275915">
      <w:pPr>
        <w:spacing w:after="0" w:line="360" w:lineRule="auto"/>
        <w:rPr>
          <w:rFonts w:cstheme="minorHAnsi"/>
        </w:rPr>
      </w:pPr>
    </w:p>
    <w:p w14:paraId="3A52BE55" w14:textId="25EDAFBB" w:rsidR="005576E1" w:rsidRPr="00275915" w:rsidRDefault="00650F7C" w:rsidP="00275915">
      <w:pPr>
        <w:spacing w:after="0" w:line="360" w:lineRule="auto"/>
        <w:rPr>
          <w:rFonts w:cstheme="minorHAnsi"/>
        </w:rPr>
      </w:pPr>
      <w:r>
        <w:rPr>
          <w:rFonts w:cstheme="minorHAnsi"/>
        </w:rPr>
        <w:t xml:space="preserve">From the </w:t>
      </w:r>
      <w:proofErr w:type="gramStart"/>
      <w:r>
        <w:rPr>
          <w:rFonts w:cstheme="minorHAnsi"/>
        </w:rPr>
        <w:t>writers</w:t>
      </w:r>
      <w:proofErr w:type="gramEnd"/>
      <w:r>
        <w:rPr>
          <w:rFonts w:cstheme="minorHAnsi"/>
        </w:rPr>
        <w:t xml:space="preserve"> own experience, effective cross curricular teaching and the use of the three cross curricular responsibilities requires the engagement of </w:t>
      </w:r>
      <w:r w:rsidR="000E1065">
        <w:rPr>
          <w:rFonts w:cstheme="minorHAnsi"/>
        </w:rPr>
        <w:t>all stakeholders within the school. If there is no buy-in from senior management, it can not always be expected for individual class teachers to show an enthusiasm to its use. A further influence on the successful use of literacy, numeracy and digital competence is the subject knowledge of the class teacher, if the teachers own knowledge is less than sound then it can not be fully expected that their pupils will gain the full benefits of the use of the three cross curricular responsibilities. A final influence on their use, especially in the case of digital competence is the availability of resources, as well as funds. It is often difficult for teachers to teach their pupils how to be digitally competent when they are unable to provide practical examples of how to be so.</w:t>
      </w:r>
      <w:r w:rsidR="00F86658" w:rsidRPr="00F77F99">
        <w:rPr>
          <w:rFonts w:cstheme="minorHAnsi"/>
        </w:rPr>
        <w:t xml:space="preserve">                                                                                                                                                                                                                                                                                                                                                                                                                                                                                                                                                                 </w:t>
      </w:r>
    </w:p>
    <w:p w14:paraId="6450E0DE" w14:textId="0DCF7E1E" w:rsidR="005576E1" w:rsidRPr="00275915" w:rsidRDefault="005576E1" w:rsidP="00275915">
      <w:pPr>
        <w:spacing w:after="0" w:line="360" w:lineRule="auto"/>
        <w:rPr>
          <w:rFonts w:cstheme="minorHAnsi"/>
        </w:rPr>
      </w:pPr>
    </w:p>
    <w:p w14:paraId="6C25F3BA" w14:textId="07041492" w:rsidR="005576E1" w:rsidRPr="00275915" w:rsidRDefault="005576E1" w:rsidP="00275915">
      <w:pPr>
        <w:spacing w:after="0" w:line="360" w:lineRule="auto"/>
        <w:rPr>
          <w:rFonts w:cstheme="minorHAnsi"/>
        </w:rPr>
      </w:pPr>
    </w:p>
    <w:p w14:paraId="4295CB07" w14:textId="079AA8E8" w:rsidR="005576E1" w:rsidRPr="00275915" w:rsidRDefault="005576E1" w:rsidP="00275915">
      <w:pPr>
        <w:spacing w:after="0" w:line="360" w:lineRule="auto"/>
        <w:rPr>
          <w:rFonts w:cstheme="minorHAnsi"/>
        </w:rPr>
      </w:pPr>
    </w:p>
    <w:p w14:paraId="0E5D5156" w14:textId="2D061614" w:rsidR="005576E1" w:rsidRPr="00275915" w:rsidRDefault="005576E1" w:rsidP="00275915">
      <w:pPr>
        <w:spacing w:after="0" w:line="360" w:lineRule="auto"/>
        <w:rPr>
          <w:rFonts w:cstheme="minorHAnsi"/>
        </w:rPr>
      </w:pPr>
    </w:p>
    <w:p w14:paraId="65B95DE7" w14:textId="77777777" w:rsidR="005072E3" w:rsidRDefault="005072E3" w:rsidP="00275915">
      <w:pPr>
        <w:spacing w:after="0" w:line="360" w:lineRule="auto"/>
        <w:jc w:val="center"/>
        <w:rPr>
          <w:rFonts w:cstheme="minorHAnsi"/>
          <w:b/>
          <w:u w:val="single"/>
        </w:rPr>
      </w:pPr>
    </w:p>
    <w:p w14:paraId="257E1F09" w14:textId="77777777" w:rsidR="005072E3" w:rsidRDefault="005072E3" w:rsidP="00275915">
      <w:pPr>
        <w:spacing w:after="0" w:line="360" w:lineRule="auto"/>
        <w:jc w:val="center"/>
        <w:rPr>
          <w:rFonts w:cstheme="minorHAnsi"/>
          <w:b/>
          <w:u w:val="single"/>
        </w:rPr>
      </w:pPr>
    </w:p>
    <w:p w14:paraId="33DDF996" w14:textId="77777777" w:rsidR="005072E3" w:rsidRDefault="005072E3" w:rsidP="00275915">
      <w:pPr>
        <w:spacing w:after="0" w:line="360" w:lineRule="auto"/>
        <w:jc w:val="center"/>
        <w:rPr>
          <w:rFonts w:cstheme="minorHAnsi"/>
          <w:b/>
          <w:u w:val="single"/>
        </w:rPr>
      </w:pPr>
    </w:p>
    <w:p w14:paraId="126E42A1" w14:textId="77777777" w:rsidR="005072E3" w:rsidRDefault="005072E3" w:rsidP="00275915">
      <w:pPr>
        <w:spacing w:after="0" w:line="360" w:lineRule="auto"/>
        <w:jc w:val="center"/>
        <w:rPr>
          <w:rFonts w:cstheme="minorHAnsi"/>
          <w:b/>
          <w:u w:val="single"/>
        </w:rPr>
      </w:pPr>
    </w:p>
    <w:p w14:paraId="0CB48875" w14:textId="77777777" w:rsidR="005072E3" w:rsidRDefault="005072E3" w:rsidP="00275915">
      <w:pPr>
        <w:spacing w:after="0" w:line="360" w:lineRule="auto"/>
        <w:jc w:val="center"/>
        <w:rPr>
          <w:rFonts w:cstheme="minorHAnsi"/>
          <w:b/>
          <w:u w:val="single"/>
        </w:rPr>
      </w:pPr>
    </w:p>
    <w:p w14:paraId="2C5BA2C1" w14:textId="77777777" w:rsidR="005072E3" w:rsidRDefault="005072E3" w:rsidP="00275915">
      <w:pPr>
        <w:spacing w:after="0" w:line="360" w:lineRule="auto"/>
        <w:jc w:val="center"/>
        <w:rPr>
          <w:rFonts w:cstheme="minorHAnsi"/>
          <w:b/>
          <w:u w:val="single"/>
        </w:rPr>
      </w:pPr>
    </w:p>
    <w:p w14:paraId="01C40C5F" w14:textId="77777777" w:rsidR="005072E3" w:rsidRDefault="005072E3" w:rsidP="00275915">
      <w:pPr>
        <w:spacing w:after="0" w:line="360" w:lineRule="auto"/>
        <w:jc w:val="center"/>
        <w:rPr>
          <w:rFonts w:cstheme="minorHAnsi"/>
          <w:b/>
          <w:u w:val="single"/>
        </w:rPr>
      </w:pPr>
    </w:p>
    <w:p w14:paraId="09B75E23" w14:textId="77777777" w:rsidR="005072E3" w:rsidRDefault="005072E3" w:rsidP="00275915">
      <w:pPr>
        <w:spacing w:after="0" w:line="360" w:lineRule="auto"/>
        <w:jc w:val="center"/>
        <w:rPr>
          <w:rFonts w:cstheme="minorHAnsi"/>
          <w:b/>
          <w:u w:val="single"/>
        </w:rPr>
      </w:pPr>
    </w:p>
    <w:p w14:paraId="3DA1C473" w14:textId="77777777" w:rsidR="005072E3" w:rsidRDefault="005072E3" w:rsidP="00275915">
      <w:pPr>
        <w:spacing w:after="0" w:line="360" w:lineRule="auto"/>
        <w:jc w:val="center"/>
        <w:rPr>
          <w:rFonts w:cstheme="minorHAnsi"/>
          <w:b/>
          <w:u w:val="single"/>
        </w:rPr>
      </w:pPr>
    </w:p>
    <w:p w14:paraId="76CAC7E4" w14:textId="77777777" w:rsidR="005072E3" w:rsidRDefault="005072E3" w:rsidP="00275915">
      <w:pPr>
        <w:spacing w:after="0" w:line="360" w:lineRule="auto"/>
        <w:jc w:val="center"/>
        <w:rPr>
          <w:rFonts w:cstheme="minorHAnsi"/>
          <w:b/>
          <w:u w:val="single"/>
        </w:rPr>
      </w:pPr>
    </w:p>
    <w:p w14:paraId="6D3B6A98" w14:textId="77777777" w:rsidR="005072E3" w:rsidRDefault="005072E3" w:rsidP="00275915">
      <w:pPr>
        <w:spacing w:after="0" w:line="360" w:lineRule="auto"/>
        <w:jc w:val="center"/>
        <w:rPr>
          <w:rFonts w:cstheme="minorHAnsi"/>
          <w:b/>
          <w:u w:val="single"/>
        </w:rPr>
      </w:pPr>
    </w:p>
    <w:p w14:paraId="68CB3502" w14:textId="1B7549A6" w:rsidR="00D46F48" w:rsidRPr="00275915" w:rsidRDefault="005576E1" w:rsidP="00275915">
      <w:pPr>
        <w:spacing w:after="0" w:line="360" w:lineRule="auto"/>
        <w:jc w:val="center"/>
        <w:rPr>
          <w:rFonts w:cstheme="minorHAnsi"/>
          <w:b/>
          <w:u w:val="single"/>
        </w:rPr>
      </w:pPr>
      <w:r w:rsidRPr="00275915">
        <w:rPr>
          <w:rFonts w:cstheme="minorHAnsi"/>
          <w:b/>
          <w:u w:val="single"/>
        </w:rPr>
        <w:lastRenderedPageBreak/>
        <w:t>References</w:t>
      </w:r>
    </w:p>
    <w:p w14:paraId="3F2A136F" w14:textId="4C385C6B" w:rsidR="005576E1" w:rsidRPr="00275915" w:rsidRDefault="005576E1" w:rsidP="00275915">
      <w:pPr>
        <w:spacing w:after="0" w:line="360" w:lineRule="auto"/>
        <w:jc w:val="center"/>
        <w:rPr>
          <w:rFonts w:cstheme="minorHAnsi"/>
          <w:b/>
          <w:u w:val="single"/>
        </w:rPr>
      </w:pPr>
    </w:p>
    <w:p w14:paraId="1B4354CD" w14:textId="2A7B6DD4" w:rsidR="00756908" w:rsidRDefault="00756908" w:rsidP="00275915">
      <w:pPr>
        <w:spacing w:after="0" w:line="360" w:lineRule="auto"/>
        <w:rPr>
          <w:rFonts w:cstheme="minorHAnsi"/>
        </w:rPr>
      </w:pPr>
      <w:r w:rsidRPr="00275915">
        <w:rPr>
          <w:rFonts w:cstheme="minorHAnsi"/>
        </w:rPr>
        <w:t xml:space="preserve">Barnes, J. (2015) </w:t>
      </w:r>
      <w:r w:rsidRPr="00275915">
        <w:rPr>
          <w:rFonts w:cstheme="minorHAnsi"/>
          <w:i/>
        </w:rPr>
        <w:t>Cross-curricular Learning 3-14</w:t>
      </w:r>
      <w:r w:rsidRPr="00275915">
        <w:rPr>
          <w:rFonts w:cstheme="minorHAnsi"/>
        </w:rPr>
        <w:t>. 3</w:t>
      </w:r>
      <w:r w:rsidRPr="00275915">
        <w:rPr>
          <w:rFonts w:cstheme="minorHAnsi"/>
          <w:vertAlign w:val="superscript"/>
        </w:rPr>
        <w:t>rd</w:t>
      </w:r>
      <w:r w:rsidRPr="00275915">
        <w:rPr>
          <w:rFonts w:cstheme="minorHAnsi"/>
        </w:rPr>
        <w:t xml:space="preserve"> edn. London: Sage Publications</w:t>
      </w:r>
    </w:p>
    <w:p w14:paraId="5C313023" w14:textId="66108B8D" w:rsidR="000E1065" w:rsidRDefault="000E1065" w:rsidP="00275915">
      <w:pPr>
        <w:spacing w:after="0" w:line="360" w:lineRule="auto"/>
        <w:rPr>
          <w:rFonts w:cstheme="minorHAnsi"/>
        </w:rPr>
      </w:pPr>
    </w:p>
    <w:p w14:paraId="23C67C16" w14:textId="1F013FC8" w:rsidR="000E1065" w:rsidRPr="005072E3" w:rsidRDefault="005072E3" w:rsidP="00275915">
      <w:pPr>
        <w:spacing w:after="0" w:line="360" w:lineRule="auto"/>
        <w:rPr>
          <w:rFonts w:cstheme="minorHAnsi"/>
        </w:rPr>
      </w:pPr>
      <w:r>
        <w:rPr>
          <w:rFonts w:cstheme="minorHAnsi"/>
        </w:rPr>
        <w:t xml:space="preserve">Bruner, J. (1984) </w:t>
      </w:r>
      <w:r>
        <w:rPr>
          <w:rFonts w:cstheme="minorHAnsi"/>
          <w:i/>
        </w:rPr>
        <w:t>In Search of Mind: Essays in Autobiography</w:t>
      </w:r>
      <w:r>
        <w:rPr>
          <w:rFonts w:cstheme="minorHAnsi"/>
        </w:rPr>
        <w:t xml:space="preserve">. New York: HarperCollins </w:t>
      </w:r>
    </w:p>
    <w:p w14:paraId="514CC782" w14:textId="77777777" w:rsidR="00756908" w:rsidRPr="00275915" w:rsidRDefault="00756908" w:rsidP="00275915">
      <w:pPr>
        <w:spacing w:after="0" w:line="360" w:lineRule="auto"/>
        <w:rPr>
          <w:rFonts w:cstheme="minorHAnsi"/>
        </w:rPr>
      </w:pPr>
    </w:p>
    <w:p w14:paraId="011904EF" w14:textId="0DF88C37" w:rsidR="00756908" w:rsidRDefault="00756908" w:rsidP="00275915">
      <w:pPr>
        <w:spacing w:after="0" w:line="360" w:lineRule="auto"/>
        <w:rPr>
          <w:rFonts w:cstheme="minorHAnsi"/>
        </w:rPr>
      </w:pPr>
      <w:r w:rsidRPr="00275915">
        <w:rPr>
          <w:rFonts w:cstheme="minorHAnsi"/>
        </w:rPr>
        <w:t xml:space="preserve">Department of Education and Skills. (2011). </w:t>
      </w:r>
      <w:r w:rsidRPr="00275915">
        <w:rPr>
          <w:rFonts w:cstheme="minorHAnsi"/>
          <w:i/>
        </w:rPr>
        <w:t>Literacy and Numeracy for Learning and Life</w:t>
      </w:r>
      <w:r w:rsidRPr="00275915">
        <w:rPr>
          <w:rFonts w:cstheme="minorHAnsi"/>
        </w:rPr>
        <w:t>. Available at: https://www.education.ie/en/Publications/Policy-Reports/lit_num_strategy_full.pdf (Accessed on: 10</w:t>
      </w:r>
      <w:r w:rsidRPr="00275915">
        <w:rPr>
          <w:rFonts w:cstheme="minorHAnsi"/>
          <w:vertAlign w:val="superscript"/>
        </w:rPr>
        <w:t>th</w:t>
      </w:r>
      <w:r w:rsidRPr="00275915">
        <w:rPr>
          <w:rFonts w:cstheme="minorHAnsi"/>
        </w:rPr>
        <w:t xml:space="preserve"> December 2018)</w:t>
      </w:r>
    </w:p>
    <w:p w14:paraId="1327C212" w14:textId="774CE6D5" w:rsidR="005072E3" w:rsidRDefault="005072E3" w:rsidP="00275915">
      <w:pPr>
        <w:spacing w:after="0" w:line="360" w:lineRule="auto"/>
        <w:rPr>
          <w:rFonts w:cstheme="minorHAnsi"/>
        </w:rPr>
      </w:pPr>
    </w:p>
    <w:p w14:paraId="5C405F5B" w14:textId="3B717E73" w:rsidR="005072E3" w:rsidRPr="005072E3" w:rsidRDefault="005072E3" w:rsidP="00275915">
      <w:pPr>
        <w:spacing w:after="0" w:line="360" w:lineRule="auto"/>
        <w:rPr>
          <w:rFonts w:cstheme="minorHAnsi"/>
        </w:rPr>
      </w:pPr>
      <w:r>
        <w:rPr>
          <w:rFonts w:cstheme="minorHAnsi"/>
        </w:rPr>
        <w:t xml:space="preserve">Didau, D. (2014) </w:t>
      </w:r>
      <w:r>
        <w:rPr>
          <w:rFonts w:cstheme="minorHAnsi"/>
          <w:i/>
        </w:rPr>
        <w:t>The Secret Literacy</w:t>
      </w:r>
      <w:r>
        <w:rPr>
          <w:rFonts w:cstheme="minorHAnsi"/>
        </w:rPr>
        <w:t>. Carmarthen: Crown House Publishing</w:t>
      </w:r>
    </w:p>
    <w:p w14:paraId="408B333E" w14:textId="77777777" w:rsidR="00756908" w:rsidRPr="00275915" w:rsidRDefault="00756908" w:rsidP="00275915">
      <w:pPr>
        <w:spacing w:after="0" w:line="360" w:lineRule="auto"/>
        <w:rPr>
          <w:rFonts w:cstheme="minorHAnsi"/>
        </w:rPr>
      </w:pPr>
    </w:p>
    <w:p w14:paraId="37DEEABD" w14:textId="098EA637" w:rsidR="00756908" w:rsidRPr="00275915" w:rsidRDefault="00756908" w:rsidP="00275915">
      <w:pPr>
        <w:spacing w:after="0" w:line="360" w:lineRule="auto"/>
        <w:rPr>
          <w:rFonts w:cstheme="minorHAnsi"/>
        </w:rPr>
      </w:pPr>
      <w:r w:rsidRPr="00275915">
        <w:rPr>
          <w:rFonts w:cstheme="minorHAnsi"/>
        </w:rPr>
        <w:t xml:space="preserve">Donaldson, G. (2015) </w:t>
      </w:r>
      <w:r w:rsidRPr="00275915">
        <w:rPr>
          <w:rFonts w:cstheme="minorHAnsi"/>
          <w:i/>
        </w:rPr>
        <w:t>Successful Futures</w:t>
      </w:r>
      <w:r w:rsidRPr="00275915">
        <w:rPr>
          <w:rFonts w:cstheme="minorHAnsi"/>
        </w:rPr>
        <w:t>. Welsh Assembly Government: Cardiff</w:t>
      </w:r>
    </w:p>
    <w:p w14:paraId="3B78548F" w14:textId="77777777" w:rsidR="00756908" w:rsidRPr="00275915" w:rsidRDefault="00756908" w:rsidP="00275915">
      <w:pPr>
        <w:spacing w:after="0" w:line="360" w:lineRule="auto"/>
        <w:rPr>
          <w:rFonts w:cstheme="minorHAnsi"/>
        </w:rPr>
      </w:pPr>
    </w:p>
    <w:p w14:paraId="7DE02B0D" w14:textId="3739B242" w:rsidR="00756908" w:rsidRPr="00275915" w:rsidRDefault="00756908" w:rsidP="00275915">
      <w:pPr>
        <w:spacing w:after="0" w:line="360" w:lineRule="auto"/>
        <w:rPr>
          <w:rFonts w:cstheme="minorHAnsi"/>
        </w:rPr>
      </w:pPr>
      <w:r w:rsidRPr="00275915">
        <w:rPr>
          <w:rFonts w:cstheme="minorHAnsi"/>
        </w:rPr>
        <w:t>Evaluating the Foundation Phase: Final Report, (2015a), Welsh Assembly Government: Cardiff.</w:t>
      </w:r>
    </w:p>
    <w:p w14:paraId="3AAF1409" w14:textId="77777777" w:rsidR="00756908" w:rsidRPr="00275915" w:rsidRDefault="00756908" w:rsidP="00275915">
      <w:pPr>
        <w:spacing w:after="0" w:line="360" w:lineRule="auto"/>
        <w:rPr>
          <w:rFonts w:cstheme="minorHAnsi"/>
          <w:i/>
        </w:rPr>
      </w:pPr>
    </w:p>
    <w:p w14:paraId="1BE08796" w14:textId="4A76628A" w:rsidR="00756908" w:rsidRPr="00275915" w:rsidRDefault="00756908" w:rsidP="00275915">
      <w:pPr>
        <w:spacing w:after="0" w:line="360" w:lineRule="auto"/>
        <w:rPr>
          <w:rFonts w:cstheme="minorHAnsi"/>
        </w:rPr>
      </w:pPr>
      <w:r w:rsidRPr="00275915">
        <w:rPr>
          <w:rFonts w:cstheme="minorHAnsi"/>
          <w:i/>
        </w:rPr>
        <w:t>Foundation Phase Framework</w:t>
      </w:r>
      <w:r w:rsidRPr="00275915">
        <w:rPr>
          <w:rFonts w:cstheme="minorHAnsi"/>
        </w:rPr>
        <w:t>, (2015b), Welsh Assembly Government: Cardiff</w:t>
      </w:r>
    </w:p>
    <w:p w14:paraId="41420F12" w14:textId="77777777" w:rsidR="00756908" w:rsidRPr="00275915" w:rsidRDefault="00756908" w:rsidP="00275915">
      <w:pPr>
        <w:spacing w:after="0" w:line="360" w:lineRule="auto"/>
        <w:rPr>
          <w:rFonts w:cstheme="minorHAnsi"/>
        </w:rPr>
      </w:pPr>
    </w:p>
    <w:p w14:paraId="0FBE54B2" w14:textId="1250CFD6" w:rsidR="00756908" w:rsidRPr="00275915" w:rsidRDefault="00756908" w:rsidP="00275915">
      <w:pPr>
        <w:spacing w:after="0" w:line="360" w:lineRule="auto"/>
        <w:rPr>
          <w:rFonts w:cstheme="minorHAnsi"/>
        </w:rPr>
      </w:pPr>
      <w:r w:rsidRPr="00275915">
        <w:rPr>
          <w:rFonts w:cstheme="minorHAnsi"/>
        </w:rPr>
        <w:t xml:space="preserve">FutureLab. (2010). </w:t>
      </w:r>
      <w:r w:rsidRPr="00275915">
        <w:rPr>
          <w:rFonts w:cstheme="minorHAnsi"/>
          <w:i/>
        </w:rPr>
        <w:t>Digital Literacy Across the Curriculum</w:t>
      </w:r>
      <w:r w:rsidRPr="00275915">
        <w:rPr>
          <w:rFonts w:cstheme="minorHAnsi"/>
        </w:rPr>
        <w:t>. Available at: https://www.nfer.ac.uk/publications/FUTL06/FUTL06.pdf (Accessed on: 9</w:t>
      </w:r>
      <w:r w:rsidRPr="00275915">
        <w:rPr>
          <w:rFonts w:cstheme="minorHAnsi"/>
          <w:vertAlign w:val="superscript"/>
        </w:rPr>
        <w:t>th</w:t>
      </w:r>
      <w:r w:rsidRPr="00275915">
        <w:rPr>
          <w:rFonts w:cstheme="minorHAnsi"/>
        </w:rPr>
        <w:t xml:space="preserve"> December 2018</w:t>
      </w:r>
    </w:p>
    <w:p w14:paraId="728DF17E" w14:textId="77777777" w:rsidR="00756908" w:rsidRPr="00275915" w:rsidRDefault="00756908" w:rsidP="00275915">
      <w:pPr>
        <w:spacing w:after="0" w:line="360" w:lineRule="auto"/>
        <w:rPr>
          <w:rFonts w:cstheme="minorHAnsi"/>
        </w:rPr>
      </w:pPr>
    </w:p>
    <w:p w14:paraId="13C3E3EB" w14:textId="1E490693" w:rsidR="00756908" w:rsidRPr="00275915" w:rsidRDefault="00756908" w:rsidP="00275915">
      <w:pPr>
        <w:spacing w:after="0" w:line="360" w:lineRule="auto"/>
        <w:rPr>
          <w:rFonts w:cstheme="minorHAnsi"/>
        </w:rPr>
      </w:pPr>
      <w:r w:rsidRPr="00275915">
        <w:rPr>
          <w:rFonts w:cstheme="minorHAnsi"/>
        </w:rPr>
        <w:t xml:space="preserve">Grigg, R. (2015). </w:t>
      </w:r>
      <w:r w:rsidRPr="00275915">
        <w:rPr>
          <w:rFonts w:cstheme="minorHAnsi"/>
          <w:i/>
        </w:rPr>
        <w:t>Becoming an Outstanding Primary School Teacher</w:t>
      </w:r>
      <w:r w:rsidRPr="00275915">
        <w:rPr>
          <w:rFonts w:cstheme="minorHAnsi"/>
        </w:rPr>
        <w:t>. 2</w:t>
      </w:r>
      <w:r w:rsidRPr="00275915">
        <w:rPr>
          <w:rFonts w:cstheme="minorHAnsi"/>
          <w:vertAlign w:val="superscript"/>
        </w:rPr>
        <w:t>nd</w:t>
      </w:r>
      <w:r w:rsidRPr="00275915">
        <w:rPr>
          <w:rFonts w:cstheme="minorHAnsi"/>
        </w:rPr>
        <w:t xml:space="preserve"> edn. Oxon: Routledge</w:t>
      </w:r>
    </w:p>
    <w:p w14:paraId="4C091EB7" w14:textId="77777777" w:rsidR="00756908" w:rsidRPr="00275915" w:rsidRDefault="00756908" w:rsidP="00275915">
      <w:pPr>
        <w:spacing w:after="0" w:line="360" w:lineRule="auto"/>
        <w:rPr>
          <w:rFonts w:cstheme="minorHAnsi"/>
        </w:rPr>
      </w:pPr>
    </w:p>
    <w:p w14:paraId="5D0B6B23" w14:textId="69A0772E" w:rsidR="00756908" w:rsidRPr="00275915" w:rsidRDefault="00756908" w:rsidP="00275915">
      <w:pPr>
        <w:spacing w:after="0" w:line="360" w:lineRule="auto"/>
        <w:rPr>
          <w:rFonts w:cstheme="minorHAnsi"/>
        </w:rPr>
      </w:pPr>
      <w:r w:rsidRPr="00275915">
        <w:rPr>
          <w:rFonts w:cstheme="minorHAnsi"/>
        </w:rPr>
        <w:t xml:space="preserve">Hayes, D. (2010) ‘The Seductive Charm of a Cross-curricular Approach’, </w:t>
      </w:r>
      <w:r w:rsidRPr="00275915">
        <w:rPr>
          <w:rFonts w:cstheme="minorHAnsi"/>
          <w:i/>
        </w:rPr>
        <w:t>Education 3-13</w:t>
      </w:r>
      <w:r w:rsidRPr="00275915">
        <w:rPr>
          <w:rFonts w:cstheme="minorHAnsi"/>
        </w:rPr>
        <w:t>, 38:4, pp.381-387.</w:t>
      </w:r>
    </w:p>
    <w:p w14:paraId="42BDBF5A" w14:textId="77777777" w:rsidR="00756908" w:rsidRPr="00275915" w:rsidRDefault="00756908" w:rsidP="00275915">
      <w:pPr>
        <w:spacing w:after="0" w:line="360" w:lineRule="auto"/>
        <w:rPr>
          <w:rFonts w:cstheme="minorHAnsi"/>
        </w:rPr>
      </w:pPr>
    </w:p>
    <w:p w14:paraId="1A1A0378" w14:textId="14EC27C0" w:rsidR="00756908" w:rsidRPr="00275915" w:rsidRDefault="00756908" w:rsidP="00275915">
      <w:pPr>
        <w:spacing w:after="0" w:line="360" w:lineRule="auto"/>
        <w:rPr>
          <w:rFonts w:cstheme="minorHAnsi"/>
        </w:rPr>
      </w:pPr>
      <w:r w:rsidRPr="00275915">
        <w:rPr>
          <w:rFonts w:cstheme="minorHAnsi"/>
        </w:rPr>
        <w:t xml:space="preserve">JISC. (2014). </w:t>
      </w:r>
      <w:r w:rsidRPr="00275915">
        <w:rPr>
          <w:rFonts w:cstheme="minorHAnsi"/>
          <w:i/>
        </w:rPr>
        <w:t>Developing Digital Literacies.</w:t>
      </w:r>
      <w:r w:rsidRPr="00275915">
        <w:rPr>
          <w:rFonts w:cstheme="minorHAnsi"/>
        </w:rPr>
        <w:t xml:space="preserve"> Available at: https://www.jisc.ac.uk/full-guide/developing-digital-literacies (Accessed on: 11</w:t>
      </w:r>
      <w:r w:rsidRPr="00275915">
        <w:rPr>
          <w:rFonts w:cstheme="minorHAnsi"/>
          <w:vertAlign w:val="superscript"/>
        </w:rPr>
        <w:t>th</w:t>
      </w:r>
      <w:r w:rsidRPr="00275915">
        <w:rPr>
          <w:rFonts w:cstheme="minorHAnsi"/>
        </w:rPr>
        <w:t xml:space="preserve"> December 2018)</w:t>
      </w:r>
    </w:p>
    <w:p w14:paraId="57D10CD5" w14:textId="77777777" w:rsidR="00756908" w:rsidRPr="00275915" w:rsidRDefault="00756908" w:rsidP="00275915">
      <w:pPr>
        <w:spacing w:after="0" w:line="360" w:lineRule="auto"/>
        <w:rPr>
          <w:rFonts w:cstheme="minorHAnsi"/>
        </w:rPr>
      </w:pPr>
    </w:p>
    <w:p w14:paraId="7303DFB1" w14:textId="2A8CEC16" w:rsidR="00756908" w:rsidRDefault="00756908" w:rsidP="00275915">
      <w:pPr>
        <w:spacing w:after="0" w:line="360" w:lineRule="auto"/>
        <w:rPr>
          <w:rFonts w:cstheme="minorHAnsi"/>
        </w:rPr>
      </w:pPr>
      <w:r w:rsidRPr="00275915">
        <w:rPr>
          <w:rFonts w:cstheme="minorHAnsi"/>
        </w:rPr>
        <w:t xml:space="preserve">Metzler, J and Woessmann, L. (2010). </w:t>
      </w:r>
      <w:r w:rsidRPr="00275915">
        <w:rPr>
          <w:rFonts w:cstheme="minorHAnsi"/>
          <w:i/>
        </w:rPr>
        <w:t>The Impact of Teacher Subject Knowledge on Student Achievement: Evidence from Within Teacher Within-Student Variation</w:t>
      </w:r>
      <w:r w:rsidRPr="00275915">
        <w:rPr>
          <w:rFonts w:cstheme="minorHAnsi"/>
        </w:rPr>
        <w:t>. Available at: https://www.econstor.eu/bitstream/10419/38928/1/630874581.pdf Accessed on: 12</w:t>
      </w:r>
      <w:r w:rsidRPr="00275915">
        <w:rPr>
          <w:rFonts w:cstheme="minorHAnsi"/>
          <w:vertAlign w:val="superscript"/>
        </w:rPr>
        <w:t>th</w:t>
      </w:r>
      <w:r w:rsidRPr="00275915">
        <w:rPr>
          <w:rFonts w:cstheme="minorHAnsi"/>
        </w:rPr>
        <w:t xml:space="preserve"> December 2018)</w:t>
      </w:r>
    </w:p>
    <w:p w14:paraId="7B49CF3F" w14:textId="59A09A1F" w:rsidR="005072E3" w:rsidRDefault="005072E3" w:rsidP="00275915">
      <w:pPr>
        <w:spacing w:after="0" w:line="360" w:lineRule="auto"/>
        <w:rPr>
          <w:rFonts w:cstheme="minorHAnsi"/>
        </w:rPr>
      </w:pPr>
    </w:p>
    <w:p w14:paraId="01458962" w14:textId="3BCAC692" w:rsidR="005072E3" w:rsidRDefault="005072E3" w:rsidP="00275915">
      <w:pPr>
        <w:spacing w:after="0" w:line="360" w:lineRule="auto"/>
        <w:rPr>
          <w:rFonts w:cstheme="minorHAnsi"/>
        </w:rPr>
      </w:pPr>
      <w:r>
        <w:rPr>
          <w:rFonts w:cstheme="minorHAnsi"/>
        </w:rPr>
        <w:lastRenderedPageBreak/>
        <w:t xml:space="preserve">National Literacy Trust. (Date unknown). </w:t>
      </w:r>
      <w:r>
        <w:rPr>
          <w:rFonts w:cstheme="minorHAnsi"/>
          <w:i/>
        </w:rPr>
        <w:t>What is Literacy?</w:t>
      </w:r>
      <w:r>
        <w:rPr>
          <w:rFonts w:cstheme="minorHAnsi"/>
        </w:rPr>
        <w:t xml:space="preserve">. Available at: </w:t>
      </w:r>
      <w:r w:rsidRPr="005072E3">
        <w:rPr>
          <w:rFonts w:cstheme="minorHAnsi"/>
        </w:rPr>
        <w:t>https://literacytrust.org.uk/information/what-is-literacy/</w:t>
      </w:r>
      <w:r>
        <w:rPr>
          <w:rFonts w:cstheme="minorHAnsi"/>
        </w:rPr>
        <w:t xml:space="preserve"> (Accessed on: 11</w:t>
      </w:r>
      <w:r w:rsidRPr="005072E3">
        <w:rPr>
          <w:rFonts w:cstheme="minorHAnsi"/>
          <w:vertAlign w:val="superscript"/>
        </w:rPr>
        <w:t>th</w:t>
      </w:r>
      <w:r>
        <w:rPr>
          <w:rFonts w:cstheme="minorHAnsi"/>
        </w:rPr>
        <w:t xml:space="preserve"> December 2018)</w:t>
      </w:r>
    </w:p>
    <w:p w14:paraId="61B971ED" w14:textId="22547D5F" w:rsidR="005072E3" w:rsidRDefault="005072E3" w:rsidP="00275915">
      <w:pPr>
        <w:spacing w:after="0" w:line="360" w:lineRule="auto"/>
        <w:rPr>
          <w:rFonts w:cstheme="minorHAnsi"/>
        </w:rPr>
      </w:pPr>
    </w:p>
    <w:p w14:paraId="1E5A6B0C" w14:textId="666DA4A8" w:rsidR="005072E3" w:rsidRDefault="005072E3" w:rsidP="00275915">
      <w:pPr>
        <w:spacing w:after="0" w:line="360" w:lineRule="auto"/>
        <w:rPr>
          <w:rFonts w:cstheme="minorHAnsi"/>
        </w:rPr>
      </w:pPr>
      <w:r>
        <w:rPr>
          <w:rFonts w:cstheme="minorHAnsi"/>
        </w:rPr>
        <w:t xml:space="preserve">National Numeracy. (Date unknown). </w:t>
      </w:r>
      <w:r>
        <w:rPr>
          <w:rFonts w:cstheme="minorHAnsi"/>
          <w:i/>
        </w:rPr>
        <w:t xml:space="preserve">Why is numeracy important?. </w:t>
      </w:r>
      <w:r>
        <w:rPr>
          <w:rFonts w:cstheme="minorHAnsi"/>
        </w:rPr>
        <w:t xml:space="preserve">Available at: </w:t>
      </w:r>
      <w:r w:rsidRPr="005072E3">
        <w:rPr>
          <w:rFonts w:cstheme="minorHAnsi"/>
        </w:rPr>
        <w:t>https://www.nationalnumeracy.org.uk/why-numeracy-important</w:t>
      </w:r>
      <w:r>
        <w:rPr>
          <w:rFonts w:cstheme="minorHAnsi"/>
        </w:rPr>
        <w:t xml:space="preserve"> (Accessed on: 12</w:t>
      </w:r>
      <w:r w:rsidRPr="005072E3">
        <w:rPr>
          <w:rFonts w:cstheme="minorHAnsi"/>
          <w:vertAlign w:val="superscript"/>
        </w:rPr>
        <w:t>th</w:t>
      </w:r>
      <w:r>
        <w:rPr>
          <w:rFonts w:cstheme="minorHAnsi"/>
        </w:rPr>
        <w:t xml:space="preserve"> December 2018)</w:t>
      </w:r>
    </w:p>
    <w:p w14:paraId="1752AFA1" w14:textId="5A286ADC" w:rsidR="005072E3" w:rsidRDefault="005072E3" w:rsidP="00275915">
      <w:pPr>
        <w:spacing w:after="0" w:line="360" w:lineRule="auto"/>
        <w:rPr>
          <w:rFonts w:cstheme="minorHAnsi"/>
        </w:rPr>
      </w:pPr>
    </w:p>
    <w:p w14:paraId="5B985CAD" w14:textId="559D6974" w:rsidR="005072E3" w:rsidRPr="005072E3" w:rsidRDefault="005072E3" w:rsidP="00275915">
      <w:pPr>
        <w:spacing w:after="0" w:line="360" w:lineRule="auto"/>
        <w:rPr>
          <w:rFonts w:cstheme="minorHAnsi"/>
        </w:rPr>
      </w:pPr>
      <w:r>
        <w:t>National Teacher Research Panel</w:t>
      </w:r>
      <w:r>
        <w:t xml:space="preserve">. (2010). </w:t>
      </w:r>
      <w:r w:rsidRPr="005072E3">
        <w:rPr>
          <w:i/>
        </w:rPr>
        <w:t>What are the benefits for teaching and learning of cross-curricular work using thinking skills, techniques and language?</w:t>
      </w:r>
      <w:r>
        <w:rPr>
          <w:i/>
        </w:rPr>
        <w:t xml:space="preserve">. </w:t>
      </w:r>
      <w:r>
        <w:t xml:space="preserve">Available at: </w:t>
      </w:r>
      <w:r w:rsidRPr="005072E3">
        <w:t>http://www.curee.co.uk/files/RMHolyRosary/Resources/What_are_the_benefits_for_teaching_and_learning_of_cross_curricular_work.pdf</w:t>
      </w:r>
      <w:r>
        <w:t xml:space="preserve"> (Accessed on: 13</w:t>
      </w:r>
      <w:r w:rsidRPr="005072E3">
        <w:rPr>
          <w:vertAlign w:val="superscript"/>
        </w:rPr>
        <w:t>th</w:t>
      </w:r>
      <w:r>
        <w:t xml:space="preserve"> December 2018)</w:t>
      </w:r>
    </w:p>
    <w:p w14:paraId="3A2B966A" w14:textId="77777777" w:rsidR="005072E3" w:rsidRDefault="005072E3" w:rsidP="00275915">
      <w:pPr>
        <w:spacing w:after="0" w:line="360" w:lineRule="auto"/>
        <w:rPr>
          <w:rFonts w:cstheme="minorHAnsi"/>
        </w:rPr>
      </w:pPr>
    </w:p>
    <w:p w14:paraId="76A985FA" w14:textId="12E36F25" w:rsidR="00756908" w:rsidRPr="00275915" w:rsidRDefault="00756908" w:rsidP="00275915">
      <w:pPr>
        <w:spacing w:after="0" w:line="360" w:lineRule="auto"/>
        <w:rPr>
          <w:rFonts w:cstheme="minorHAnsi"/>
        </w:rPr>
      </w:pPr>
      <w:r w:rsidRPr="00275915">
        <w:rPr>
          <w:rFonts w:cstheme="minorHAnsi"/>
        </w:rPr>
        <w:t xml:space="preserve">Newton Primary School. (Date unknown). </w:t>
      </w:r>
      <w:r w:rsidRPr="00275915">
        <w:rPr>
          <w:rFonts w:cstheme="minorHAnsi"/>
          <w:i/>
        </w:rPr>
        <w:t>Welsh Literacy and Numeracy Framework (LNF</w:t>
      </w:r>
      <w:r w:rsidRPr="00275915">
        <w:rPr>
          <w:rFonts w:cstheme="minorHAnsi"/>
        </w:rPr>
        <w:t>). Available at: https://www.uwtsd.ac.uk/media/uwtsd-website/content-assets/documents/library-and-learning-resources/infoskills/harvard-eng.PDF (Accessed on: 10</w:t>
      </w:r>
      <w:r w:rsidRPr="00275915">
        <w:rPr>
          <w:rFonts w:cstheme="minorHAnsi"/>
          <w:vertAlign w:val="superscript"/>
        </w:rPr>
        <w:t>th</w:t>
      </w:r>
      <w:r w:rsidRPr="00275915">
        <w:rPr>
          <w:rFonts w:cstheme="minorHAnsi"/>
        </w:rPr>
        <w:t xml:space="preserve"> December 2018).</w:t>
      </w:r>
    </w:p>
    <w:p w14:paraId="7A9A6ED2" w14:textId="77777777" w:rsidR="005072E3" w:rsidRDefault="005072E3" w:rsidP="00275915">
      <w:pPr>
        <w:spacing w:after="0" w:line="360" w:lineRule="auto"/>
        <w:rPr>
          <w:rFonts w:cstheme="minorHAnsi"/>
        </w:rPr>
      </w:pPr>
    </w:p>
    <w:p w14:paraId="6085D19D" w14:textId="35362E49" w:rsidR="00756908" w:rsidRPr="00275915" w:rsidRDefault="00756908" w:rsidP="00275915">
      <w:pPr>
        <w:spacing w:after="0" w:line="360" w:lineRule="auto"/>
        <w:rPr>
          <w:rFonts w:cstheme="minorHAnsi"/>
        </w:rPr>
      </w:pPr>
      <w:bookmarkStart w:id="0" w:name="_GoBack"/>
      <w:bookmarkEnd w:id="0"/>
      <w:r w:rsidRPr="00275915">
        <w:rPr>
          <w:rFonts w:cstheme="minorHAnsi"/>
        </w:rPr>
        <w:t xml:space="preserve">Paton, G. (2013) ‘Coalition attacked over ‘atomised’ National Curriculum’, </w:t>
      </w:r>
      <w:r w:rsidRPr="00275915">
        <w:rPr>
          <w:rFonts w:cstheme="minorHAnsi"/>
          <w:i/>
        </w:rPr>
        <w:t>The Telegraph</w:t>
      </w:r>
      <w:r w:rsidRPr="00275915">
        <w:rPr>
          <w:rFonts w:cstheme="minorHAnsi"/>
        </w:rPr>
        <w:t>, 16</w:t>
      </w:r>
      <w:r w:rsidRPr="00275915">
        <w:rPr>
          <w:rFonts w:cstheme="minorHAnsi"/>
          <w:vertAlign w:val="superscript"/>
        </w:rPr>
        <w:t>th</w:t>
      </w:r>
      <w:r w:rsidRPr="00275915">
        <w:rPr>
          <w:rFonts w:cstheme="minorHAnsi"/>
        </w:rPr>
        <w:t xml:space="preserve"> April. Available at: https://www.telegraph.co.uk/education/educationnews/9995800/Coalition-attacked-over-atomised-National-Curriculum.html (Accessed 10th December 2018)</w:t>
      </w:r>
    </w:p>
    <w:p w14:paraId="5B40E9D2" w14:textId="77777777" w:rsidR="00756908" w:rsidRPr="00275915" w:rsidRDefault="00756908" w:rsidP="00275915">
      <w:pPr>
        <w:spacing w:after="0" w:line="360" w:lineRule="auto"/>
        <w:rPr>
          <w:rFonts w:cstheme="minorHAnsi"/>
        </w:rPr>
      </w:pPr>
    </w:p>
    <w:p w14:paraId="08C74F60" w14:textId="258E32D5" w:rsidR="00756908" w:rsidRPr="00275915" w:rsidRDefault="00756908" w:rsidP="00275915">
      <w:pPr>
        <w:spacing w:after="0" w:line="360" w:lineRule="auto"/>
        <w:rPr>
          <w:rFonts w:cstheme="minorHAnsi"/>
        </w:rPr>
      </w:pPr>
      <w:r w:rsidRPr="00275915">
        <w:rPr>
          <w:rFonts w:cstheme="minorHAnsi"/>
        </w:rPr>
        <w:t xml:space="preserve">Pound, L. (2014) </w:t>
      </w:r>
      <w:r w:rsidRPr="00275915">
        <w:rPr>
          <w:rFonts w:cstheme="minorHAnsi"/>
          <w:i/>
        </w:rPr>
        <w:t xml:space="preserve">How Children Learn. </w:t>
      </w:r>
      <w:r w:rsidRPr="00275915">
        <w:rPr>
          <w:rFonts w:cstheme="minorHAnsi"/>
        </w:rPr>
        <w:t>London: Practical Pre-School Books</w:t>
      </w:r>
    </w:p>
    <w:p w14:paraId="7B66EFB6" w14:textId="77777777" w:rsidR="00756908" w:rsidRPr="00275915" w:rsidRDefault="00756908" w:rsidP="00275915">
      <w:pPr>
        <w:spacing w:after="0" w:line="360" w:lineRule="auto"/>
        <w:rPr>
          <w:rFonts w:cstheme="minorHAnsi"/>
        </w:rPr>
      </w:pPr>
    </w:p>
    <w:p w14:paraId="613CD975" w14:textId="64571253" w:rsidR="00756908" w:rsidRPr="00275915" w:rsidRDefault="00756908" w:rsidP="00275915">
      <w:pPr>
        <w:spacing w:after="0" w:line="360" w:lineRule="auto"/>
        <w:rPr>
          <w:rFonts w:cstheme="minorHAnsi"/>
        </w:rPr>
      </w:pPr>
      <w:r w:rsidRPr="00275915">
        <w:rPr>
          <w:rFonts w:cstheme="minorHAnsi"/>
        </w:rPr>
        <w:t xml:space="preserve">Qualifications Wales. (2018). </w:t>
      </w:r>
      <w:r w:rsidRPr="00275915">
        <w:rPr>
          <w:rFonts w:cstheme="minorHAnsi"/>
          <w:i/>
        </w:rPr>
        <w:t>Delivering Digital</w:t>
      </w:r>
      <w:r w:rsidRPr="00275915">
        <w:rPr>
          <w:rFonts w:cstheme="minorHAnsi"/>
        </w:rPr>
        <w:t>. Available at: https://www.qualificationswales.org/media/4044/itc-review-2018-e.pdf (Accessed on: 11</w:t>
      </w:r>
      <w:r w:rsidRPr="00275915">
        <w:rPr>
          <w:rFonts w:cstheme="minorHAnsi"/>
          <w:vertAlign w:val="superscript"/>
        </w:rPr>
        <w:t>th</w:t>
      </w:r>
      <w:r w:rsidRPr="00275915">
        <w:rPr>
          <w:rFonts w:cstheme="minorHAnsi"/>
        </w:rPr>
        <w:t xml:space="preserve"> December 2018)</w:t>
      </w:r>
    </w:p>
    <w:p w14:paraId="265A90DA" w14:textId="77777777" w:rsidR="00756908" w:rsidRPr="00275915" w:rsidRDefault="00756908" w:rsidP="00275915">
      <w:pPr>
        <w:spacing w:after="0" w:line="360" w:lineRule="auto"/>
        <w:rPr>
          <w:rFonts w:cstheme="minorHAnsi"/>
        </w:rPr>
      </w:pPr>
    </w:p>
    <w:p w14:paraId="766F578F" w14:textId="37071918" w:rsidR="00756908" w:rsidRPr="00275915" w:rsidRDefault="00756908" w:rsidP="00275915">
      <w:pPr>
        <w:spacing w:after="0" w:line="360" w:lineRule="auto"/>
        <w:rPr>
          <w:rFonts w:cstheme="minorHAnsi"/>
          <w:bCs/>
          <w:color w:val="444444"/>
        </w:rPr>
      </w:pPr>
      <w:r w:rsidRPr="00275915">
        <w:rPr>
          <w:rFonts w:cstheme="minorHAnsi"/>
        </w:rPr>
        <w:t xml:space="preserve">Savage, J. (2010) </w:t>
      </w:r>
      <w:r w:rsidRPr="00275915">
        <w:rPr>
          <w:rFonts w:cstheme="minorHAnsi"/>
          <w:i/>
          <w:color w:val="444444"/>
        </w:rPr>
        <w:t>Cross-curricular teaching and learning 5: Definitions</w:t>
      </w:r>
      <w:r w:rsidRPr="00275915">
        <w:rPr>
          <w:rFonts w:cstheme="minorHAnsi"/>
          <w:b/>
          <w:bCs/>
          <w:i/>
          <w:color w:val="444444"/>
        </w:rPr>
        <w:t xml:space="preserve">. </w:t>
      </w:r>
      <w:r w:rsidRPr="00275915">
        <w:rPr>
          <w:rFonts w:cstheme="minorHAnsi"/>
          <w:bCs/>
          <w:color w:val="444444"/>
        </w:rPr>
        <w:t>Available at:</w:t>
      </w:r>
      <w:r w:rsidRPr="00275915">
        <w:rPr>
          <w:rFonts w:cstheme="minorHAnsi"/>
          <w:b/>
          <w:bCs/>
          <w:color w:val="444444"/>
        </w:rPr>
        <w:t xml:space="preserve"> </w:t>
      </w:r>
      <w:r w:rsidRPr="00275915">
        <w:rPr>
          <w:rFonts w:cstheme="minorHAnsi"/>
          <w:color w:val="444444"/>
        </w:rPr>
        <w:t>http://www.jsavage.org.uk/research/cross-curricular-teaching-and-learning-5-definitions/</w:t>
      </w:r>
      <w:r w:rsidRPr="00275915">
        <w:rPr>
          <w:rFonts w:cstheme="minorHAnsi"/>
          <w:b/>
          <w:bCs/>
          <w:color w:val="444444"/>
        </w:rPr>
        <w:t xml:space="preserve"> </w:t>
      </w:r>
      <w:r w:rsidRPr="00275915">
        <w:rPr>
          <w:rFonts w:cstheme="minorHAnsi"/>
          <w:bCs/>
          <w:color w:val="444444"/>
        </w:rPr>
        <w:t>(Accessed: 9 December 2018).</w:t>
      </w:r>
    </w:p>
    <w:p w14:paraId="21C9D998" w14:textId="77777777" w:rsidR="00756908" w:rsidRPr="00275915" w:rsidRDefault="00756908" w:rsidP="00275915">
      <w:pPr>
        <w:spacing w:after="0" w:line="360" w:lineRule="auto"/>
        <w:rPr>
          <w:rFonts w:cstheme="minorHAnsi"/>
        </w:rPr>
      </w:pPr>
    </w:p>
    <w:p w14:paraId="287F0508" w14:textId="7B73BA95" w:rsidR="00756908" w:rsidRPr="00275915" w:rsidRDefault="00756908" w:rsidP="00275915">
      <w:pPr>
        <w:spacing w:after="0" w:line="360" w:lineRule="auto"/>
        <w:rPr>
          <w:rFonts w:cstheme="minorHAnsi"/>
        </w:rPr>
      </w:pPr>
      <w:r w:rsidRPr="00275915">
        <w:rPr>
          <w:rFonts w:cstheme="minorHAnsi"/>
        </w:rPr>
        <w:t xml:space="preserve">Welsh Assembly Government (2013). </w:t>
      </w:r>
      <w:r w:rsidRPr="00275915">
        <w:rPr>
          <w:rFonts w:cstheme="minorHAnsi"/>
          <w:i/>
        </w:rPr>
        <w:t>National Literacy and Numeracy Framework</w:t>
      </w:r>
      <w:r w:rsidRPr="00275915">
        <w:rPr>
          <w:rFonts w:cstheme="minorHAnsi"/>
        </w:rPr>
        <w:t>. Crown: Cardiff. Available at: http://learning.gov.wales/docs/learningwales/publications/130415-lnf-guidance-en.pdf (Accessed on: 10</w:t>
      </w:r>
      <w:r w:rsidRPr="00275915">
        <w:rPr>
          <w:rFonts w:cstheme="minorHAnsi"/>
          <w:vertAlign w:val="superscript"/>
        </w:rPr>
        <w:t>th</w:t>
      </w:r>
      <w:r w:rsidRPr="00275915">
        <w:rPr>
          <w:rFonts w:cstheme="minorHAnsi"/>
        </w:rPr>
        <w:t xml:space="preserve"> December 2018).</w:t>
      </w:r>
    </w:p>
    <w:p w14:paraId="1D307FC7" w14:textId="2A525FB5" w:rsidR="00D46F48" w:rsidRPr="00275915" w:rsidRDefault="00D46F48" w:rsidP="00275915">
      <w:pPr>
        <w:spacing w:after="0" w:line="360" w:lineRule="auto"/>
        <w:rPr>
          <w:rFonts w:cstheme="minorHAnsi"/>
        </w:rPr>
      </w:pPr>
    </w:p>
    <w:p w14:paraId="435F5D2B" w14:textId="77777777" w:rsidR="00D46F48" w:rsidRPr="00275915" w:rsidRDefault="00D46F48" w:rsidP="00275915">
      <w:pPr>
        <w:spacing w:after="0" w:line="360" w:lineRule="auto"/>
        <w:rPr>
          <w:rFonts w:cstheme="minorHAnsi"/>
        </w:rPr>
      </w:pPr>
    </w:p>
    <w:sectPr w:rsidR="00D46F48" w:rsidRPr="00275915">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E6B9FF" w14:textId="77777777" w:rsidR="00BC0895" w:rsidRDefault="00BC0895" w:rsidP="00DF696D">
      <w:pPr>
        <w:spacing w:after="0" w:line="240" w:lineRule="auto"/>
      </w:pPr>
      <w:r>
        <w:separator/>
      </w:r>
    </w:p>
  </w:endnote>
  <w:endnote w:type="continuationSeparator" w:id="0">
    <w:p w14:paraId="53278941" w14:textId="77777777" w:rsidR="00BC0895" w:rsidRDefault="00BC0895" w:rsidP="00DF69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4113783"/>
      <w:docPartObj>
        <w:docPartGallery w:val="Page Numbers (Bottom of Page)"/>
        <w:docPartUnique/>
      </w:docPartObj>
    </w:sdtPr>
    <w:sdtEndPr>
      <w:rPr>
        <w:noProof/>
      </w:rPr>
    </w:sdtEndPr>
    <w:sdtContent>
      <w:p w14:paraId="4A8376D1" w14:textId="1F9A70A6" w:rsidR="00676DE1" w:rsidRDefault="00676D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E01C86" w14:textId="77777777" w:rsidR="00676DE1" w:rsidRDefault="00676D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7DA95A" w14:textId="77777777" w:rsidR="00BC0895" w:rsidRDefault="00BC0895" w:rsidP="00DF696D">
      <w:pPr>
        <w:spacing w:after="0" w:line="240" w:lineRule="auto"/>
      </w:pPr>
      <w:r>
        <w:separator/>
      </w:r>
    </w:p>
  </w:footnote>
  <w:footnote w:type="continuationSeparator" w:id="0">
    <w:p w14:paraId="569D402A" w14:textId="77777777" w:rsidR="00BC0895" w:rsidRDefault="00BC0895" w:rsidP="00DF69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1457EE" w14:textId="4F78FB79" w:rsidR="00DF696D" w:rsidRDefault="00DF696D">
    <w:pPr>
      <w:pStyle w:val="Header"/>
    </w:pPr>
    <w:r>
      <w:t>1601785</w:t>
    </w:r>
    <w:r>
      <w:tab/>
    </w:r>
    <w:r>
      <w:tab/>
      <w:t>ECAD6012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6D0AED"/>
    <w:multiLevelType w:val="multilevel"/>
    <w:tmpl w:val="BA1C5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96D"/>
    <w:rsid w:val="000525CF"/>
    <w:rsid w:val="00086A3F"/>
    <w:rsid w:val="000D23CF"/>
    <w:rsid w:val="000E1065"/>
    <w:rsid w:val="00182321"/>
    <w:rsid w:val="001C0C20"/>
    <w:rsid w:val="0027090E"/>
    <w:rsid w:val="00275915"/>
    <w:rsid w:val="002802A8"/>
    <w:rsid w:val="00306F62"/>
    <w:rsid w:val="00314B28"/>
    <w:rsid w:val="00375183"/>
    <w:rsid w:val="00380A49"/>
    <w:rsid w:val="003A472F"/>
    <w:rsid w:val="003A7486"/>
    <w:rsid w:val="003F2490"/>
    <w:rsid w:val="0041198F"/>
    <w:rsid w:val="00413793"/>
    <w:rsid w:val="00413D3F"/>
    <w:rsid w:val="00415F27"/>
    <w:rsid w:val="004D46D0"/>
    <w:rsid w:val="00503C69"/>
    <w:rsid w:val="005072E3"/>
    <w:rsid w:val="005576E1"/>
    <w:rsid w:val="00567D38"/>
    <w:rsid w:val="00582167"/>
    <w:rsid w:val="005D5815"/>
    <w:rsid w:val="005F08DF"/>
    <w:rsid w:val="005F14F9"/>
    <w:rsid w:val="006157B1"/>
    <w:rsid w:val="00647171"/>
    <w:rsid w:val="00650F7C"/>
    <w:rsid w:val="00676DE1"/>
    <w:rsid w:val="00685C58"/>
    <w:rsid w:val="006C51AB"/>
    <w:rsid w:val="006D33D1"/>
    <w:rsid w:val="00710BD2"/>
    <w:rsid w:val="00711B1A"/>
    <w:rsid w:val="0074231E"/>
    <w:rsid w:val="00756908"/>
    <w:rsid w:val="0079743C"/>
    <w:rsid w:val="007E34F6"/>
    <w:rsid w:val="007F1266"/>
    <w:rsid w:val="00827455"/>
    <w:rsid w:val="00835908"/>
    <w:rsid w:val="008763FE"/>
    <w:rsid w:val="00883B1A"/>
    <w:rsid w:val="008C54C5"/>
    <w:rsid w:val="008F0BB4"/>
    <w:rsid w:val="008F5B88"/>
    <w:rsid w:val="0092623E"/>
    <w:rsid w:val="0093381B"/>
    <w:rsid w:val="00A3601C"/>
    <w:rsid w:val="00A579CD"/>
    <w:rsid w:val="00A623C9"/>
    <w:rsid w:val="00AA0688"/>
    <w:rsid w:val="00B711FC"/>
    <w:rsid w:val="00BA70BF"/>
    <w:rsid w:val="00BA7A45"/>
    <w:rsid w:val="00BC0895"/>
    <w:rsid w:val="00C1444C"/>
    <w:rsid w:val="00C860CB"/>
    <w:rsid w:val="00C87370"/>
    <w:rsid w:val="00CC6E1F"/>
    <w:rsid w:val="00CD24E3"/>
    <w:rsid w:val="00CF0749"/>
    <w:rsid w:val="00D07DDD"/>
    <w:rsid w:val="00D13D22"/>
    <w:rsid w:val="00D46F48"/>
    <w:rsid w:val="00D619C0"/>
    <w:rsid w:val="00D70A38"/>
    <w:rsid w:val="00D82050"/>
    <w:rsid w:val="00DF696D"/>
    <w:rsid w:val="00E00D4C"/>
    <w:rsid w:val="00E538DE"/>
    <w:rsid w:val="00F57679"/>
    <w:rsid w:val="00F77F99"/>
    <w:rsid w:val="00F86658"/>
    <w:rsid w:val="00F97B15"/>
    <w:rsid w:val="00FB673C"/>
    <w:rsid w:val="00FF32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D32BF"/>
  <w15:chartTrackingRefBased/>
  <w15:docId w15:val="{0DA48BDA-8A4A-4FCF-ACE8-9CA766D60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37518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69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696D"/>
  </w:style>
  <w:style w:type="paragraph" w:styleId="Footer">
    <w:name w:val="footer"/>
    <w:basedOn w:val="Normal"/>
    <w:link w:val="FooterChar"/>
    <w:uiPriority w:val="99"/>
    <w:unhideWhenUsed/>
    <w:rsid w:val="00DF69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696D"/>
  </w:style>
  <w:style w:type="character" w:styleId="CommentReference">
    <w:name w:val="annotation reference"/>
    <w:basedOn w:val="DefaultParagraphFont"/>
    <w:uiPriority w:val="99"/>
    <w:semiHidden/>
    <w:unhideWhenUsed/>
    <w:rsid w:val="008763FE"/>
    <w:rPr>
      <w:sz w:val="16"/>
      <w:szCs w:val="16"/>
    </w:rPr>
  </w:style>
  <w:style w:type="paragraph" w:styleId="CommentText">
    <w:name w:val="annotation text"/>
    <w:basedOn w:val="Normal"/>
    <w:link w:val="CommentTextChar"/>
    <w:uiPriority w:val="99"/>
    <w:semiHidden/>
    <w:unhideWhenUsed/>
    <w:rsid w:val="008763FE"/>
    <w:pPr>
      <w:spacing w:line="240" w:lineRule="auto"/>
    </w:pPr>
    <w:rPr>
      <w:sz w:val="20"/>
      <w:szCs w:val="20"/>
    </w:rPr>
  </w:style>
  <w:style w:type="character" w:customStyle="1" w:styleId="CommentTextChar">
    <w:name w:val="Comment Text Char"/>
    <w:basedOn w:val="DefaultParagraphFont"/>
    <w:link w:val="CommentText"/>
    <w:uiPriority w:val="99"/>
    <w:semiHidden/>
    <w:rsid w:val="008763FE"/>
    <w:rPr>
      <w:sz w:val="20"/>
      <w:szCs w:val="20"/>
    </w:rPr>
  </w:style>
  <w:style w:type="paragraph" w:styleId="CommentSubject">
    <w:name w:val="annotation subject"/>
    <w:basedOn w:val="CommentText"/>
    <w:next w:val="CommentText"/>
    <w:link w:val="CommentSubjectChar"/>
    <w:uiPriority w:val="99"/>
    <w:semiHidden/>
    <w:unhideWhenUsed/>
    <w:rsid w:val="008763FE"/>
    <w:rPr>
      <w:b/>
      <w:bCs/>
    </w:rPr>
  </w:style>
  <w:style w:type="character" w:customStyle="1" w:styleId="CommentSubjectChar">
    <w:name w:val="Comment Subject Char"/>
    <w:basedOn w:val="CommentTextChar"/>
    <w:link w:val="CommentSubject"/>
    <w:uiPriority w:val="99"/>
    <w:semiHidden/>
    <w:rsid w:val="008763FE"/>
    <w:rPr>
      <w:b/>
      <w:bCs/>
      <w:sz w:val="20"/>
      <w:szCs w:val="20"/>
    </w:rPr>
  </w:style>
  <w:style w:type="paragraph" w:styleId="BalloonText">
    <w:name w:val="Balloon Text"/>
    <w:basedOn w:val="Normal"/>
    <w:link w:val="BalloonTextChar"/>
    <w:uiPriority w:val="99"/>
    <w:semiHidden/>
    <w:unhideWhenUsed/>
    <w:rsid w:val="008763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63FE"/>
    <w:rPr>
      <w:rFonts w:ascii="Segoe UI" w:hAnsi="Segoe UI" w:cs="Segoe UI"/>
      <w:sz w:val="18"/>
      <w:szCs w:val="18"/>
    </w:rPr>
  </w:style>
  <w:style w:type="character" w:styleId="Emphasis">
    <w:name w:val="Emphasis"/>
    <w:basedOn w:val="DefaultParagraphFont"/>
    <w:uiPriority w:val="20"/>
    <w:qFormat/>
    <w:rsid w:val="00375183"/>
    <w:rPr>
      <w:i/>
      <w:iCs/>
    </w:rPr>
  </w:style>
  <w:style w:type="character" w:customStyle="1" w:styleId="Heading1Char">
    <w:name w:val="Heading 1 Char"/>
    <w:basedOn w:val="DefaultParagraphFont"/>
    <w:link w:val="Heading1"/>
    <w:uiPriority w:val="9"/>
    <w:rsid w:val="00375183"/>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375183"/>
    <w:rPr>
      <w:color w:val="0563C1" w:themeColor="hyperlink"/>
      <w:u w:val="single"/>
    </w:rPr>
  </w:style>
  <w:style w:type="character" w:styleId="UnresolvedMention">
    <w:name w:val="Unresolved Mention"/>
    <w:basedOn w:val="DefaultParagraphFont"/>
    <w:uiPriority w:val="99"/>
    <w:semiHidden/>
    <w:unhideWhenUsed/>
    <w:rsid w:val="003751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8101381">
      <w:bodyDiv w:val="1"/>
      <w:marLeft w:val="0"/>
      <w:marRight w:val="0"/>
      <w:marTop w:val="0"/>
      <w:marBottom w:val="0"/>
      <w:divBdr>
        <w:top w:val="none" w:sz="0" w:space="0" w:color="auto"/>
        <w:left w:val="none" w:sz="0" w:space="0" w:color="auto"/>
        <w:bottom w:val="none" w:sz="0" w:space="0" w:color="auto"/>
        <w:right w:val="none" w:sz="0" w:space="0" w:color="auto"/>
      </w:divBdr>
    </w:div>
    <w:div w:id="1166017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87D00F-1409-437B-B503-0940B3FBA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6108</TotalTime>
  <Pages>9</Pages>
  <Words>2914</Words>
  <Characters>16611</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44</cp:revision>
  <dcterms:created xsi:type="dcterms:W3CDTF">2018-12-10T14:02:00Z</dcterms:created>
  <dcterms:modified xsi:type="dcterms:W3CDTF">2018-12-14T22:36:00Z</dcterms:modified>
</cp:coreProperties>
</file>