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FE149" w14:textId="77777777" w:rsidR="00643495" w:rsidRDefault="009B581F">
      <w:pPr>
        <w:spacing w:line="360" w:lineRule="auto"/>
        <w:jc w:val="center"/>
        <w:rPr>
          <w:rFonts w:ascii="-webkit-standard" w:eastAsia="-webkit-standard" w:hAnsi="-webkit-standard" w:cs="-webkit-standard"/>
          <w:color w:val="000000"/>
          <w:sz w:val="27"/>
          <w:szCs w:val="27"/>
        </w:rPr>
      </w:pPr>
      <w:r>
        <w:rPr>
          <w:rFonts w:ascii="Times New Roman" w:eastAsia="Times New Roman" w:hAnsi="Times New Roman" w:cs="Times New Roman"/>
          <w:sz w:val="48"/>
          <w:szCs w:val="48"/>
        </w:rPr>
        <w:t>Investigating the Impact of Remote Work on Team Collaboration and Employee Productivity in SMEs within London’s Tech Sector.</w:t>
      </w:r>
    </w:p>
    <w:p w14:paraId="2A529CF1" w14:textId="77777777" w:rsidR="00643495" w:rsidRDefault="00643495">
      <w:pPr>
        <w:rPr>
          <w:rFonts w:ascii="-webkit-standard" w:eastAsia="-webkit-standard" w:hAnsi="-webkit-standard" w:cs="-webkit-standard"/>
          <w:color w:val="000000"/>
          <w:sz w:val="27"/>
          <w:szCs w:val="27"/>
        </w:rPr>
      </w:pPr>
    </w:p>
    <w:p w14:paraId="3E5B80D9" w14:textId="77777777" w:rsidR="00643495" w:rsidRDefault="00643495">
      <w:pPr>
        <w:rPr>
          <w:rFonts w:ascii="-webkit-standard" w:eastAsia="-webkit-standard" w:hAnsi="-webkit-standard" w:cs="-webkit-standard"/>
          <w:color w:val="000000"/>
          <w:sz w:val="27"/>
          <w:szCs w:val="27"/>
        </w:rPr>
      </w:pPr>
    </w:p>
    <w:p w14:paraId="576AE09E" w14:textId="77777777" w:rsidR="00643495" w:rsidRDefault="00643495">
      <w:pPr>
        <w:rPr>
          <w:rFonts w:ascii="-webkit-standard" w:eastAsia="-webkit-standard" w:hAnsi="-webkit-standard" w:cs="-webkit-standard"/>
          <w:color w:val="000000"/>
          <w:sz w:val="27"/>
          <w:szCs w:val="27"/>
        </w:rPr>
      </w:pPr>
    </w:p>
    <w:p w14:paraId="3A37FACB" w14:textId="77777777" w:rsidR="00643495" w:rsidRDefault="00643495">
      <w:pPr>
        <w:rPr>
          <w:rFonts w:ascii="-webkit-standard" w:eastAsia="-webkit-standard" w:hAnsi="-webkit-standard" w:cs="-webkit-standard"/>
          <w:color w:val="000000"/>
          <w:sz w:val="27"/>
          <w:szCs w:val="27"/>
        </w:rPr>
      </w:pPr>
    </w:p>
    <w:p w14:paraId="109D1F15" w14:textId="77777777" w:rsidR="00643495" w:rsidRDefault="009B581F">
      <w:pPr>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Research Proposal</w:t>
      </w:r>
    </w:p>
    <w:p w14:paraId="76BE1A3A" w14:textId="77777777" w:rsidR="00643495" w:rsidRDefault="00643495">
      <w:pPr>
        <w:jc w:val="center"/>
        <w:rPr>
          <w:rFonts w:ascii="Times New Roman" w:eastAsia="Times New Roman" w:hAnsi="Times New Roman" w:cs="Times New Roman"/>
          <w:b/>
          <w:bCs/>
          <w:color w:val="000000"/>
          <w:sz w:val="28"/>
          <w:szCs w:val="28"/>
        </w:rPr>
      </w:pPr>
    </w:p>
    <w:p w14:paraId="76012CB6" w14:textId="77777777" w:rsidR="00643495" w:rsidRDefault="00643495">
      <w:pPr>
        <w:jc w:val="center"/>
        <w:rPr>
          <w:rFonts w:ascii="Times New Roman" w:eastAsia="Times New Roman" w:hAnsi="Times New Roman" w:cs="Times New Roman"/>
          <w:b/>
          <w:bCs/>
          <w:color w:val="000000"/>
          <w:sz w:val="28"/>
          <w:szCs w:val="28"/>
        </w:rPr>
      </w:pPr>
    </w:p>
    <w:p w14:paraId="261D35E2" w14:textId="77777777" w:rsidR="00643495" w:rsidRDefault="00643495">
      <w:pPr>
        <w:jc w:val="center"/>
        <w:rPr>
          <w:rFonts w:ascii="Times New Roman" w:eastAsia="Times New Roman" w:hAnsi="Times New Roman" w:cs="Times New Roman"/>
          <w:b/>
          <w:bCs/>
          <w:color w:val="000000"/>
          <w:sz w:val="28"/>
          <w:szCs w:val="28"/>
        </w:rPr>
      </w:pPr>
    </w:p>
    <w:p w14:paraId="49A8EB01" w14:textId="77777777" w:rsidR="00643495" w:rsidRDefault="00643495">
      <w:pPr>
        <w:jc w:val="center"/>
        <w:rPr>
          <w:rFonts w:ascii="Times New Roman" w:eastAsia="Times New Roman" w:hAnsi="Times New Roman" w:cs="Times New Roman"/>
          <w:b/>
          <w:bCs/>
          <w:color w:val="000000"/>
          <w:sz w:val="28"/>
          <w:szCs w:val="28"/>
        </w:rPr>
      </w:pPr>
    </w:p>
    <w:p w14:paraId="704C5F46" w14:textId="77777777" w:rsidR="00643495" w:rsidRDefault="00643495">
      <w:pPr>
        <w:jc w:val="center"/>
        <w:rPr>
          <w:rFonts w:ascii="Times New Roman" w:eastAsia="Times New Roman" w:hAnsi="Times New Roman" w:cs="Times New Roman"/>
          <w:b/>
          <w:bCs/>
          <w:color w:val="000000"/>
          <w:sz w:val="28"/>
          <w:szCs w:val="28"/>
        </w:rPr>
      </w:pPr>
    </w:p>
    <w:p w14:paraId="3CEFFF6F" w14:textId="77777777" w:rsidR="00643495" w:rsidRDefault="00643495">
      <w:pPr>
        <w:jc w:val="center"/>
        <w:rPr>
          <w:rFonts w:ascii="Times New Roman" w:eastAsia="Times New Roman" w:hAnsi="Times New Roman" w:cs="Times New Roman"/>
          <w:b/>
          <w:bCs/>
          <w:color w:val="000000"/>
          <w:sz w:val="28"/>
          <w:szCs w:val="28"/>
        </w:rPr>
      </w:pPr>
    </w:p>
    <w:p w14:paraId="5E271AAB" w14:textId="77777777" w:rsidR="00643495" w:rsidRDefault="00643495">
      <w:pPr>
        <w:jc w:val="center"/>
        <w:rPr>
          <w:rFonts w:ascii="Times New Roman" w:eastAsia="Times New Roman" w:hAnsi="Times New Roman" w:cs="Times New Roman"/>
          <w:b/>
          <w:bCs/>
          <w:color w:val="000000"/>
          <w:sz w:val="28"/>
          <w:szCs w:val="28"/>
        </w:rPr>
      </w:pPr>
    </w:p>
    <w:p w14:paraId="1D36E7B1" w14:textId="77777777" w:rsidR="00643495" w:rsidRDefault="00643495">
      <w:pPr>
        <w:jc w:val="center"/>
        <w:rPr>
          <w:rFonts w:ascii="Times New Roman" w:eastAsia="Times New Roman" w:hAnsi="Times New Roman" w:cs="Times New Roman"/>
          <w:b/>
          <w:bCs/>
          <w:color w:val="000000"/>
          <w:sz w:val="28"/>
          <w:szCs w:val="28"/>
        </w:rPr>
      </w:pPr>
    </w:p>
    <w:p w14:paraId="5E633569" w14:textId="77777777" w:rsidR="00643495" w:rsidRDefault="00643495">
      <w:pPr>
        <w:jc w:val="center"/>
        <w:rPr>
          <w:rFonts w:ascii="Times New Roman" w:eastAsia="Times New Roman" w:hAnsi="Times New Roman" w:cs="Times New Roman"/>
          <w:b/>
          <w:bCs/>
          <w:color w:val="000000"/>
          <w:sz w:val="28"/>
          <w:szCs w:val="28"/>
        </w:rPr>
      </w:pPr>
    </w:p>
    <w:p w14:paraId="1F04DB42" w14:textId="77777777" w:rsidR="00643495" w:rsidRDefault="009B581F">
      <w:pPr>
        <w:rPr>
          <w:rFonts w:ascii="Times New Roman" w:eastAsia="Times New Roman" w:hAnsi="Times New Roman" w:cs="Times New Roman"/>
          <w:b/>
          <w:bCs/>
          <w:color w:val="000000"/>
        </w:rPr>
      </w:pPr>
      <w:r>
        <w:rPr>
          <w:rFonts w:ascii="Times New Roman" w:eastAsia="Times New Roman" w:hAnsi="Times New Roman" w:cs="Times New Roman"/>
          <w:b/>
          <w:bCs/>
          <w:color w:val="000000"/>
        </w:rPr>
        <w:t>Student name: Gabriela Vasilica Coteneanu</w:t>
      </w:r>
    </w:p>
    <w:p w14:paraId="185C2BDA" w14:textId="77777777" w:rsidR="00643495" w:rsidRDefault="00643495">
      <w:pPr>
        <w:rPr>
          <w:rFonts w:ascii="Times New Roman" w:eastAsia="Times New Roman" w:hAnsi="Times New Roman" w:cs="Times New Roman"/>
          <w:b/>
          <w:bCs/>
          <w:color w:val="000000"/>
        </w:rPr>
      </w:pPr>
    </w:p>
    <w:p w14:paraId="230AF881" w14:textId="77777777" w:rsidR="00643495" w:rsidRDefault="009B581F">
      <w:pPr>
        <w:rPr>
          <w:rFonts w:ascii="Times New Roman" w:eastAsia="Times New Roman" w:hAnsi="Times New Roman" w:cs="Times New Roman"/>
          <w:b/>
          <w:bCs/>
          <w:color w:val="000000"/>
        </w:rPr>
      </w:pPr>
      <w:r>
        <w:rPr>
          <w:rFonts w:ascii="Times New Roman" w:eastAsia="Times New Roman" w:hAnsi="Times New Roman" w:cs="Times New Roman"/>
          <w:b/>
          <w:bCs/>
          <w:color w:val="000000"/>
        </w:rPr>
        <w:t>Student number: 2243467</w:t>
      </w:r>
    </w:p>
    <w:p w14:paraId="76EC2A14" w14:textId="77777777" w:rsidR="00643495" w:rsidRDefault="00643495">
      <w:pPr>
        <w:rPr>
          <w:rFonts w:ascii="Times New Roman" w:eastAsia="Times New Roman" w:hAnsi="Times New Roman" w:cs="Times New Roman"/>
          <w:b/>
          <w:bCs/>
          <w:color w:val="000000"/>
        </w:rPr>
      </w:pPr>
    </w:p>
    <w:p w14:paraId="5D172A77" w14:textId="77777777" w:rsidR="00643495" w:rsidRDefault="00643495">
      <w:pPr>
        <w:rPr>
          <w:rFonts w:ascii="Times New Roman" w:eastAsia="Times New Roman" w:hAnsi="Times New Roman" w:cs="Times New Roman"/>
          <w:b/>
          <w:bCs/>
          <w:color w:val="000000"/>
        </w:rPr>
      </w:pPr>
    </w:p>
    <w:p w14:paraId="5CC4F1F8" w14:textId="77777777" w:rsidR="00643495" w:rsidRDefault="00643495">
      <w:pPr>
        <w:rPr>
          <w:rFonts w:ascii="Times New Roman" w:eastAsia="Times New Roman" w:hAnsi="Times New Roman" w:cs="Times New Roman"/>
          <w:b/>
          <w:bCs/>
          <w:color w:val="000000"/>
        </w:rPr>
      </w:pPr>
    </w:p>
    <w:p w14:paraId="0A838FAA" w14:textId="77777777" w:rsidR="00643495" w:rsidRDefault="00643495">
      <w:pPr>
        <w:rPr>
          <w:rFonts w:ascii="Times New Roman" w:eastAsia="Times New Roman" w:hAnsi="Times New Roman" w:cs="Times New Roman"/>
          <w:b/>
          <w:bCs/>
          <w:color w:val="000000"/>
        </w:rPr>
      </w:pPr>
    </w:p>
    <w:p w14:paraId="742B14B1" w14:textId="77777777" w:rsidR="00643495" w:rsidRDefault="00643495">
      <w:pPr>
        <w:rPr>
          <w:rFonts w:ascii="Times New Roman" w:eastAsia="Times New Roman" w:hAnsi="Times New Roman" w:cs="Times New Roman"/>
          <w:b/>
          <w:bCs/>
          <w:color w:val="000000"/>
        </w:rPr>
      </w:pPr>
    </w:p>
    <w:p w14:paraId="33C5C363" w14:textId="77777777" w:rsidR="00643495" w:rsidRDefault="00643495">
      <w:pPr>
        <w:rPr>
          <w:rFonts w:ascii="Times New Roman" w:eastAsia="Times New Roman" w:hAnsi="Times New Roman" w:cs="Times New Roman"/>
          <w:b/>
          <w:bCs/>
          <w:color w:val="000000"/>
        </w:rPr>
      </w:pPr>
    </w:p>
    <w:p w14:paraId="44E574D2" w14:textId="77777777" w:rsidR="00643495" w:rsidRDefault="00643495">
      <w:pPr>
        <w:rPr>
          <w:rFonts w:ascii="Times New Roman" w:eastAsia="Times New Roman" w:hAnsi="Times New Roman" w:cs="Times New Roman"/>
          <w:b/>
          <w:bCs/>
          <w:color w:val="000000"/>
        </w:rPr>
      </w:pPr>
    </w:p>
    <w:p w14:paraId="31BF7D8C" w14:textId="77777777" w:rsidR="00643495" w:rsidRDefault="00643495">
      <w:pPr>
        <w:rPr>
          <w:rFonts w:ascii="Times New Roman" w:eastAsia="Times New Roman" w:hAnsi="Times New Roman" w:cs="Times New Roman"/>
          <w:b/>
          <w:bCs/>
          <w:color w:val="000000"/>
        </w:rPr>
      </w:pPr>
    </w:p>
    <w:p w14:paraId="1A4034DC" w14:textId="77777777" w:rsidR="00643495" w:rsidRDefault="00643495">
      <w:pPr>
        <w:rPr>
          <w:rFonts w:ascii="Times New Roman" w:eastAsia="Times New Roman" w:hAnsi="Times New Roman" w:cs="Times New Roman"/>
          <w:b/>
          <w:bCs/>
          <w:color w:val="000000"/>
        </w:rPr>
      </w:pPr>
    </w:p>
    <w:p w14:paraId="2C389CF6" w14:textId="77777777" w:rsidR="00643495" w:rsidRDefault="00643495">
      <w:pPr>
        <w:rPr>
          <w:rFonts w:ascii="Times New Roman" w:eastAsia="Times New Roman" w:hAnsi="Times New Roman" w:cs="Times New Roman"/>
          <w:b/>
          <w:bCs/>
          <w:color w:val="000000"/>
        </w:rPr>
      </w:pPr>
    </w:p>
    <w:p w14:paraId="12EA5652" w14:textId="77777777" w:rsidR="00643495" w:rsidRDefault="00643495">
      <w:pPr>
        <w:rPr>
          <w:rFonts w:ascii="Times New Roman" w:eastAsia="Times New Roman" w:hAnsi="Times New Roman" w:cs="Times New Roman"/>
          <w:b/>
          <w:bCs/>
          <w:color w:val="000000"/>
        </w:rPr>
      </w:pPr>
    </w:p>
    <w:p w14:paraId="42FE502C" w14:textId="77777777" w:rsidR="00643495" w:rsidRDefault="00643495">
      <w:pPr>
        <w:rPr>
          <w:rFonts w:ascii="Times New Roman" w:eastAsia="Times New Roman" w:hAnsi="Times New Roman" w:cs="Times New Roman"/>
          <w:b/>
          <w:bCs/>
          <w:color w:val="000000"/>
        </w:rPr>
      </w:pPr>
    </w:p>
    <w:p w14:paraId="31566D4B" w14:textId="77777777" w:rsidR="00643495" w:rsidRDefault="00643495">
      <w:pPr>
        <w:rPr>
          <w:rFonts w:ascii="Times New Roman" w:eastAsia="Times New Roman" w:hAnsi="Times New Roman" w:cs="Times New Roman"/>
          <w:b/>
          <w:bCs/>
          <w:color w:val="000000"/>
        </w:rPr>
      </w:pPr>
    </w:p>
    <w:p w14:paraId="5BABB0C2" w14:textId="77777777" w:rsidR="00643495" w:rsidRDefault="00643495">
      <w:pPr>
        <w:rPr>
          <w:rFonts w:ascii="Times New Roman" w:eastAsia="Times New Roman" w:hAnsi="Times New Roman" w:cs="Times New Roman"/>
          <w:b/>
          <w:bCs/>
          <w:color w:val="000000"/>
        </w:rPr>
      </w:pPr>
    </w:p>
    <w:p w14:paraId="64A8EC80" w14:textId="77777777" w:rsidR="00643495" w:rsidRDefault="00643495">
      <w:pPr>
        <w:rPr>
          <w:rFonts w:ascii="Times New Roman" w:eastAsia="Times New Roman" w:hAnsi="Times New Roman" w:cs="Times New Roman"/>
          <w:b/>
          <w:bCs/>
          <w:color w:val="000000"/>
        </w:rPr>
      </w:pPr>
    </w:p>
    <w:p w14:paraId="3F85C52A" w14:textId="77777777" w:rsidR="00643495" w:rsidRDefault="00643495">
      <w:pPr>
        <w:rPr>
          <w:rFonts w:ascii="Times New Roman" w:eastAsia="Times New Roman" w:hAnsi="Times New Roman" w:cs="Times New Roman"/>
          <w:b/>
          <w:bCs/>
          <w:color w:val="000000"/>
        </w:rPr>
      </w:pPr>
    </w:p>
    <w:p w14:paraId="09E9ADDC" w14:textId="77777777" w:rsidR="00643495" w:rsidRDefault="00643495">
      <w:pPr>
        <w:rPr>
          <w:rFonts w:ascii="Times New Roman" w:eastAsia="Times New Roman" w:hAnsi="Times New Roman" w:cs="Times New Roman"/>
          <w:b/>
          <w:bCs/>
          <w:color w:val="000000"/>
        </w:rPr>
      </w:pPr>
    </w:p>
    <w:p w14:paraId="64BF7CFA" w14:textId="77777777" w:rsidR="00643495" w:rsidRDefault="00643495">
      <w:pPr>
        <w:rPr>
          <w:rFonts w:ascii="Times New Roman" w:eastAsia="Times New Roman" w:hAnsi="Times New Roman" w:cs="Times New Roman"/>
          <w:b/>
          <w:bCs/>
          <w:color w:val="000000"/>
        </w:rPr>
      </w:pPr>
    </w:p>
    <w:p w14:paraId="212A7B88" w14:textId="77777777" w:rsidR="00643495" w:rsidRDefault="00643495">
      <w:pPr>
        <w:rPr>
          <w:rFonts w:ascii="Times New Roman" w:eastAsia="Times New Roman" w:hAnsi="Times New Roman" w:cs="Times New Roman"/>
          <w:b/>
          <w:bCs/>
          <w:color w:val="000000"/>
        </w:rPr>
      </w:pPr>
    </w:p>
    <w:p w14:paraId="75D1DBC8" w14:textId="77777777" w:rsidR="00643495" w:rsidRDefault="00643495">
      <w:pPr>
        <w:rPr>
          <w:rFonts w:ascii="Times New Roman" w:eastAsia="Times New Roman" w:hAnsi="Times New Roman" w:cs="Times New Roman"/>
          <w:b/>
          <w:bCs/>
          <w:color w:val="000000"/>
        </w:rPr>
      </w:pPr>
    </w:p>
    <w:p w14:paraId="0EE97D86" w14:textId="77777777" w:rsidR="00643495" w:rsidRDefault="00643495">
      <w:pPr>
        <w:rPr>
          <w:rFonts w:ascii="Times New Roman" w:eastAsia="Times New Roman" w:hAnsi="Times New Roman" w:cs="Times New Roman"/>
          <w:b/>
          <w:bCs/>
          <w:color w:val="000000"/>
        </w:rPr>
      </w:pPr>
    </w:p>
    <w:p w14:paraId="2E812684" w14:textId="77777777" w:rsidR="00643495" w:rsidRDefault="00643495">
      <w:pPr>
        <w:rPr>
          <w:rFonts w:ascii="Times New Roman" w:eastAsia="Times New Roman" w:hAnsi="Times New Roman" w:cs="Times New Roman"/>
          <w:b/>
          <w:bCs/>
          <w:color w:val="000000"/>
        </w:rPr>
      </w:pPr>
    </w:p>
    <w:p w14:paraId="2BAF6F92" w14:textId="77777777" w:rsidR="00643495" w:rsidRDefault="00643495">
      <w:pPr>
        <w:rPr>
          <w:rFonts w:ascii="Times New Roman" w:eastAsia="Times New Roman" w:hAnsi="Times New Roman" w:cs="Times New Roman"/>
          <w:b/>
          <w:bCs/>
          <w:color w:val="000000"/>
        </w:rPr>
      </w:pPr>
    </w:p>
    <w:p w14:paraId="0457F0CF" w14:textId="77777777" w:rsidR="00643495" w:rsidRDefault="00643495">
      <w:pPr>
        <w:rPr>
          <w:rFonts w:ascii="Times New Roman" w:eastAsia="Times New Roman" w:hAnsi="Times New Roman" w:cs="Times New Roman"/>
          <w:b/>
          <w:bCs/>
          <w:color w:val="000000"/>
        </w:rPr>
      </w:pPr>
    </w:p>
    <w:p w14:paraId="3CBDF497" w14:textId="77777777" w:rsidR="00643495" w:rsidRDefault="00643495">
      <w:pPr>
        <w:rPr>
          <w:rFonts w:ascii="Times New Roman" w:eastAsia="Times New Roman" w:hAnsi="Times New Roman" w:cs="Times New Roman"/>
          <w:b/>
          <w:bCs/>
          <w:color w:val="000000"/>
        </w:rPr>
      </w:pPr>
    </w:p>
    <w:p w14:paraId="5E5D11F5" w14:textId="77777777" w:rsidR="00643495" w:rsidRDefault="009B581F">
      <w:pPr>
        <w:keepNext/>
        <w:keepLines/>
        <w:pBdr>
          <w:top w:val="nil"/>
          <w:left w:val="nil"/>
          <w:bottom w:val="nil"/>
          <w:right w:val="nil"/>
          <w:between w:val="nil"/>
        </w:pBdr>
        <w:spacing w:before="480" w:line="276" w:lineRule="auto"/>
        <w:rPr>
          <w:rFonts w:ascii="Play" w:eastAsia="Play" w:hAnsi="Play" w:cs="Play"/>
          <w:b/>
          <w:bCs/>
          <w:color w:val="0F4761"/>
          <w:sz w:val="28"/>
          <w:szCs w:val="28"/>
        </w:rPr>
      </w:pPr>
      <w:r>
        <w:rPr>
          <w:rFonts w:ascii="Play" w:eastAsia="Play" w:hAnsi="Play" w:cs="Play"/>
          <w:b/>
          <w:bCs/>
          <w:color w:val="0F4761"/>
          <w:sz w:val="28"/>
          <w:szCs w:val="28"/>
        </w:rPr>
        <w:t>Table of Contents</w:t>
      </w:r>
    </w:p>
    <w:sdt>
      <w:sdtPr>
        <w:id w:val="1488106359"/>
        <w:docPartObj>
          <w:docPartGallery w:val="Table of Contents"/>
          <w:docPartUnique/>
        </w:docPartObj>
      </w:sdtPr>
      <w:sdtEndPr/>
      <w:sdtContent>
        <w:p w14:paraId="3386BA53" w14:textId="77777777" w:rsidR="00643495" w:rsidRDefault="009B581F">
          <w:pPr>
            <w:pBdr>
              <w:top w:val="nil"/>
              <w:left w:val="nil"/>
              <w:bottom w:val="nil"/>
              <w:right w:val="nil"/>
              <w:between w:val="nil"/>
            </w:pBdr>
            <w:tabs>
              <w:tab w:val="right" w:leader="dot" w:pos="9016"/>
            </w:tabs>
            <w:spacing w:before="120"/>
            <w:rPr>
              <w:color w:val="000000"/>
            </w:rPr>
          </w:pPr>
          <w:r>
            <w:fldChar w:fldCharType="begin"/>
          </w:r>
          <w:r>
            <w:instrText xml:space="preserve"> TOC \h \u \z \t "Heading 1,1,Heading 2,2,Heading 3,3,"</w:instrText>
          </w:r>
          <w:r>
            <w:fldChar w:fldCharType="separate"/>
          </w:r>
          <w:hyperlink w:anchor="_whm7ltaekmy3">
            <w:r>
              <w:rPr>
                <w:b/>
                <w:bCs/>
                <w:i/>
                <w:iCs/>
                <w:color w:val="000000"/>
              </w:rPr>
              <w:t>1. Introduction</w:t>
            </w:r>
            <w:r>
              <w:rPr>
                <w:b/>
                <w:bCs/>
                <w:i/>
                <w:iCs/>
                <w:color w:val="000000"/>
              </w:rPr>
              <w:tab/>
              <w:t>3</w:t>
            </w:r>
          </w:hyperlink>
        </w:p>
        <w:p w14:paraId="52A6BF38"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qri7f6motlph">
            <w:r>
              <w:rPr>
                <w:b/>
                <w:bCs/>
                <w:color w:val="000000"/>
                <w:sz w:val="22"/>
                <w:szCs w:val="22"/>
              </w:rPr>
              <w:t>1.1 Background</w:t>
            </w:r>
            <w:r>
              <w:rPr>
                <w:b/>
                <w:bCs/>
                <w:color w:val="000000"/>
                <w:sz w:val="22"/>
                <w:szCs w:val="22"/>
              </w:rPr>
              <w:tab/>
              <w:t>3</w:t>
            </w:r>
          </w:hyperlink>
        </w:p>
        <w:p w14:paraId="6202A29B"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m2v0j413yhd3">
            <w:r>
              <w:rPr>
                <w:b/>
                <w:bCs/>
                <w:color w:val="000000"/>
                <w:sz w:val="22"/>
                <w:szCs w:val="22"/>
              </w:rPr>
              <w:t>1.2 Problem Statement</w:t>
            </w:r>
            <w:r>
              <w:rPr>
                <w:b/>
                <w:bCs/>
                <w:color w:val="000000"/>
                <w:sz w:val="22"/>
                <w:szCs w:val="22"/>
              </w:rPr>
              <w:tab/>
              <w:t>3</w:t>
            </w:r>
          </w:hyperlink>
        </w:p>
        <w:p w14:paraId="1A24F74B"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n1qcby9wv0b1">
            <w:r>
              <w:rPr>
                <w:b/>
                <w:bCs/>
                <w:color w:val="000000"/>
                <w:sz w:val="22"/>
                <w:szCs w:val="22"/>
              </w:rPr>
              <w:t>1.3 Research Aim</w:t>
            </w:r>
            <w:r>
              <w:rPr>
                <w:b/>
                <w:bCs/>
                <w:color w:val="000000"/>
                <w:sz w:val="22"/>
                <w:szCs w:val="22"/>
              </w:rPr>
              <w:tab/>
              <w:t>3</w:t>
            </w:r>
          </w:hyperlink>
        </w:p>
        <w:p w14:paraId="172FA9B4"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14tr4rrctebo">
            <w:r>
              <w:rPr>
                <w:b/>
                <w:bCs/>
                <w:color w:val="000000"/>
                <w:sz w:val="22"/>
                <w:szCs w:val="22"/>
              </w:rPr>
              <w:t>1.4 Research Objectives</w:t>
            </w:r>
            <w:r>
              <w:rPr>
                <w:b/>
                <w:bCs/>
                <w:color w:val="000000"/>
                <w:sz w:val="22"/>
                <w:szCs w:val="22"/>
              </w:rPr>
              <w:tab/>
              <w:t>3</w:t>
            </w:r>
          </w:hyperlink>
        </w:p>
        <w:p w14:paraId="1A8E0D60"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z42yogbe02tm">
            <w:r>
              <w:rPr>
                <w:b/>
                <w:bCs/>
                <w:color w:val="000000"/>
                <w:sz w:val="22"/>
                <w:szCs w:val="22"/>
              </w:rPr>
              <w:t>1.5 Research Questions</w:t>
            </w:r>
            <w:r>
              <w:rPr>
                <w:b/>
                <w:bCs/>
                <w:color w:val="000000"/>
                <w:sz w:val="22"/>
                <w:szCs w:val="22"/>
              </w:rPr>
              <w:tab/>
              <w:t>4</w:t>
            </w:r>
          </w:hyperlink>
        </w:p>
        <w:p w14:paraId="56A3CB14"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4omfgo44nbf0">
            <w:r>
              <w:rPr>
                <w:b/>
                <w:bCs/>
                <w:color w:val="000000"/>
                <w:sz w:val="22"/>
                <w:szCs w:val="22"/>
              </w:rPr>
              <w:t>1.6 Justification and Significance</w:t>
            </w:r>
            <w:r>
              <w:rPr>
                <w:b/>
                <w:bCs/>
                <w:color w:val="000000"/>
                <w:sz w:val="22"/>
                <w:szCs w:val="22"/>
              </w:rPr>
              <w:tab/>
              <w:t>4</w:t>
            </w:r>
          </w:hyperlink>
        </w:p>
        <w:p w14:paraId="64B2A8BD" w14:textId="77777777" w:rsidR="00643495" w:rsidRDefault="009B581F">
          <w:pPr>
            <w:pBdr>
              <w:top w:val="nil"/>
              <w:left w:val="nil"/>
              <w:bottom w:val="nil"/>
              <w:right w:val="nil"/>
              <w:between w:val="nil"/>
            </w:pBdr>
            <w:tabs>
              <w:tab w:val="right" w:leader="dot" w:pos="9016"/>
            </w:tabs>
            <w:spacing w:before="120"/>
            <w:rPr>
              <w:color w:val="000000"/>
            </w:rPr>
          </w:pPr>
          <w:hyperlink w:anchor="_js9r1ivjojji">
            <w:r>
              <w:rPr>
                <w:b/>
                <w:bCs/>
                <w:i/>
                <w:iCs/>
                <w:color w:val="000000"/>
              </w:rPr>
              <w:t>2. Literature Review</w:t>
            </w:r>
            <w:r>
              <w:rPr>
                <w:b/>
                <w:bCs/>
                <w:i/>
                <w:iCs/>
                <w:color w:val="000000"/>
              </w:rPr>
              <w:tab/>
              <w:t>4</w:t>
            </w:r>
          </w:hyperlink>
        </w:p>
        <w:p w14:paraId="350038C5"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vdtnw6tuc9s5">
            <w:r>
              <w:rPr>
                <w:b/>
                <w:bCs/>
                <w:color w:val="000000"/>
                <w:sz w:val="22"/>
                <w:szCs w:val="22"/>
              </w:rPr>
              <w:t>2.1 Theoretical Frameworks</w:t>
            </w:r>
            <w:r>
              <w:rPr>
                <w:b/>
                <w:bCs/>
                <w:color w:val="000000"/>
                <w:sz w:val="22"/>
                <w:szCs w:val="22"/>
              </w:rPr>
              <w:tab/>
              <w:t>4</w:t>
            </w:r>
          </w:hyperlink>
        </w:p>
        <w:p w14:paraId="648EBCCC"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x1fgewj359pc">
            <w:r>
              <w:rPr>
                <w:b/>
                <w:bCs/>
                <w:color w:val="000000"/>
                <w:sz w:val="22"/>
                <w:szCs w:val="22"/>
              </w:rPr>
              <w:t>2.2 Remote Work and Team Collaboration</w:t>
            </w:r>
            <w:r>
              <w:rPr>
                <w:b/>
                <w:bCs/>
                <w:color w:val="000000"/>
                <w:sz w:val="22"/>
                <w:szCs w:val="22"/>
              </w:rPr>
              <w:tab/>
              <w:t>5</w:t>
            </w:r>
          </w:hyperlink>
        </w:p>
        <w:p w14:paraId="52EDD924"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99khb5v8ghq1">
            <w:r>
              <w:rPr>
                <w:b/>
                <w:bCs/>
                <w:color w:val="000000"/>
                <w:sz w:val="22"/>
                <w:szCs w:val="22"/>
              </w:rPr>
              <w:t>2.3 Remote Work and Organisational Performance</w:t>
            </w:r>
            <w:r>
              <w:rPr>
                <w:b/>
                <w:bCs/>
                <w:color w:val="000000"/>
                <w:sz w:val="22"/>
                <w:szCs w:val="22"/>
              </w:rPr>
              <w:tab/>
              <w:t>5</w:t>
            </w:r>
          </w:hyperlink>
        </w:p>
        <w:p w14:paraId="09B01DA9"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jxwoqhr6kpc2">
            <w:r>
              <w:rPr>
                <w:b/>
                <w:bCs/>
                <w:color w:val="000000"/>
                <w:sz w:val="22"/>
                <w:szCs w:val="22"/>
              </w:rPr>
              <w:t>2.4 Research Gaps and Implications</w:t>
            </w:r>
            <w:r>
              <w:rPr>
                <w:b/>
                <w:bCs/>
                <w:color w:val="000000"/>
                <w:sz w:val="22"/>
                <w:szCs w:val="22"/>
              </w:rPr>
              <w:tab/>
              <w:t>6</w:t>
            </w:r>
          </w:hyperlink>
        </w:p>
        <w:p w14:paraId="446E9F3B" w14:textId="77777777" w:rsidR="00643495" w:rsidRDefault="009B581F">
          <w:pPr>
            <w:pBdr>
              <w:top w:val="nil"/>
              <w:left w:val="nil"/>
              <w:bottom w:val="nil"/>
              <w:right w:val="nil"/>
              <w:between w:val="nil"/>
            </w:pBdr>
            <w:tabs>
              <w:tab w:val="right" w:leader="dot" w:pos="9016"/>
            </w:tabs>
            <w:spacing w:before="120"/>
            <w:rPr>
              <w:color w:val="000000"/>
            </w:rPr>
          </w:pPr>
          <w:hyperlink w:anchor="_ghvw9rpac6od">
            <w:r>
              <w:rPr>
                <w:b/>
                <w:bCs/>
                <w:i/>
                <w:iCs/>
                <w:color w:val="000000"/>
              </w:rPr>
              <w:t>3. Research Methodology</w:t>
            </w:r>
            <w:r>
              <w:rPr>
                <w:b/>
                <w:bCs/>
                <w:i/>
                <w:iCs/>
                <w:color w:val="000000"/>
              </w:rPr>
              <w:tab/>
              <w:t>7</w:t>
            </w:r>
          </w:hyperlink>
        </w:p>
        <w:p w14:paraId="62DF752C"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qcrlv0vf7iw1">
            <w:r>
              <w:rPr>
                <w:b/>
                <w:bCs/>
                <w:color w:val="000000"/>
                <w:sz w:val="22"/>
                <w:szCs w:val="22"/>
              </w:rPr>
              <w:t>3.1 Research Philosophy</w:t>
            </w:r>
            <w:r>
              <w:rPr>
                <w:b/>
                <w:bCs/>
                <w:color w:val="000000"/>
                <w:sz w:val="22"/>
                <w:szCs w:val="22"/>
              </w:rPr>
              <w:tab/>
              <w:t>7</w:t>
            </w:r>
          </w:hyperlink>
        </w:p>
        <w:p w14:paraId="319EF18D"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nimdrel4fmuu">
            <w:r>
              <w:rPr>
                <w:b/>
                <w:bCs/>
                <w:color w:val="000000"/>
                <w:sz w:val="22"/>
                <w:szCs w:val="22"/>
              </w:rPr>
              <w:t>3.2 Research Approach</w:t>
            </w:r>
            <w:r>
              <w:rPr>
                <w:b/>
                <w:bCs/>
                <w:color w:val="000000"/>
                <w:sz w:val="22"/>
                <w:szCs w:val="22"/>
              </w:rPr>
              <w:tab/>
              <w:t>7</w:t>
            </w:r>
          </w:hyperlink>
        </w:p>
        <w:p w14:paraId="39A57C86"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3zbv0vzdscui">
            <w:r>
              <w:rPr>
                <w:b/>
                <w:bCs/>
                <w:color w:val="000000"/>
                <w:sz w:val="22"/>
                <w:szCs w:val="22"/>
              </w:rPr>
              <w:t>3.3 Research Strategy</w:t>
            </w:r>
            <w:r>
              <w:rPr>
                <w:b/>
                <w:bCs/>
                <w:color w:val="000000"/>
                <w:sz w:val="22"/>
                <w:szCs w:val="22"/>
              </w:rPr>
              <w:tab/>
              <w:t>7</w:t>
            </w:r>
          </w:hyperlink>
        </w:p>
        <w:p w14:paraId="1CA6F367"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wo6p0mec9d4w">
            <w:r>
              <w:rPr>
                <w:b/>
                <w:bCs/>
                <w:color w:val="000000"/>
                <w:sz w:val="22"/>
                <w:szCs w:val="22"/>
              </w:rPr>
              <w:t>3.4 Methodological Choice</w:t>
            </w:r>
            <w:r>
              <w:rPr>
                <w:b/>
                <w:bCs/>
                <w:color w:val="000000"/>
                <w:sz w:val="22"/>
                <w:szCs w:val="22"/>
              </w:rPr>
              <w:tab/>
              <w:t>7</w:t>
            </w:r>
          </w:hyperlink>
        </w:p>
        <w:p w14:paraId="4BD47E46"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nwlvzedrkqmp">
            <w:r>
              <w:rPr>
                <w:b/>
                <w:bCs/>
                <w:color w:val="000000"/>
                <w:sz w:val="22"/>
                <w:szCs w:val="22"/>
              </w:rPr>
              <w:t>3.5 Time Horizon</w:t>
            </w:r>
            <w:r>
              <w:rPr>
                <w:b/>
                <w:bCs/>
                <w:color w:val="000000"/>
                <w:sz w:val="22"/>
                <w:szCs w:val="22"/>
              </w:rPr>
              <w:tab/>
              <w:t>8</w:t>
            </w:r>
          </w:hyperlink>
        </w:p>
        <w:p w14:paraId="31FD24B0"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gwiae0hnwzv">
            <w:r>
              <w:rPr>
                <w:b/>
                <w:bCs/>
                <w:color w:val="000000"/>
                <w:sz w:val="22"/>
                <w:szCs w:val="22"/>
              </w:rPr>
              <w:t>3.6 Data Collection and Source Justification</w:t>
            </w:r>
            <w:r>
              <w:rPr>
                <w:b/>
                <w:bCs/>
                <w:color w:val="000000"/>
                <w:sz w:val="22"/>
                <w:szCs w:val="22"/>
              </w:rPr>
              <w:tab/>
              <w:t>8</w:t>
            </w:r>
          </w:hyperlink>
        </w:p>
        <w:p w14:paraId="577544EF"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6q1u0c621sb1">
            <w:r>
              <w:rPr>
                <w:b/>
                <w:bCs/>
                <w:color w:val="000000"/>
                <w:sz w:val="22"/>
                <w:szCs w:val="22"/>
              </w:rPr>
              <w:t>3.7 Ethics and Limitations</w:t>
            </w:r>
            <w:r>
              <w:rPr>
                <w:b/>
                <w:bCs/>
                <w:color w:val="000000"/>
                <w:sz w:val="22"/>
                <w:szCs w:val="22"/>
              </w:rPr>
              <w:tab/>
              <w:t>8</w:t>
            </w:r>
          </w:hyperlink>
        </w:p>
        <w:p w14:paraId="48E26C3A" w14:textId="77777777" w:rsidR="00643495" w:rsidRDefault="009B581F">
          <w:pPr>
            <w:pBdr>
              <w:top w:val="nil"/>
              <w:left w:val="nil"/>
              <w:bottom w:val="nil"/>
              <w:right w:val="nil"/>
              <w:between w:val="nil"/>
            </w:pBdr>
            <w:tabs>
              <w:tab w:val="right" w:leader="dot" w:pos="9016"/>
            </w:tabs>
            <w:spacing w:before="120"/>
            <w:rPr>
              <w:color w:val="000000"/>
            </w:rPr>
          </w:pPr>
          <w:hyperlink w:anchor="_54e6f9gjruug">
            <w:r>
              <w:rPr>
                <w:b/>
                <w:bCs/>
                <w:i/>
                <w:iCs/>
                <w:color w:val="000000"/>
              </w:rPr>
              <w:t>4. Timeline</w:t>
            </w:r>
            <w:r>
              <w:rPr>
                <w:b/>
                <w:bCs/>
                <w:i/>
                <w:iCs/>
                <w:color w:val="000000"/>
              </w:rPr>
              <w:tab/>
              <w:t>9</w:t>
            </w:r>
          </w:hyperlink>
        </w:p>
        <w:p w14:paraId="315EBA06"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g6i2jz5g9lsr">
            <w:r>
              <w:rPr>
                <w:b/>
                <w:bCs/>
                <w:color w:val="000000"/>
                <w:sz w:val="22"/>
                <w:szCs w:val="22"/>
              </w:rPr>
              <w:t>4.1 Research Timeline</w:t>
            </w:r>
            <w:r>
              <w:rPr>
                <w:b/>
                <w:bCs/>
                <w:color w:val="000000"/>
                <w:sz w:val="22"/>
                <w:szCs w:val="22"/>
              </w:rPr>
              <w:tab/>
              <w:t>9</w:t>
            </w:r>
          </w:hyperlink>
        </w:p>
        <w:p w14:paraId="1A134090" w14:textId="77777777" w:rsidR="00643495" w:rsidRDefault="009B581F">
          <w:pPr>
            <w:pBdr>
              <w:top w:val="nil"/>
              <w:left w:val="nil"/>
              <w:bottom w:val="nil"/>
              <w:right w:val="nil"/>
              <w:between w:val="nil"/>
            </w:pBdr>
            <w:tabs>
              <w:tab w:val="right" w:leader="dot" w:pos="9016"/>
            </w:tabs>
            <w:spacing w:before="120"/>
            <w:ind w:left="240"/>
            <w:rPr>
              <w:color w:val="000000"/>
            </w:rPr>
          </w:pPr>
          <w:hyperlink w:anchor="_fa0awyghj43b">
            <w:r>
              <w:rPr>
                <w:b/>
                <w:bCs/>
                <w:color w:val="000000"/>
                <w:sz w:val="22"/>
                <w:szCs w:val="22"/>
              </w:rPr>
              <w:t>4.2 Gantt Chart</w:t>
            </w:r>
            <w:r>
              <w:rPr>
                <w:b/>
                <w:bCs/>
                <w:color w:val="000000"/>
                <w:sz w:val="22"/>
                <w:szCs w:val="22"/>
              </w:rPr>
              <w:tab/>
              <w:t>9</w:t>
            </w:r>
          </w:hyperlink>
        </w:p>
        <w:p w14:paraId="6FA0999E" w14:textId="77777777" w:rsidR="00643495" w:rsidRDefault="009B581F">
          <w:pPr>
            <w:pBdr>
              <w:top w:val="nil"/>
              <w:left w:val="nil"/>
              <w:bottom w:val="nil"/>
              <w:right w:val="nil"/>
              <w:between w:val="nil"/>
            </w:pBdr>
            <w:tabs>
              <w:tab w:val="right" w:leader="dot" w:pos="9016"/>
            </w:tabs>
            <w:spacing w:before="120"/>
            <w:rPr>
              <w:color w:val="000000"/>
            </w:rPr>
          </w:pPr>
          <w:hyperlink w:anchor="_5k7t7ee6cfnd">
            <w:r>
              <w:rPr>
                <w:b/>
                <w:bCs/>
                <w:i/>
                <w:iCs/>
                <w:color w:val="000000"/>
              </w:rPr>
              <w:t>References</w:t>
            </w:r>
            <w:r>
              <w:rPr>
                <w:b/>
                <w:bCs/>
                <w:i/>
                <w:iCs/>
                <w:color w:val="000000"/>
              </w:rPr>
              <w:tab/>
              <w:t>10</w:t>
            </w:r>
          </w:hyperlink>
        </w:p>
        <w:p w14:paraId="7F324346" w14:textId="77777777" w:rsidR="00643495" w:rsidRDefault="009B581F">
          <w:r>
            <w:fldChar w:fldCharType="end"/>
          </w:r>
        </w:p>
      </w:sdtContent>
    </w:sdt>
    <w:p w14:paraId="464BBE74" w14:textId="77777777" w:rsidR="00643495" w:rsidRDefault="00643495">
      <w:pPr>
        <w:rPr>
          <w:rFonts w:ascii="Times New Roman" w:eastAsia="Times New Roman" w:hAnsi="Times New Roman" w:cs="Times New Roman"/>
          <w:b/>
          <w:bCs/>
          <w:color w:val="000000"/>
        </w:rPr>
      </w:pPr>
    </w:p>
    <w:p w14:paraId="62D642E1" w14:textId="77777777" w:rsidR="00643495" w:rsidRDefault="00643495">
      <w:pPr>
        <w:rPr>
          <w:rFonts w:ascii="Times New Roman" w:eastAsia="Times New Roman" w:hAnsi="Times New Roman" w:cs="Times New Roman"/>
          <w:b/>
          <w:bCs/>
          <w:color w:val="000000"/>
        </w:rPr>
      </w:pPr>
    </w:p>
    <w:p w14:paraId="50D08A4E" w14:textId="77777777" w:rsidR="00643495" w:rsidRDefault="00643495">
      <w:pPr>
        <w:rPr>
          <w:rFonts w:ascii="Times New Roman" w:eastAsia="Times New Roman" w:hAnsi="Times New Roman" w:cs="Times New Roman"/>
          <w:b/>
          <w:bCs/>
          <w:color w:val="000000"/>
        </w:rPr>
      </w:pPr>
    </w:p>
    <w:p w14:paraId="6B56A0A2" w14:textId="77777777" w:rsidR="00643495" w:rsidRDefault="00643495">
      <w:pPr>
        <w:rPr>
          <w:rFonts w:ascii="Times New Roman" w:eastAsia="Times New Roman" w:hAnsi="Times New Roman" w:cs="Times New Roman"/>
          <w:b/>
          <w:bCs/>
          <w:color w:val="000000"/>
        </w:rPr>
      </w:pPr>
    </w:p>
    <w:p w14:paraId="755D5FEF" w14:textId="77777777" w:rsidR="00643495" w:rsidRDefault="00643495">
      <w:pPr>
        <w:rPr>
          <w:rFonts w:ascii="Times New Roman" w:eastAsia="Times New Roman" w:hAnsi="Times New Roman" w:cs="Times New Roman"/>
          <w:b/>
          <w:bCs/>
          <w:color w:val="000000"/>
        </w:rPr>
      </w:pPr>
    </w:p>
    <w:p w14:paraId="1A36420C" w14:textId="77777777" w:rsidR="00643495" w:rsidRDefault="00643495">
      <w:pPr>
        <w:rPr>
          <w:rFonts w:ascii="Times New Roman" w:eastAsia="Times New Roman" w:hAnsi="Times New Roman" w:cs="Times New Roman"/>
          <w:b/>
          <w:bCs/>
          <w:color w:val="000000"/>
        </w:rPr>
      </w:pPr>
    </w:p>
    <w:p w14:paraId="2E908154" w14:textId="77777777" w:rsidR="00643495" w:rsidRDefault="00643495">
      <w:pPr>
        <w:rPr>
          <w:rFonts w:ascii="Times New Roman" w:eastAsia="Times New Roman" w:hAnsi="Times New Roman" w:cs="Times New Roman"/>
          <w:b/>
          <w:bCs/>
          <w:color w:val="000000"/>
        </w:rPr>
      </w:pPr>
    </w:p>
    <w:p w14:paraId="78BE4B7A" w14:textId="77777777" w:rsidR="00643495" w:rsidRDefault="00643495">
      <w:pPr>
        <w:rPr>
          <w:rFonts w:ascii="Times New Roman" w:eastAsia="Times New Roman" w:hAnsi="Times New Roman" w:cs="Times New Roman"/>
          <w:b/>
          <w:bCs/>
          <w:color w:val="000000"/>
        </w:rPr>
      </w:pPr>
    </w:p>
    <w:p w14:paraId="376290F7" w14:textId="77777777" w:rsidR="00643495" w:rsidRDefault="00643495">
      <w:pPr>
        <w:rPr>
          <w:rFonts w:ascii="Times New Roman" w:eastAsia="Times New Roman" w:hAnsi="Times New Roman" w:cs="Times New Roman"/>
          <w:b/>
          <w:bCs/>
          <w:color w:val="000000"/>
        </w:rPr>
      </w:pPr>
    </w:p>
    <w:p w14:paraId="5B602121" w14:textId="77777777" w:rsidR="00643495" w:rsidRDefault="00643495">
      <w:pPr>
        <w:rPr>
          <w:rFonts w:ascii="Times New Roman" w:eastAsia="Times New Roman" w:hAnsi="Times New Roman" w:cs="Times New Roman"/>
          <w:b/>
          <w:bCs/>
          <w:color w:val="000000"/>
        </w:rPr>
      </w:pPr>
    </w:p>
    <w:p w14:paraId="11E3E12F" w14:textId="77777777" w:rsidR="00643495" w:rsidRDefault="00643495">
      <w:pPr>
        <w:rPr>
          <w:rFonts w:ascii="Times New Roman" w:eastAsia="Times New Roman" w:hAnsi="Times New Roman" w:cs="Times New Roman"/>
          <w:b/>
          <w:bCs/>
          <w:color w:val="000000"/>
        </w:rPr>
      </w:pPr>
    </w:p>
    <w:p w14:paraId="6E4274A7" w14:textId="77777777" w:rsidR="00643495" w:rsidRDefault="009B581F">
      <w:pPr>
        <w:pStyle w:val="Heading1"/>
      </w:pPr>
      <w:bookmarkStart w:id="0" w:name="_whm7ltaekmy3" w:colFirst="0" w:colLast="0"/>
      <w:bookmarkEnd w:id="0"/>
      <w:r>
        <w:t xml:space="preserve">1. Introduction </w:t>
      </w:r>
    </w:p>
    <w:p w14:paraId="06822DCC" w14:textId="77777777" w:rsidR="00643495" w:rsidRDefault="009B581F">
      <w:pPr>
        <w:pStyle w:val="Heading2"/>
      </w:pPr>
      <w:bookmarkStart w:id="1" w:name="_qri7f6motlph" w:colFirst="0" w:colLast="0"/>
      <w:bookmarkEnd w:id="1"/>
      <w:r>
        <w:t>1.1 Background</w:t>
      </w:r>
    </w:p>
    <w:p w14:paraId="4B2399A4"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The COVID-19 crisis led to a mass transition of conventional office work to remote and hybrid forms, primarily in the technological industry. What initially started as a temporary remedy has now turned into a permanent structural transformation in the way organisations are run. The tech industry in London has embraced remote working in small and medium-sized enterprises (SME) to remain competitive and flexible. This transition increased the concern of the impact of remote arrangements on the primary team be</w:t>
      </w:r>
      <w:r>
        <w:rPr>
          <w:rFonts w:ascii="Times New Roman" w:eastAsia="Times New Roman" w:hAnsi="Times New Roman" w:cs="Times New Roman"/>
        </w:rPr>
        <w:t>haviours such as communication, trust and performance (Wang et al., 2021). With the process of remote work being normalised, the impact of remote work on collaboration and employee productivity is essential to both the SME leaders and researchers.</w:t>
      </w:r>
    </w:p>
    <w:p w14:paraId="2FC9FAB3" w14:textId="77777777" w:rsidR="00643495" w:rsidRDefault="009B581F">
      <w:pPr>
        <w:pStyle w:val="Heading2"/>
      </w:pPr>
      <w:bookmarkStart w:id="2" w:name="_m2v0j413yhd3" w:colFirst="0" w:colLast="0"/>
      <w:bookmarkEnd w:id="2"/>
      <w:r>
        <w:t>1.2 Problem Statement</w:t>
      </w:r>
      <w:r>
        <w:t> </w:t>
      </w:r>
    </w:p>
    <w:p w14:paraId="72A381DC"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Remote working posed novel challenges and opportunities to the small and medium-sized tech businesses in London. As much as remote arrangements are flexible and cost effective, they may destroy team spirit, reduce communication speed and make it difficult to monitor employee output. SMEs do not have formal organisation or specific HR resources to serve distributed teams, therefore, they are particularly prone to the collapse of collaboration. Though a lot has been available concerning remote work in large c</w:t>
      </w:r>
      <w:r>
        <w:rPr>
          <w:rFonts w:ascii="Times New Roman" w:eastAsia="Times New Roman" w:hAnsi="Times New Roman" w:cs="Times New Roman"/>
        </w:rPr>
        <w:t>ompanies, there is a dearth of knowledge concerning the impact of remote work on day-to-day teamwork and productivity in smaller technologically oriented firms. This study fills this gap with emphasis on the experience of employees in that regard.</w:t>
      </w:r>
    </w:p>
    <w:p w14:paraId="05B9D727" w14:textId="77777777" w:rsidR="00643495" w:rsidRDefault="009B581F">
      <w:pPr>
        <w:pStyle w:val="Heading2"/>
      </w:pPr>
      <w:bookmarkStart w:id="3" w:name="_n1qcby9wv0b1" w:colFirst="0" w:colLast="0"/>
      <w:bookmarkEnd w:id="3"/>
      <w:r>
        <w:t>1.3 Research Aim</w:t>
      </w:r>
    </w:p>
    <w:p w14:paraId="457F9ACE" w14:textId="77777777" w:rsidR="00643495" w:rsidRDefault="009B581F">
      <w:pPr>
        <w:spacing w:line="360" w:lineRule="auto"/>
        <w:jc w:val="both"/>
        <w:rPr>
          <w:rFonts w:ascii="Times New Roman" w:eastAsia="Times New Roman" w:hAnsi="Times New Roman" w:cs="Times New Roman"/>
        </w:rPr>
      </w:pPr>
      <w:bookmarkStart w:id="4" w:name="_14tr4rrctebo" w:colFirst="0" w:colLast="0"/>
      <w:bookmarkEnd w:id="4"/>
      <w:r>
        <w:rPr>
          <w:rFonts w:ascii="Times New Roman" w:eastAsia="Times New Roman" w:hAnsi="Times New Roman" w:cs="Times New Roman"/>
        </w:rPr>
        <w:t>To investigate the impact of remote working on collaboration within the team and the level of productivity of employees in London-based technology SMEs through the lens of analysing available academic literature, industry reports, and datasets on SMEs.</w:t>
      </w:r>
      <w:r>
        <w:rPr>
          <w:rFonts w:ascii="Times New Roman" w:eastAsia="Times New Roman" w:hAnsi="Times New Roman" w:cs="Times New Roman"/>
        </w:rPr>
        <w:t xml:space="preserve"> </w:t>
      </w:r>
    </w:p>
    <w:p w14:paraId="4B62AE0C" w14:textId="77777777" w:rsidR="00643495" w:rsidRDefault="009B581F">
      <w:pPr>
        <w:pStyle w:val="Heading2"/>
      </w:pPr>
      <w:r>
        <w:lastRenderedPageBreak/>
        <w:t>1.4 Research Objectives</w:t>
      </w:r>
    </w:p>
    <w:p w14:paraId="23BBDAB4" w14:textId="77777777" w:rsidR="00643495" w:rsidRDefault="009B581F">
      <w:pPr>
        <w:numPr>
          <w:ilvl w:val="0"/>
          <w:numId w:val="5"/>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To review literature on how remote work affects team collaboration and productivity in SMEs</w:t>
      </w:r>
    </w:p>
    <w:p w14:paraId="78C1E4C8" w14:textId="77777777" w:rsidR="00643495" w:rsidRDefault="009B581F">
      <w:pPr>
        <w:numPr>
          <w:ilvl w:val="0"/>
          <w:numId w:val="5"/>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To analyse secondary data on organisational practices in London tech SMEs</w:t>
      </w:r>
    </w:p>
    <w:p w14:paraId="4172D21B" w14:textId="77777777" w:rsidR="00643495" w:rsidRDefault="009B581F">
      <w:pPr>
        <w:numPr>
          <w:ilvl w:val="0"/>
          <w:numId w:val="5"/>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To identify patterns, challenges, and success factors reported in existing research and reports</w:t>
      </w:r>
    </w:p>
    <w:p w14:paraId="6CF31C9D" w14:textId="77777777" w:rsidR="00643495" w:rsidRDefault="009B581F">
      <w:pPr>
        <w:numPr>
          <w:ilvl w:val="0"/>
          <w:numId w:val="5"/>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To offer evidence-based recommendations for enhancing remote work outcomes in SMEs</w:t>
      </w:r>
    </w:p>
    <w:p w14:paraId="459DA5D3" w14:textId="77777777" w:rsidR="00643495" w:rsidRDefault="00643495">
      <w:pPr>
        <w:spacing w:line="360" w:lineRule="auto"/>
        <w:jc w:val="both"/>
        <w:rPr>
          <w:rFonts w:ascii="Times New Roman" w:eastAsia="Times New Roman" w:hAnsi="Times New Roman" w:cs="Times New Roman"/>
        </w:rPr>
      </w:pPr>
    </w:p>
    <w:p w14:paraId="4BEF73FB" w14:textId="77777777" w:rsidR="00643495" w:rsidRDefault="009B581F">
      <w:pPr>
        <w:pStyle w:val="Heading2"/>
      </w:pPr>
      <w:bookmarkStart w:id="5" w:name="_z42yogbe02tm" w:colFirst="0" w:colLast="0"/>
      <w:bookmarkEnd w:id="5"/>
      <w:r>
        <w:t>1.5 Research Questions</w:t>
      </w:r>
    </w:p>
    <w:p w14:paraId="3C414657" w14:textId="77777777" w:rsidR="00643495" w:rsidRDefault="009B581F">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How has remote work influenced team collaboration among employees in London tech SMEs?</w:t>
      </w:r>
    </w:p>
    <w:p w14:paraId="2F344F7F" w14:textId="77777777" w:rsidR="00643495" w:rsidRDefault="009B581F">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What impact has remote work had on employee productivity in these organisations?</w:t>
      </w:r>
    </w:p>
    <w:p w14:paraId="04DA9774" w14:textId="77777777" w:rsidR="00643495" w:rsidRDefault="009B581F">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What factors support or hinder effective remote teamwork in SMEs?</w:t>
      </w:r>
    </w:p>
    <w:p w14:paraId="50F0E839" w14:textId="77777777" w:rsidR="00643495" w:rsidRDefault="00643495">
      <w:pPr>
        <w:spacing w:line="360" w:lineRule="auto"/>
        <w:jc w:val="both"/>
        <w:rPr>
          <w:rFonts w:ascii="Times New Roman" w:eastAsia="Times New Roman" w:hAnsi="Times New Roman" w:cs="Times New Roman"/>
        </w:rPr>
      </w:pPr>
    </w:p>
    <w:p w14:paraId="4509BD8E" w14:textId="77777777" w:rsidR="00643495" w:rsidRDefault="009B581F">
      <w:pPr>
        <w:pStyle w:val="Heading2"/>
      </w:pPr>
      <w:bookmarkStart w:id="6" w:name="_4omfgo44nbf0" w:colFirst="0" w:colLast="0"/>
      <w:bookmarkEnd w:id="6"/>
      <w:r>
        <w:t>1.6 Justification and Significance</w:t>
      </w:r>
    </w:p>
    <w:p w14:paraId="21B9CB2D"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Remote work has now been stabilized as a characteristic of business in the modern world, but SMEs have their own problems when adjusting to it. Small and mid-sized firms in the tech industry in London usually do not have the infrastructure and formal systems that larger companies do, thus it is harder to manage distributed teams. Although most of the available research is centred on corporate settings, the current study contributes to existing knowledge by addressing actual experiences in the SME setting. T</w:t>
      </w:r>
      <w:r>
        <w:rPr>
          <w:rFonts w:ascii="Times New Roman" w:eastAsia="Times New Roman" w:hAnsi="Times New Roman" w:cs="Times New Roman"/>
        </w:rPr>
        <w:t>he results can assist the SME leaders in making informed choices regarding the remote work strategy and provide input into scholarly debates about the organisational behaviour and the workforce management in the environment dominated by technological innovations and flexible frameworks.</w:t>
      </w:r>
    </w:p>
    <w:p w14:paraId="6FB447F9" w14:textId="77777777" w:rsidR="00643495" w:rsidRDefault="009B581F">
      <w:pPr>
        <w:pStyle w:val="Heading1"/>
      </w:pPr>
      <w:bookmarkStart w:id="7" w:name="_js9r1ivjojji" w:colFirst="0" w:colLast="0"/>
      <w:bookmarkEnd w:id="7"/>
      <w:r>
        <w:t>2. Literature Review</w:t>
      </w:r>
    </w:p>
    <w:p w14:paraId="723A185C" w14:textId="77777777" w:rsidR="00643495" w:rsidRDefault="009B581F">
      <w:pPr>
        <w:pStyle w:val="Heading2"/>
      </w:pPr>
      <w:bookmarkStart w:id="8" w:name="_vdtnw6tuc9s5" w:colFirst="0" w:colLast="0"/>
      <w:bookmarkEnd w:id="8"/>
      <w:r>
        <w:t>2.1 Theoretical Frameworks</w:t>
      </w:r>
    </w:p>
    <w:p w14:paraId="39C579D5"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Remote work has put into question many of the assumptions of organisational behaviour. Media Richness Theory (Daft and Lengel 1986) is one of the frames that would be useful in this case because it implies that the effectiveness of communication is conditional on the capacity of a medium to convey subtle information. The use of less efficient media (e.g. email, </w:t>
      </w:r>
      <w:r>
        <w:rPr>
          <w:rFonts w:ascii="Times New Roman" w:eastAsia="Times New Roman" w:hAnsi="Times New Roman" w:cs="Times New Roman"/>
        </w:rPr>
        <w:lastRenderedPageBreak/>
        <w:t>chat) can impede the ability to solve complex problems and establish an emotional connection in virtual teams (Yuan et al., 2022). In the same manner, the model of team development proposed by Tuckman, with its stages of forming, storming, norming, and performing, needs to be re-examined in the dispersing situation where informal bonding and conflict resolution processes are restricted (Carillo et al., 2021).</w:t>
      </w:r>
    </w:p>
    <w:p w14:paraId="67DFB652"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The Social Exchange Theory can also be applied, and it suggests that relationships which are characterized by trust and reciprocity spawn team cohesiveness. These exchanges may be undermined in remote settings since physical interaction is reduced, which causes disjointed team identity and lowered engagement (Wang et al., 2021). These theoretical prisms can explain the observed changes in the team dynamics after the pandemic.</w:t>
      </w:r>
    </w:p>
    <w:p w14:paraId="0C624EBE" w14:textId="77777777" w:rsidR="00643495" w:rsidRDefault="009B581F">
      <w:pPr>
        <w:pStyle w:val="Heading2"/>
      </w:pPr>
      <w:bookmarkStart w:id="9" w:name="_x1fgewj359pc" w:colFirst="0" w:colLast="0"/>
      <w:bookmarkEnd w:id="9"/>
      <w:r>
        <w:t>2.2 Remote Work and Team Collaboration</w:t>
      </w:r>
    </w:p>
    <w:p w14:paraId="32739887"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The literature brings out the advantages and the difficulties of remote collaboration. According to a survey done by McKinsey (2021), 75% of workers claimed that they had better work-life balance, although most of them also reported that their interpersonal connection had decreased. The absence of physical communication may destroy the trust and slows the decision-making process especially when it comes to newly established teams (Oakman et al., 2020). Virtual environments usually lack informal communicatio</w:t>
      </w:r>
      <w:r>
        <w:rPr>
          <w:rFonts w:ascii="Times New Roman" w:eastAsia="Times New Roman" w:hAnsi="Times New Roman" w:cs="Times New Roman"/>
        </w:rPr>
        <w:t>n, which is essential in the coordination and creativity processes (Richter, 2022).</w:t>
      </w:r>
    </w:p>
    <w:p w14:paraId="17AF5427"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Nevertheless, other studies indicate that under the proper equipment and management, virtual teams may be more productive than conventional ones regarding concentration and responsibility (Kniffin et al., 2021). Microsoft Teams and Slack are synchronous and asynchronous platforms that help to facilitate communication, although their use depends on digital literacy, organisational support, and team norms (Waizenegger et al., 2020).</w:t>
      </w:r>
    </w:p>
    <w:p w14:paraId="3C3C1F3B"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Trust can become one of the important variables. Charalampous et al. (2019) state that high-trust teams have a higher chance to adapt to remote work. Informal check-ins and autonomy are fostered by proactive leaders who ensure increased engagement and cohesion.</w:t>
      </w:r>
    </w:p>
    <w:p w14:paraId="6986E3B6" w14:textId="77777777" w:rsidR="00643495" w:rsidRDefault="009B581F">
      <w:pPr>
        <w:pStyle w:val="Heading2"/>
      </w:pPr>
      <w:bookmarkStart w:id="10" w:name="_99khb5v8ghq1" w:colFirst="0" w:colLast="0"/>
      <w:bookmarkEnd w:id="10"/>
      <w:r>
        <w:t>2.3 Remote Work and Organisational Performance</w:t>
      </w:r>
    </w:p>
    <w:p w14:paraId="76DAAFAE"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Remote employment has affected worker efficiency both positively and negatively, especially in the small organisations. In certain technological SMEs the workers allege to be more focused and more productive when working at home, particularly in task-oriented jobs such as the creation of software or digital design (BBC, 2022). The benefits include the decrease in the number of distractors in the office and the independence of flexible office schedules (Kniffin et al., 2021).</w:t>
      </w:r>
    </w:p>
    <w:p w14:paraId="3E929C00"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Nevertheless, other researchers note that it also has obstacles to lower productivity that include the absence of organization, the inability to obtain assistance, or unfavourable conditions at home (Hickman and Robison, 2020). Trust and communication between team members and leaders are important sources of productivity in the SMEs where formal systems of performance management might not exist.</w:t>
      </w:r>
    </w:p>
    <w:p w14:paraId="19777429"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Microsoft Work Trend Index (2022) revealed that workers tend to see themselves more productive when working at home, but this ignites a drop in collaboration, innovation, or long-term engagement. SMEs that lack clear expectations and feedback mechanisms might not be capable of continuing to be productive beyond normal operations.</w:t>
      </w:r>
    </w:p>
    <w:p w14:paraId="16AFF94D"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Sustenance of productivity is a key role of leadership. Managers who provide freedom and frequent follow-ups, as well as place an emphasis on the performance of their staff instead of their presence, are better positioned to continue motivating and keeping their employees highly productive in hybrid environment (Larson et al., 2021). These factors can be even more significant in the case of SMEs, where leadership is more likely to be more informal and direct.</w:t>
      </w:r>
    </w:p>
    <w:p w14:paraId="77FBBF7C" w14:textId="77777777" w:rsidR="00643495" w:rsidRDefault="009B581F">
      <w:pPr>
        <w:pStyle w:val="Heading2"/>
      </w:pPr>
      <w:bookmarkStart w:id="11" w:name="_jxwoqhr6kpc2" w:colFirst="0" w:colLast="0"/>
      <w:bookmarkEnd w:id="11"/>
      <w:r>
        <w:t>2.4 Research Gaps and Implications</w:t>
      </w:r>
    </w:p>
    <w:p w14:paraId="0FEDE0F3" w14:textId="77777777" w:rsidR="00643495" w:rsidRDefault="009B581F">
      <w:pPr>
        <w:spacing w:line="360" w:lineRule="auto"/>
        <w:jc w:val="both"/>
        <w:rPr>
          <w:rFonts w:ascii="Times New Roman" w:eastAsia="Times New Roman" w:hAnsi="Times New Roman" w:cs="Times New Roman"/>
        </w:rPr>
      </w:pPr>
      <w:bookmarkStart w:id="12" w:name="_ghvw9rpac6od" w:colFirst="0" w:colLast="0"/>
      <w:bookmarkEnd w:id="12"/>
      <w:r>
        <w:rPr>
          <w:rFonts w:ascii="Times New Roman" w:eastAsia="Times New Roman" w:hAnsi="Times New Roman" w:cs="Times New Roman"/>
        </w:rPr>
        <w:t xml:space="preserve">Although an increasing literature is available on the topic of remote work, most of the extant literature has concentrated on large-sized companies or worldwide workforce patterns, and with relatively little attention paid to small-scale medium-sized companies (SMEs), particularly those within the UK tech sector. A lot of high-profile research (e.g. McKinsey, Microsoft) represents data in multinational setting which is not necessarily connected with the realities of operating SMEs (which usually have fewer </w:t>
      </w:r>
      <w:r>
        <w:rPr>
          <w:rFonts w:ascii="Times New Roman" w:eastAsia="Times New Roman" w:hAnsi="Times New Roman" w:cs="Times New Roman"/>
        </w:rPr>
        <w:t>resources, are not as formal, and have less digital infrastructure).</w:t>
      </w:r>
    </w:p>
    <w:p w14:paraId="33DB8925"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Another tendency is also active in the cases where current literature gives preference to general employee well-being or productivity indicators rather than to studying the operation of team collaboration in the specific context of remote or hybrid SME backgrounds. Additionally, the scholarly debate on remote work has been less focused on the long-term changes in the operations and behaviour of the SMEs post-crisis and more on the short-term implications of the COVID-19 crisis.</w:t>
      </w:r>
    </w:p>
    <w:p w14:paraId="08291322"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The second gap is the absence of integrated knowledge on the various data types. Scholarly research, industry white papers, and government documents tend to operate in isolation and have isolated views. This opens a possibility to integrate a variety of sources of secondary data into a coherent depiction of how remote work is influencing team performance in SMEs.</w:t>
      </w:r>
    </w:p>
    <w:p w14:paraId="2ACFA5CB"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proposed research fills the described gaps by examining a wide range of secondary data, such as scholarly sources, case studies involving SMEs, industry polls, and government statistics, to investigate the impact of remote work on collaboration and productivity in tech SMEs headquartered in London. The derived insights can be used by the leaders of SMEs, HR, and policymakers in search of evidence-based advice on how to make the most of remote work strategies in lean, fast-paced settings. </w:t>
      </w:r>
    </w:p>
    <w:p w14:paraId="7B181730" w14:textId="77777777" w:rsidR="00643495" w:rsidRDefault="009B581F">
      <w:pPr>
        <w:pStyle w:val="Heading1"/>
      </w:pPr>
      <w:r>
        <w:t>3. Research Methodology</w:t>
      </w:r>
    </w:p>
    <w:p w14:paraId="663E8059" w14:textId="77777777" w:rsidR="00643495" w:rsidRDefault="009B581F">
      <w:pPr>
        <w:pStyle w:val="Heading2"/>
      </w:pPr>
      <w:bookmarkStart w:id="13" w:name="_qcrlv0vf7iw1" w:colFirst="0" w:colLast="0"/>
      <w:bookmarkEnd w:id="13"/>
      <w:r>
        <w:t>3.1 Research Philosophy</w:t>
      </w:r>
    </w:p>
    <w:p w14:paraId="06CED68A" w14:textId="77777777" w:rsidR="00643495" w:rsidRDefault="009B581F">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research is based on a Realist philosophy, which presupposes that organisational phenomena, i.e. productivity, collaboration and communication exist on their own but are perceived in a context. It is the use of secondary data that realism upholds as it acknowledges the objective realities that are described in both industries and academic literature, as well as the subjective experiences that may be derived therein (Saunders et al., 2019).</w:t>
      </w:r>
    </w:p>
    <w:p w14:paraId="48091771" w14:textId="77777777" w:rsidR="00643495" w:rsidRDefault="009B581F">
      <w:pPr>
        <w:pStyle w:val="Heading2"/>
      </w:pPr>
      <w:bookmarkStart w:id="14" w:name="_nimdrel4fmuu" w:colFirst="0" w:colLast="0"/>
      <w:bookmarkEnd w:id="14"/>
      <w:r>
        <w:t>3.2 Research Approach</w:t>
      </w:r>
    </w:p>
    <w:p w14:paraId="1FD52371" w14:textId="77777777" w:rsidR="00643495" w:rsidRDefault="009B581F">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inductive approach is adopted. The research will not be a test of a hypothesis but will create an insight by identifying themes in the current empirical studies, industry reports, and case studies of SMEs. The approach is suitable since the impacts of remote work on SMEs are complicated, diverse, and continue to develop (Thomas, 2021).</w:t>
      </w:r>
    </w:p>
    <w:p w14:paraId="4EBD7446" w14:textId="77777777" w:rsidR="00643495" w:rsidRDefault="009B581F">
      <w:pPr>
        <w:pStyle w:val="Heading2"/>
      </w:pPr>
      <w:bookmarkStart w:id="15" w:name="_3zbv0vzdscui" w:colFirst="0" w:colLast="0"/>
      <w:bookmarkEnd w:id="15"/>
      <w:r>
        <w:t>3.3 Research Strategy</w:t>
      </w:r>
    </w:p>
    <w:p w14:paraId="5522938B"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A</w:t>
      </w:r>
      <w:r>
        <w:rPr>
          <w:rFonts w:ascii="Times New Roman" w:eastAsia="Times New Roman" w:hAnsi="Times New Roman" w:cs="Times New Roman"/>
          <w:color w:val="000000"/>
        </w:rPr>
        <w:t> </w:t>
      </w:r>
      <w:r>
        <w:rPr>
          <w:rFonts w:ascii="Times New Roman" w:eastAsia="Times New Roman" w:hAnsi="Times New Roman" w:cs="Times New Roman"/>
          <w:color w:val="000000"/>
        </w:rPr>
        <w:t>systematic secondary literature review</w:t>
      </w:r>
      <w:r>
        <w:rPr>
          <w:rFonts w:ascii="Times New Roman" w:eastAsia="Times New Roman" w:hAnsi="Times New Roman" w:cs="Times New Roman"/>
          <w:color w:val="000000"/>
        </w:rPr>
        <w:t> </w:t>
      </w:r>
      <w:r>
        <w:rPr>
          <w:rFonts w:ascii="Times New Roman" w:eastAsia="Times New Roman" w:hAnsi="Times New Roman" w:cs="Times New Roman"/>
        </w:rPr>
        <w:t>strategy is adopted. The study will identify, evaluate, and synthesise credible sources from 2017–2025 that examine:</w:t>
      </w:r>
    </w:p>
    <w:p w14:paraId="2A832DD7"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Remote work practices</w:t>
      </w:r>
    </w:p>
    <w:p w14:paraId="05824BA1"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Employee productivity</w:t>
      </w:r>
    </w:p>
    <w:p w14:paraId="729C0DA4"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Team collaboration</w:t>
      </w:r>
    </w:p>
    <w:p w14:paraId="67C44895"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SME-specific operations (with a focus on the UK and tech sector)</w:t>
      </w:r>
    </w:p>
    <w:p w14:paraId="70216DA5"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To ensure coverage and quality, documents will be sourced from:</w:t>
      </w:r>
    </w:p>
    <w:p w14:paraId="4D7833E6" w14:textId="77777777" w:rsidR="00643495" w:rsidRDefault="009B581F">
      <w:pPr>
        <w:numPr>
          <w:ilvl w:val="0"/>
          <w:numId w:val="2"/>
        </w:numPr>
        <w:pBdr>
          <w:top w:val="nil"/>
          <w:left w:val="nil"/>
          <w:bottom w:val="nil"/>
          <w:right w:val="nil"/>
          <w:between w:val="nil"/>
        </w:pBdr>
        <w:spacing w:line="360" w:lineRule="auto"/>
        <w:jc w:val="both"/>
        <w:rPr>
          <w:color w:val="000000"/>
        </w:rPr>
      </w:pPr>
      <w:r>
        <w:rPr>
          <w:rFonts w:ascii="Times New Roman" w:eastAsia="Times New Roman" w:hAnsi="Times New Roman" w:cs="Times New Roman"/>
          <w:b/>
          <w:bCs/>
          <w:color w:val="000000"/>
        </w:rPr>
        <w:t>Peer-reviewed academic journals</w:t>
      </w:r>
      <w:r>
        <w:rPr>
          <w:rFonts w:ascii="Times New Roman" w:eastAsia="Times New Roman" w:hAnsi="Times New Roman" w:cs="Times New Roman"/>
          <w:color w:val="000000"/>
        </w:rPr>
        <w:t> (via ScienceDirect, Taylor &amp; Francis, Google Scholar)</w:t>
      </w:r>
    </w:p>
    <w:p w14:paraId="176BDA0C" w14:textId="77777777" w:rsidR="00643495" w:rsidRDefault="009B581F">
      <w:pPr>
        <w:numPr>
          <w:ilvl w:val="0"/>
          <w:numId w:val="2"/>
        </w:numPr>
        <w:pBdr>
          <w:top w:val="nil"/>
          <w:left w:val="nil"/>
          <w:bottom w:val="nil"/>
          <w:right w:val="nil"/>
          <w:between w:val="nil"/>
        </w:pBdr>
        <w:spacing w:line="360" w:lineRule="auto"/>
        <w:jc w:val="both"/>
        <w:rPr>
          <w:color w:val="000000"/>
        </w:rPr>
      </w:pPr>
      <w:r>
        <w:rPr>
          <w:rFonts w:ascii="Times New Roman" w:eastAsia="Times New Roman" w:hAnsi="Times New Roman" w:cs="Times New Roman"/>
          <w:b/>
          <w:bCs/>
          <w:color w:val="000000"/>
        </w:rPr>
        <w:t>Industry whitepapers</w:t>
      </w:r>
      <w:r>
        <w:rPr>
          <w:rFonts w:ascii="Times New Roman" w:eastAsia="Times New Roman" w:hAnsi="Times New Roman" w:cs="Times New Roman"/>
          <w:color w:val="000000"/>
        </w:rPr>
        <w:t> (e.g. CIPD, McKinsey, Microsoft WorkLab)</w:t>
      </w:r>
    </w:p>
    <w:p w14:paraId="1F98A985" w14:textId="77777777" w:rsidR="00643495" w:rsidRDefault="009B581F">
      <w:pPr>
        <w:numPr>
          <w:ilvl w:val="0"/>
          <w:numId w:val="2"/>
        </w:numPr>
        <w:pBdr>
          <w:top w:val="nil"/>
          <w:left w:val="nil"/>
          <w:bottom w:val="nil"/>
          <w:right w:val="nil"/>
          <w:between w:val="nil"/>
        </w:pBdr>
        <w:spacing w:line="360" w:lineRule="auto"/>
        <w:jc w:val="both"/>
        <w:rPr>
          <w:color w:val="000000"/>
        </w:rPr>
      </w:pPr>
      <w:r>
        <w:rPr>
          <w:rFonts w:ascii="Times New Roman" w:eastAsia="Times New Roman" w:hAnsi="Times New Roman" w:cs="Times New Roman"/>
          <w:b/>
          <w:bCs/>
          <w:color w:val="000000"/>
        </w:rPr>
        <w:t>Government &amp; public SME datasets</w:t>
      </w:r>
      <w:r>
        <w:rPr>
          <w:rFonts w:ascii="Times New Roman" w:eastAsia="Times New Roman" w:hAnsi="Times New Roman" w:cs="Times New Roman"/>
          <w:color w:val="000000"/>
        </w:rPr>
        <w:t> (e.g. UK ONS reports)</w:t>
      </w:r>
    </w:p>
    <w:p w14:paraId="3EAC1EC5" w14:textId="77777777" w:rsidR="00643495" w:rsidRDefault="009B581F">
      <w:pPr>
        <w:numPr>
          <w:ilvl w:val="0"/>
          <w:numId w:val="2"/>
        </w:numPr>
        <w:pBdr>
          <w:top w:val="nil"/>
          <w:left w:val="nil"/>
          <w:bottom w:val="nil"/>
          <w:right w:val="nil"/>
          <w:between w:val="nil"/>
        </w:pBdr>
        <w:spacing w:line="360" w:lineRule="auto"/>
        <w:jc w:val="both"/>
        <w:rPr>
          <w:color w:val="000000"/>
        </w:rPr>
      </w:pPr>
      <w:r>
        <w:rPr>
          <w:rFonts w:ascii="Times New Roman" w:eastAsia="Times New Roman" w:hAnsi="Times New Roman" w:cs="Times New Roman"/>
          <w:b/>
          <w:bCs/>
          <w:color w:val="000000"/>
        </w:rPr>
        <w:t>Company reports</w:t>
      </w:r>
      <w:r>
        <w:rPr>
          <w:rFonts w:ascii="Times New Roman" w:eastAsia="Times New Roman" w:hAnsi="Times New Roman" w:cs="Times New Roman"/>
          <w:color w:val="000000"/>
        </w:rPr>
        <w:t> and </w:t>
      </w:r>
      <w:r>
        <w:rPr>
          <w:rFonts w:ascii="Times New Roman" w:eastAsia="Times New Roman" w:hAnsi="Times New Roman" w:cs="Times New Roman"/>
          <w:b/>
          <w:bCs/>
          <w:color w:val="000000"/>
        </w:rPr>
        <w:t>surveys</w:t>
      </w:r>
      <w:r>
        <w:rPr>
          <w:rFonts w:ascii="Times New Roman" w:eastAsia="Times New Roman" w:hAnsi="Times New Roman" w:cs="Times New Roman"/>
          <w:color w:val="000000"/>
        </w:rPr>
        <w:t> related to SME working models</w:t>
      </w:r>
    </w:p>
    <w:p w14:paraId="6C254208" w14:textId="77777777" w:rsidR="00643495" w:rsidRDefault="009B581F">
      <w:pPr>
        <w:numPr>
          <w:ilvl w:val="0"/>
          <w:numId w:val="2"/>
        </w:numPr>
        <w:pBdr>
          <w:top w:val="nil"/>
          <w:left w:val="nil"/>
          <w:bottom w:val="nil"/>
          <w:right w:val="nil"/>
          <w:between w:val="nil"/>
        </w:pBdr>
        <w:spacing w:line="360" w:lineRule="auto"/>
        <w:jc w:val="both"/>
        <w:rPr>
          <w:color w:val="000000"/>
        </w:rPr>
      </w:pPr>
      <w:r>
        <w:rPr>
          <w:rFonts w:ascii="Times New Roman" w:eastAsia="Times New Roman" w:hAnsi="Times New Roman" w:cs="Times New Roman"/>
          <w:b/>
          <w:bCs/>
          <w:color w:val="000000"/>
        </w:rPr>
        <w:t>Reports from credible media</w:t>
      </w:r>
      <w:r>
        <w:rPr>
          <w:rFonts w:ascii="Times New Roman" w:eastAsia="Times New Roman" w:hAnsi="Times New Roman" w:cs="Times New Roman"/>
          <w:color w:val="000000"/>
        </w:rPr>
        <w:t> (e.g. Forbes, BBC, HBR)</w:t>
      </w:r>
    </w:p>
    <w:p w14:paraId="6C631E45"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This wide base ensures the dataset is large and detailed enough for valid thematic synthesis.</w:t>
      </w:r>
    </w:p>
    <w:p w14:paraId="318D3687" w14:textId="77777777" w:rsidR="00643495" w:rsidRDefault="009B581F">
      <w:pPr>
        <w:pStyle w:val="Heading2"/>
      </w:pPr>
      <w:bookmarkStart w:id="16" w:name="_wo6p0mec9d4w" w:colFirst="0" w:colLast="0"/>
      <w:bookmarkEnd w:id="16"/>
      <w:r>
        <w:t>3.4 Methodological Choice</w:t>
      </w:r>
    </w:p>
    <w:p w14:paraId="11719D75"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A qualitative study will be carried out based on thematic analysis as a mono-method study. Thematic coding will be used in 30-40 documents to find the insights that are reappearing based on:</w:t>
      </w:r>
    </w:p>
    <w:p w14:paraId="4EB23EC3" w14:textId="77777777" w:rsidR="00643495" w:rsidRDefault="009B581F">
      <w:pPr>
        <w:numPr>
          <w:ilvl w:val="0"/>
          <w:numId w:val="3"/>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Team communication and cohesion</w:t>
      </w:r>
    </w:p>
    <w:p w14:paraId="271E8D97" w14:textId="77777777" w:rsidR="00643495" w:rsidRDefault="009B581F">
      <w:pPr>
        <w:numPr>
          <w:ilvl w:val="0"/>
          <w:numId w:val="3"/>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Trust-building and leadership</w:t>
      </w:r>
    </w:p>
    <w:p w14:paraId="5A2AB006" w14:textId="77777777" w:rsidR="00643495" w:rsidRDefault="009B581F">
      <w:pPr>
        <w:numPr>
          <w:ilvl w:val="0"/>
          <w:numId w:val="3"/>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Reported productivity changes</w:t>
      </w:r>
    </w:p>
    <w:p w14:paraId="32AFABAD" w14:textId="77777777" w:rsidR="00643495" w:rsidRDefault="009B581F">
      <w:pPr>
        <w:numPr>
          <w:ilvl w:val="0"/>
          <w:numId w:val="3"/>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SME-specific challenges or success factors</w:t>
      </w:r>
    </w:p>
    <w:p w14:paraId="1859C8FE"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Coding will be done manually using the 6 steps coding process as suggested by Braun and Clarke (2006). Themes that are likely to be identified include the use of digital tools, leadership practice, trust, and productivity barriers.</w:t>
      </w:r>
    </w:p>
    <w:p w14:paraId="47807424" w14:textId="77777777" w:rsidR="00643495" w:rsidRDefault="009B581F">
      <w:pPr>
        <w:pStyle w:val="Heading2"/>
      </w:pPr>
      <w:bookmarkStart w:id="17" w:name="_nwlvzedrkqmp" w:colFirst="0" w:colLast="0"/>
      <w:bookmarkEnd w:id="17"/>
      <w:r>
        <w:t>3.5 Time Horizon</w:t>
      </w:r>
    </w:p>
    <w:p w14:paraId="25F467F0"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The cross-sectional period is chosen, paying attention to the sources released in 2020-2025, the most crucial time of remote work normalisation after the pandemic. This period represents the current organisational behaviour change during and after the pandemic.</w:t>
      </w:r>
    </w:p>
    <w:p w14:paraId="2C443A61" w14:textId="77777777" w:rsidR="00643495" w:rsidRDefault="009B581F">
      <w:pPr>
        <w:pStyle w:val="Heading2"/>
      </w:pPr>
      <w:bookmarkStart w:id="18" w:name="_gwiae0hnwzv" w:colFirst="0" w:colLast="0"/>
      <w:bookmarkEnd w:id="18"/>
      <w:r>
        <w:t>3.6 Data Collection and Source Justification</w:t>
      </w:r>
    </w:p>
    <w:p w14:paraId="50806D0F"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The literature review will draw from at least</w:t>
      </w:r>
      <w:r>
        <w:rPr>
          <w:rFonts w:ascii="Times New Roman" w:eastAsia="Times New Roman" w:hAnsi="Times New Roman" w:cs="Times New Roman"/>
          <w:color w:val="000000"/>
        </w:rPr>
        <w:t> </w:t>
      </w:r>
      <w:r>
        <w:rPr>
          <w:rFonts w:ascii="Times New Roman" w:eastAsia="Times New Roman" w:hAnsi="Times New Roman" w:cs="Times New Roman"/>
          <w:color w:val="000000"/>
        </w:rPr>
        <w:t>30 high-quality secondary sources</w:t>
      </w:r>
      <w:r>
        <w:rPr>
          <w:rFonts w:ascii="Times New Roman" w:eastAsia="Times New Roman" w:hAnsi="Times New Roman" w:cs="Times New Roman"/>
        </w:rPr>
        <w:t>, with the following distribution:</w:t>
      </w: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85"/>
        <w:gridCol w:w="4062"/>
        <w:gridCol w:w="2069"/>
      </w:tblGrid>
      <w:tr w:rsidR="00643495" w14:paraId="4F94EB8B" w14:textId="77777777">
        <w:tc>
          <w:tcPr>
            <w:tcW w:w="2885" w:type="dxa"/>
          </w:tcPr>
          <w:p w14:paraId="69E4BFC6" w14:textId="77777777" w:rsidR="00643495" w:rsidRDefault="009B581F">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Source Type</w:t>
            </w:r>
          </w:p>
        </w:tc>
        <w:tc>
          <w:tcPr>
            <w:tcW w:w="4062" w:type="dxa"/>
          </w:tcPr>
          <w:p w14:paraId="079DFB48" w14:textId="77777777" w:rsidR="00643495" w:rsidRDefault="009B581F">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Examples / Repositories</w:t>
            </w:r>
          </w:p>
        </w:tc>
        <w:tc>
          <w:tcPr>
            <w:tcW w:w="2069" w:type="dxa"/>
          </w:tcPr>
          <w:p w14:paraId="52BD9F4B" w14:textId="77777777" w:rsidR="00643495" w:rsidRDefault="009B581F">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Approx. Documents</w:t>
            </w:r>
          </w:p>
        </w:tc>
      </w:tr>
      <w:tr w:rsidR="00643495" w14:paraId="62BD39A2" w14:textId="77777777">
        <w:tc>
          <w:tcPr>
            <w:tcW w:w="2885" w:type="dxa"/>
          </w:tcPr>
          <w:p w14:paraId="1F1D1189"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Peer-reviewed journals</w:t>
            </w:r>
          </w:p>
        </w:tc>
        <w:tc>
          <w:tcPr>
            <w:tcW w:w="4062" w:type="dxa"/>
          </w:tcPr>
          <w:p w14:paraId="393666AC"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ScienceDirect, Wiley, Taylor &amp; Francis</w:t>
            </w:r>
          </w:p>
        </w:tc>
        <w:tc>
          <w:tcPr>
            <w:tcW w:w="2069" w:type="dxa"/>
          </w:tcPr>
          <w:p w14:paraId="770DAD45"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10–12</w:t>
            </w:r>
          </w:p>
        </w:tc>
      </w:tr>
      <w:tr w:rsidR="00643495" w14:paraId="3ADDA328" w14:textId="77777777">
        <w:tc>
          <w:tcPr>
            <w:tcW w:w="2885" w:type="dxa"/>
          </w:tcPr>
          <w:p w14:paraId="1058E893"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Industry reports / Whitepapers</w:t>
            </w:r>
          </w:p>
        </w:tc>
        <w:tc>
          <w:tcPr>
            <w:tcW w:w="4062" w:type="dxa"/>
          </w:tcPr>
          <w:p w14:paraId="3DDF1862"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McKinsey, Microsoft WorkLab, CIPD, Gartner</w:t>
            </w:r>
          </w:p>
        </w:tc>
        <w:tc>
          <w:tcPr>
            <w:tcW w:w="2069" w:type="dxa"/>
          </w:tcPr>
          <w:p w14:paraId="32B73E4B"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10</w:t>
            </w:r>
          </w:p>
        </w:tc>
      </w:tr>
      <w:tr w:rsidR="00643495" w14:paraId="30198C8C" w14:textId="77777777">
        <w:tc>
          <w:tcPr>
            <w:tcW w:w="2885" w:type="dxa"/>
          </w:tcPr>
          <w:p w14:paraId="63C8FC30"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Government/SME data</w:t>
            </w:r>
          </w:p>
        </w:tc>
        <w:tc>
          <w:tcPr>
            <w:tcW w:w="4062" w:type="dxa"/>
          </w:tcPr>
          <w:p w14:paraId="307FA24B"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UK ONS, BEIS SME factsheets</w:t>
            </w:r>
          </w:p>
        </w:tc>
        <w:tc>
          <w:tcPr>
            <w:tcW w:w="2069" w:type="dxa"/>
          </w:tcPr>
          <w:p w14:paraId="2B81DD75"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5–6</w:t>
            </w:r>
          </w:p>
        </w:tc>
      </w:tr>
      <w:tr w:rsidR="00643495" w14:paraId="6BFFD4E2" w14:textId="77777777">
        <w:tc>
          <w:tcPr>
            <w:tcW w:w="2885" w:type="dxa"/>
          </w:tcPr>
          <w:p w14:paraId="5F31B5CB"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Professional publications</w:t>
            </w:r>
          </w:p>
        </w:tc>
        <w:tc>
          <w:tcPr>
            <w:tcW w:w="4062" w:type="dxa"/>
          </w:tcPr>
          <w:p w14:paraId="11180BE9"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HBR, Forbes, BBC, Financial Times</w:t>
            </w:r>
          </w:p>
        </w:tc>
        <w:tc>
          <w:tcPr>
            <w:tcW w:w="2069" w:type="dxa"/>
          </w:tcPr>
          <w:p w14:paraId="628D90FB"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5–6</w:t>
            </w:r>
          </w:p>
        </w:tc>
      </w:tr>
    </w:tbl>
    <w:p w14:paraId="5096CAED"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All the documents will be stored and indexed in a spreadsheet in terms of source, year, author, relevance of the material to the SME and keywords/themes. This database will be availed on request to get it validated.</w:t>
      </w:r>
    </w:p>
    <w:p w14:paraId="43F3C46F" w14:textId="77777777" w:rsidR="00643495" w:rsidRDefault="009B581F">
      <w:pPr>
        <w:pStyle w:val="Heading2"/>
      </w:pPr>
      <w:bookmarkStart w:id="19" w:name="_6q1u0c621sb1" w:colFirst="0" w:colLast="0"/>
      <w:bookmarkEnd w:id="19"/>
      <w:r>
        <w:t>3.7 Ethics and Limitations</w:t>
      </w:r>
    </w:p>
    <w:p w14:paraId="79C3A419"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No primary participants are involved, so ethical risk is minimal. All sources will be cited using Harvard referencing and treated with academic integrity. Limitations include:</w:t>
      </w:r>
    </w:p>
    <w:p w14:paraId="617B41C0" w14:textId="77777777" w:rsidR="00643495" w:rsidRDefault="009B581F">
      <w:pPr>
        <w:numPr>
          <w:ilvl w:val="0"/>
          <w:numId w:val="4"/>
        </w:numPr>
        <w:pBdr>
          <w:top w:val="nil"/>
          <w:left w:val="nil"/>
          <w:bottom w:val="nil"/>
          <w:right w:val="nil"/>
          <w:between w:val="nil"/>
        </w:pBdr>
        <w:spacing w:line="360" w:lineRule="auto"/>
        <w:jc w:val="both"/>
        <w:rPr>
          <w:color w:val="000000"/>
        </w:rPr>
      </w:pPr>
      <w:r>
        <w:rPr>
          <w:rFonts w:ascii="Times New Roman" w:eastAsia="Times New Roman" w:hAnsi="Times New Roman" w:cs="Times New Roman"/>
          <w:b/>
          <w:bCs/>
          <w:color w:val="000000"/>
        </w:rPr>
        <w:t>Lack of real-time insights</w:t>
      </w:r>
      <w:r>
        <w:rPr>
          <w:rFonts w:ascii="Times New Roman" w:eastAsia="Times New Roman" w:hAnsi="Times New Roman" w:cs="Times New Roman"/>
          <w:color w:val="000000"/>
        </w:rPr>
        <w:t> from SME employees</w:t>
      </w:r>
    </w:p>
    <w:p w14:paraId="50964787" w14:textId="77777777" w:rsidR="00643495" w:rsidRDefault="009B581F">
      <w:pPr>
        <w:numPr>
          <w:ilvl w:val="0"/>
          <w:numId w:val="4"/>
        </w:numPr>
        <w:pBdr>
          <w:top w:val="nil"/>
          <w:left w:val="nil"/>
          <w:bottom w:val="nil"/>
          <w:right w:val="nil"/>
          <w:between w:val="nil"/>
        </w:pBdr>
        <w:spacing w:line="360" w:lineRule="auto"/>
        <w:jc w:val="both"/>
        <w:rPr>
          <w:color w:val="000000"/>
        </w:rPr>
      </w:pPr>
      <w:r>
        <w:rPr>
          <w:rFonts w:ascii="Times New Roman" w:eastAsia="Times New Roman" w:hAnsi="Times New Roman" w:cs="Times New Roman"/>
          <w:b/>
          <w:bCs/>
          <w:color w:val="000000"/>
        </w:rPr>
        <w:t>Potential publication bias</w:t>
      </w:r>
      <w:r>
        <w:rPr>
          <w:rFonts w:ascii="Times New Roman" w:eastAsia="Times New Roman" w:hAnsi="Times New Roman" w:cs="Times New Roman"/>
          <w:color w:val="000000"/>
        </w:rPr>
        <w:t> in company and consultancy reports</w:t>
      </w:r>
    </w:p>
    <w:p w14:paraId="3042EBA6" w14:textId="77777777" w:rsidR="00643495" w:rsidRDefault="009B581F">
      <w:pPr>
        <w:numPr>
          <w:ilvl w:val="0"/>
          <w:numId w:val="4"/>
        </w:numPr>
        <w:pBdr>
          <w:top w:val="nil"/>
          <w:left w:val="nil"/>
          <w:bottom w:val="nil"/>
          <w:right w:val="nil"/>
          <w:between w:val="nil"/>
        </w:pBdr>
        <w:spacing w:line="360" w:lineRule="auto"/>
        <w:jc w:val="both"/>
        <w:rPr>
          <w:color w:val="000000"/>
        </w:rPr>
      </w:pPr>
      <w:r>
        <w:rPr>
          <w:rFonts w:ascii="Times New Roman" w:eastAsia="Times New Roman" w:hAnsi="Times New Roman" w:cs="Times New Roman"/>
          <w:b/>
          <w:bCs/>
          <w:color w:val="000000"/>
        </w:rPr>
        <w:t>Generalisation risk</w:t>
      </w:r>
      <w:r>
        <w:rPr>
          <w:rFonts w:ascii="Times New Roman" w:eastAsia="Times New Roman" w:hAnsi="Times New Roman" w:cs="Times New Roman"/>
          <w:color w:val="000000"/>
        </w:rPr>
        <w:t>, as some reports cover broader sectors beyond London SMEs</w:t>
      </w:r>
    </w:p>
    <w:p w14:paraId="1256FE79" w14:textId="77777777" w:rsidR="00643495" w:rsidRDefault="009B581F">
      <w:pPr>
        <w:spacing w:line="360" w:lineRule="auto"/>
        <w:jc w:val="both"/>
        <w:rPr>
          <w:rFonts w:ascii="Times New Roman" w:eastAsia="Times New Roman" w:hAnsi="Times New Roman" w:cs="Times New Roman"/>
        </w:rPr>
      </w:pPr>
      <w:r>
        <w:rPr>
          <w:rFonts w:ascii="Times New Roman" w:eastAsia="Times New Roman" w:hAnsi="Times New Roman" w:cs="Times New Roman"/>
        </w:rPr>
        <w:t>However, triangulating academic, industry, and government sources will strengthen the validity of findings.</w:t>
      </w:r>
    </w:p>
    <w:p w14:paraId="2E6D2028" w14:textId="77777777" w:rsidR="00643495" w:rsidRDefault="00643495"/>
    <w:p w14:paraId="2B775ADA" w14:textId="77777777" w:rsidR="00643495" w:rsidRDefault="009B581F">
      <w:pPr>
        <w:pStyle w:val="Heading1"/>
      </w:pPr>
      <w:bookmarkStart w:id="20" w:name="_54e6f9gjruug" w:colFirst="0" w:colLast="0"/>
      <w:bookmarkEnd w:id="20"/>
      <w:r>
        <w:t>4. Timeline </w:t>
      </w:r>
    </w:p>
    <w:p w14:paraId="1CE51924" w14:textId="77777777" w:rsidR="00643495" w:rsidRDefault="009B581F">
      <w:pPr>
        <w:pStyle w:val="Heading2"/>
      </w:pPr>
      <w:bookmarkStart w:id="21" w:name="_g6i2jz5g9lsr" w:colFirst="0" w:colLast="0"/>
      <w:bookmarkEnd w:id="21"/>
      <w:r>
        <w:t>4.1 Research Timeline</w:t>
      </w:r>
    </w:p>
    <w:p w14:paraId="1C02398B" w14:textId="77777777" w:rsidR="00643495" w:rsidRDefault="009B581F">
      <w:pPr>
        <w:spacing w:line="360" w:lineRule="auto"/>
        <w:jc w:val="both"/>
        <w:rPr>
          <w:rFonts w:ascii="Times New Roman" w:eastAsia="Times New Roman" w:hAnsi="Times New Roman" w:cs="Times New Roman"/>
        </w:rPr>
      </w:pPr>
      <w:bookmarkStart w:id="22" w:name="_fa0awyghj43b" w:colFirst="0" w:colLast="0"/>
      <w:bookmarkEnd w:id="22"/>
      <w:r>
        <w:rPr>
          <w:rFonts w:ascii="Times New Roman" w:eastAsia="Times New Roman" w:hAnsi="Times New Roman" w:cs="Times New Roman"/>
        </w:rPr>
        <w:t>The research proposed will be performed within 10 weeks between 1st February 2026 and 10 th April 2026. The project shall have a systematic schedule that will enable every phase to be completed on time. The first and the second week will be dedicated to the final refinement of the topics, ensuring the ethical approval, and collecting preliminary secondary sources. The weeks 3-5 will be devoted to systematic literature review, thematic coding and analytical mapping. The 6th and 7th weeks will be devoted to f</w:t>
      </w:r>
      <w:r>
        <w:rPr>
          <w:rFonts w:ascii="Times New Roman" w:eastAsia="Times New Roman" w:hAnsi="Times New Roman" w:cs="Times New Roman"/>
        </w:rPr>
        <w:t>ine-tuning major themes, synthesising of findings, and comparison of the documents. Weeks 8-9 will be devoted to writing, citing, and rewriting the complete research proposal and discoveries. Week 10 (this will be the final week) will be spent on final submission, formatting, and proofreading. Tracking of progress will be done at regular intervals to be sure that all the milestones will be achieved on time.</w:t>
      </w:r>
    </w:p>
    <w:p w14:paraId="1C665D91" w14:textId="77777777" w:rsidR="00643495" w:rsidRDefault="00643495">
      <w:pPr>
        <w:spacing w:line="360" w:lineRule="auto"/>
        <w:jc w:val="both"/>
        <w:rPr>
          <w:rFonts w:ascii="Times New Roman" w:eastAsia="Times New Roman" w:hAnsi="Times New Roman" w:cs="Times New Roman"/>
        </w:rPr>
      </w:pPr>
    </w:p>
    <w:p w14:paraId="1E2055E0" w14:textId="77777777" w:rsidR="00643495" w:rsidRDefault="00643495">
      <w:pPr>
        <w:spacing w:line="360" w:lineRule="auto"/>
        <w:jc w:val="both"/>
        <w:rPr>
          <w:rFonts w:ascii="Times New Roman" w:eastAsia="Times New Roman" w:hAnsi="Times New Roman" w:cs="Times New Roman"/>
        </w:rPr>
      </w:pPr>
    </w:p>
    <w:p w14:paraId="598B2FD1" w14:textId="77777777" w:rsidR="00643495" w:rsidRDefault="00643495">
      <w:pPr>
        <w:spacing w:line="360" w:lineRule="auto"/>
        <w:jc w:val="both"/>
        <w:rPr>
          <w:rFonts w:ascii="Times New Roman" w:eastAsia="Times New Roman" w:hAnsi="Times New Roman" w:cs="Times New Roman"/>
        </w:rPr>
      </w:pPr>
    </w:p>
    <w:p w14:paraId="4BB63CAB" w14:textId="77777777" w:rsidR="00643495" w:rsidRDefault="00643495">
      <w:pPr>
        <w:spacing w:line="360" w:lineRule="auto"/>
        <w:jc w:val="both"/>
        <w:rPr>
          <w:rFonts w:ascii="Times New Roman" w:eastAsia="Times New Roman" w:hAnsi="Times New Roman" w:cs="Times New Roman"/>
        </w:rPr>
      </w:pPr>
    </w:p>
    <w:p w14:paraId="29423A7F" w14:textId="77777777" w:rsidR="00643495" w:rsidRDefault="00643495">
      <w:pPr>
        <w:spacing w:line="360" w:lineRule="auto"/>
        <w:jc w:val="both"/>
        <w:rPr>
          <w:rFonts w:ascii="Times New Roman" w:eastAsia="Times New Roman" w:hAnsi="Times New Roman" w:cs="Times New Roman"/>
        </w:rPr>
      </w:pPr>
    </w:p>
    <w:p w14:paraId="6CCAF3D3" w14:textId="77777777" w:rsidR="00643495" w:rsidRDefault="00643495">
      <w:pPr>
        <w:spacing w:line="360" w:lineRule="auto"/>
        <w:jc w:val="both"/>
        <w:rPr>
          <w:rFonts w:ascii="Times New Roman" w:eastAsia="Times New Roman" w:hAnsi="Times New Roman" w:cs="Times New Roman"/>
        </w:rPr>
      </w:pPr>
    </w:p>
    <w:p w14:paraId="40F8CFC0" w14:textId="77777777" w:rsidR="00643495" w:rsidRDefault="00643495">
      <w:pPr>
        <w:spacing w:line="360" w:lineRule="auto"/>
        <w:jc w:val="both"/>
        <w:rPr>
          <w:rFonts w:ascii="Times New Roman" w:eastAsia="Times New Roman" w:hAnsi="Times New Roman" w:cs="Times New Roman"/>
        </w:rPr>
      </w:pPr>
    </w:p>
    <w:p w14:paraId="2446DA62" w14:textId="77777777" w:rsidR="00643495" w:rsidRDefault="00643495">
      <w:pPr>
        <w:spacing w:line="360" w:lineRule="auto"/>
        <w:jc w:val="both"/>
        <w:rPr>
          <w:rFonts w:ascii="Times New Roman" w:eastAsia="Times New Roman" w:hAnsi="Times New Roman" w:cs="Times New Roman"/>
        </w:rPr>
      </w:pPr>
    </w:p>
    <w:p w14:paraId="4D34AF14" w14:textId="77777777" w:rsidR="00643495" w:rsidRDefault="00643495">
      <w:pPr>
        <w:spacing w:line="360" w:lineRule="auto"/>
        <w:jc w:val="both"/>
        <w:rPr>
          <w:rFonts w:ascii="Times New Roman" w:eastAsia="Times New Roman" w:hAnsi="Times New Roman" w:cs="Times New Roman"/>
        </w:rPr>
      </w:pPr>
    </w:p>
    <w:p w14:paraId="792D650F" w14:textId="77777777" w:rsidR="00643495" w:rsidRDefault="00643495">
      <w:pPr>
        <w:spacing w:line="360" w:lineRule="auto"/>
        <w:jc w:val="both"/>
        <w:rPr>
          <w:rFonts w:ascii="Times New Roman" w:eastAsia="Times New Roman" w:hAnsi="Times New Roman" w:cs="Times New Roman"/>
        </w:rPr>
      </w:pPr>
    </w:p>
    <w:p w14:paraId="5D8AE5A3" w14:textId="77777777" w:rsidR="00643495" w:rsidRDefault="009B581F">
      <w:pPr>
        <w:pStyle w:val="Heading2"/>
      </w:pPr>
      <w:r>
        <w:t>4.2 Gantt Chart</w:t>
      </w:r>
    </w:p>
    <w:p w14:paraId="34987B5A" w14:textId="77777777" w:rsidR="00643495" w:rsidRDefault="00643495"/>
    <w:p w14:paraId="58C0FD11" w14:textId="77777777" w:rsidR="00643495" w:rsidRDefault="009B581F">
      <w:r>
        <w:rPr>
          <w:noProof/>
        </w:rPr>
        <w:drawing>
          <wp:inline distT="0" distB="0" distL="0" distR="0" wp14:anchorId="6F1D6959" wp14:editId="565F7DEE">
            <wp:extent cx="5739338" cy="2837839"/>
            <wp:effectExtent l="0" t="0" r="0" b="0"/>
            <wp:docPr id="1" name="image1.png" descr="A chart with colorful squares  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hart with colorful squares  AI-generated content may be incorrect."/>
                    <pic:cNvPicPr preferRelativeResize="0"/>
                  </pic:nvPicPr>
                  <pic:blipFill>
                    <a:blip r:embed="rId7"/>
                    <a:srcRect/>
                    <a:stretch>
                      <a:fillRect/>
                    </a:stretch>
                  </pic:blipFill>
                  <pic:spPr>
                    <a:xfrm>
                      <a:off x="0" y="0"/>
                      <a:ext cx="5739338" cy="2837839"/>
                    </a:xfrm>
                    <a:prstGeom prst="rect">
                      <a:avLst/>
                    </a:prstGeom>
                    <a:ln/>
                  </pic:spPr>
                </pic:pic>
              </a:graphicData>
            </a:graphic>
          </wp:inline>
        </w:drawing>
      </w:r>
    </w:p>
    <w:p w14:paraId="7EB9590D" w14:textId="77777777" w:rsidR="00643495" w:rsidRDefault="00643495">
      <w:pPr>
        <w:rPr>
          <w:rFonts w:ascii="Times New Roman" w:eastAsia="Times New Roman" w:hAnsi="Times New Roman" w:cs="Times New Roman"/>
        </w:rPr>
      </w:pPr>
    </w:p>
    <w:p w14:paraId="279A4CCC" w14:textId="77777777" w:rsidR="00643495" w:rsidRDefault="009B581F">
      <w:pPr>
        <w:pStyle w:val="Heading1"/>
      </w:pPr>
      <w:bookmarkStart w:id="23" w:name="_5k7t7ee6cfnd" w:colFirst="0" w:colLast="0"/>
      <w:bookmarkEnd w:id="23"/>
      <w:r>
        <w:t>References </w:t>
      </w:r>
    </w:p>
    <w:p w14:paraId="6580F85D"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BBC News. (2022) </w:t>
      </w:r>
      <w:r>
        <w:rPr>
          <w:rFonts w:ascii="Times New Roman" w:eastAsia="Times New Roman" w:hAnsi="Times New Roman" w:cs="Times New Roman"/>
          <w:i/>
          <w:iCs/>
          <w:color w:val="000000"/>
        </w:rPr>
        <w:t>Hybrid working: Productivity up but creativity down, says Microsoft</w:t>
      </w:r>
      <w:r>
        <w:rPr>
          <w:rFonts w:ascii="Times New Roman" w:eastAsia="Times New Roman" w:hAnsi="Times New Roman" w:cs="Times New Roman"/>
          <w:color w:val="000000"/>
        </w:rPr>
        <w:t>. [Online] 22 September. Available at: </w:t>
      </w:r>
      <w:hyperlink r:id="rId8">
        <w:r>
          <w:rPr>
            <w:rFonts w:ascii="Times New Roman" w:eastAsia="Times New Roman" w:hAnsi="Times New Roman" w:cs="Times New Roman"/>
            <w:color w:val="000000"/>
            <w:u w:val="single"/>
          </w:rPr>
          <w:t>https://www.bbc.com/news/business-62983494</w:t>
        </w:r>
      </w:hyperlink>
      <w:r>
        <w:rPr>
          <w:rFonts w:ascii="Times New Roman" w:eastAsia="Times New Roman" w:hAnsi="Times New Roman" w:cs="Times New Roman"/>
          <w:color w:val="000000"/>
        </w:rPr>
        <w:t> [Accessed 3 Nov. 2025].</w:t>
      </w:r>
    </w:p>
    <w:p w14:paraId="1FC4E1DA"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Braun, V. and Clarke, V. (2006) ‘Using thematic analysis in psychology’, </w:t>
      </w:r>
      <w:r>
        <w:rPr>
          <w:rFonts w:ascii="Times New Roman" w:eastAsia="Times New Roman" w:hAnsi="Times New Roman" w:cs="Times New Roman"/>
          <w:i/>
          <w:iCs/>
          <w:color w:val="000000"/>
        </w:rPr>
        <w:t>Qualitative Research in Psychology</w:t>
      </w:r>
      <w:r>
        <w:rPr>
          <w:rFonts w:ascii="Times New Roman" w:eastAsia="Times New Roman" w:hAnsi="Times New Roman" w:cs="Times New Roman"/>
          <w:color w:val="000000"/>
        </w:rPr>
        <w:t>, 3(2), pp. 77–101.</w:t>
      </w:r>
    </w:p>
    <w:p w14:paraId="5F192868"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Carillo, K., Cachat-Rosset, G., Marsan, J., Saba, T. and Klarsfeld, A. (2021) ‘Adjusting to epidemic-induced telework: empirical insights from teleworkers in France’, </w:t>
      </w:r>
      <w:r>
        <w:rPr>
          <w:rFonts w:ascii="Times New Roman" w:eastAsia="Times New Roman" w:hAnsi="Times New Roman" w:cs="Times New Roman"/>
          <w:i/>
          <w:iCs/>
          <w:color w:val="000000"/>
        </w:rPr>
        <w:t>European Journal of Information Systems</w:t>
      </w:r>
      <w:r>
        <w:rPr>
          <w:rFonts w:ascii="Times New Roman" w:eastAsia="Times New Roman" w:hAnsi="Times New Roman" w:cs="Times New Roman"/>
          <w:color w:val="000000"/>
        </w:rPr>
        <w:t>, 30(1), pp. 69–88.</w:t>
      </w:r>
    </w:p>
    <w:p w14:paraId="6330112B"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Charalampous, M., Grant, C.A., Tramontano, C. and Michailidis, E. (2019) ‘Systematically reviewing remote e-workers’ well-being at work: a multidimensional approach’, </w:t>
      </w:r>
      <w:r>
        <w:rPr>
          <w:rFonts w:ascii="Times New Roman" w:eastAsia="Times New Roman" w:hAnsi="Times New Roman" w:cs="Times New Roman"/>
          <w:i/>
          <w:iCs/>
          <w:color w:val="000000"/>
        </w:rPr>
        <w:t>European Journal of Work and Organizational Psychology</w:t>
      </w:r>
      <w:r>
        <w:rPr>
          <w:rFonts w:ascii="Times New Roman" w:eastAsia="Times New Roman" w:hAnsi="Times New Roman" w:cs="Times New Roman"/>
          <w:color w:val="000000"/>
        </w:rPr>
        <w:t>, 28(1), pp. 51–73.</w:t>
      </w:r>
    </w:p>
    <w:p w14:paraId="460F9455"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Daft, R.L. and Lengel, R.H. (1986) ‘Organizational information requirements, media richness and structural design’, </w:t>
      </w:r>
      <w:r>
        <w:rPr>
          <w:rFonts w:ascii="Times New Roman" w:eastAsia="Times New Roman" w:hAnsi="Times New Roman" w:cs="Times New Roman"/>
          <w:i/>
          <w:iCs/>
          <w:color w:val="000000"/>
        </w:rPr>
        <w:t>Management Science</w:t>
      </w:r>
      <w:r>
        <w:rPr>
          <w:rFonts w:ascii="Times New Roman" w:eastAsia="Times New Roman" w:hAnsi="Times New Roman" w:cs="Times New Roman"/>
          <w:color w:val="000000"/>
        </w:rPr>
        <w:t>, 32(5), pp. 554–571.</w:t>
      </w:r>
    </w:p>
    <w:p w14:paraId="5EBA686E"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Forbes. (2022) </w:t>
      </w:r>
      <w:r>
        <w:rPr>
          <w:rFonts w:ascii="Times New Roman" w:eastAsia="Times New Roman" w:hAnsi="Times New Roman" w:cs="Times New Roman"/>
          <w:i/>
          <w:iCs/>
          <w:color w:val="000000"/>
        </w:rPr>
        <w:t>How remote work impacts employee engagement and business outcomes</w:t>
      </w:r>
      <w:r>
        <w:rPr>
          <w:rFonts w:ascii="Times New Roman" w:eastAsia="Times New Roman" w:hAnsi="Times New Roman" w:cs="Times New Roman"/>
          <w:color w:val="000000"/>
        </w:rPr>
        <w:t>. [Online] Available at: </w:t>
      </w:r>
      <w:hyperlink r:id="rId9">
        <w:r>
          <w:rPr>
            <w:rFonts w:ascii="Times New Roman" w:eastAsia="Times New Roman" w:hAnsi="Times New Roman" w:cs="Times New Roman"/>
            <w:color w:val="000000"/>
            <w:u w:val="single"/>
          </w:rPr>
          <w:t>https://www.forbes.com/sites/forbeshumanresourcescouncil/2022/09/15/how-remote-work-impacts-employee-engagement</w:t>
        </w:r>
      </w:hyperlink>
      <w:r>
        <w:rPr>
          <w:rFonts w:ascii="Times New Roman" w:eastAsia="Times New Roman" w:hAnsi="Times New Roman" w:cs="Times New Roman"/>
          <w:color w:val="000000"/>
        </w:rPr>
        <w:t> [Accessed 5 Nov. 2025].</w:t>
      </w:r>
    </w:p>
    <w:p w14:paraId="30451EDA"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Hickman, A. and Robison, J. (2020) </w:t>
      </w:r>
      <w:r>
        <w:rPr>
          <w:rFonts w:ascii="Times New Roman" w:eastAsia="Times New Roman" w:hAnsi="Times New Roman" w:cs="Times New Roman"/>
          <w:i/>
          <w:iCs/>
          <w:color w:val="000000"/>
        </w:rPr>
        <w:t>Is working remotely effective? Gallup research says yes</w:t>
      </w:r>
      <w:r>
        <w:rPr>
          <w:rFonts w:ascii="Times New Roman" w:eastAsia="Times New Roman" w:hAnsi="Times New Roman" w:cs="Times New Roman"/>
          <w:color w:val="000000"/>
        </w:rPr>
        <w:t>. Gallup. [Online] Available at: </w:t>
      </w:r>
      <w:hyperlink r:id="rId10">
        <w:r>
          <w:rPr>
            <w:rFonts w:ascii="Times New Roman" w:eastAsia="Times New Roman" w:hAnsi="Times New Roman" w:cs="Times New Roman"/>
            <w:color w:val="000000"/>
            <w:u w:val="single"/>
          </w:rPr>
          <w:t>https://www.gallup.com/workplace/283985/working-remotely-effective-gallup-research-says-yes.aspx</w:t>
        </w:r>
      </w:hyperlink>
      <w:r>
        <w:rPr>
          <w:rFonts w:ascii="Times New Roman" w:eastAsia="Times New Roman" w:hAnsi="Times New Roman" w:cs="Times New Roman"/>
          <w:color w:val="000000"/>
        </w:rPr>
        <w:t> [Accessed 2 Nov. 2025].</w:t>
      </w:r>
    </w:p>
    <w:p w14:paraId="66BD5155"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Kniffin, K.M., Narayanan, J., Anseel, F., Antonakis, J., Ashford, S.P., Bakker, A.B., Bamberger, P., Bapuji, H., Bhave, D.P., Choi, V.K. and Creary, S.J. (2021) ‘COVID-19 and the workplace: Implications, issues, and insights for future research and action’, </w:t>
      </w:r>
      <w:r>
        <w:rPr>
          <w:rFonts w:ascii="Times New Roman" w:eastAsia="Times New Roman" w:hAnsi="Times New Roman" w:cs="Times New Roman"/>
          <w:i/>
          <w:iCs/>
          <w:color w:val="000000"/>
        </w:rPr>
        <w:t>American Psychologist</w:t>
      </w:r>
      <w:r>
        <w:rPr>
          <w:rFonts w:ascii="Times New Roman" w:eastAsia="Times New Roman" w:hAnsi="Times New Roman" w:cs="Times New Roman"/>
          <w:color w:val="000000"/>
        </w:rPr>
        <w:t>, 76(1), pp. 63–77.</w:t>
      </w:r>
    </w:p>
    <w:p w14:paraId="07E6164E"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Larson, B.Z., Vroman, S.R. and Makarius, E.E. (2021) ‘A guide to managing your (newly) remote workers’, </w:t>
      </w:r>
      <w:r>
        <w:rPr>
          <w:rFonts w:ascii="Times New Roman" w:eastAsia="Times New Roman" w:hAnsi="Times New Roman" w:cs="Times New Roman"/>
          <w:i/>
          <w:iCs/>
          <w:color w:val="000000"/>
        </w:rPr>
        <w:t>Harvard Business Review</w:t>
      </w:r>
      <w:r>
        <w:rPr>
          <w:rFonts w:ascii="Times New Roman" w:eastAsia="Times New Roman" w:hAnsi="Times New Roman" w:cs="Times New Roman"/>
          <w:color w:val="000000"/>
        </w:rPr>
        <w:t>, 99(2), pp. 67–75.</w:t>
      </w:r>
    </w:p>
    <w:p w14:paraId="20F25B72"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McKinsey &amp; Company. (2021) </w:t>
      </w:r>
      <w:r>
        <w:rPr>
          <w:rFonts w:ascii="Times New Roman" w:eastAsia="Times New Roman" w:hAnsi="Times New Roman" w:cs="Times New Roman"/>
          <w:i/>
          <w:iCs/>
          <w:color w:val="000000"/>
        </w:rPr>
        <w:t>The future of hybrid work: Five key questions answered with data</w:t>
      </w:r>
      <w:r>
        <w:rPr>
          <w:rFonts w:ascii="Times New Roman" w:eastAsia="Times New Roman" w:hAnsi="Times New Roman" w:cs="Times New Roman"/>
          <w:color w:val="000000"/>
        </w:rPr>
        <w:t>. [Online] Available at: </w:t>
      </w:r>
      <w:hyperlink r:id="rId11">
        <w:r>
          <w:rPr>
            <w:rFonts w:ascii="Times New Roman" w:eastAsia="Times New Roman" w:hAnsi="Times New Roman" w:cs="Times New Roman"/>
            <w:color w:val="000000"/>
            <w:u w:val="single"/>
          </w:rPr>
          <w:t>https://www.mckinsey.com/business-functions/organization/our-insights/the-future-of-hybrid-work</w:t>
        </w:r>
      </w:hyperlink>
      <w:r>
        <w:rPr>
          <w:rFonts w:ascii="Times New Roman" w:eastAsia="Times New Roman" w:hAnsi="Times New Roman" w:cs="Times New Roman"/>
          <w:color w:val="000000"/>
        </w:rPr>
        <w:t> [Accessed 6 Nov. 2025].</w:t>
      </w:r>
    </w:p>
    <w:p w14:paraId="0CAAE53B"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Microsoft. (2022) </w:t>
      </w:r>
      <w:r>
        <w:rPr>
          <w:rFonts w:ascii="Times New Roman" w:eastAsia="Times New Roman" w:hAnsi="Times New Roman" w:cs="Times New Roman"/>
          <w:i/>
          <w:iCs/>
          <w:color w:val="000000"/>
        </w:rPr>
        <w:t>The Next Great Disruption Is Hybrid Work – Are We Ready?</w:t>
      </w:r>
      <w:r>
        <w:rPr>
          <w:rFonts w:ascii="Times New Roman" w:eastAsia="Times New Roman" w:hAnsi="Times New Roman" w:cs="Times New Roman"/>
          <w:color w:val="000000"/>
        </w:rPr>
        <w:t> [Online] Available at: </w:t>
      </w:r>
      <w:hyperlink r:id="rId12">
        <w:r>
          <w:rPr>
            <w:rFonts w:ascii="Times New Roman" w:eastAsia="Times New Roman" w:hAnsi="Times New Roman" w:cs="Times New Roman"/>
            <w:color w:val="000000"/>
            <w:u w:val="single"/>
          </w:rPr>
          <w:t>https://www.microsoft.com/en-us/worklab/work-trend-index/hybrid-work</w:t>
        </w:r>
      </w:hyperlink>
      <w:r>
        <w:rPr>
          <w:rFonts w:ascii="Times New Roman" w:eastAsia="Times New Roman" w:hAnsi="Times New Roman" w:cs="Times New Roman"/>
          <w:color w:val="000000"/>
        </w:rPr>
        <w:t> [Accessed 4 Nov. 2025].</w:t>
      </w:r>
    </w:p>
    <w:p w14:paraId="1328C07C"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Oakman, J., Kinsman, N., Stuckey, R., Graham, M. and Weale, V. (2020) ‘A rapid review of mental and physical health effects of working at home: how do we optimise health?’, </w:t>
      </w:r>
      <w:r>
        <w:rPr>
          <w:rFonts w:ascii="Times New Roman" w:eastAsia="Times New Roman" w:hAnsi="Times New Roman" w:cs="Times New Roman"/>
          <w:i/>
          <w:iCs/>
          <w:color w:val="000000"/>
        </w:rPr>
        <w:t>BMC Public Health</w:t>
      </w:r>
      <w:r>
        <w:rPr>
          <w:rFonts w:ascii="Times New Roman" w:eastAsia="Times New Roman" w:hAnsi="Times New Roman" w:cs="Times New Roman"/>
          <w:color w:val="000000"/>
        </w:rPr>
        <w:t>, 20, pp. 1–13.</w:t>
      </w:r>
    </w:p>
    <w:p w14:paraId="1D6D036E"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Richter, A. (2022) ‘Locked-down digital work’, </w:t>
      </w:r>
      <w:r>
        <w:rPr>
          <w:rFonts w:ascii="Times New Roman" w:eastAsia="Times New Roman" w:hAnsi="Times New Roman" w:cs="Times New Roman"/>
          <w:i/>
          <w:iCs/>
          <w:color w:val="000000"/>
        </w:rPr>
        <w:t>International Journal of Information Management</w:t>
      </w:r>
      <w:r>
        <w:rPr>
          <w:rFonts w:ascii="Times New Roman" w:eastAsia="Times New Roman" w:hAnsi="Times New Roman" w:cs="Times New Roman"/>
          <w:color w:val="000000"/>
        </w:rPr>
        <w:t>, 62, 102431.</w:t>
      </w:r>
    </w:p>
    <w:p w14:paraId="7A295724"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Saunders, M., Lewis, P. and Thornhill, A. (2019) </w:t>
      </w:r>
      <w:r>
        <w:rPr>
          <w:rFonts w:ascii="Times New Roman" w:eastAsia="Times New Roman" w:hAnsi="Times New Roman" w:cs="Times New Roman"/>
          <w:i/>
          <w:iCs/>
          <w:color w:val="000000"/>
        </w:rPr>
        <w:t>Research methods for business students</w:t>
      </w:r>
      <w:r>
        <w:rPr>
          <w:rFonts w:ascii="Times New Roman" w:eastAsia="Times New Roman" w:hAnsi="Times New Roman" w:cs="Times New Roman"/>
          <w:color w:val="000000"/>
        </w:rPr>
        <w:t>. 8th ed. Harlow: Pearson Education.</w:t>
      </w:r>
    </w:p>
    <w:p w14:paraId="1F010B86"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Thomas, D.R. (2021) </w:t>
      </w:r>
      <w:r>
        <w:rPr>
          <w:rFonts w:ascii="Times New Roman" w:eastAsia="Times New Roman" w:hAnsi="Times New Roman" w:cs="Times New Roman"/>
          <w:i/>
          <w:iCs/>
          <w:color w:val="000000"/>
        </w:rPr>
        <w:t>How to do your case study</w:t>
      </w:r>
      <w:r>
        <w:rPr>
          <w:rFonts w:ascii="Times New Roman" w:eastAsia="Times New Roman" w:hAnsi="Times New Roman" w:cs="Times New Roman"/>
          <w:color w:val="000000"/>
        </w:rPr>
        <w:t>. 3rd ed. London: SAGE Publications.</w:t>
      </w:r>
    </w:p>
    <w:p w14:paraId="0623C882"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Waizenegger, L., McKenna, B., Cai, W. and Bendz, T. (2020) ‘An affordance perspective of team collaboration and enforced working from home during COVID-19’, </w:t>
      </w:r>
      <w:r>
        <w:rPr>
          <w:rFonts w:ascii="Times New Roman" w:eastAsia="Times New Roman" w:hAnsi="Times New Roman" w:cs="Times New Roman"/>
          <w:i/>
          <w:iCs/>
          <w:color w:val="000000"/>
        </w:rPr>
        <w:t>European Journal of Information Systems</w:t>
      </w:r>
      <w:r>
        <w:rPr>
          <w:rFonts w:ascii="Times New Roman" w:eastAsia="Times New Roman" w:hAnsi="Times New Roman" w:cs="Times New Roman"/>
          <w:color w:val="000000"/>
        </w:rPr>
        <w:t>, 29(4), pp. 429–442.</w:t>
      </w:r>
    </w:p>
    <w:p w14:paraId="25CFD8E1"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Wang, B., Liu, Y., Qian, J. and Parker, S.K. (2021) ‘Achieving effective remote working during the COVID‐19 pandemic: A work design perspective’, </w:t>
      </w:r>
      <w:r>
        <w:rPr>
          <w:rFonts w:ascii="Times New Roman" w:eastAsia="Times New Roman" w:hAnsi="Times New Roman" w:cs="Times New Roman"/>
          <w:i/>
          <w:iCs/>
          <w:color w:val="000000"/>
        </w:rPr>
        <w:t>Applied Psychology</w:t>
      </w:r>
      <w:r>
        <w:rPr>
          <w:rFonts w:ascii="Times New Roman" w:eastAsia="Times New Roman" w:hAnsi="Times New Roman" w:cs="Times New Roman"/>
          <w:color w:val="000000"/>
        </w:rPr>
        <w:t>, 70(1), pp. 16–59.</w:t>
      </w:r>
    </w:p>
    <w:p w14:paraId="31BFE550"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Yin, R.K. (2018) </w:t>
      </w:r>
      <w:r>
        <w:rPr>
          <w:rFonts w:ascii="Times New Roman" w:eastAsia="Times New Roman" w:hAnsi="Times New Roman" w:cs="Times New Roman"/>
          <w:i/>
          <w:iCs/>
          <w:color w:val="000000"/>
        </w:rPr>
        <w:t>Case study research and applications: Design and methods</w:t>
      </w:r>
      <w:r>
        <w:rPr>
          <w:rFonts w:ascii="Times New Roman" w:eastAsia="Times New Roman" w:hAnsi="Times New Roman" w:cs="Times New Roman"/>
          <w:color w:val="000000"/>
        </w:rPr>
        <w:t>. 6th ed. Thousand Oaks: SAGE Publications.</w:t>
      </w:r>
    </w:p>
    <w:p w14:paraId="29CD0308" w14:textId="77777777" w:rsidR="00643495" w:rsidRDefault="009B581F">
      <w:pPr>
        <w:pBdr>
          <w:top w:val="nil"/>
          <w:left w:val="nil"/>
          <w:bottom w:val="nil"/>
          <w:right w:val="nil"/>
          <w:between w:val="nil"/>
        </w:pBdr>
        <w:spacing w:before="280" w:after="28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Yuan, Y., Zhao, J. and Zhou, Y. (2022) ‘The effect of media richness on remote team communication and performance’, </w:t>
      </w:r>
      <w:r>
        <w:rPr>
          <w:rFonts w:ascii="Times New Roman" w:eastAsia="Times New Roman" w:hAnsi="Times New Roman" w:cs="Times New Roman"/>
          <w:i/>
          <w:iCs/>
          <w:color w:val="000000"/>
        </w:rPr>
        <w:t>Information &amp; Management</w:t>
      </w:r>
      <w:r>
        <w:rPr>
          <w:rFonts w:ascii="Times New Roman" w:eastAsia="Times New Roman" w:hAnsi="Times New Roman" w:cs="Times New Roman"/>
          <w:color w:val="000000"/>
        </w:rPr>
        <w:t>, 59(2), 103624.</w:t>
      </w:r>
    </w:p>
    <w:p w14:paraId="38FA22FF" w14:textId="77777777" w:rsidR="00643495" w:rsidRDefault="00643495">
      <w:pPr>
        <w:rPr>
          <w:rFonts w:ascii="Times New Roman" w:eastAsia="Times New Roman" w:hAnsi="Times New Roman" w:cs="Times New Roman"/>
          <w:b/>
          <w:bCs/>
        </w:rPr>
      </w:pPr>
    </w:p>
    <w:sectPr w:rsidR="00643495">
      <w:footerReference w:type="even" r:id="rId13"/>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1D435" w14:textId="77777777" w:rsidR="009B581F" w:rsidRDefault="009B581F">
      <w:r>
        <w:separator/>
      </w:r>
    </w:p>
  </w:endnote>
  <w:endnote w:type="continuationSeparator" w:id="0">
    <w:p w14:paraId="19DCC3DD" w14:textId="77777777" w:rsidR="009B581F" w:rsidRDefault="009B58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embedRegular r:id="rId3" w:fontKey="{00000000-0000-0000-0000-000000000000}"/>
    <w:embedBold r:id="rId4" w:fontKey="{00000000-0000-0000-0000-0000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Play">
    <w:charset w:val="00"/>
    <w:family w:val="auto"/>
    <w:pitch w:val="default"/>
    <w:embedRegular r:id="rId5" w:fontKey="{48C04765-1546-704B-8AEC-E662017F0268}"/>
    <w:embedBold r:id="rId6" w:fontKey="{B1B8F64E-6BBF-FA45-96E9-6DF6829379CA}"/>
  </w:font>
  <w:font w:name="Times New Roman">
    <w:panose1 w:val="02020603050405020304"/>
    <w:charset w:val="00"/>
    <w:family w:val="roman"/>
    <w:pitch w:val="variable"/>
    <w:sig w:usb0="E0002EFF" w:usb1="C000785B" w:usb2="00000009" w:usb3="00000000" w:csb0="000001FF" w:csb1="00000000"/>
  </w:font>
  <w:font w:name="-webkit-standard">
    <w:altName w:val="Calibri"/>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8E791C" w14:textId="77777777" w:rsidR="00643495" w:rsidRDefault="009B581F">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AC8EC8F" w14:textId="77777777" w:rsidR="00643495" w:rsidRDefault="00643495">
    <w:pPr>
      <w:pBdr>
        <w:top w:val="nil"/>
        <w:left w:val="nil"/>
        <w:bottom w:val="nil"/>
        <w:right w:val="nil"/>
        <w:between w:val="nil"/>
      </w:pBdr>
      <w:tabs>
        <w:tab w:val="center" w:pos="4513"/>
        <w:tab w:val="right" w:pos="902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BA313" w14:textId="0610A365" w:rsidR="00643495" w:rsidRDefault="009B581F">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9FC114F" w14:textId="77777777" w:rsidR="00643495" w:rsidRDefault="00643495">
    <w:pPr>
      <w:pBdr>
        <w:top w:val="nil"/>
        <w:left w:val="nil"/>
        <w:bottom w:val="nil"/>
        <w:right w:val="nil"/>
        <w:between w:val="nil"/>
      </w:pBdr>
      <w:tabs>
        <w:tab w:val="center" w:pos="4513"/>
        <w:tab w:val="right" w:pos="9026"/>
      </w:tabs>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91DA8" w14:textId="77777777" w:rsidR="009B581F" w:rsidRDefault="009B581F">
      <w:r>
        <w:separator/>
      </w:r>
    </w:p>
  </w:footnote>
  <w:footnote w:type="continuationSeparator" w:id="0">
    <w:p w14:paraId="46012336" w14:textId="77777777" w:rsidR="009B581F" w:rsidRDefault="009B58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24D38"/>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33F15BC"/>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AAF60FF"/>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166051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4051C3B"/>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80663454">
    <w:abstractNumId w:val="2"/>
  </w:num>
  <w:num w:numId="2" w16cid:durableId="1350453128">
    <w:abstractNumId w:val="4"/>
  </w:num>
  <w:num w:numId="3" w16cid:durableId="1533155105">
    <w:abstractNumId w:val="1"/>
  </w:num>
  <w:num w:numId="4" w16cid:durableId="211582749">
    <w:abstractNumId w:val="3"/>
  </w:num>
  <w:num w:numId="5" w16cid:durableId="357699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495"/>
    <w:rsid w:val="00643495"/>
    <w:rsid w:val="009B581F"/>
    <w:rsid w:val="00E31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D98D5C"/>
  <w15:docId w15:val="{37B3392B-7EF0-EC4A-B34A-CF33786D6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table" w:customStyle="1" w:styleId="a">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bc.com/news/business-62983494"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microsoft.com/en-us/worklab/work-trend-index/hybrid-work"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mckinsey.com/business-functions/organization/our-insights/the-future-of-hybrid-work"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www.gallup.com/workplace/283985/working-remotely-effective-gallup-research-says-yes.aspx" TargetMode="External" /><Relationship Id="rId4" Type="http://schemas.openxmlformats.org/officeDocument/2006/relationships/webSettings" Target="webSettings.xml" /><Relationship Id="rId9" Type="http://schemas.openxmlformats.org/officeDocument/2006/relationships/hyperlink" Target="https://www.forbes.com/sites/forbeshumanresourcescouncil/2022/09/15/how-remote-work-impacts-employee-engagement" TargetMode="External" /><Relationship Id="rId14" Type="http://schemas.openxmlformats.org/officeDocument/2006/relationships/footer" Target="footer2.xml" /></Relationships>
</file>

<file path=word/_rels/fontTable.xml.rels><?xml version="1.0" encoding="UTF-8" standalone="yes"?>
<Relationships xmlns="http://schemas.openxmlformats.org/package/2006/relationships"><Relationship Id="rId3" Type="http://schemas.openxmlformats.org/officeDocument/2006/relationships/font" Target="fonts/NotoSansSymbols-regular.ttf" /><Relationship Id="rId6" Type="http://schemas.openxmlformats.org/officeDocument/2006/relationships/font" Target="fonts/font2.odttf" /><Relationship Id="rId5" Type="http://schemas.openxmlformats.org/officeDocument/2006/relationships/font" Target="fonts/font1.odttf" /><Relationship Id="rId4" Type="http://schemas.openxmlformats.org/officeDocument/2006/relationships/font" Target="fonts/NotoSansSymbols-bol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2999</Words>
  <Characters>17095</Characters>
  <Application>Microsoft Office Word</Application>
  <DocSecurity>0</DocSecurity>
  <Lines>142</Lines>
  <Paragraphs>40</Paragraphs>
  <ScaleCrop>false</ScaleCrop>
  <Company/>
  <LinksUpToDate>false</LinksUpToDate>
  <CharactersWithSpaces>20054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Coteneanu</cp:lastModifiedBy>
  <cp:revision>2</cp:revision>
  <dcterms:created xsi:type="dcterms:W3CDTF">2025-12-21T20:06:00Z</dcterms:created>
  <dcterms:modified xsi:type="dcterms:W3CDTF">2025-12-21T20:06:00Z</dcterms:modified>
</cp:coreProperties>
</file>