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4DE87" w14:textId="77777777" w:rsidR="00331A3B" w:rsidRPr="00331A3B" w:rsidRDefault="00331A3B" w:rsidP="00331A3B">
      <w:r w:rsidRPr="00331A3B">
        <w:rPr>
          <w:b/>
          <w:bCs/>
        </w:rPr>
        <w:t>Case study: Northshore Bank plc</w:t>
      </w:r>
    </w:p>
    <w:p w14:paraId="4E99D3D5" w14:textId="77777777" w:rsidR="00331A3B" w:rsidRPr="00331A3B" w:rsidRDefault="00331A3B" w:rsidP="00331A3B">
      <w:r w:rsidRPr="00331A3B">
        <w:t>Northshore Bank plc is a long</w:t>
      </w:r>
      <w:r w:rsidRPr="00331A3B">
        <w:noBreakHyphen/>
        <w:t>established UK retail bank with a dense high</w:t>
      </w:r>
      <w:r w:rsidRPr="00331A3B">
        <w:noBreakHyphen/>
        <w:t>street branch network and a reputation for prudence and stability. Its core customer base is older, long</w:t>
      </w:r>
      <w:r w:rsidRPr="00331A3B">
        <w:noBreakHyphen/>
        <w:t>standing account holders who value face</w:t>
      </w:r>
      <w:r w:rsidRPr="00331A3B">
        <w:noBreakHyphen/>
        <w:t>to</w:t>
      </w:r>
      <w:r w:rsidRPr="00331A3B">
        <w:noBreakHyphen/>
        <w:t xml:space="preserve">face service, paper statements and the reassurance of a “traditional” bank brand. However, over the last five years, Northshore has faced intensifying competition from </w:t>
      </w:r>
      <w:proofErr w:type="spellStart"/>
      <w:r w:rsidRPr="00331A3B">
        <w:t>fintechs</w:t>
      </w:r>
      <w:proofErr w:type="spellEnd"/>
      <w:r w:rsidRPr="00331A3B">
        <w:t xml:space="preserve"> and digital</w:t>
      </w:r>
      <w:r w:rsidRPr="00331A3B">
        <w:noBreakHyphen/>
        <w:t>only challenger banks offering slick mobile apps, instant account opening, real</w:t>
      </w:r>
      <w:r w:rsidRPr="00331A3B">
        <w:noBreakHyphen/>
        <w:t>time payments and low</w:t>
      </w:r>
      <w:r w:rsidRPr="00331A3B">
        <w:noBreakHyphen/>
        <w:t>fee products. Younger customers in particular are increasingly using these providers as their “everyday” bank, while keeping only savings or mortgage products with Northshore.</w:t>
      </w:r>
    </w:p>
    <w:p w14:paraId="7E6076B4" w14:textId="77777777" w:rsidR="00331A3B" w:rsidRPr="00331A3B" w:rsidRDefault="00331A3B" w:rsidP="00331A3B">
      <w:r w:rsidRPr="00331A3B">
        <w:t>Internally, the bank’s ability to respond is constrained by legacy IT systems, including a 30</w:t>
      </w:r>
      <w:r w:rsidRPr="00331A3B">
        <w:noBreakHyphen/>
        <w:t>year</w:t>
      </w:r>
      <w:r w:rsidRPr="00331A3B">
        <w:noBreakHyphen/>
        <w:t>old core banking platform that is costly to maintain and difficult to integrate with new digital channels. Basic changes to products or processes can take months to implement, involving multiple approvals and manual workarounds. The organisation’s structure is strongly hierarchical, with decisions pushed upwards and a culture that emphasises risk avoidance and strict adherence to established procedures. Middle managers are measured mainly on compliance and cost control, not innovation or customer experience.</w:t>
      </w:r>
    </w:p>
    <w:p w14:paraId="55B6DFE9" w14:textId="77777777" w:rsidR="00331A3B" w:rsidRPr="00331A3B" w:rsidRDefault="00331A3B" w:rsidP="00331A3B">
      <w:r w:rsidRPr="00331A3B">
        <w:t>The workforce is unionised, with powerful recognised unions representing both branch and back</w:t>
      </w:r>
      <w:r w:rsidRPr="00331A3B">
        <w:noBreakHyphen/>
        <w:t>office staff. While this has helped protect job security and terms and conditions, it also means changes to roles, locations, working patterns or performance expectations require formal consultation and negotiation. Since the pandemic, employees have pushed for more hybrid working, especially in head office and support functions, but progress has been slow and uneven across departments. Senior leaders know that Northshore must become more agile and change</w:t>
      </w:r>
      <w:r w:rsidRPr="00331A3B">
        <w:noBreakHyphen/>
        <w:t>ready to survive, yet they worry about operational risk, regulatory scrutiny and the potential for industrial relations conflict if they attempt rapid transformation.</w:t>
      </w:r>
    </w:p>
    <w:p w14:paraId="6F3A0F73" w14:textId="77777777" w:rsidR="003E1F24" w:rsidRDefault="003E1F24"/>
    <w:sectPr w:rsidR="003E1F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A3B"/>
    <w:rsid w:val="00331A3B"/>
    <w:rsid w:val="0037124A"/>
    <w:rsid w:val="003E1F24"/>
    <w:rsid w:val="003E28CC"/>
    <w:rsid w:val="00976E03"/>
    <w:rsid w:val="00BA07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411AF"/>
  <w15:chartTrackingRefBased/>
  <w15:docId w15:val="{86704342-A5DC-4DF2-932B-27742E9DB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1A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1A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1A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1A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1A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1A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1A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1A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1A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A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1A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1A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1A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1A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1A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1A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1A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1A3B"/>
    <w:rPr>
      <w:rFonts w:eastAsiaTheme="majorEastAsia" w:cstheme="majorBidi"/>
      <w:color w:val="272727" w:themeColor="text1" w:themeTint="D8"/>
    </w:rPr>
  </w:style>
  <w:style w:type="paragraph" w:styleId="Title">
    <w:name w:val="Title"/>
    <w:basedOn w:val="Normal"/>
    <w:next w:val="Normal"/>
    <w:link w:val="TitleChar"/>
    <w:uiPriority w:val="10"/>
    <w:qFormat/>
    <w:rsid w:val="00331A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1A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1A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1A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1A3B"/>
    <w:pPr>
      <w:spacing w:before="160"/>
      <w:jc w:val="center"/>
    </w:pPr>
    <w:rPr>
      <w:i/>
      <w:iCs/>
      <w:color w:val="404040" w:themeColor="text1" w:themeTint="BF"/>
    </w:rPr>
  </w:style>
  <w:style w:type="character" w:customStyle="1" w:styleId="QuoteChar">
    <w:name w:val="Quote Char"/>
    <w:basedOn w:val="DefaultParagraphFont"/>
    <w:link w:val="Quote"/>
    <w:uiPriority w:val="29"/>
    <w:rsid w:val="00331A3B"/>
    <w:rPr>
      <w:i/>
      <w:iCs/>
      <w:color w:val="404040" w:themeColor="text1" w:themeTint="BF"/>
    </w:rPr>
  </w:style>
  <w:style w:type="paragraph" w:styleId="ListParagraph">
    <w:name w:val="List Paragraph"/>
    <w:basedOn w:val="Normal"/>
    <w:uiPriority w:val="34"/>
    <w:qFormat/>
    <w:rsid w:val="00331A3B"/>
    <w:pPr>
      <w:ind w:left="720"/>
      <w:contextualSpacing/>
    </w:pPr>
  </w:style>
  <w:style w:type="character" w:styleId="IntenseEmphasis">
    <w:name w:val="Intense Emphasis"/>
    <w:basedOn w:val="DefaultParagraphFont"/>
    <w:uiPriority w:val="21"/>
    <w:qFormat/>
    <w:rsid w:val="00331A3B"/>
    <w:rPr>
      <w:i/>
      <w:iCs/>
      <w:color w:val="0F4761" w:themeColor="accent1" w:themeShade="BF"/>
    </w:rPr>
  </w:style>
  <w:style w:type="paragraph" w:styleId="IntenseQuote">
    <w:name w:val="Intense Quote"/>
    <w:basedOn w:val="Normal"/>
    <w:next w:val="Normal"/>
    <w:link w:val="IntenseQuoteChar"/>
    <w:uiPriority w:val="30"/>
    <w:qFormat/>
    <w:rsid w:val="00331A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1A3B"/>
    <w:rPr>
      <w:i/>
      <w:iCs/>
      <w:color w:val="0F4761" w:themeColor="accent1" w:themeShade="BF"/>
    </w:rPr>
  </w:style>
  <w:style w:type="character" w:styleId="IntenseReference">
    <w:name w:val="Intense Reference"/>
    <w:basedOn w:val="DefaultParagraphFont"/>
    <w:uiPriority w:val="32"/>
    <w:qFormat/>
    <w:rsid w:val="00331A3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288</Words>
  <Characters>1768</Characters>
  <Application>Microsoft Office Word</Application>
  <DocSecurity>0</DocSecurity>
  <Lines>27</Lines>
  <Paragraphs>4</Paragraphs>
  <ScaleCrop>false</ScaleCrop>
  <Company>University of Wales Trinity Saint David</Company>
  <LinksUpToDate>false</LinksUpToDate>
  <CharactersWithSpaces>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2</cp:revision>
  <dcterms:created xsi:type="dcterms:W3CDTF">2026-03-17T15:32:00Z</dcterms:created>
  <dcterms:modified xsi:type="dcterms:W3CDTF">2026-03-17T15:33:00Z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a8105fd0-3ebc-48dd-b1b7-c629430c3552</vt:lpwstr>
  </property>
</Properties>
</file>