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59CD05">
      <w:pPr>
        <w:pStyle w:val="12"/>
        <w:keepNext w:val="0"/>
        <w:keepLines w:val="0"/>
        <w:widowControl/>
        <w:suppressLineNumbers w:val="0"/>
        <w:spacing w:line="240" w:lineRule="auto"/>
        <w:jc w:val="both"/>
        <w:rPr>
          <w:rFonts w:hint="default" w:ascii="Calibri" w:hAnsi="Calibri" w:cs="Calibri"/>
          <w:b/>
          <w:bCs/>
          <w:sz w:val="32"/>
          <w:szCs w:val="32"/>
        </w:rPr>
      </w:pPr>
      <w:r>
        <w:drawing>
          <wp:anchor distT="0" distB="0" distL="114300" distR="114300" simplePos="0" relativeHeight="251662336" behindDoc="0" locked="0" layoutInCell="1" allowOverlap="1">
            <wp:simplePos x="0" y="0"/>
            <wp:positionH relativeFrom="column">
              <wp:posOffset>3130550</wp:posOffset>
            </wp:positionH>
            <wp:positionV relativeFrom="paragraph">
              <wp:posOffset>-5080</wp:posOffset>
            </wp:positionV>
            <wp:extent cx="2944495" cy="1341120"/>
            <wp:effectExtent l="0" t="0" r="1905" b="5080"/>
            <wp:wrapSquare wrapText="bothSides"/>
            <wp:docPr id="395502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02894"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44495" cy="1341120"/>
                    </a:xfrm>
                    <a:prstGeom prst="rect">
                      <a:avLst/>
                    </a:prstGeom>
                    <a:noFill/>
                  </pic:spPr>
                </pic:pic>
              </a:graphicData>
            </a:graphic>
          </wp:anchor>
        </w:drawing>
      </w:r>
    </w:p>
    <w:p w14:paraId="1B6F4E24">
      <w:pPr>
        <w:pStyle w:val="12"/>
        <w:keepNext w:val="0"/>
        <w:keepLines w:val="0"/>
        <w:widowControl/>
        <w:suppressLineNumbers w:val="0"/>
        <w:spacing w:line="240" w:lineRule="auto"/>
        <w:jc w:val="both"/>
        <w:rPr>
          <w:rFonts w:hint="default" w:ascii="Calibri" w:hAnsi="Calibri" w:cs="Calibri"/>
          <w:b/>
          <w:bCs/>
          <w:sz w:val="32"/>
          <w:szCs w:val="32"/>
        </w:rPr>
      </w:pPr>
    </w:p>
    <w:p w14:paraId="7C693577">
      <w:pPr>
        <w:pStyle w:val="12"/>
        <w:keepNext w:val="0"/>
        <w:keepLines w:val="0"/>
        <w:widowControl/>
        <w:suppressLineNumbers w:val="0"/>
        <w:spacing w:line="240" w:lineRule="auto"/>
        <w:jc w:val="both"/>
        <w:rPr>
          <w:rFonts w:hint="default" w:ascii="Calibri" w:hAnsi="Calibri" w:cs="Calibri"/>
          <w:b/>
          <w:bCs/>
          <w:sz w:val="32"/>
          <w:szCs w:val="32"/>
        </w:rPr>
      </w:pPr>
    </w:p>
    <w:p w14:paraId="3B5112B6">
      <w:pPr>
        <w:pStyle w:val="12"/>
        <w:keepNext w:val="0"/>
        <w:keepLines w:val="0"/>
        <w:widowControl/>
        <w:suppressLineNumbers w:val="0"/>
        <w:spacing w:line="240" w:lineRule="auto"/>
        <w:jc w:val="both"/>
        <w:rPr>
          <w:rFonts w:hint="default" w:ascii="Calibri" w:hAnsi="Calibri" w:cs="Calibri"/>
          <w:b/>
          <w:bCs/>
          <w:sz w:val="32"/>
          <w:szCs w:val="32"/>
        </w:rPr>
      </w:pPr>
    </w:p>
    <w:p w14:paraId="649DBFE5">
      <w:pPr>
        <w:pStyle w:val="12"/>
        <w:keepNext w:val="0"/>
        <w:keepLines w:val="0"/>
        <w:widowControl/>
        <w:suppressLineNumbers w:val="0"/>
        <w:spacing w:line="240" w:lineRule="auto"/>
        <w:jc w:val="center"/>
        <w:rPr>
          <w:rFonts w:hint="default" w:ascii="Calibri" w:hAnsi="Calibri" w:cs="Calibri"/>
          <w:b/>
          <w:bCs/>
          <w:sz w:val="32"/>
          <w:szCs w:val="32"/>
        </w:rPr>
      </w:pPr>
    </w:p>
    <w:p w14:paraId="363136E8">
      <w:pPr>
        <w:pStyle w:val="12"/>
        <w:keepNext w:val="0"/>
        <w:keepLines w:val="0"/>
        <w:widowControl/>
        <w:suppressLineNumbers w:val="0"/>
        <w:spacing w:line="240" w:lineRule="auto"/>
        <w:jc w:val="center"/>
        <w:rPr>
          <w:rFonts w:hint="default" w:ascii="Arial" w:hAnsi="Arial" w:cs="Arial"/>
          <w:sz w:val="32"/>
          <w:szCs w:val="32"/>
        </w:rPr>
      </w:pPr>
      <w:r>
        <w:rPr>
          <w:rFonts w:hint="default" w:ascii="Calibri" w:hAnsi="Calibri" w:cs="Calibri"/>
          <w:b/>
          <w:bCs/>
          <w:sz w:val="32"/>
          <w:szCs w:val="32"/>
        </w:rPr>
        <w:t>The Impact of Age Group on Household Economic Activity Status: An Analysis of Working, Mixed, and Workless Households in the UK</w:t>
      </w:r>
    </w:p>
    <w:p w14:paraId="11B57EE8">
      <w:pPr>
        <w:keepNext w:val="0"/>
        <w:keepLines w:val="0"/>
        <w:widowControl/>
        <w:suppressLineNumbers w:val="0"/>
        <w:jc w:val="center"/>
        <w:rPr>
          <w:rFonts w:hint="default" w:ascii="Arial" w:hAnsi="Arial" w:eastAsia="SimSun" w:cs="Arial"/>
          <w:b/>
          <w:bCs/>
          <w:kern w:val="0"/>
          <w:sz w:val="24"/>
          <w:szCs w:val="24"/>
          <w:lang w:val="en-US" w:eastAsia="zh-CN" w:bidi="ar"/>
        </w:rPr>
      </w:pPr>
    </w:p>
    <w:p w14:paraId="3A44099D">
      <w:pPr>
        <w:keepNext w:val="0"/>
        <w:keepLines w:val="0"/>
        <w:widowControl/>
        <w:suppressLineNumbers w:val="0"/>
        <w:jc w:val="center"/>
        <w:rPr>
          <w:rFonts w:hint="default" w:ascii="Arial" w:hAnsi="Arial" w:eastAsia="SimSun" w:cs="Arial"/>
          <w:b/>
          <w:bCs/>
          <w:kern w:val="0"/>
          <w:sz w:val="24"/>
          <w:szCs w:val="24"/>
          <w:lang w:val="en-US" w:eastAsia="zh-CN" w:bidi="ar"/>
        </w:rPr>
      </w:pPr>
    </w:p>
    <w:p w14:paraId="2800D89A">
      <w:pPr>
        <w:keepNext w:val="0"/>
        <w:keepLines w:val="0"/>
        <w:widowControl/>
        <w:suppressLineNumbers w:val="0"/>
        <w:jc w:val="center"/>
        <w:rPr>
          <w:rFonts w:hint="default" w:ascii="Arial" w:hAnsi="Arial" w:eastAsia="SimSun" w:cs="Arial"/>
          <w:b/>
          <w:bCs/>
          <w:kern w:val="0"/>
          <w:sz w:val="24"/>
          <w:szCs w:val="24"/>
          <w:lang w:val="en-US" w:eastAsia="zh-CN" w:bidi="ar"/>
        </w:rPr>
      </w:pPr>
    </w:p>
    <w:p w14:paraId="17DD57CA">
      <w:pPr>
        <w:keepNext w:val="0"/>
        <w:keepLines w:val="0"/>
        <w:widowControl/>
        <w:suppressLineNumbers w:val="0"/>
        <w:jc w:val="center"/>
        <w:rPr>
          <w:rFonts w:hint="default" w:ascii="Arial" w:hAnsi="Arial" w:eastAsia="SimSun" w:cs="Arial"/>
          <w:b/>
          <w:bCs/>
          <w:kern w:val="0"/>
          <w:sz w:val="24"/>
          <w:szCs w:val="24"/>
          <w:lang w:val="en-US" w:eastAsia="zh-CN" w:bidi="ar"/>
        </w:rPr>
      </w:pPr>
    </w:p>
    <w:p w14:paraId="1550EEFE">
      <w:pPr>
        <w:keepNext w:val="0"/>
        <w:keepLines w:val="0"/>
        <w:widowControl/>
        <w:suppressLineNumbers w:val="0"/>
        <w:jc w:val="center"/>
        <w:rPr>
          <w:rFonts w:hint="default" w:ascii="Arial" w:hAnsi="Arial" w:eastAsia="SimSun" w:cs="Arial"/>
          <w:b/>
          <w:bCs/>
          <w:kern w:val="0"/>
          <w:sz w:val="24"/>
          <w:szCs w:val="24"/>
          <w:lang w:val="en-US" w:eastAsia="zh-CN" w:bidi="ar"/>
        </w:rPr>
      </w:pPr>
    </w:p>
    <w:p w14:paraId="7DF886BA">
      <w:pPr>
        <w:keepNext w:val="0"/>
        <w:keepLines w:val="0"/>
        <w:widowControl/>
        <w:suppressLineNumbers w:val="0"/>
        <w:jc w:val="center"/>
        <w:rPr>
          <w:rFonts w:hint="default" w:ascii="Arial" w:hAnsi="Arial" w:eastAsia="SimSun" w:cs="Arial"/>
          <w:b/>
          <w:bCs/>
          <w:kern w:val="0"/>
          <w:sz w:val="24"/>
          <w:szCs w:val="24"/>
          <w:lang w:val="en-US" w:eastAsia="zh-CN" w:bidi="ar"/>
        </w:rPr>
      </w:pPr>
    </w:p>
    <w:p w14:paraId="77D92DB9">
      <w:pPr>
        <w:keepNext w:val="0"/>
        <w:keepLines w:val="0"/>
        <w:widowControl/>
        <w:suppressLineNumbers w:val="0"/>
        <w:jc w:val="center"/>
        <w:rPr>
          <w:rFonts w:hint="default" w:ascii="Arial" w:hAnsi="Arial" w:eastAsia="SimSun" w:cs="Arial"/>
          <w:b/>
          <w:bCs/>
          <w:kern w:val="0"/>
          <w:sz w:val="24"/>
          <w:szCs w:val="24"/>
          <w:lang w:val="en-US" w:eastAsia="zh-CN" w:bidi="ar"/>
        </w:rPr>
      </w:pPr>
    </w:p>
    <w:p w14:paraId="2D739DCF">
      <w:pPr>
        <w:keepNext w:val="0"/>
        <w:keepLines w:val="0"/>
        <w:widowControl/>
        <w:suppressLineNumbers w:val="0"/>
        <w:jc w:val="center"/>
        <w:rPr>
          <w:rFonts w:hint="default" w:ascii="Arial" w:hAnsi="Arial" w:eastAsia="SimSun" w:cs="Arial"/>
          <w:b/>
          <w:bCs/>
          <w:kern w:val="0"/>
          <w:sz w:val="24"/>
          <w:szCs w:val="24"/>
          <w:lang w:val="en-US" w:eastAsia="zh-CN" w:bidi="ar"/>
        </w:rPr>
      </w:pPr>
    </w:p>
    <w:p w14:paraId="55CFCA9A">
      <w:pPr>
        <w:keepNext w:val="0"/>
        <w:keepLines w:val="0"/>
        <w:widowControl/>
        <w:suppressLineNumbers w:val="0"/>
        <w:jc w:val="center"/>
        <w:rPr>
          <w:rFonts w:hint="default" w:ascii="Arial" w:hAnsi="Arial" w:eastAsia="SimSun" w:cs="Arial"/>
          <w:b/>
          <w:bCs/>
          <w:kern w:val="0"/>
          <w:sz w:val="24"/>
          <w:szCs w:val="24"/>
          <w:lang w:val="en-US" w:eastAsia="zh-CN" w:bidi="ar"/>
        </w:rPr>
      </w:pPr>
    </w:p>
    <w:p w14:paraId="6E48FBBF">
      <w:pPr>
        <w:spacing w:line="360" w:lineRule="auto"/>
        <w:jc w:val="center"/>
        <w:rPr>
          <w:b/>
          <w:bCs/>
          <w:sz w:val="28"/>
          <w:szCs w:val="28"/>
        </w:rPr>
      </w:pPr>
      <w:r>
        <w:rPr>
          <w:b/>
          <w:bCs/>
          <w:sz w:val="28"/>
          <w:szCs w:val="28"/>
        </w:rPr>
        <w:t>Module: Doctor of Business Administration</w:t>
      </w:r>
    </w:p>
    <w:p w14:paraId="00EEB6B1">
      <w:pPr>
        <w:spacing w:after="278" w:line="360" w:lineRule="auto"/>
        <w:ind w:right="79"/>
        <w:jc w:val="center"/>
      </w:pPr>
      <w:r>
        <w:rPr>
          <w:rFonts w:hint="default"/>
          <w:b/>
          <w:sz w:val="28"/>
          <w:lang w:val="en-US"/>
        </w:rPr>
        <w:t xml:space="preserve">Quantitative Research Methods </w:t>
      </w:r>
      <w:r>
        <w:rPr>
          <w:b/>
          <w:sz w:val="28"/>
        </w:rPr>
        <w:t>(LCDB70</w:t>
      </w:r>
      <w:r>
        <w:rPr>
          <w:rFonts w:hint="default"/>
          <w:b/>
          <w:sz w:val="28"/>
          <w:lang w:val="en-US"/>
        </w:rPr>
        <w:t>11</w:t>
      </w:r>
      <w:r>
        <w:rPr>
          <w:b/>
          <w:sz w:val="28"/>
        </w:rPr>
        <w:t>)</w:t>
      </w:r>
    </w:p>
    <w:p w14:paraId="60E351C8">
      <w:pPr>
        <w:spacing w:after="182" w:line="360" w:lineRule="auto"/>
        <w:ind w:right="79"/>
        <w:jc w:val="center"/>
        <w:rPr>
          <w:rFonts w:hint="default"/>
          <w:lang w:val="en-US"/>
        </w:rPr>
      </w:pPr>
      <w:r>
        <w:rPr>
          <w:b/>
          <w:sz w:val="28"/>
        </w:rPr>
        <w:t xml:space="preserve">Module Leader: </w:t>
      </w:r>
      <w:r>
        <w:rPr>
          <w:rFonts w:hint="default"/>
          <w:b/>
          <w:sz w:val="28"/>
          <w:lang w:val="en-US"/>
        </w:rPr>
        <w:t>Sir Badir Miftah</w:t>
      </w:r>
    </w:p>
    <w:p w14:paraId="0BC54951">
      <w:pPr>
        <w:spacing w:line="360" w:lineRule="auto"/>
        <w:jc w:val="center"/>
        <w:rPr>
          <w:b/>
          <w:bCs/>
          <w:sz w:val="28"/>
          <w:szCs w:val="28"/>
        </w:rPr>
      </w:pPr>
      <w:r>
        <w:rPr>
          <w:b/>
          <w:bCs/>
          <w:sz w:val="28"/>
          <w:szCs w:val="28"/>
        </w:rPr>
        <w:t>Submitted by: Manahil Hayat</w:t>
      </w:r>
    </w:p>
    <w:p w14:paraId="58E10BC3">
      <w:pPr>
        <w:keepNext w:val="0"/>
        <w:keepLines w:val="0"/>
        <w:widowControl/>
        <w:suppressLineNumbers w:val="0"/>
        <w:jc w:val="center"/>
        <w:rPr>
          <w:rFonts w:hint="default" w:ascii="Arial" w:hAnsi="Arial" w:eastAsia="SimSun" w:cs="Arial"/>
          <w:b/>
          <w:bCs/>
          <w:kern w:val="0"/>
          <w:sz w:val="24"/>
          <w:szCs w:val="24"/>
          <w:lang w:val="en-US" w:eastAsia="zh-CN" w:bidi="ar"/>
        </w:rPr>
        <w:sectPr>
          <w:footerReference r:id="rId3" w:type="default"/>
          <w:pgSz w:w="11906" w:h="16838"/>
          <w:pgMar w:top="1440" w:right="1800" w:bottom="1440" w:left="1800" w:header="720" w:footer="720" w:gutter="0"/>
          <w:pgNumType w:fmt="decimal"/>
          <w:cols w:space="720" w:num="1"/>
          <w:docGrid w:linePitch="360" w:charSpace="0"/>
        </w:sectPr>
      </w:pPr>
    </w:p>
    <w:tbl>
      <w:tblPr>
        <w:tblStyle w:val="6"/>
        <w:tblW w:w="5033"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2539"/>
        <w:gridCol w:w="4541"/>
        <w:gridCol w:w="1442"/>
      </w:tblGrid>
      <w:tr w14:paraId="0E7D903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rPr>
        <w:tc>
          <w:tcPr>
            <w:tcW w:w="1489"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EAFF759">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Section</w:t>
            </w:r>
          </w:p>
        </w:tc>
        <w:tc>
          <w:tcPr>
            <w:tcW w:w="2664"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20012451">
            <w:pPr>
              <w:keepNext w:val="0"/>
              <w:keepLines w:val="0"/>
              <w:widowControl/>
              <w:suppressLineNumbers w:val="0"/>
              <w:jc w:val="left"/>
              <w:rPr>
                <w:rFonts w:hint="default" w:ascii="Arial" w:hAnsi="Arial" w:cs="Arial"/>
                <w:b/>
                <w:bCs/>
              </w:rPr>
            </w:pPr>
          </w:p>
        </w:tc>
        <w:tc>
          <w:tcPr>
            <w:tcW w:w="846"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08C4957A">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Page Number</w:t>
            </w:r>
          </w:p>
        </w:tc>
      </w:tr>
      <w:tr w14:paraId="65848CF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4D40D043">
            <w:pPr>
              <w:keepNext w:val="0"/>
              <w:keepLines w:val="0"/>
              <w:widowControl/>
              <w:suppressLineNumbers w:val="0"/>
              <w:jc w:val="left"/>
              <w:rPr>
                <w:rFonts w:hint="eastAsia" w:asciiTheme="minorEastAsia" w:hAnsiTheme="minorEastAsia" w:eastAsiaTheme="minorEastAsia" w:cstheme="minorEastAsia"/>
                <w:sz w:val="24"/>
                <w:szCs w:val="24"/>
                <w:lang w:val="en-US"/>
              </w:rPr>
            </w:pPr>
            <w:r>
              <w:rPr>
                <w:rFonts w:hint="eastAsia" w:asciiTheme="minorEastAsia" w:hAnsiTheme="minorEastAsia" w:eastAsiaTheme="minorEastAsia" w:cstheme="minorEastAsia"/>
                <w:b/>
                <w:bCs/>
                <w:kern w:val="0"/>
                <w:sz w:val="24"/>
                <w:szCs w:val="24"/>
                <w:lang w:val="en-US" w:eastAsia="zh-CN" w:bidi="ar"/>
              </w:rPr>
              <w:t xml:space="preserve">INTRODUCTION                                                                              </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846761C">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3</w:t>
            </w:r>
          </w:p>
        </w:tc>
      </w:tr>
      <w:tr w14:paraId="38D57E5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63CD1DA3">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RESEARCH PROBLEM STATEMENT</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0C62FA8">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4</w:t>
            </w:r>
          </w:p>
        </w:tc>
      </w:tr>
      <w:tr w14:paraId="73B0D28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3E571161">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 xml:space="preserve">MAIN AIM, OBJECTIVES, AND QUESTIONS            </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FBBC6E2">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6</w:t>
            </w:r>
          </w:p>
        </w:tc>
      </w:tr>
      <w:tr w14:paraId="7D75264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598A2710">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LITERATURE REVIEW</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B0B5516">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6</w:t>
            </w:r>
          </w:p>
        </w:tc>
      </w:tr>
      <w:tr w14:paraId="6960764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5F08F17E">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MAIN THEORIES SUPPORTING THE RESEARCH</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F2A1D5A">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10</w:t>
            </w:r>
          </w:p>
        </w:tc>
      </w:tr>
      <w:tr w14:paraId="2CC60AA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5D7EB77E">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sz w:val="24"/>
                <w:szCs w:val="24"/>
                <w:lang w:val="en-US"/>
              </w:rPr>
              <w:t>HYPOTHESIS</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5F7DD8E">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13</w:t>
            </w:r>
          </w:p>
        </w:tc>
      </w:tr>
      <w:tr w14:paraId="50F4949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rHeight w:val="743" w:hRule="atLeast"/>
        </w:trPr>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33D65429">
            <w:pPr>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sz w:val="24"/>
                <w:szCs w:val="24"/>
                <w:lang w:val="en-US"/>
              </w:rPr>
              <w:t>CONCEPTUAL FRAMEWORK</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883D18D">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13</w:t>
            </w:r>
          </w:p>
        </w:tc>
      </w:tr>
      <w:tr w14:paraId="111D3BD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36A83628">
            <w:pPr>
              <w:keepNext w:val="0"/>
              <w:keepLines w:val="0"/>
              <w:widowControl/>
              <w:suppressLineNumbers w:val="0"/>
              <w:jc w:val="left"/>
              <w:rPr>
                <w:rFonts w:hint="eastAsia" w:asciiTheme="minorEastAsia" w:hAnsiTheme="minorEastAsia" w:eastAsiaTheme="minorEastAsia" w:cstheme="minorEastAsia"/>
                <w:sz w:val="24"/>
                <w:szCs w:val="24"/>
                <w:lang w:val="en-US"/>
              </w:rPr>
            </w:pPr>
            <w:r>
              <w:rPr>
                <w:rFonts w:hint="eastAsia" w:asciiTheme="minorEastAsia" w:hAnsiTheme="minorEastAsia" w:eastAsiaTheme="minorEastAsia" w:cstheme="minorEastAsia"/>
                <w:b/>
                <w:bCs/>
                <w:kern w:val="0"/>
                <w:sz w:val="24"/>
                <w:szCs w:val="24"/>
                <w:lang w:val="en-US" w:eastAsia="zh-CN" w:bidi="ar"/>
              </w:rPr>
              <w:t xml:space="preserve">METHODOLOGY                                                                            </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DF931F0">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15</w:t>
            </w:r>
          </w:p>
        </w:tc>
      </w:tr>
      <w:tr w14:paraId="10C9320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50C50788">
            <w:pPr>
              <w:jc w:val="left"/>
              <w:rPr>
                <w:rFonts w:hint="eastAsia" w:asciiTheme="minorEastAsia" w:hAnsiTheme="minorEastAsia" w:eastAsiaTheme="minorEastAsia" w:cstheme="minorEastAsia"/>
                <w:b/>
                <w:bCs/>
                <w:sz w:val="24"/>
                <w:szCs w:val="24"/>
                <w:lang w:val="en-US"/>
              </w:rPr>
            </w:pPr>
            <w:r>
              <w:rPr>
                <w:rFonts w:hint="default" w:ascii="Arial" w:hAnsi="Arial" w:cs="Arial"/>
                <w:b/>
                <w:bCs/>
                <w:sz w:val="24"/>
                <w:szCs w:val="24"/>
                <w:lang w:val="en-US"/>
              </w:rPr>
              <w:t xml:space="preserve">STATISTICAL TEST AND ANALYSIS IN SPSS                           </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D754215">
            <w:pPr>
              <w:jc w:val="left"/>
              <w:rPr>
                <w:rFonts w:hint="default" w:ascii="Arial" w:hAnsi="Arial" w:cs="Arial"/>
                <w:b/>
                <w:bCs/>
                <w:sz w:val="24"/>
                <w:szCs w:val="24"/>
                <w:lang w:val="en-US"/>
              </w:rPr>
            </w:pPr>
            <w:r>
              <w:rPr>
                <w:rFonts w:hint="default" w:ascii="Arial" w:hAnsi="Arial" w:cs="Arial"/>
                <w:b/>
                <w:bCs/>
                <w:sz w:val="24"/>
                <w:szCs w:val="24"/>
                <w:lang w:val="en-US"/>
              </w:rPr>
              <w:t>18</w:t>
            </w:r>
          </w:p>
        </w:tc>
      </w:tr>
      <w:tr w14:paraId="6BBD3A6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1489"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892722E">
            <w:pPr>
              <w:keepNext w:val="0"/>
              <w:keepLines w:val="0"/>
              <w:widowControl/>
              <w:suppressLineNumbers w:val="0"/>
              <w:jc w:val="left"/>
              <w:rPr>
                <w:rFonts w:hint="default" w:ascii="Arial" w:hAnsi="Arial" w:cs="Arial"/>
              </w:rPr>
            </w:pPr>
          </w:p>
        </w:tc>
        <w:tc>
          <w:tcPr>
            <w:tcW w:w="2664" w:type="pct"/>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27434613">
            <w:pPr>
              <w:keepNext w:val="0"/>
              <w:keepLines w:val="0"/>
              <w:widowControl/>
              <w:suppressLineNumbers w:val="0"/>
              <w:jc w:val="left"/>
              <w:rPr>
                <w:rFonts w:hint="eastAsia" w:asciiTheme="minorEastAsia" w:hAnsiTheme="minorEastAsia" w:eastAsiaTheme="minorEastAsia" w:cstheme="minorEastAsia"/>
              </w:rPr>
            </w:pPr>
            <w:r>
              <w:rPr>
                <w:rFonts w:hint="eastAsia" w:asciiTheme="minorEastAsia" w:hAnsiTheme="minorEastAsia" w:eastAsiaTheme="minorEastAsia" w:cstheme="minorEastAsia"/>
                <w:kern w:val="0"/>
                <w:sz w:val="24"/>
                <w:szCs w:val="24"/>
                <w:lang w:val="en-US" w:eastAsia="zh-CN" w:bidi="ar"/>
              </w:rPr>
              <w:t>Descriptive Statistics</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C5196FF">
            <w:pPr>
              <w:keepNext w:val="0"/>
              <w:keepLines w:val="0"/>
              <w:widowControl/>
              <w:suppressLineNumbers w:val="0"/>
              <w:jc w:val="left"/>
              <w:rPr>
                <w:rFonts w:hint="eastAsia" w:asciiTheme="minorEastAsia" w:hAnsiTheme="minorEastAsia" w:eastAsiaTheme="minorEastAsia" w:cstheme="minorEastAsia"/>
                <w:b/>
                <w:bCs/>
                <w:sz w:val="24"/>
                <w:szCs w:val="24"/>
                <w:lang w:val="en-US"/>
              </w:rPr>
            </w:pPr>
            <w:r>
              <w:rPr>
                <w:rFonts w:hint="eastAsia" w:asciiTheme="minorEastAsia" w:hAnsiTheme="minorEastAsia" w:eastAsiaTheme="minorEastAsia" w:cstheme="minorEastAsia"/>
                <w:b/>
                <w:bCs/>
                <w:sz w:val="24"/>
                <w:szCs w:val="24"/>
                <w:lang w:val="en-US"/>
              </w:rPr>
              <w:t>18</w:t>
            </w:r>
          </w:p>
        </w:tc>
      </w:tr>
      <w:tr w14:paraId="4A3BB66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1489"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03169BD">
            <w:pPr>
              <w:jc w:val="left"/>
              <w:rPr>
                <w:rFonts w:hint="default" w:ascii="Arial" w:hAnsi="Arial" w:cs="Arial"/>
                <w:sz w:val="24"/>
                <w:szCs w:val="24"/>
              </w:rPr>
            </w:pPr>
          </w:p>
        </w:tc>
        <w:tc>
          <w:tcPr>
            <w:tcW w:w="2664"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5F64982">
            <w:pPr>
              <w:keepNext w:val="0"/>
              <w:keepLines w:val="0"/>
              <w:widowControl/>
              <w:suppressLineNumbers w:val="0"/>
              <w:jc w:val="left"/>
              <w:rPr>
                <w:rFonts w:hint="eastAsia" w:asciiTheme="minorEastAsia" w:hAnsiTheme="minorEastAsia" w:eastAsiaTheme="minorEastAsia" w:cstheme="minorEastAsia"/>
              </w:rPr>
            </w:pPr>
            <w:r>
              <w:rPr>
                <w:rFonts w:hint="eastAsia" w:asciiTheme="minorEastAsia" w:hAnsiTheme="minorEastAsia" w:eastAsiaTheme="minorEastAsia" w:cstheme="minorEastAsia"/>
                <w:kern w:val="0"/>
                <w:sz w:val="24"/>
                <w:szCs w:val="24"/>
                <w:lang w:val="en-US" w:eastAsia="zh-CN" w:bidi="ar"/>
              </w:rPr>
              <w:t>Frequency Tables</w:t>
            </w:r>
          </w:p>
        </w:tc>
        <w:tc>
          <w:tcPr>
            <w:tcW w:w="8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F46ADC1">
            <w:pPr>
              <w:keepNext w:val="0"/>
              <w:keepLines w:val="0"/>
              <w:widowControl/>
              <w:suppressLineNumbers w:val="0"/>
              <w:jc w:val="left"/>
              <w:rPr>
                <w:rFonts w:hint="eastAsia" w:asciiTheme="minorEastAsia" w:hAnsiTheme="minorEastAsia" w:eastAsiaTheme="minorEastAsia" w:cstheme="minorEastAsia"/>
                <w:b/>
                <w:bCs/>
                <w:sz w:val="24"/>
                <w:szCs w:val="24"/>
                <w:lang w:val="en-US"/>
              </w:rPr>
            </w:pPr>
            <w:r>
              <w:rPr>
                <w:rFonts w:hint="eastAsia" w:asciiTheme="minorEastAsia" w:hAnsiTheme="minorEastAsia" w:eastAsiaTheme="minorEastAsia" w:cstheme="minorEastAsia"/>
                <w:b/>
                <w:bCs/>
                <w:sz w:val="24"/>
                <w:szCs w:val="24"/>
                <w:lang w:val="en-US"/>
              </w:rPr>
              <w:t>18</w:t>
            </w:r>
          </w:p>
        </w:tc>
      </w:tr>
      <w:tr w14:paraId="18CFF4A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1489"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651D756">
            <w:pPr>
              <w:jc w:val="left"/>
              <w:rPr>
                <w:rFonts w:hint="default" w:ascii="Arial" w:hAnsi="Arial" w:cs="Arial"/>
                <w:sz w:val="24"/>
                <w:szCs w:val="24"/>
              </w:rPr>
            </w:pPr>
          </w:p>
        </w:tc>
        <w:tc>
          <w:tcPr>
            <w:tcW w:w="2664"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34364E5">
            <w:pPr>
              <w:keepNext w:val="0"/>
              <w:keepLines w:val="0"/>
              <w:widowControl/>
              <w:suppressLineNumbers w:val="0"/>
              <w:jc w:val="left"/>
              <w:rPr>
                <w:rFonts w:hint="eastAsia" w:asciiTheme="minorEastAsia" w:hAnsiTheme="minorEastAsia" w:eastAsiaTheme="minorEastAsia" w:cstheme="minorEastAsia"/>
                <w:kern w:val="0"/>
                <w:sz w:val="24"/>
                <w:szCs w:val="24"/>
                <w:lang w:val="en-US" w:eastAsia="zh-CN" w:bidi="ar"/>
              </w:rPr>
            </w:pPr>
            <w:r>
              <w:rPr>
                <w:rFonts w:hint="eastAsia" w:asciiTheme="minorEastAsia" w:hAnsiTheme="minorEastAsia" w:eastAsiaTheme="minorEastAsia" w:cstheme="minorEastAsia"/>
                <w:kern w:val="0"/>
                <w:sz w:val="24"/>
                <w:szCs w:val="24"/>
                <w:lang w:val="en-US" w:eastAsia="zh-CN" w:bidi="ar"/>
              </w:rPr>
              <w:t>Scatter plot</w:t>
            </w:r>
            <w:r>
              <w:rPr>
                <w:rFonts w:hint="default" w:asciiTheme="minorEastAsia" w:hAnsiTheme="minorEastAsia" w:cstheme="minorEastAsia"/>
                <w:kern w:val="0"/>
                <w:sz w:val="24"/>
                <w:szCs w:val="24"/>
                <w:lang w:val="en-US" w:eastAsia="zh-CN" w:bidi="ar"/>
              </w:rPr>
              <w:t>s</w:t>
            </w:r>
            <w:r>
              <w:rPr>
                <w:rFonts w:hint="eastAsia" w:asciiTheme="minorEastAsia" w:hAnsiTheme="minorEastAsia" w:eastAsiaTheme="minorEastAsia" w:cstheme="minorEastAsia"/>
                <w:kern w:val="0"/>
                <w:sz w:val="24"/>
                <w:szCs w:val="24"/>
                <w:lang w:val="en-US" w:eastAsia="zh-CN" w:bidi="ar"/>
              </w:rPr>
              <w:t xml:space="preserve"> </w:t>
            </w:r>
          </w:p>
        </w:tc>
        <w:tc>
          <w:tcPr>
            <w:tcW w:w="8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660F795">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19</w:t>
            </w:r>
          </w:p>
        </w:tc>
      </w:tr>
      <w:tr w14:paraId="425519B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1489"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E45177F">
            <w:pPr>
              <w:jc w:val="left"/>
              <w:rPr>
                <w:rFonts w:hint="default" w:ascii="Arial" w:hAnsi="Arial" w:cs="Arial"/>
                <w:sz w:val="24"/>
                <w:szCs w:val="24"/>
              </w:rPr>
            </w:pPr>
          </w:p>
        </w:tc>
        <w:tc>
          <w:tcPr>
            <w:tcW w:w="2664"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1C8C029">
            <w:pPr>
              <w:keepNext w:val="0"/>
              <w:keepLines w:val="0"/>
              <w:widowControl/>
              <w:suppressLineNumbers w:val="0"/>
              <w:jc w:val="left"/>
              <w:rPr>
                <w:rFonts w:hint="eastAsia" w:asciiTheme="minorEastAsia" w:hAnsiTheme="minorEastAsia" w:eastAsiaTheme="minorEastAsia" w:cstheme="minorEastAsia"/>
                <w:lang w:val="en-US"/>
              </w:rPr>
            </w:pPr>
            <w:r>
              <w:rPr>
                <w:rFonts w:hint="eastAsia" w:asciiTheme="minorEastAsia" w:hAnsiTheme="minorEastAsia" w:eastAsiaTheme="minorEastAsia" w:cstheme="minorEastAsia"/>
                <w:kern w:val="0"/>
                <w:sz w:val="24"/>
                <w:szCs w:val="24"/>
                <w:lang w:val="en-US" w:eastAsia="zh-CN" w:bidi="ar"/>
              </w:rPr>
              <w:t xml:space="preserve">Correlation </w:t>
            </w:r>
            <w:r>
              <w:rPr>
                <w:rFonts w:hint="default" w:asciiTheme="minorEastAsia" w:hAnsiTheme="minorEastAsia" w:cstheme="minorEastAsia"/>
                <w:kern w:val="0"/>
                <w:sz w:val="24"/>
                <w:szCs w:val="24"/>
                <w:lang w:val="en-US" w:eastAsia="zh-CN" w:bidi="ar"/>
              </w:rPr>
              <w:t>Coefficient</w:t>
            </w:r>
            <w:r>
              <w:rPr>
                <w:rFonts w:hint="eastAsia" w:asciiTheme="minorEastAsia" w:hAnsiTheme="minorEastAsia" w:eastAsiaTheme="minorEastAsia" w:cstheme="minorEastAsia"/>
                <w:kern w:val="0"/>
                <w:sz w:val="24"/>
                <w:szCs w:val="24"/>
                <w:lang w:val="en-US" w:eastAsia="zh-CN" w:bidi="ar"/>
              </w:rPr>
              <w:t xml:space="preserve"> Analysis</w:t>
            </w:r>
          </w:p>
        </w:tc>
        <w:tc>
          <w:tcPr>
            <w:tcW w:w="8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41C0049">
            <w:pPr>
              <w:keepNext w:val="0"/>
              <w:keepLines w:val="0"/>
              <w:widowControl/>
              <w:suppressLineNumbers w:val="0"/>
              <w:jc w:val="left"/>
              <w:rPr>
                <w:rFonts w:hint="eastAsia" w:asciiTheme="minorEastAsia" w:hAnsiTheme="minorEastAsia" w:eastAsiaTheme="minorEastAsia" w:cstheme="minorEastAsia"/>
                <w:b/>
                <w:bCs/>
                <w:sz w:val="24"/>
                <w:szCs w:val="24"/>
                <w:lang w:val="en-US"/>
              </w:rPr>
            </w:pPr>
            <w:r>
              <w:rPr>
                <w:rFonts w:hint="eastAsia" w:asciiTheme="minorEastAsia" w:hAnsiTheme="minorEastAsia" w:eastAsiaTheme="minorEastAsia" w:cstheme="minorEastAsia"/>
                <w:b/>
                <w:bCs/>
                <w:sz w:val="24"/>
                <w:szCs w:val="24"/>
                <w:lang w:val="en-US"/>
              </w:rPr>
              <w:t>19</w:t>
            </w:r>
          </w:p>
        </w:tc>
      </w:tr>
      <w:tr w14:paraId="0B787C4E">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1489"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5E3C553">
            <w:pPr>
              <w:jc w:val="left"/>
              <w:rPr>
                <w:rFonts w:hint="default" w:ascii="Arial" w:hAnsi="Arial" w:cs="Arial"/>
                <w:sz w:val="24"/>
                <w:szCs w:val="24"/>
              </w:rPr>
            </w:pPr>
          </w:p>
        </w:tc>
        <w:tc>
          <w:tcPr>
            <w:tcW w:w="2664"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36AADA8">
            <w:pPr>
              <w:keepNext w:val="0"/>
              <w:keepLines w:val="0"/>
              <w:widowControl/>
              <w:suppressLineNumbers w:val="0"/>
              <w:jc w:val="left"/>
              <w:rPr>
                <w:rFonts w:hint="eastAsia" w:asciiTheme="minorEastAsia" w:hAnsiTheme="minorEastAsia" w:eastAsiaTheme="minorEastAsia" w:cstheme="minorEastAsia"/>
                <w:lang w:val="en-US"/>
              </w:rPr>
            </w:pPr>
            <w:r>
              <w:rPr>
                <w:rFonts w:hint="eastAsia" w:asciiTheme="minorEastAsia" w:hAnsiTheme="minorEastAsia" w:eastAsiaTheme="minorEastAsia" w:cstheme="minorEastAsia"/>
                <w:kern w:val="0"/>
                <w:sz w:val="24"/>
                <w:szCs w:val="24"/>
                <w:lang w:val="en-US" w:eastAsia="zh-CN" w:bidi="ar"/>
              </w:rPr>
              <w:t xml:space="preserve">Validity </w:t>
            </w:r>
            <w:r>
              <w:rPr>
                <w:rFonts w:hint="default" w:asciiTheme="minorEastAsia" w:hAnsiTheme="minorEastAsia" w:cstheme="minorEastAsia"/>
                <w:kern w:val="0"/>
                <w:sz w:val="24"/>
                <w:szCs w:val="24"/>
                <w:lang w:val="en-US" w:eastAsia="zh-CN" w:bidi="ar"/>
              </w:rPr>
              <w:t xml:space="preserve">Testing </w:t>
            </w:r>
            <w:bookmarkStart w:id="0" w:name="_GoBack"/>
            <w:bookmarkEnd w:id="0"/>
            <w:r>
              <w:rPr>
                <w:rFonts w:hint="default" w:asciiTheme="minorEastAsia" w:hAnsiTheme="minorEastAsia" w:cstheme="minorEastAsia"/>
                <w:kern w:val="0"/>
                <w:sz w:val="24"/>
                <w:szCs w:val="24"/>
                <w:lang w:val="en-US" w:eastAsia="zh-CN" w:bidi="ar"/>
              </w:rPr>
              <w:t xml:space="preserve"> </w:t>
            </w:r>
          </w:p>
        </w:tc>
        <w:tc>
          <w:tcPr>
            <w:tcW w:w="8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4A8D168">
            <w:pPr>
              <w:keepNext w:val="0"/>
              <w:keepLines w:val="0"/>
              <w:widowControl/>
              <w:suppressLineNumbers w:val="0"/>
              <w:jc w:val="left"/>
              <w:rPr>
                <w:rFonts w:hint="eastAsia" w:asciiTheme="minorEastAsia" w:hAnsiTheme="minorEastAsia" w:eastAsiaTheme="minorEastAsia" w:cstheme="minorEastAsia"/>
                <w:b/>
                <w:bCs/>
                <w:sz w:val="24"/>
                <w:szCs w:val="24"/>
                <w:lang w:val="en-US"/>
              </w:rPr>
            </w:pPr>
            <w:r>
              <w:rPr>
                <w:rFonts w:hint="eastAsia" w:asciiTheme="minorEastAsia" w:hAnsiTheme="minorEastAsia" w:eastAsiaTheme="minorEastAsia" w:cstheme="minorEastAsia"/>
                <w:b/>
                <w:bCs/>
                <w:kern w:val="0"/>
                <w:sz w:val="24"/>
                <w:szCs w:val="24"/>
                <w:lang w:val="en-US" w:eastAsia="zh-CN" w:bidi="ar"/>
              </w:rPr>
              <w:t>20</w:t>
            </w:r>
          </w:p>
        </w:tc>
      </w:tr>
      <w:tr w14:paraId="6E88196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1489"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4B1DD87">
            <w:pPr>
              <w:jc w:val="left"/>
              <w:rPr>
                <w:rFonts w:hint="default" w:ascii="Arial" w:hAnsi="Arial" w:cs="Arial"/>
                <w:sz w:val="24"/>
                <w:szCs w:val="24"/>
              </w:rPr>
            </w:pPr>
          </w:p>
        </w:tc>
        <w:tc>
          <w:tcPr>
            <w:tcW w:w="2664"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55C97DB">
            <w:pPr>
              <w:keepNext w:val="0"/>
              <w:keepLines w:val="0"/>
              <w:widowControl/>
              <w:suppressLineNumbers w:val="0"/>
              <w:jc w:val="left"/>
              <w:rPr>
                <w:rFonts w:hint="eastAsia" w:asciiTheme="minorEastAsia" w:hAnsiTheme="minorEastAsia" w:eastAsiaTheme="minorEastAsia" w:cstheme="minorEastAsia"/>
                <w:kern w:val="0"/>
                <w:sz w:val="24"/>
                <w:szCs w:val="24"/>
                <w:lang w:val="en-US" w:eastAsia="zh-CN" w:bidi="ar"/>
              </w:rPr>
            </w:pPr>
            <w:r>
              <w:rPr>
                <w:rFonts w:hint="eastAsia" w:asciiTheme="minorEastAsia" w:hAnsiTheme="minorEastAsia" w:eastAsiaTheme="minorEastAsia"/>
                <w:kern w:val="0"/>
                <w:sz w:val="24"/>
                <w:szCs w:val="24"/>
                <w:lang w:val="en-US" w:eastAsia="zh-CN"/>
              </w:rPr>
              <w:t>Cronbach</w:t>
            </w:r>
            <w:r>
              <w:rPr>
                <w:rFonts w:hint="default" w:asciiTheme="minorEastAsia" w:hAnsiTheme="minorEastAsia"/>
                <w:kern w:val="0"/>
                <w:sz w:val="24"/>
                <w:szCs w:val="24"/>
                <w:lang w:val="en-US" w:eastAsia="zh-CN"/>
              </w:rPr>
              <w:t>’</w:t>
            </w:r>
            <w:r>
              <w:rPr>
                <w:rFonts w:hint="eastAsia" w:asciiTheme="minorEastAsia" w:hAnsiTheme="minorEastAsia" w:eastAsiaTheme="minorEastAsia"/>
                <w:kern w:val="0"/>
                <w:sz w:val="24"/>
                <w:szCs w:val="24"/>
                <w:lang w:val="en-US" w:eastAsia="zh-CN"/>
              </w:rPr>
              <w:t>s Alpha</w:t>
            </w:r>
          </w:p>
        </w:tc>
        <w:tc>
          <w:tcPr>
            <w:tcW w:w="8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39100CC">
            <w:pPr>
              <w:keepNext w:val="0"/>
              <w:keepLines w:val="0"/>
              <w:widowControl/>
              <w:suppressLineNumbers w:val="0"/>
              <w:jc w:val="left"/>
              <w:rPr>
                <w:rFonts w:hint="eastAsia" w:asciiTheme="minorEastAsia" w:hAnsiTheme="minorEastAsia" w:eastAsiaTheme="minorEastAsia" w:cstheme="minorEastAsia"/>
                <w:b/>
                <w:bCs/>
                <w:kern w:val="0"/>
                <w:sz w:val="24"/>
                <w:szCs w:val="24"/>
                <w:lang w:val="en-US" w:eastAsia="zh-CN" w:bidi="ar"/>
              </w:rPr>
            </w:pPr>
            <w:r>
              <w:rPr>
                <w:rFonts w:hint="eastAsia" w:asciiTheme="minorEastAsia" w:hAnsiTheme="minorEastAsia" w:eastAsiaTheme="minorEastAsia" w:cstheme="minorEastAsia"/>
                <w:b/>
                <w:bCs/>
                <w:kern w:val="0"/>
                <w:sz w:val="24"/>
                <w:szCs w:val="24"/>
                <w:lang w:val="en-US" w:eastAsia="zh-CN" w:bidi="ar"/>
              </w:rPr>
              <w:t>21</w:t>
            </w:r>
          </w:p>
        </w:tc>
      </w:tr>
      <w:tr w14:paraId="68AE550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48D85959">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 xml:space="preserve">RESEARCH FINDINGS </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68125F6">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21</w:t>
            </w:r>
          </w:p>
        </w:tc>
      </w:tr>
      <w:tr w14:paraId="2E3921F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51C8C067">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CONCLUSION</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A9CB5A2">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22</w:t>
            </w:r>
          </w:p>
        </w:tc>
      </w:tr>
      <w:tr w14:paraId="4359A63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0749B5E3">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REFLECTION</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0B50F87">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23</w:t>
            </w:r>
          </w:p>
        </w:tc>
      </w:tr>
      <w:tr w14:paraId="4F93973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4153" w:type="pct"/>
            <w:gridSpan w:val="2"/>
            <w:tcBorders>
              <w:top w:val="single" w:color="DDDDDD" w:sz="4" w:space="0"/>
              <w:left w:val="single" w:color="DDDDDD" w:sz="4" w:space="0"/>
              <w:bottom w:val="single" w:color="DDDDDD" w:sz="4" w:space="0"/>
              <w:right w:val="single" w:color="auto" w:sz="4" w:space="0"/>
            </w:tcBorders>
            <w:shd w:val="clear" w:color="auto" w:fill="auto"/>
            <w:tcMar>
              <w:top w:w="80" w:type="dxa"/>
              <w:left w:w="80" w:type="dxa"/>
              <w:bottom w:w="80" w:type="dxa"/>
              <w:right w:w="80" w:type="dxa"/>
            </w:tcMar>
            <w:vAlign w:val="center"/>
          </w:tcPr>
          <w:p w14:paraId="1CF6AD37">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 xml:space="preserve">REFERENCES </w:t>
            </w:r>
          </w:p>
        </w:tc>
        <w:tc>
          <w:tcPr>
            <w:tcW w:w="846" w:type="pct"/>
            <w:tcBorders>
              <w:top w:val="single" w:color="DDDDDD" w:sz="4" w:space="0"/>
              <w:left w:val="single" w:color="auto"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681BE91">
            <w:pPr>
              <w:keepNext w:val="0"/>
              <w:keepLines w:val="0"/>
              <w:widowControl/>
              <w:suppressLineNumbers w:val="0"/>
              <w:jc w:val="left"/>
              <w:rPr>
                <w:rFonts w:hint="default" w:asciiTheme="minorEastAsia" w:hAnsiTheme="minorEastAsia" w:eastAsiaTheme="minorEastAsia" w:cstheme="minorEastAsia"/>
                <w:b/>
                <w:bCs/>
                <w:kern w:val="0"/>
                <w:sz w:val="24"/>
                <w:szCs w:val="24"/>
                <w:lang w:val="en-US" w:eastAsia="zh-CN" w:bidi="ar"/>
              </w:rPr>
            </w:pPr>
            <w:r>
              <w:rPr>
                <w:rFonts w:hint="default" w:asciiTheme="minorEastAsia" w:hAnsiTheme="minorEastAsia" w:cstheme="minorEastAsia"/>
                <w:b/>
                <w:bCs/>
                <w:kern w:val="0"/>
                <w:sz w:val="24"/>
                <w:szCs w:val="24"/>
                <w:lang w:val="en-US" w:eastAsia="zh-CN" w:bidi="ar"/>
              </w:rPr>
              <w:t>25</w:t>
            </w:r>
          </w:p>
        </w:tc>
      </w:tr>
    </w:tbl>
    <w:p w14:paraId="1B873E82">
      <w:pPr>
        <w:pStyle w:val="12"/>
        <w:keepNext w:val="0"/>
        <w:keepLines w:val="0"/>
        <w:widowControl/>
        <w:suppressLineNumbers w:val="0"/>
        <w:spacing w:line="240" w:lineRule="auto"/>
        <w:jc w:val="both"/>
        <w:rPr>
          <w:rFonts w:hint="default" w:ascii="Calibri" w:hAnsi="Calibri" w:cs="Calibri"/>
          <w:b/>
          <w:bCs/>
          <w:sz w:val="32"/>
          <w:szCs w:val="32"/>
        </w:rPr>
        <w:sectPr>
          <w:pgSz w:w="11906" w:h="16838"/>
          <w:pgMar w:top="1440" w:right="1800" w:bottom="1440" w:left="1800" w:header="720" w:footer="720" w:gutter="0"/>
          <w:pgNumType w:fmt="decimal"/>
          <w:cols w:space="720" w:num="1"/>
          <w:docGrid w:linePitch="360" w:charSpace="0"/>
        </w:sectPr>
      </w:pPr>
    </w:p>
    <w:p w14:paraId="0763D544">
      <w:pPr>
        <w:pStyle w:val="12"/>
        <w:keepNext w:val="0"/>
        <w:keepLines w:val="0"/>
        <w:widowControl/>
        <w:suppressLineNumbers w:val="0"/>
        <w:spacing w:line="240" w:lineRule="auto"/>
        <w:jc w:val="both"/>
        <w:rPr>
          <w:rFonts w:hint="default" w:ascii="Arial" w:hAnsi="Arial" w:cs="Arial"/>
          <w:sz w:val="32"/>
          <w:szCs w:val="32"/>
        </w:rPr>
      </w:pPr>
      <w:r>
        <w:rPr>
          <w:rFonts w:hint="default" w:ascii="Calibri" w:hAnsi="Calibri" w:cs="Calibri"/>
          <w:b/>
          <w:bCs/>
          <w:sz w:val="32"/>
          <w:szCs w:val="32"/>
        </w:rPr>
        <w:t>The Impact of Age Group on Household Economic Activity Status: An Analysis of Working, Mixed, and Workless Households in the UK</w:t>
      </w:r>
    </w:p>
    <w:p w14:paraId="5FA6B9AE">
      <w:pPr>
        <w:spacing w:line="240" w:lineRule="auto"/>
        <w:jc w:val="both"/>
        <w:rPr>
          <w:rFonts w:hint="default"/>
          <w:sz w:val="24"/>
          <w:szCs w:val="24"/>
          <w:lang w:val="en-US"/>
        </w:rPr>
      </w:pPr>
      <w:r>
        <w:rPr>
          <w:rFonts w:hint="default"/>
          <w:sz w:val="24"/>
          <w:szCs w:val="24"/>
          <w:lang w:val="en-US"/>
        </w:rPr>
        <w:t>The study of household economic activity status—encompassing working, mixed, and workless households—stands at the intersection of labour economics, demography, and social policy. This research area explores how the structure and composition of households, especially in terms of age groups, influence work participation, economic well-being, and transitions into and out of employment in the UK. It is highly relevant to understanding trends in poverty, social mobility, intergenerational inequality, and the effectiveness of labour market interventions.</w:t>
      </w:r>
    </w:p>
    <w:p w14:paraId="6D596FE4">
      <w:pPr>
        <w:spacing w:line="240" w:lineRule="auto"/>
        <w:jc w:val="both"/>
        <w:rPr>
          <w:rFonts w:hint="default"/>
          <w:sz w:val="24"/>
          <w:szCs w:val="24"/>
          <w:lang w:val="en-US"/>
        </w:rPr>
      </w:pPr>
    </w:p>
    <w:p w14:paraId="1216D885">
      <w:pPr>
        <w:spacing w:line="240" w:lineRule="auto"/>
        <w:jc w:val="both"/>
        <w:rPr>
          <w:rFonts w:hint="default"/>
          <w:b/>
          <w:bCs/>
          <w:sz w:val="24"/>
          <w:szCs w:val="24"/>
          <w:lang w:val="en-US"/>
        </w:rPr>
      </w:pPr>
      <w:r>
        <w:rPr>
          <w:rFonts w:hint="default"/>
          <w:b/>
          <w:bCs/>
          <w:sz w:val="24"/>
          <w:szCs w:val="24"/>
          <w:lang w:val="en-US"/>
        </w:rPr>
        <w:t xml:space="preserve">INTRODUCTION </w:t>
      </w:r>
    </w:p>
    <w:p w14:paraId="6470A15E">
      <w:pPr>
        <w:spacing w:line="240" w:lineRule="auto"/>
        <w:jc w:val="both"/>
        <w:rPr>
          <w:rFonts w:hint="default"/>
          <w:sz w:val="24"/>
          <w:szCs w:val="24"/>
          <w:lang w:val="en-US"/>
        </w:rPr>
      </w:pPr>
      <w:r>
        <w:rPr>
          <w:rFonts w:hint="default"/>
          <w:sz w:val="24"/>
          <w:szCs w:val="24"/>
          <w:lang w:val="en-US"/>
        </w:rPr>
        <w:t>Household economic activity status provides crucial insight into employment patterns beyond individual labour market status, capturing the interconnected realities faced by families (Azmat, 2014). Mixed households, where some adults work and others do not, can be transitional spaces affected by health, care responsibilities, education, retirement, and unemployment (Bashir et al., 2011). Research consistently finds that living in a workless household during childhood is associated with lower future employment rates, reduced social mobility, and increased risk of poverty (ONS, 2022; ONS, 2021; Office for National Statistics, 2022).</w:t>
      </w:r>
    </w:p>
    <w:p w14:paraId="565AA37A">
      <w:pPr>
        <w:spacing w:line="240" w:lineRule="auto"/>
        <w:jc w:val="both"/>
        <w:rPr>
          <w:rFonts w:hint="default"/>
          <w:sz w:val="24"/>
          <w:szCs w:val="24"/>
          <w:lang w:val="en-US"/>
        </w:rPr>
      </w:pPr>
    </w:p>
    <w:p w14:paraId="164B0BF9">
      <w:pPr>
        <w:spacing w:line="240" w:lineRule="auto"/>
        <w:jc w:val="both"/>
        <w:rPr>
          <w:rFonts w:hint="default"/>
          <w:sz w:val="24"/>
          <w:szCs w:val="24"/>
          <w:lang w:val="en-US"/>
        </w:rPr>
      </w:pPr>
      <w:r>
        <w:rPr>
          <w:rFonts w:hint="default"/>
          <w:sz w:val="24"/>
          <w:szCs w:val="24"/>
          <w:lang w:val="en-US"/>
        </w:rPr>
        <w:t>Longitudinal studies indicate that transitions between household types are common as a result of demographic shifts—such as ageing, children leaving or re-entering the family home, and adults entering retirement (Berrington et al., 2013; Polizzi, 2022). The complexity of household structures is heightened by rising rates of single-adult and lone-parent families, as well as multi-generational households, all of which display unique profiles of work participation and dependency (Fahmy, 2002; Bashir et al., 2011).</w:t>
      </w:r>
    </w:p>
    <w:p w14:paraId="566F1933">
      <w:pPr>
        <w:spacing w:line="240" w:lineRule="auto"/>
        <w:jc w:val="both"/>
        <w:rPr>
          <w:rFonts w:hint="default"/>
          <w:sz w:val="24"/>
          <w:szCs w:val="24"/>
          <w:lang w:val="en-US"/>
        </w:rPr>
      </w:pPr>
    </w:p>
    <w:p w14:paraId="0B990D67">
      <w:pPr>
        <w:spacing w:line="240" w:lineRule="auto"/>
        <w:jc w:val="both"/>
        <w:rPr>
          <w:rFonts w:hint="default"/>
          <w:sz w:val="24"/>
          <w:szCs w:val="24"/>
          <w:lang w:val="en-US"/>
        </w:rPr>
      </w:pPr>
      <w:r>
        <w:rPr>
          <w:rFonts w:hint="default"/>
          <w:b/>
          <w:bCs/>
          <w:sz w:val="24"/>
          <w:szCs w:val="24"/>
          <w:lang w:val="en-US"/>
        </w:rPr>
        <w:t>Age, Labour Market Participation, and Inactivity</w:t>
      </w:r>
    </w:p>
    <w:p w14:paraId="6C305FE1">
      <w:pPr>
        <w:spacing w:line="240" w:lineRule="auto"/>
        <w:jc w:val="both"/>
        <w:rPr>
          <w:rFonts w:hint="default"/>
          <w:sz w:val="24"/>
          <w:szCs w:val="24"/>
          <w:lang w:val="en-US"/>
        </w:rPr>
      </w:pPr>
      <w:r>
        <w:rPr>
          <w:rFonts w:hint="default"/>
          <w:sz w:val="24"/>
          <w:szCs w:val="24"/>
          <w:lang w:val="en-US"/>
        </w:rPr>
        <w:t>Age is a central variable in debates about household work participation. Younger adults face barriers to work linked to education, experience, and job market volatility, with worklessness often associated with parental background and household resources (ONS, 2022; ONS, 2021; Taylor et al., 2022). Estimates show that young people from workless households are much less likely to be employed or economically active, with gaps largely persisting across gender and ethnic backgrounds (ONS, 2022).</w:t>
      </w:r>
    </w:p>
    <w:p w14:paraId="4491227F">
      <w:pPr>
        <w:spacing w:line="240" w:lineRule="auto"/>
        <w:jc w:val="both"/>
        <w:rPr>
          <w:rFonts w:hint="default"/>
          <w:sz w:val="24"/>
          <w:szCs w:val="24"/>
          <w:lang w:val="en-US"/>
        </w:rPr>
      </w:pPr>
    </w:p>
    <w:p w14:paraId="7A78AF52">
      <w:pPr>
        <w:spacing w:line="240" w:lineRule="auto"/>
        <w:jc w:val="both"/>
        <w:rPr>
          <w:rFonts w:hint="default"/>
          <w:sz w:val="24"/>
          <w:szCs w:val="24"/>
          <w:lang w:val="en-US"/>
        </w:rPr>
      </w:pPr>
      <w:r>
        <w:rPr>
          <w:rFonts w:hint="default"/>
          <w:sz w:val="24"/>
          <w:szCs w:val="24"/>
          <w:lang w:val="en-US"/>
        </w:rPr>
        <w:t>For adults aged 50 and older, economic inactivity is influenced by health, caring obligations, and early retirement (IFS, 2025; HM Government, 2024). The rise in inactivity among older workers since the pandemic has sparked policy debate about re-engagement and support (IFS, 2025). This group often transitions into workless households or shifts household status when children reach adulthood and leave home (ONS, 2021; HM Government, 2024).</w:t>
      </w:r>
    </w:p>
    <w:p w14:paraId="3D3A711E">
      <w:pPr>
        <w:spacing w:line="240" w:lineRule="auto"/>
        <w:jc w:val="both"/>
        <w:rPr>
          <w:rFonts w:hint="default"/>
          <w:sz w:val="24"/>
          <w:szCs w:val="24"/>
          <w:lang w:val="en-US"/>
        </w:rPr>
      </w:pPr>
    </w:p>
    <w:p w14:paraId="17B44EBD">
      <w:pPr>
        <w:spacing w:line="240" w:lineRule="auto"/>
        <w:jc w:val="both"/>
        <w:rPr>
          <w:rFonts w:hint="default"/>
          <w:sz w:val="24"/>
          <w:szCs w:val="24"/>
          <w:lang w:val="en-US"/>
        </w:rPr>
      </w:pPr>
      <w:r>
        <w:rPr>
          <w:rFonts w:hint="default"/>
          <w:sz w:val="24"/>
          <w:szCs w:val="24"/>
          <w:lang w:val="en-US"/>
        </w:rPr>
        <w:t>Middle-aged and prime working-age adults represent a highly engaged segment of the labour market. The employment rate for women aged 25–65 in the UK grew from 62% to 69% between 1994 and 2014 (Azmat, 2014). However, gender gaps persist, and lone-parent households—disproportionately headed by women—face higher risks of inactivity and poverty (Azmat, 2014; Bashir et al., 2011; Fahmy, 2002).</w:t>
      </w:r>
    </w:p>
    <w:p w14:paraId="5ACDBEA2">
      <w:pPr>
        <w:spacing w:line="240" w:lineRule="auto"/>
        <w:jc w:val="both"/>
        <w:rPr>
          <w:rFonts w:hint="default"/>
          <w:sz w:val="24"/>
          <w:szCs w:val="24"/>
          <w:lang w:val="en-US"/>
        </w:rPr>
      </w:pPr>
    </w:p>
    <w:p w14:paraId="76B6D194">
      <w:pPr>
        <w:spacing w:line="240" w:lineRule="auto"/>
        <w:jc w:val="both"/>
        <w:rPr>
          <w:rFonts w:hint="default"/>
          <w:sz w:val="24"/>
          <w:szCs w:val="24"/>
          <w:lang w:val="en-US"/>
        </w:rPr>
      </w:pPr>
      <w:r>
        <w:rPr>
          <w:rFonts w:hint="default"/>
          <w:b/>
          <w:bCs/>
          <w:sz w:val="24"/>
          <w:szCs w:val="24"/>
          <w:lang w:val="en-US"/>
        </w:rPr>
        <w:t>Context in Families and Social Groups</w:t>
      </w:r>
    </w:p>
    <w:p w14:paraId="433943EA">
      <w:pPr>
        <w:spacing w:line="240" w:lineRule="auto"/>
        <w:jc w:val="both"/>
        <w:rPr>
          <w:rFonts w:hint="default"/>
          <w:sz w:val="24"/>
          <w:szCs w:val="24"/>
          <w:lang w:val="en-US"/>
        </w:rPr>
      </w:pPr>
      <w:r>
        <w:rPr>
          <w:rFonts w:hint="default"/>
          <w:sz w:val="24"/>
          <w:szCs w:val="24"/>
          <w:lang w:val="en-US"/>
        </w:rPr>
        <w:t>Labour force participation is strongly affected by household characteristics such as the presence of dependent children, disability, or caring responsibilities. In families with dependent children, employment rates for mothers and fathers are higher than for adults without children, reflecting social expectations and welfare incentives (ONS, 2021; ONS, 2022). The employment rate for mothers surpasses that for women without children—a reversal of trends seen in previous decades (ONS, 2021).</w:t>
      </w:r>
    </w:p>
    <w:p w14:paraId="20037EE8">
      <w:pPr>
        <w:spacing w:line="240" w:lineRule="auto"/>
        <w:jc w:val="both"/>
        <w:rPr>
          <w:rFonts w:hint="default"/>
          <w:sz w:val="24"/>
          <w:szCs w:val="24"/>
          <w:lang w:val="en-US"/>
        </w:rPr>
      </w:pPr>
    </w:p>
    <w:p w14:paraId="103B2D69">
      <w:pPr>
        <w:spacing w:line="240" w:lineRule="auto"/>
        <w:jc w:val="both"/>
        <w:rPr>
          <w:rFonts w:hint="default"/>
          <w:sz w:val="24"/>
          <w:szCs w:val="24"/>
          <w:lang w:val="en-US"/>
        </w:rPr>
      </w:pPr>
      <w:r>
        <w:rPr>
          <w:rFonts w:hint="default"/>
          <w:sz w:val="24"/>
          <w:szCs w:val="24"/>
          <w:lang w:val="en-US"/>
        </w:rPr>
        <w:t>Recent reviews highlight in-work poverty as a major concern, with many working households still experiencing poverty due to low hours, unstable employment, or low pay (Polizzi, 2022). Family demographic processes, such as separation or single parenthood, further shape these risks (Polizzi, 2022; Fahmy, 2002).</w:t>
      </w:r>
    </w:p>
    <w:p w14:paraId="62C018E0">
      <w:pPr>
        <w:spacing w:line="240" w:lineRule="auto"/>
        <w:jc w:val="both"/>
        <w:rPr>
          <w:rFonts w:hint="default"/>
          <w:sz w:val="24"/>
          <w:szCs w:val="24"/>
          <w:lang w:val="en-US"/>
        </w:rPr>
      </w:pPr>
    </w:p>
    <w:p w14:paraId="3D567EED">
      <w:pPr>
        <w:spacing w:line="240" w:lineRule="auto"/>
        <w:jc w:val="both"/>
        <w:rPr>
          <w:rFonts w:hint="default"/>
          <w:sz w:val="24"/>
          <w:szCs w:val="24"/>
          <w:lang w:val="en-US"/>
        </w:rPr>
      </w:pPr>
      <w:r>
        <w:rPr>
          <w:rFonts w:hint="default"/>
          <w:sz w:val="24"/>
          <w:szCs w:val="24"/>
          <w:lang w:val="en-US"/>
        </w:rPr>
        <w:t>Period and cohort effects play a fundamental role, as economic crises, welfare reforms, and changing gender roles reshape household economic status over time (Gonäs et al., 2019). Raising children, school transitions, and workplace changes lead to fluctuations in household activity patterns, which can have long-term consequences for wellbeing and opportunity (ONS, 2022; Taylor et al., 2022).</w:t>
      </w:r>
    </w:p>
    <w:p w14:paraId="16A519A8">
      <w:pPr>
        <w:spacing w:line="240" w:lineRule="auto"/>
        <w:jc w:val="both"/>
        <w:rPr>
          <w:rFonts w:hint="default"/>
          <w:sz w:val="24"/>
          <w:szCs w:val="24"/>
          <w:lang w:val="en-US"/>
        </w:rPr>
      </w:pPr>
    </w:p>
    <w:p w14:paraId="437B3D3B">
      <w:pPr>
        <w:spacing w:line="240" w:lineRule="auto"/>
        <w:jc w:val="both"/>
        <w:rPr>
          <w:rFonts w:hint="default"/>
          <w:b/>
          <w:bCs/>
          <w:sz w:val="24"/>
          <w:szCs w:val="24"/>
          <w:lang w:val="en-US"/>
        </w:rPr>
      </w:pPr>
      <w:r>
        <w:rPr>
          <w:rFonts w:hint="default"/>
          <w:b/>
          <w:bCs/>
          <w:sz w:val="24"/>
          <w:szCs w:val="24"/>
          <w:lang w:val="en-US"/>
        </w:rPr>
        <w:t>IMPORTANCE AND SIGNIFICANCE</w:t>
      </w:r>
    </w:p>
    <w:p w14:paraId="61D0EE06">
      <w:pPr>
        <w:spacing w:line="240" w:lineRule="auto"/>
        <w:jc w:val="both"/>
        <w:rPr>
          <w:rFonts w:hint="default"/>
          <w:sz w:val="24"/>
          <w:szCs w:val="24"/>
          <w:lang w:val="en-US"/>
        </w:rPr>
      </w:pPr>
      <w:r>
        <w:rPr>
          <w:rFonts w:hint="default"/>
          <w:sz w:val="24"/>
          <w:szCs w:val="24"/>
          <w:lang w:val="en-US"/>
        </w:rPr>
        <w:t>Understanding the connections between age groups and household economic activity is critical for policy and economic planning. It enables identification of points in the life-course where interventions such as health support, childcare provision, education, or retraining are most effective (Berrington et al., 2013; Azmat, 2014; De Lange et al., 2021). Labour market exclusion at any age creates knock-on effects for families, communities, and wider society, making the monitoring and support of workless and mixed households a priority for research and policy. Interventions must reflect the diversity of needs and transitions across household types. Place-based and social grade factors add further layers of complexity. Policy efforts, such as “Improving Lives: Helping Workless Families,” have targeted high-risk households, seeking to boost resilience and reduce child poverty (Bashir et al., 2011; Polizzi, 2022).</w:t>
      </w:r>
    </w:p>
    <w:p w14:paraId="7AAD4BBF">
      <w:pPr>
        <w:spacing w:line="240" w:lineRule="auto"/>
        <w:jc w:val="both"/>
        <w:rPr>
          <w:rFonts w:hint="default"/>
          <w:sz w:val="24"/>
          <w:szCs w:val="24"/>
          <w:lang w:val="en-US"/>
        </w:rPr>
      </w:pPr>
    </w:p>
    <w:p w14:paraId="337A7CD5">
      <w:pPr>
        <w:spacing w:line="240" w:lineRule="auto"/>
        <w:jc w:val="both"/>
        <w:rPr>
          <w:rFonts w:hint="default"/>
          <w:b/>
          <w:bCs/>
          <w:sz w:val="24"/>
          <w:szCs w:val="24"/>
          <w:lang w:val="en-US"/>
        </w:rPr>
      </w:pPr>
      <w:r>
        <w:rPr>
          <w:rFonts w:hint="default"/>
          <w:b/>
          <w:bCs/>
          <w:sz w:val="24"/>
          <w:szCs w:val="24"/>
          <w:lang w:val="en-US"/>
        </w:rPr>
        <w:t>RESEARCH PROBLEM STATEMENT</w:t>
      </w:r>
    </w:p>
    <w:p w14:paraId="67852F55">
      <w:pPr>
        <w:spacing w:line="240" w:lineRule="auto"/>
        <w:jc w:val="both"/>
        <w:rPr>
          <w:rFonts w:hint="default"/>
          <w:sz w:val="24"/>
          <w:szCs w:val="24"/>
          <w:lang w:val="en-US"/>
        </w:rPr>
      </w:pPr>
      <w:r>
        <w:rPr>
          <w:rFonts w:hint="default"/>
          <w:sz w:val="24"/>
          <w:szCs w:val="24"/>
          <w:lang w:val="en-US"/>
        </w:rPr>
        <w:t>There is a notable gap in current academic understanding about how age group composition within UK households directly impacts their economic activity status—whether they are working, mixed, or workless. The complexity and evolving nature of family structures, demographic trends, and labour patterns have only recently started to be explored with a nuanced, household-level lens, and further investigation is needed to appreciate how age composition shapes economic engagement and social wellbeing across the life course.</w:t>
      </w:r>
    </w:p>
    <w:p w14:paraId="529FEAB3">
      <w:pPr>
        <w:spacing w:line="240" w:lineRule="auto"/>
        <w:jc w:val="both"/>
        <w:rPr>
          <w:rFonts w:hint="default"/>
          <w:sz w:val="24"/>
          <w:szCs w:val="24"/>
          <w:lang w:val="en-US"/>
        </w:rPr>
      </w:pPr>
    </w:p>
    <w:p w14:paraId="229B23A0">
      <w:pPr>
        <w:spacing w:line="240" w:lineRule="auto"/>
        <w:jc w:val="both"/>
        <w:rPr>
          <w:rFonts w:hint="default"/>
          <w:sz w:val="24"/>
          <w:szCs w:val="24"/>
          <w:lang w:val="en-US"/>
        </w:rPr>
      </w:pPr>
      <w:r>
        <w:rPr>
          <w:rFonts w:hint="default"/>
          <w:sz w:val="24"/>
          <w:szCs w:val="24"/>
          <w:lang w:val="en-US"/>
        </w:rPr>
        <w:t>Existing literature indicates that the age structure of a household strongly influences its likelihood of being economically active, but there are persistent questions regarding the mechanisms behind these patterns and the associated risks and trajectories for different age groups (Hammer, 2015; FitzRoy, 2011). For instance, young adults (16–24) are significantly overrepresented among workless households, often due to participation in full-time education, economic barriers to entry-level employment, or familial disadvantage. Conversely, early retirement and rising rates of long-term health conditions have resulted in increasing worklessness among older adults (Cribb et al., 2019).</w:t>
      </w:r>
    </w:p>
    <w:p w14:paraId="1901FBD4">
      <w:pPr>
        <w:spacing w:line="240" w:lineRule="auto"/>
        <w:jc w:val="both"/>
        <w:rPr>
          <w:rFonts w:hint="default"/>
          <w:sz w:val="24"/>
          <w:szCs w:val="24"/>
          <w:lang w:val="en-US"/>
        </w:rPr>
      </w:pPr>
    </w:p>
    <w:p w14:paraId="33C64FD0">
      <w:pPr>
        <w:spacing w:line="240" w:lineRule="auto"/>
        <w:jc w:val="both"/>
        <w:rPr>
          <w:rFonts w:hint="default"/>
          <w:sz w:val="24"/>
          <w:szCs w:val="24"/>
          <w:lang w:val="en-US"/>
        </w:rPr>
      </w:pPr>
      <w:r>
        <w:rPr>
          <w:rFonts w:hint="default"/>
          <w:sz w:val="24"/>
          <w:szCs w:val="24"/>
          <w:lang w:val="en-US"/>
        </w:rPr>
        <w:t>Research has underscored that shifts in age group proportions over time are driving substantial changes in the size and structure of the UK’s workforce (Resolution Foundation, 2022). As the population ages and the proportion of older workers rises, there is a marked impact not only on aggregate employment rates but also on the dependency ratio—the balance between economically active and inactive people (Hammer, 2015; Lawson, 2016). Policies must respond not only to the needs of traditional working-age populations, but also to young adults transitioning into work and older adults at risk of early inactivity or retirement due to health or care duties (Stevens et al., 2022).</w:t>
      </w:r>
    </w:p>
    <w:p w14:paraId="6956D9AB">
      <w:pPr>
        <w:spacing w:line="240" w:lineRule="auto"/>
        <w:jc w:val="both"/>
        <w:rPr>
          <w:rFonts w:hint="default"/>
          <w:sz w:val="24"/>
          <w:szCs w:val="24"/>
          <w:lang w:val="en-US"/>
        </w:rPr>
      </w:pPr>
    </w:p>
    <w:p w14:paraId="149B4CEE">
      <w:pPr>
        <w:spacing w:line="240" w:lineRule="auto"/>
        <w:jc w:val="both"/>
        <w:rPr>
          <w:rFonts w:hint="default"/>
          <w:sz w:val="24"/>
          <w:szCs w:val="24"/>
          <w:lang w:val="en-US"/>
        </w:rPr>
      </w:pPr>
      <w:r>
        <w:rPr>
          <w:rFonts w:hint="default"/>
          <w:sz w:val="24"/>
          <w:szCs w:val="24"/>
          <w:lang w:val="en-US"/>
        </w:rPr>
        <w:t>Another research gap relates to the intersection of age, gender, and industry sector participation. Men and women within the same age group have markedly different employment patterns, sectoral distributions, and transitions into inactivity or part-time work (FitzRoy, 2011; Cribb et al., 2019). Sectoral shifts resulting from the ageing workforce, such as increased demand for health and social work and reduced participation in physically demanding industries, present critical knowledge gaps (Lawson, 2016). Understanding how these industry and gender effects interact with age structure is pivotal to addressing household economic vulnerability.</w:t>
      </w:r>
    </w:p>
    <w:p w14:paraId="65390696">
      <w:pPr>
        <w:spacing w:line="240" w:lineRule="auto"/>
        <w:jc w:val="both"/>
        <w:rPr>
          <w:rFonts w:hint="default"/>
          <w:sz w:val="24"/>
          <w:szCs w:val="24"/>
          <w:lang w:val="en-US"/>
        </w:rPr>
      </w:pPr>
    </w:p>
    <w:p w14:paraId="1BAC44F5">
      <w:pPr>
        <w:spacing w:line="240" w:lineRule="auto"/>
        <w:jc w:val="both"/>
        <w:rPr>
          <w:rFonts w:hint="default"/>
          <w:sz w:val="24"/>
          <w:szCs w:val="24"/>
          <w:lang w:val="en-US"/>
        </w:rPr>
      </w:pPr>
      <w:r>
        <w:rPr>
          <w:rFonts w:hint="default"/>
          <w:sz w:val="24"/>
          <w:szCs w:val="24"/>
          <w:lang w:val="en-US"/>
        </w:rPr>
        <w:t>Ethnicity and social background further complicate the relationship between age group composition and household work status. Studies consistently find elevated inactivity rates among ethnic minority young people and mature adults, frequently tied to community-specific factors such as cultural expectations, discrimination, or rural isolation ( FitzRoy, 2011). Despite these insights, research rarely provides fine-grained analysis of how these factors interact at the household age-group level, leaving much unknown about targeted intervention and policy design (Hammer, 2015).</w:t>
      </w:r>
    </w:p>
    <w:p w14:paraId="3C405213">
      <w:pPr>
        <w:spacing w:line="240" w:lineRule="auto"/>
        <w:jc w:val="both"/>
        <w:rPr>
          <w:rFonts w:hint="default"/>
          <w:sz w:val="24"/>
          <w:szCs w:val="24"/>
          <w:lang w:val="en-US"/>
        </w:rPr>
      </w:pPr>
    </w:p>
    <w:p w14:paraId="48E1C215">
      <w:pPr>
        <w:spacing w:line="240" w:lineRule="auto"/>
        <w:jc w:val="both"/>
        <w:rPr>
          <w:rFonts w:hint="default"/>
          <w:sz w:val="24"/>
          <w:szCs w:val="24"/>
          <w:lang w:val="en-US"/>
        </w:rPr>
      </w:pPr>
      <w:r>
        <w:rPr>
          <w:rFonts w:hint="default"/>
          <w:sz w:val="24"/>
          <w:szCs w:val="24"/>
          <w:lang w:val="en-US"/>
        </w:rPr>
        <w:t>Health status, disability, and the presence of students within a household are also driving forces in shifting workless and mixed household rates. Ill health and disability in adulthood—particularly for those aged 50 and over—have accelerated since the pandemic, with significant consequences for family finances and child outcomes (Stevens et al., 2022 Cribb et al., 2019;). Furthermore, periods of labour market turbulence, including economic recessions and pandemics, can amplify transitions between working, mixed, and workless status in ways that are tightly bound to age group trends (Resolution Foundation, 2022).</w:t>
      </w:r>
    </w:p>
    <w:p w14:paraId="4C1A281A">
      <w:pPr>
        <w:spacing w:line="240" w:lineRule="auto"/>
        <w:jc w:val="both"/>
        <w:rPr>
          <w:rFonts w:hint="default"/>
          <w:sz w:val="24"/>
          <w:szCs w:val="24"/>
          <w:lang w:val="en-US"/>
        </w:rPr>
      </w:pPr>
      <w:r>
        <w:rPr>
          <w:rFonts w:hint="default"/>
          <w:sz w:val="24"/>
          <w:szCs w:val="24"/>
          <w:lang w:val="en-US"/>
        </w:rPr>
        <w:t>Despite a growing body of evidence, most existing studies focus on individual employment trends or broad population-level age dynamics, neglecting the micro-level household perspective essential for capturing intra-family dependencies and transitions (Hammer, 2015; FitzRoy, 2011; Lawson, 2016). This lack of household-level focus results in inadequate understanding of the processes by which age group composition mediates the effects of policy, social changes, and economic shocks.</w:t>
      </w:r>
    </w:p>
    <w:p w14:paraId="0B5613CC">
      <w:pPr>
        <w:spacing w:line="240" w:lineRule="auto"/>
        <w:jc w:val="both"/>
        <w:rPr>
          <w:rFonts w:hint="default"/>
          <w:sz w:val="24"/>
          <w:szCs w:val="24"/>
          <w:lang w:val="en-US"/>
        </w:rPr>
      </w:pPr>
    </w:p>
    <w:p w14:paraId="6C1A2E43">
      <w:pPr>
        <w:spacing w:line="240" w:lineRule="auto"/>
        <w:jc w:val="both"/>
        <w:rPr>
          <w:rFonts w:hint="default"/>
          <w:b/>
          <w:bCs/>
          <w:sz w:val="24"/>
          <w:szCs w:val="24"/>
          <w:lang w:val="en-US"/>
        </w:rPr>
      </w:pPr>
      <w:r>
        <w:rPr>
          <w:rFonts w:hint="default"/>
          <w:b/>
          <w:bCs/>
          <w:sz w:val="24"/>
          <w:szCs w:val="24"/>
          <w:lang w:val="en-US"/>
        </w:rPr>
        <w:t>MAIN AIM</w:t>
      </w:r>
    </w:p>
    <w:p w14:paraId="6DB0A156">
      <w:pPr>
        <w:spacing w:line="240" w:lineRule="auto"/>
        <w:jc w:val="both"/>
        <w:rPr>
          <w:rFonts w:hint="default"/>
          <w:sz w:val="24"/>
          <w:szCs w:val="24"/>
          <w:lang w:val="en-US"/>
        </w:rPr>
      </w:pPr>
      <w:r>
        <w:rPr>
          <w:rFonts w:hint="default"/>
          <w:sz w:val="24"/>
          <w:szCs w:val="24"/>
          <w:lang w:val="en-US"/>
        </w:rPr>
        <w:t>The key aim is to analyse the impact of age groups on whether UK households are classified as working, mixed (with both working and non-working members), or workless, and how age-related factors contribute to household economic activity and dependency (Hammer, 2015; Lawson, 2016).</w:t>
      </w:r>
    </w:p>
    <w:p w14:paraId="1FAEE7E0">
      <w:pPr>
        <w:spacing w:line="240" w:lineRule="auto"/>
        <w:jc w:val="both"/>
        <w:rPr>
          <w:rFonts w:hint="default"/>
          <w:sz w:val="24"/>
          <w:szCs w:val="24"/>
          <w:lang w:val="en-US"/>
        </w:rPr>
      </w:pPr>
    </w:p>
    <w:p w14:paraId="6804DECA">
      <w:pPr>
        <w:spacing w:line="240" w:lineRule="auto"/>
        <w:jc w:val="both"/>
        <w:rPr>
          <w:rFonts w:hint="default"/>
          <w:b/>
          <w:bCs/>
          <w:sz w:val="24"/>
          <w:szCs w:val="24"/>
          <w:lang w:val="en-US"/>
        </w:rPr>
      </w:pPr>
      <w:r>
        <w:rPr>
          <w:rFonts w:hint="default"/>
          <w:b/>
          <w:bCs/>
          <w:sz w:val="24"/>
          <w:szCs w:val="24"/>
          <w:lang w:val="en-US"/>
        </w:rPr>
        <w:t>RESEARCH OBJECTIVES</w:t>
      </w:r>
    </w:p>
    <w:p w14:paraId="13ACD242">
      <w:pPr>
        <w:numPr>
          <w:ilvl w:val="0"/>
          <w:numId w:val="1"/>
        </w:numPr>
        <w:spacing w:line="240" w:lineRule="auto"/>
        <w:ind w:left="420" w:leftChars="0" w:hanging="420" w:firstLineChars="0"/>
        <w:jc w:val="both"/>
        <w:rPr>
          <w:rFonts w:hint="default"/>
          <w:sz w:val="24"/>
          <w:szCs w:val="24"/>
          <w:lang w:val="en-US"/>
        </w:rPr>
      </w:pPr>
      <w:r>
        <w:rPr>
          <w:rFonts w:hint="default"/>
          <w:sz w:val="24"/>
          <w:szCs w:val="24"/>
          <w:lang w:val="en-US"/>
        </w:rPr>
        <w:t>To identify the relationship between household age composition and economic activity status in the UK (Hammer, 2015).</w:t>
      </w:r>
    </w:p>
    <w:p w14:paraId="7829AB6A">
      <w:pPr>
        <w:spacing w:line="240" w:lineRule="auto"/>
        <w:jc w:val="both"/>
        <w:rPr>
          <w:rFonts w:hint="default"/>
          <w:sz w:val="24"/>
          <w:szCs w:val="24"/>
          <w:lang w:val="en-US"/>
        </w:rPr>
      </w:pPr>
    </w:p>
    <w:p w14:paraId="7B920858">
      <w:pPr>
        <w:numPr>
          <w:ilvl w:val="0"/>
          <w:numId w:val="1"/>
        </w:numPr>
        <w:spacing w:line="240" w:lineRule="auto"/>
        <w:ind w:left="420" w:leftChars="0" w:hanging="420" w:firstLineChars="0"/>
        <w:jc w:val="both"/>
        <w:rPr>
          <w:rFonts w:hint="default"/>
          <w:sz w:val="24"/>
          <w:szCs w:val="24"/>
          <w:lang w:val="en-US"/>
        </w:rPr>
      </w:pPr>
      <w:r>
        <w:rPr>
          <w:rFonts w:hint="default"/>
          <w:sz w:val="24"/>
          <w:szCs w:val="24"/>
          <w:lang w:val="en-US"/>
        </w:rPr>
        <w:t>To assess how age influences the likelihood of a household being working, mixed, or workless (Lawson, 2016).</w:t>
      </w:r>
    </w:p>
    <w:p w14:paraId="4D627660">
      <w:pPr>
        <w:spacing w:line="240" w:lineRule="auto"/>
        <w:jc w:val="both"/>
        <w:rPr>
          <w:rFonts w:hint="default"/>
          <w:sz w:val="24"/>
          <w:szCs w:val="24"/>
          <w:lang w:val="en-US"/>
        </w:rPr>
      </w:pPr>
    </w:p>
    <w:p w14:paraId="0D331A50">
      <w:pPr>
        <w:numPr>
          <w:ilvl w:val="0"/>
          <w:numId w:val="1"/>
        </w:numPr>
        <w:spacing w:line="240" w:lineRule="auto"/>
        <w:ind w:left="420" w:leftChars="0" w:hanging="420" w:firstLineChars="0"/>
        <w:jc w:val="both"/>
        <w:rPr>
          <w:rFonts w:hint="default"/>
          <w:sz w:val="24"/>
          <w:szCs w:val="24"/>
          <w:lang w:val="en-US"/>
        </w:rPr>
      </w:pPr>
      <w:r>
        <w:rPr>
          <w:rFonts w:hint="default"/>
          <w:sz w:val="24"/>
          <w:szCs w:val="24"/>
          <w:lang w:val="en-US"/>
        </w:rPr>
        <w:t>To examine the socio-economic and demographic variables that mediate the impact of age on household economic participation (Vlachantoni et al., 2024).</w:t>
      </w:r>
    </w:p>
    <w:p w14:paraId="530C01AD">
      <w:pPr>
        <w:spacing w:line="240" w:lineRule="auto"/>
        <w:jc w:val="both"/>
        <w:rPr>
          <w:rFonts w:hint="default"/>
          <w:lang w:val="en-US"/>
        </w:rPr>
      </w:pPr>
    </w:p>
    <w:p w14:paraId="72359B4F">
      <w:pPr>
        <w:spacing w:line="240" w:lineRule="auto"/>
        <w:jc w:val="both"/>
        <w:rPr>
          <w:rFonts w:hint="default"/>
          <w:b/>
          <w:bCs/>
          <w:sz w:val="24"/>
          <w:szCs w:val="24"/>
          <w:lang w:val="en-US"/>
        </w:rPr>
      </w:pPr>
      <w:r>
        <w:rPr>
          <w:rFonts w:hint="default"/>
          <w:b/>
          <w:bCs/>
          <w:sz w:val="24"/>
          <w:szCs w:val="24"/>
          <w:lang w:val="en-US"/>
        </w:rPr>
        <w:t>RESEARCH QUESTIONS AND CONNECTIONS TO OBJECTIVES</w:t>
      </w:r>
    </w:p>
    <w:p w14:paraId="31FD4DD9">
      <w:pPr>
        <w:spacing w:line="240" w:lineRule="auto"/>
        <w:jc w:val="both"/>
        <w:rPr>
          <w:rFonts w:hint="default"/>
          <w:b/>
          <w:bCs/>
          <w:sz w:val="24"/>
          <w:szCs w:val="24"/>
          <w:lang w:val="en-US"/>
        </w:rPr>
      </w:pPr>
    </w:p>
    <w:p w14:paraId="2780933F">
      <w:pPr>
        <w:numPr>
          <w:ilvl w:val="0"/>
          <w:numId w:val="2"/>
        </w:numPr>
        <w:spacing w:line="240" w:lineRule="auto"/>
        <w:ind w:left="425" w:leftChars="0" w:hanging="425" w:firstLineChars="0"/>
        <w:jc w:val="both"/>
        <w:rPr>
          <w:rFonts w:hint="default"/>
          <w:sz w:val="24"/>
          <w:szCs w:val="24"/>
          <w:lang w:val="en-US"/>
        </w:rPr>
      </w:pPr>
      <w:r>
        <w:rPr>
          <w:rFonts w:hint="default"/>
          <w:sz w:val="24"/>
          <w:szCs w:val="24"/>
          <w:lang w:val="en-US"/>
        </w:rPr>
        <w:t>How does the age group composition of a household influence its economic activity status in the UK?</w:t>
      </w:r>
    </w:p>
    <w:p w14:paraId="5C04AA90">
      <w:pPr>
        <w:numPr>
          <w:ilvl w:val="0"/>
          <w:numId w:val="3"/>
        </w:numPr>
        <w:spacing w:line="240" w:lineRule="auto"/>
        <w:ind w:left="420" w:leftChars="0" w:hanging="420" w:firstLineChars="0"/>
        <w:jc w:val="both"/>
        <w:rPr>
          <w:rFonts w:hint="default"/>
          <w:sz w:val="24"/>
          <w:szCs w:val="24"/>
          <w:lang w:val="en-US"/>
        </w:rPr>
      </w:pPr>
      <w:r>
        <w:rPr>
          <w:rFonts w:hint="default"/>
          <w:sz w:val="24"/>
          <w:szCs w:val="24"/>
          <w:lang w:val="en-US"/>
        </w:rPr>
        <w:t>This question connects to the first objective by investigating links between age groupings and working patterns in households (Hammer, 2015).</w:t>
      </w:r>
    </w:p>
    <w:p w14:paraId="0F948AAD">
      <w:pPr>
        <w:numPr>
          <w:ilvl w:val="0"/>
          <w:numId w:val="2"/>
        </w:numPr>
        <w:spacing w:line="240" w:lineRule="auto"/>
        <w:ind w:left="425" w:leftChars="0" w:hanging="425" w:firstLineChars="0"/>
        <w:jc w:val="both"/>
        <w:rPr>
          <w:rFonts w:hint="default"/>
          <w:sz w:val="24"/>
          <w:szCs w:val="24"/>
          <w:lang w:val="en-US"/>
        </w:rPr>
      </w:pPr>
      <w:r>
        <w:rPr>
          <w:rFonts w:hint="default"/>
          <w:sz w:val="24"/>
          <w:szCs w:val="24"/>
          <w:lang w:val="en-US"/>
        </w:rPr>
        <w:t>What are the main socio-economic factors that interact with age to determine whether a household is working, mixed, or workless?</w:t>
      </w:r>
    </w:p>
    <w:p w14:paraId="56CC5C8B">
      <w:pPr>
        <w:spacing w:line="240" w:lineRule="auto"/>
        <w:jc w:val="both"/>
        <w:rPr>
          <w:rFonts w:hint="default"/>
          <w:sz w:val="24"/>
          <w:szCs w:val="24"/>
          <w:lang w:val="en-US"/>
        </w:rPr>
      </w:pPr>
    </w:p>
    <w:p w14:paraId="17721DBE">
      <w:pPr>
        <w:numPr>
          <w:ilvl w:val="0"/>
          <w:numId w:val="4"/>
        </w:numPr>
        <w:spacing w:line="240" w:lineRule="auto"/>
        <w:ind w:left="420" w:leftChars="0" w:hanging="420" w:firstLineChars="0"/>
        <w:jc w:val="both"/>
        <w:rPr>
          <w:rFonts w:hint="default"/>
          <w:sz w:val="24"/>
          <w:szCs w:val="24"/>
          <w:lang w:val="en-US"/>
        </w:rPr>
      </w:pPr>
      <w:r>
        <w:rPr>
          <w:rFonts w:hint="default"/>
          <w:sz w:val="24"/>
          <w:szCs w:val="24"/>
          <w:lang w:val="en-US"/>
        </w:rPr>
        <w:t>Linked to the third objective, this asks about the role of demographic and social variables alongside age (Vlachantoni et al., 2024).</w:t>
      </w:r>
    </w:p>
    <w:p w14:paraId="44A8E03A">
      <w:pPr>
        <w:spacing w:line="240" w:lineRule="auto"/>
        <w:jc w:val="both"/>
        <w:rPr>
          <w:rFonts w:hint="default"/>
          <w:sz w:val="24"/>
          <w:szCs w:val="24"/>
          <w:lang w:val="en-US"/>
        </w:rPr>
      </w:pPr>
    </w:p>
    <w:p w14:paraId="38E31818">
      <w:pPr>
        <w:numPr>
          <w:ilvl w:val="0"/>
          <w:numId w:val="2"/>
        </w:numPr>
        <w:spacing w:line="240" w:lineRule="auto"/>
        <w:ind w:left="425" w:leftChars="0" w:hanging="425" w:firstLineChars="0"/>
        <w:jc w:val="both"/>
        <w:rPr>
          <w:rFonts w:hint="default"/>
          <w:sz w:val="24"/>
          <w:szCs w:val="24"/>
          <w:lang w:val="en-US"/>
        </w:rPr>
      </w:pPr>
      <w:r>
        <w:rPr>
          <w:rFonts w:hint="default"/>
          <w:sz w:val="24"/>
          <w:szCs w:val="24"/>
          <w:lang w:val="en-US"/>
        </w:rPr>
        <w:t>How does the prevalence of workless households vary across different age groups, and what implications does this have for policy and economic dependency?</w:t>
      </w:r>
    </w:p>
    <w:p w14:paraId="54CF6B35">
      <w:pPr>
        <w:spacing w:line="240" w:lineRule="auto"/>
        <w:jc w:val="both"/>
        <w:rPr>
          <w:rFonts w:hint="default"/>
          <w:sz w:val="24"/>
          <w:szCs w:val="24"/>
          <w:lang w:val="en-US"/>
        </w:rPr>
      </w:pPr>
    </w:p>
    <w:p w14:paraId="73BF063F">
      <w:pPr>
        <w:numPr>
          <w:ilvl w:val="0"/>
          <w:numId w:val="5"/>
        </w:numPr>
        <w:spacing w:line="240" w:lineRule="auto"/>
        <w:ind w:left="420" w:leftChars="0" w:hanging="420" w:firstLineChars="0"/>
        <w:jc w:val="both"/>
        <w:rPr>
          <w:rFonts w:hint="default"/>
          <w:sz w:val="24"/>
          <w:szCs w:val="24"/>
          <w:lang w:val="en-US"/>
        </w:rPr>
      </w:pPr>
      <w:r>
        <w:rPr>
          <w:rFonts w:hint="default"/>
          <w:sz w:val="24"/>
          <w:szCs w:val="24"/>
          <w:lang w:val="en-US"/>
        </w:rPr>
        <w:t>Related to the second and third objectives, focusing on variation and possible policy impacts (Lawson, 2016).</w:t>
      </w:r>
    </w:p>
    <w:p w14:paraId="76CD9907">
      <w:pPr>
        <w:spacing w:line="240" w:lineRule="auto"/>
        <w:jc w:val="both"/>
        <w:rPr>
          <w:rFonts w:hint="default"/>
          <w:lang w:val="en-US"/>
        </w:rPr>
      </w:pPr>
    </w:p>
    <w:p w14:paraId="0A7C48F6">
      <w:pPr>
        <w:spacing w:line="240" w:lineRule="auto"/>
        <w:jc w:val="both"/>
        <w:rPr>
          <w:rFonts w:hint="default"/>
          <w:lang w:val="en-US"/>
        </w:rPr>
      </w:pPr>
    </w:p>
    <w:p w14:paraId="2199AC45">
      <w:pPr>
        <w:spacing w:line="240" w:lineRule="auto"/>
        <w:jc w:val="both"/>
        <w:rPr>
          <w:rFonts w:hint="default"/>
          <w:b/>
          <w:bCs/>
          <w:sz w:val="28"/>
          <w:szCs w:val="28"/>
          <w:lang w:val="en-US"/>
        </w:rPr>
      </w:pPr>
      <w:r>
        <w:rPr>
          <w:rFonts w:hint="default"/>
          <w:b/>
          <w:bCs/>
          <w:sz w:val="28"/>
          <w:szCs w:val="28"/>
          <w:lang w:val="en-US"/>
        </w:rPr>
        <w:t xml:space="preserve">LITERATURE REVIEW </w:t>
      </w:r>
    </w:p>
    <w:p w14:paraId="58705BCD">
      <w:pPr>
        <w:spacing w:line="240" w:lineRule="auto"/>
        <w:jc w:val="both"/>
        <w:rPr>
          <w:rFonts w:hint="default"/>
          <w:b/>
          <w:bCs/>
          <w:sz w:val="24"/>
          <w:szCs w:val="24"/>
          <w:lang w:val="en-US"/>
        </w:rPr>
      </w:pPr>
      <w:r>
        <w:rPr>
          <w:rFonts w:hint="default"/>
          <w:b/>
          <w:bCs/>
          <w:sz w:val="24"/>
          <w:szCs w:val="24"/>
          <w:lang w:val="en-US"/>
        </w:rPr>
        <w:t>Introduction</w:t>
      </w:r>
    </w:p>
    <w:p w14:paraId="5C4C2A06">
      <w:pPr>
        <w:spacing w:line="240" w:lineRule="auto"/>
        <w:jc w:val="both"/>
        <w:rPr>
          <w:rFonts w:hint="default"/>
          <w:b w:val="0"/>
          <w:bCs w:val="0"/>
          <w:sz w:val="24"/>
          <w:szCs w:val="24"/>
          <w:lang w:val="en-US"/>
        </w:rPr>
      </w:pPr>
      <w:r>
        <w:rPr>
          <w:rFonts w:hint="default"/>
          <w:b w:val="0"/>
          <w:bCs w:val="0"/>
          <w:sz w:val="24"/>
          <w:szCs w:val="24"/>
          <w:lang w:val="en-US"/>
        </w:rPr>
        <w:t>The economic activity status of households—whether they are working (all adults in employment), mixed (a combination of employed and non-employed adults), or workless (no adult in employment)—is a central lens through which researchers understand poverty, social mobility, and wellbeing in the UK. The composition of age groups within these households fundamentally shapes their work status, with significant implications for public policy and social equity (FitzRoy et al., 2011). As the UK undergoes profound shifts in population ageing, family structure, and labour market transformations, it is critical to review the academic landscape on how age impacts household economic activity, integrating insights from sociology, economics, and psychology.</w:t>
      </w:r>
    </w:p>
    <w:p w14:paraId="6A56C89A">
      <w:pPr>
        <w:spacing w:line="240" w:lineRule="auto"/>
        <w:jc w:val="both"/>
        <w:rPr>
          <w:rFonts w:hint="default"/>
          <w:b w:val="0"/>
          <w:bCs w:val="0"/>
          <w:sz w:val="24"/>
          <w:szCs w:val="24"/>
          <w:lang w:val="en-US"/>
        </w:rPr>
      </w:pPr>
    </w:p>
    <w:p w14:paraId="46C57F59">
      <w:pPr>
        <w:spacing w:line="240" w:lineRule="auto"/>
        <w:jc w:val="both"/>
        <w:rPr>
          <w:rFonts w:hint="default"/>
          <w:b/>
          <w:bCs/>
          <w:sz w:val="24"/>
          <w:szCs w:val="24"/>
          <w:lang w:val="en-US"/>
        </w:rPr>
      </w:pPr>
      <w:r>
        <w:rPr>
          <w:rFonts w:hint="default"/>
          <w:b/>
          <w:bCs/>
          <w:sz w:val="24"/>
          <w:szCs w:val="24"/>
          <w:lang w:val="en-US"/>
        </w:rPr>
        <w:t>Theoretical Foundations</w:t>
      </w:r>
    </w:p>
    <w:p w14:paraId="66DAAABD">
      <w:pPr>
        <w:spacing w:line="240" w:lineRule="auto"/>
        <w:jc w:val="both"/>
        <w:rPr>
          <w:rFonts w:hint="default"/>
          <w:b w:val="0"/>
          <w:bCs w:val="0"/>
          <w:sz w:val="24"/>
          <w:szCs w:val="24"/>
          <w:lang w:val="en-US"/>
        </w:rPr>
      </w:pPr>
      <w:r>
        <w:rPr>
          <w:rFonts w:hint="default"/>
          <w:b w:val="0"/>
          <w:bCs w:val="0"/>
          <w:sz w:val="24"/>
          <w:szCs w:val="24"/>
          <w:lang w:val="en-US"/>
        </w:rPr>
        <w:t>Life course theory, family systems theory, and gender role theory provide the backbone for understanding why age structure matters in household economic status. The "life course perspective" views households as dynamic units whose economic roles and risks change through predictable age-linked transitions—such as entering education, joining the workforce, parenthood, and retirement (Stone et al., 2011). Households with young adults are more likely to experience unemployment and short-term instability; middle-aged households tend to be more stable but face risks like health shocks or caring for elderly relatives; retired households often confront fixed incomes and growing health expenditures (Lütolf, 2023).</w:t>
      </w:r>
    </w:p>
    <w:p w14:paraId="12B0E7A6">
      <w:pPr>
        <w:spacing w:line="240" w:lineRule="auto"/>
        <w:jc w:val="both"/>
        <w:rPr>
          <w:rFonts w:hint="default"/>
          <w:b w:val="0"/>
          <w:bCs w:val="0"/>
          <w:sz w:val="24"/>
          <w:szCs w:val="24"/>
          <w:lang w:val="en-US"/>
        </w:rPr>
      </w:pPr>
    </w:p>
    <w:p w14:paraId="2C1FDBA3">
      <w:pPr>
        <w:spacing w:line="240" w:lineRule="auto"/>
        <w:jc w:val="both"/>
        <w:rPr>
          <w:rFonts w:hint="default"/>
          <w:b w:val="0"/>
          <w:bCs w:val="0"/>
          <w:sz w:val="24"/>
          <w:szCs w:val="24"/>
          <w:lang w:val="en-US"/>
        </w:rPr>
      </w:pPr>
      <w:r>
        <w:rPr>
          <w:rFonts w:hint="default"/>
          <w:b w:val="0"/>
          <w:bCs w:val="0"/>
          <w:sz w:val="24"/>
          <w:szCs w:val="24"/>
          <w:lang w:val="en-US"/>
        </w:rPr>
        <w:t>The "family systems theory" highlights the interconnected roles and dependencies of household members, with age composition affecting who undertakes paid work, unpaid care, and domestic responsibilities (Lütolf, 2023). Gender role theory, investigated extensively in comparative research, shows that shifts in family policies and gender norms alter within-household divisions of labour, especially parental leave and childcare support (Hook, 2010; Sullivan et al., 2009; Stadelmann-Steffen &amp; Oehrli, 2017; Lütolf, 2023).</w:t>
      </w:r>
    </w:p>
    <w:p w14:paraId="448876B8">
      <w:pPr>
        <w:spacing w:line="240" w:lineRule="auto"/>
        <w:jc w:val="both"/>
        <w:rPr>
          <w:rFonts w:hint="default"/>
          <w:b w:val="0"/>
          <w:bCs w:val="0"/>
          <w:sz w:val="24"/>
          <w:szCs w:val="24"/>
          <w:lang w:val="en-US"/>
        </w:rPr>
      </w:pPr>
    </w:p>
    <w:p w14:paraId="2F3CDE94">
      <w:pPr>
        <w:spacing w:line="240" w:lineRule="auto"/>
        <w:jc w:val="both"/>
        <w:rPr>
          <w:rFonts w:hint="default"/>
          <w:b/>
          <w:bCs/>
          <w:sz w:val="24"/>
          <w:szCs w:val="24"/>
          <w:lang w:val="en-US"/>
        </w:rPr>
      </w:pPr>
      <w:r>
        <w:rPr>
          <w:rFonts w:hint="default"/>
          <w:b/>
          <w:bCs/>
          <w:sz w:val="24"/>
          <w:szCs w:val="24"/>
          <w:lang w:val="en-US"/>
        </w:rPr>
        <w:t>Demographic Changes and Age Trends</w:t>
      </w:r>
    </w:p>
    <w:p w14:paraId="6E0D13F3">
      <w:pPr>
        <w:spacing w:line="240" w:lineRule="auto"/>
        <w:jc w:val="both"/>
        <w:rPr>
          <w:rFonts w:hint="default"/>
          <w:b w:val="0"/>
          <w:bCs w:val="0"/>
          <w:sz w:val="24"/>
          <w:szCs w:val="24"/>
          <w:lang w:val="en-US"/>
        </w:rPr>
      </w:pPr>
      <w:r>
        <w:rPr>
          <w:rFonts w:hint="default"/>
          <w:b w:val="0"/>
          <w:bCs w:val="0"/>
          <w:sz w:val="24"/>
          <w:szCs w:val="24"/>
          <w:lang w:val="en-US"/>
        </w:rPr>
        <w:t>Population ageing is a salient trend in the UK, with pronounced shifts in the proportion of older adults due to increased life expectancy and declining birth rates. Vlandas (2021) surveys the profound effects of ageing on electoral behaviour, social policy, and public spending choices, arguing that age distribution changes ripple across all spheres of society—especially household economics. The transformation is gradual but cumulative, lowering aggregate labour participation rates and posing additional challenges for maintaining social welfare (Bank of England, 2011).</w:t>
      </w:r>
    </w:p>
    <w:p w14:paraId="40F531B4">
      <w:pPr>
        <w:spacing w:line="240" w:lineRule="auto"/>
        <w:jc w:val="both"/>
        <w:rPr>
          <w:rFonts w:hint="default"/>
          <w:b w:val="0"/>
          <w:bCs w:val="0"/>
          <w:sz w:val="24"/>
          <w:szCs w:val="24"/>
          <w:lang w:val="en-US"/>
        </w:rPr>
      </w:pPr>
    </w:p>
    <w:p w14:paraId="1556E65E">
      <w:pPr>
        <w:spacing w:line="240" w:lineRule="auto"/>
        <w:jc w:val="both"/>
        <w:rPr>
          <w:rFonts w:hint="default"/>
          <w:b w:val="0"/>
          <w:bCs w:val="0"/>
          <w:sz w:val="24"/>
          <w:szCs w:val="24"/>
          <w:lang w:val="en-US"/>
        </w:rPr>
      </w:pPr>
      <w:r>
        <w:rPr>
          <w:rFonts w:hint="default"/>
          <w:b w:val="0"/>
          <w:bCs w:val="0"/>
          <w:sz w:val="24"/>
          <w:szCs w:val="24"/>
          <w:lang w:val="en-US"/>
        </w:rPr>
        <w:t>Family structures have also diversified. Stone et al. (2011) highlight the decline of the "traditional family model," with more single-adult, cohabiting, and multi-generational households, alongside increased rates of divorce and delayed transitions to adulthood. This heterogeneity alters the distribution of workless, mixed, and working households in ways closely related to shifts in age composition; for instance, single-parent families headed by younger adults face higher worklessness risks.</w:t>
      </w:r>
    </w:p>
    <w:p w14:paraId="25190261">
      <w:pPr>
        <w:spacing w:line="240" w:lineRule="auto"/>
        <w:jc w:val="both"/>
        <w:rPr>
          <w:rFonts w:hint="default"/>
          <w:b w:val="0"/>
          <w:bCs w:val="0"/>
          <w:sz w:val="24"/>
          <w:szCs w:val="24"/>
          <w:lang w:val="en-US"/>
        </w:rPr>
      </w:pPr>
    </w:p>
    <w:p w14:paraId="26AC9E72">
      <w:pPr>
        <w:spacing w:line="240" w:lineRule="auto"/>
        <w:jc w:val="both"/>
        <w:rPr>
          <w:rFonts w:hint="default"/>
          <w:b/>
          <w:bCs/>
          <w:sz w:val="24"/>
          <w:szCs w:val="24"/>
          <w:lang w:val="en-US"/>
        </w:rPr>
      </w:pPr>
      <w:r>
        <w:rPr>
          <w:rFonts w:hint="default"/>
          <w:b/>
          <w:bCs/>
          <w:sz w:val="24"/>
          <w:szCs w:val="24"/>
          <w:lang w:val="en-US"/>
        </w:rPr>
        <w:t>Young Adults: Education, Entry to Work, and Instability</w:t>
      </w:r>
    </w:p>
    <w:p w14:paraId="4686E47F">
      <w:pPr>
        <w:spacing w:line="240" w:lineRule="auto"/>
        <w:jc w:val="both"/>
        <w:rPr>
          <w:rFonts w:hint="default"/>
          <w:b w:val="0"/>
          <w:bCs w:val="0"/>
          <w:sz w:val="24"/>
          <w:szCs w:val="24"/>
          <w:lang w:val="en-US"/>
        </w:rPr>
      </w:pPr>
      <w:r>
        <w:rPr>
          <w:rFonts w:hint="default"/>
          <w:b w:val="0"/>
          <w:bCs w:val="0"/>
          <w:sz w:val="24"/>
          <w:szCs w:val="24"/>
          <w:lang w:val="en-US"/>
        </w:rPr>
        <w:t>Researchers have paid special attention to the transitions faced by younger adults. The path from education to employment has elongated, with more people staying in school longer and facing precarious first jobs (Stone et al., 2011). Young adults frequently return to the parental home ("boomerang children") due to relationship breakdowns, economic turbulence, or unaffordable housing, all of which impact the household’s overall economic activity (Stone et al., 2011). Young people from disadvantaged backgrounds show higher unemployment rates and are more likely to form or remain part of workless households (FitzRoy et al., 2011).</w:t>
      </w:r>
    </w:p>
    <w:p w14:paraId="5601A766">
      <w:pPr>
        <w:spacing w:line="240" w:lineRule="auto"/>
        <w:jc w:val="both"/>
        <w:rPr>
          <w:rFonts w:hint="default"/>
          <w:b w:val="0"/>
          <w:bCs w:val="0"/>
          <w:sz w:val="24"/>
          <w:szCs w:val="24"/>
          <w:lang w:val="en-US"/>
        </w:rPr>
      </w:pPr>
    </w:p>
    <w:p w14:paraId="31250A51">
      <w:pPr>
        <w:spacing w:line="240" w:lineRule="auto"/>
        <w:jc w:val="both"/>
        <w:rPr>
          <w:rFonts w:hint="default"/>
          <w:b w:val="0"/>
          <w:bCs w:val="0"/>
          <w:sz w:val="24"/>
          <w:szCs w:val="24"/>
          <w:lang w:val="en-US"/>
        </w:rPr>
      </w:pPr>
      <w:r>
        <w:rPr>
          <w:rFonts w:hint="default"/>
          <w:b w:val="0"/>
          <w:bCs w:val="0"/>
          <w:sz w:val="24"/>
          <w:szCs w:val="24"/>
          <w:lang w:val="en-US"/>
        </w:rPr>
        <w:t>Gregg et al. (2002) dissected how changes in household structure—toward more single-adult households—can increase workless households even when aggregate employment rates improve. Changes in household size, dependency ratios, and age mix produce complex effects, highlighting the need for micro-level household approaches over simplistic employment statistics.</w:t>
      </w:r>
    </w:p>
    <w:p w14:paraId="5EB74557">
      <w:pPr>
        <w:spacing w:line="240" w:lineRule="auto"/>
        <w:jc w:val="both"/>
        <w:rPr>
          <w:rFonts w:hint="default"/>
          <w:b w:val="0"/>
          <w:bCs w:val="0"/>
          <w:sz w:val="24"/>
          <w:szCs w:val="24"/>
          <w:lang w:val="en-US"/>
        </w:rPr>
      </w:pPr>
    </w:p>
    <w:p w14:paraId="22A0F8B5">
      <w:pPr>
        <w:spacing w:line="240" w:lineRule="auto"/>
        <w:jc w:val="both"/>
        <w:rPr>
          <w:rFonts w:hint="default"/>
          <w:b/>
          <w:bCs/>
          <w:sz w:val="24"/>
          <w:szCs w:val="24"/>
          <w:lang w:val="en-US"/>
        </w:rPr>
      </w:pPr>
      <w:r>
        <w:rPr>
          <w:rFonts w:hint="default"/>
          <w:b/>
          <w:bCs/>
          <w:sz w:val="24"/>
          <w:szCs w:val="24"/>
          <w:lang w:val="en-US"/>
        </w:rPr>
        <w:t>Working-Age Adults: Gender, Family Dynamics, and Policy</w:t>
      </w:r>
    </w:p>
    <w:p w14:paraId="6F01E5C3">
      <w:pPr>
        <w:spacing w:line="240" w:lineRule="auto"/>
        <w:jc w:val="both"/>
        <w:rPr>
          <w:rFonts w:hint="default"/>
          <w:b w:val="0"/>
          <w:bCs w:val="0"/>
          <w:sz w:val="24"/>
          <w:szCs w:val="24"/>
          <w:lang w:val="en-US"/>
        </w:rPr>
      </w:pPr>
      <w:r>
        <w:rPr>
          <w:rFonts w:hint="default"/>
          <w:b w:val="0"/>
          <w:bCs w:val="0"/>
          <w:sz w:val="24"/>
          <w:szCs w:val="24"/>
          <w:lang w:val="en-US"/>
        </w:rPr>
        <w:t>Among working-age adults, especially those aged 25 to 49, economic activity reflects a combination of personal ability, local opportunity, family responsibility, and access to supportive social policies. Lütolf (2023) shows that policy interventions—such as childcare provision and egalitarian parental leave—promote more balanced household divisions of paid and unpaid work. When women’s labour market involvement rises, household work patterns become less gender-segregated, fathers take on more childcare, and overall family wellbeing improves (Hook, 2010; Sullivan et al., 2009).</w:t>
      </w:r>
    </w:p>
    <w:p w14:paraId="5CE760BA">
      <w:pPr>
        <w:spacing w:line="240" w:lineRule="auto"/>
        <w:jc w:val="both"/>
        <w:rPr>
          <w:rFonts w:hint="default"/>
          <w:b w:val="0"/>
          <w:bCs w:val="0"/>
          <w:sz w:val="24"/>
          <w:szCs w:val="24"/>
          <w:lang w:val="en-US"/>
        </w:rPr>
      </w:pPr>
    </w:p>
    <w:p w14:paraId="14584863">
      <w:pPr>
        <w:spacing w:line="240" w:lineRule="auto"/>
        <w:jc w:val="both"/>
        <w:rPr>
          <w:rFonts w:hint="default"/>
          <w:b w:val="0"/>
          <w:bCs w:val="0"/>
          <w:sz w:val="24"/>
          <w:szCs w:val="24"/>
          <w:lang w:val="en-US"/>
        </w:rPr>
      </w:pPr>
      <w:r>
        <w:rPr>
          <w:rFonts w:hint="default"/>
          <w:b w:val="0"/>
          <w:bCs w:val="0"/>
          <w:sz w:val="24"/>
          <w:szCs w:val="24"/>
          <w:lang w:val="en-US"/>
        </w:rPr>
        <w:t>These effects are not automatic; policy design and cultural norms play strong roles. Berrington et al. (2013) found that parental characteristics—such as age, education, and employment—significantly affect children’s life outcomes, including their likelihood to form economically active households in adulthood. Comparative studies reinforce that not all European countries follow the UK’s patterns, underscoring the context-specific effects of both age and policy (Lütolf, 2023).</w:t>
      </w:r>
    </w:p>
    <w:p w14:paraId="72C81403">
      <w:pPr>
        <w:spacing w:line="240" w:lineRule="auto"/>
        <w:jc w:val="both"/>
        <w:rPr>
          <w:rFonts w:hint="default"/>
          <w:b w:val="0"/>
          <w:bCs w:val="0"/>
          <w:sz w:val="24"/>
          <w:szCs w:val="24"/>
          <w:lang w:val="en-US"/>
        </w:rPr>
      </w:pPr>
    </w:p>
    <w:p w14:paraId="16967754">
      <w:pPr>
        <w:spacing w:line="240" w:lineRule="auto"/>
        <w:jc w:val="both"/>
        <w:rPr>
          <w:rFonts w:hint="default"/>
          <w:b/>
          <w:bCs/>
          <w:sz w:val="24"/>
          <w:szCs w:val="24"/>
          <w:lang w:val="en-US"/>
        </w:rPr>
      </w:pPr>
      <w:r>
        <w:rPr>
          <w:rFonts w:hint="default"/>
          <w:b/>
          <w:bCs/>
          <w:sz w:val="24"/>
          <w:szCs w:val="24"/>
          <w:lang w:val="en-US"/>
        </w:rPr>
        <w:t>Ageing and Retirement: Economic Inactivity and Wellbeing</w:t>
      </w:r>
    </w:p>
    <w:p w14:paraId="2A943EC6">
      <w:pPr>
        <w:spacing w:line="240" w:lineRule="auto"/>
        <w:jc w:val="both"/>
        <w:rPr>
          <w:rFonts w:hint="default"/>
          <w:b w:val="0"/>
          <w:bCs w:val="0"/>
          <w:sz w:val="24"/>
          <w:szCs w:val="24"/>
          <w:lang w:val="en-US"/>
        </w:rPr>
      </w:pPr>
      <w:r>
        <w:rPr>
          <w:rFonts w:hint="default"/>
          <w:b w:val="0"/>
          <w:bCs w:val="0"/>
          <w:sz w:val="24"/>
          <w:szCs w:val="24"/>
          <w:lang w:val="en-US"/>
        </w:rPr>
        <w:t>Older adults represent a growing segment of UK households. Ageing increases economic inactivity as pensions replace earnings and health limitations may preclude continued work (FitzRoy et al., 2011). This creates workless households that, depending on asset levels, may experience either relative comfort or increased vulnerability. Vlandas (2021) reviews how ageing populations reshape policy demands, wellbeing expectations, and economic security, noting the critical impact on social care and the sustainability of welfare systems.</w:t>
      </w:r>
    </w:p>
    <w:p w14:paraId="57BD3CCD">
      <w:pPr>
        <w:spacing w:line="240" w:lineRule="auto"/>
        <w:jc w:val="both"/>
        <w:rPr>
          <w:rFonts w:hint="default"/>
          <w:b w:val="0"/>
          <w:bCs w:val="0"/>
          <w:sz w:val="24"/>
          <w:szCs w:val="24"/>
          <w:lang w:val="en-US"/>
        </w:rPr>
      </w:pPr>
    </w:p>
    <w:p w14:paraId="68CDE3CF">
      <w:pPr>
        <w:spacing w:line="240" w:lineRule="auto"/>
        <w:jc w:val="both"/>
        <w:rPr>
          <w:rFonts w:hint="default"/>
          <w:b w:val="0"/>
          <w:bCs w:val="0"/>
          <w:sz w:val="24"/>
          <w:szCs w:val="24"/>
          <w:lang w:val="en-US"/>
        </w:rPr>
      </w:pPr>
      <w:r>
        <w:rPr>
          <w:rFonts w:hint="default"/>
          <w:b w:val="0"/>
          <w:bCs w:val="0"/>
          <w:sz w:val="24"/>
          <w:szCs w:val="24"/>
          <w:lang w:val="en-US"/>
        </w:rPr>
        <w:t>FitzRoy et al. (2011) found that life satisfaction and income effects differ sharply by age: younger people’s wellbeing is more acutely sensitive to income changes and prospects ("signalling effect"), while older individuals derive less satisfaction from income and more from health and social connectedness. Marmot et al. (2003) expand on this by demonstrating that health inequalities—closely tied to economic status—worsen as people age. Poorer older adults experience greater health decline and social isolation, showing the importance of contextualizing age effects within broader household dynamics.</w:t>
      </w:r>
    </w:p>
    <w:p w14:paraId="5DF821A6">
      <w:pPr>
        <w:spacing w:line="240" w:lineRule="auto"/>
        <w:jc w:val="both"/>
        <w:rPr>
          <w:rFonts w:hint="default"/>
          <w:b w:val="0"/>
          <w:bCs w:val="0"/>
          <w:sz w:val="24"/>
          <w:szCs w:val="24"/>
          <w:lang w:val="en-US"/>
        </w:rPr>
      </w:pPr>
    </w:p>
    <w:p w14:paraId="150412DC">
      <w:pPr>
        <w:spacing w:line="240" w:lineRule="auto"/>
        <w:jc w:val="both"/>
        <w:rPr>
          <w:rFonts w:hint="default"/>
          <w:b w:val="0"/>
          <w:bCs w:val="0"/>
          <w:sz w:val="24"/>
          <w:szCs w:val="24"/>
          <w:lang w:val="en-US"/>
        </w:rPr>
      </w:pPr>
      <w:r>
        <w:rPr>
          <w:rFonts w:hint="default"/>
          <w:b/>
          <w:bCs/>
          <w:sz w:val="24"/>
          <w:szCs w:val="24"/>
          <w:lang w:val="en-US"/>
        </w:rPr>
        <w:t>Socioeconomic Status, Wellbeing, and Mental Health</w:t>
      </w:r>
    </w:p>
    <w:p w14:paraId="3002E550">
      <w:pPr>
        <w:spacing w:line="240" w:lineRule="auto"/>
        <w:jc w:val="both"/>
        <w:rPr>
          <w:rFonts w:hint="default"/>
          <w:b w:val="0"/>
          <w:bCs w:val="0"/>
          <w:sz w:val="24"/>
          <w:szCs w:val="24"/>
          <w:lang w:val="en-US"/>
        </w:rPr>
      </w:pPr>
      <w:r>
        <w:rPr>
          <w:rFonts w:hint="default"/>
          <w:b w:val="0"/>
          <w:bCs w:val="0"/>
          <w:sz w:val="24"/>
          <w:szCs w:val="24"/>
          <w:lang w:val="en-US"/>
        </w:rPr>
        <w:t>Socioeconomic status (SES) consistently emerges as a core mediator in the relationship between age structure and household economic activity. Manstead (2018) synthesizes psychological research, showing that childhood and adult material conditions profoundly shape economic roles, aspirations, and wellbeing. Families with higher SES weather shocks more effectively and transition through life stages—such as education, career, and retirement—with greater ease.</w:t>
      </w:r>
    </w:p>
    <w:p w14:paraId="168B093F">
      <w:pPr>
        <w:spacing w:line="240" w:lineRule="auto"/>
        <w:jc w:val="both"/>
        <w:rPr>
          <w:rFonts w:hint="default"/>
          <w:b w:val="0"/>
          <w:bCs w:val="0"/>
          <w:sz w:val="24"/>
          <w:szCs w:val="24"/>
          <w:lang w:val="en-US"/>
        </w:rPr>
      </w:pPr>
    </w:p>
    <w:p w14:paraId="7FF895B1">
      <w:pPr>
        <w:spacing w:line="240" w:lineRule="auto"/>
        <w:jc w:val="both"/>
        <w:rPr>
          <w:rFonts w:hint="default"/>
          <w:b w:val="0"/>
          <w:bCs w:val="0"/>
          <w:sz w:val="24"/>
          <w:szCs w:val="24"/>
          <w:lang w:val="en-US"/>
        </w:rPr>
      </w:pPr>
      <w:r>
        <w:rPr>
          <w:rFonts w:hint="default"/>
          <w:b w:val="0"/>
          <w:bCs w:val="0"/>
          <w:sz w:val="24"/>
          <w:szCs w:val="24"/>
          <w:lang w:val="en-US"/>
        </w:rPr>
        <w:t>Income stability promotes good health and social integration. Akanni et al. (2022) provide evidence from British longitudinal surveys that fluctuations in household income over time predict changes in self-rated health; people in households with stable, adequate incomes report better health and resilience to life events, across all age groups. These findings tie economic activity status—whether working, mixed, or workless—directly to wellbeing, reinforcing the need to understand age group effects in the broader socioeconomic context.</w:t>
      </w:r>
    </w:p>
    <w:p w14:paraId="64E7A49F">
      <w:pPr>
        <w:spacing w:line="240" w:lineRule="auto"/>
        <w:jc w:val="both"/>
        <w:rPr>
          <w:rFonts w:hint="default"/>
          <w:b w:val="0"/>
          <w:bCs w:val="0"/>
          <w:sz w:val="24"/>
          <w:szCs w:val="24"/>
          <w:lang w:val="en-US"/>
        </w:rPr>
      </w:pPr>
    </w:p>
    <w:p w14:paraId="2D98BEA5">
      <w:pPr>
        <w:spacing w:line="240" w:lineRule="auto"/>
        <w:jc w:val="both"/>
        <w:rPr>
          <w:rFonts w:hint="default"/>
          <w:b/>
          <w:bCs/>
          <w:sz w:val="24"/>
          <w:szCs w:val="24"/>
          <w:lang w:val="en-US"/>
        </w:rPr>
      </w:pPr>
      <w:r>
        <w:rPr>
          <w:rFonts w:hint="default"/>
          <w:b/>
          <w:bCs/>
          <w:sz w:val="24"/>
          <w:szCs w:val="24"/>
          <w:lang w:val="en-US"/>
        </w:rPr>
        <w:t>Policy, Intervention, and Gendered Division of Labour</w:t>
      </w:r>
    </w:p>
    <w:p w14:paraId="2FC96C51">
      <w:pPr>
        <w:spacing w:line="240" w:lineRule="auto"/>
        <w:jc w:val="both"/>
        <w:rPr>
          <w:rFonts w:hint="default"/>
          <w:b w:val="0"/>
          <w:bCs w:val="0"/>
          <w:sz w:val="24"/>
          <w:szCs w:val="24"/>
          <w:lang w:val="en-US"/>
        </w:rPr>
      </w:pPr>
      <w:r>
        <w:rPr>
          <w:rFonts w:hint="default"/>
          <w:b w:val="0"/>
          <w:bCs w:val="0"/>
          <w:sz w:val="24"/>
          <w:szCs w:val="24"/>
          <w:lang w:val="en-US"/>
        </w:rPr>
        <w:t>One emergent theme is the role of state and employer policies in shaping age-linked household economic outcomes. Lütolf (2023) throws light on how childcare and parental leave policies impact women's employment participation, gendered household divisions of labour, and economic security. These policies have both immediate resource effects and longer-term normative influences, eroding patriarchal expectations and freeing families to renegotiate roles.</w:t>
      </w:r>
    </w:p>
    <w:p w14:paraId="2BBDE7B1">
      <w:pPr>
        <w:spacing w:line="240" w:lineRule="auto"/>
        <w:jc w:val="both"/>
        <w:rPr>
          <w:rFonts w:hint="default"/>
          <w:b w:val="0"/>
          <w:bCs w:val="0"/>
          <w:sz w:val="24"/>
          <w:szCs w:val="24"/>
          <w:lang w:val="en-US"/>
        </w:rPr>
      </w:pPr>
    </w:p>
    <w:p w14:paraId="1CE6A918">
      <w:pPr>
        <w:spacing w:line="240" w:lineRule="auto"/>
        <w:jc w:val="both"/>
        <w:rPr>
          <w:rFonts w:hint="default"/>
          <w:b w:val="0"/>
          <w:bCs w:val="0"/>
          <w:sz w:val="24"/>
          <w:szCs w:val="24"/>
          <w:lang w:val="en-US"/>
        </w:rPr>
      </w:pPr>
      <w:r>
        <w:rPr>
          <w:rFonts w:hint="default"/>
          <w:b w:val="0"/>
          <w:bCs w:val="0"/>
          <w:sz w:val="24"/>
          <w:szCs w:val="24"/>
          <w:lang w:val="en-US"/>
        </w:rPr>
        <w:t>Hook (2010) and Sullivan et al. (2009) document that more egalitarian policy environments correlate with greater gender parity in paid and unpaid work. In countries that support strong childcare and parental leave, fathers do more childcare and housework, mothers stay in employment, and children benefit from diversified models of adult engagement (Lütolf, 2023). These insights have direct implications for UK debates about how age and policy touch household work patterns.</w:t>
      </w:r>
    </w:p>
    <w:p w14:paraId="20BD8F81">
      <w:pPr>
        <w:spacing w:line="240" w:lineRule="auto"/>
        <w:jc w:val="both"/>
        <w:rPr>
          <w:rFonts w:hint="default"/>
          <w:b w:val="0"/>
          <w:bCs w:val="0"/>
          <w:sz w:val="24"/>
          <w:szCs w:val="24"/>
          <w:lang w:val="en-US"/>
        </w:rPr>
      </w:pPr>
    </w:p>
    <w:p w14:paraId="4F6602F5">
      <w:pPr>
        <w:spacing w:line="240" w:lineRule="auto"/>
        <w:jc w:val="both"/>
        <w:rPr>
          <w:rFonts w:hint="default"/>
          <w:b/>
          <w:bCs/>
          <w:sz w:val="24"/>
          <w:szCs w:val="24"/>
          <w:lang w:val="en-US"/>
        </w:rPr>
      </w:pPr>
      <w:r>
        <w:rPr>
          <w:rFonts w:hint="default"/>
          <w:b/>
          <w:bCs/>
          <w:sz w:val="24"/>
          <w:szCs w:val="24"/>
          <w:lang w:val="en-US"/>
        </w:rPr>
        <w:t>Subjective Wellbeing, Social Isolation, and Mental Health</w:t>
      </w:r>
    </w:p>
    <w:p w14:paraId="75D003F4">
      <w:pPr>
        <w:spacing w:line="240" w:lineRule="auto"/>
        <w:jc w:val="both"/>
        <w:rPr>
          <w:rFonts w:hint="default"/>
          <w:b w:val="0"/>
          <w:bCs w:val="0"/>
          <w:sz w:val="24"/>
          <w:szCs w:val="24"/>
          <w:lang w:val="en-US"/>
        </w:rPr>
      </w:pPr>
      <w:r>
        <w:rPr>
          <w:rFonts w:hint="default"/>
          <w:b w:val="0"/>
          <w:bCs w:val="0"/>
          <w:sz w:val="24"/>
          <w:szCs w:val="24"/>
          <w:lang w:val="en-US"/>
        </w:rPr>
        <w:t>Beyond income and objective measures, researchers have explored subjective dimensions of household economic activity. FitzRoy et al. (2011) note the role of "reference groups" and "comparison income": people’s life satisfaction rises when they feel their income prospects signal future opportunity, especially while young. Among older adults, satisfaction becomes less tied to income and more to health, support, and social inclusion.</w:t>
      </w:r>
    </w:p>
    <w:p w14:paraId="6602AB51">
      <w:pPr>
        <w:spacing w:line="240" w:lineRule="auto"/>
        <w:jc w:val="both"/>
        <w:rPr>
          <w:rFonts w:hint="default"/>
          <w:b w:val="0"/>
          <w:bCs w:val="0"/>
          <w:sz w:val="24"/>
          <w:szCs w:val="24"/>
          <w:lang w:val="en-US"/>
        </w:rPr>
      </w:pPr>
    </w:p>
    <w:p w14:paraId="6F251812">
      <w:pPr>
        <w:spacing w:line="240" w:lineRule="auto"/>
        <w:jc w:val="both"/>
        <w:rPr>
          <w:rFonts w:hint="default"/>
          <w:b w:val="0"/>
          <w:bCs w:val="0"/>
          <w:sz w:val="24"/>
          <w:szCs w:val="24"/>
          <w:lang w:val="en-US"/>
        </w:rPr>
      </w:pPr>
      <w:r>
        <w:rPr>
          <w:rFonts w:hint="default"/>
          <w:b w:val="0"/>
          <w:bCs w:val="0"/>
          <w:sz w:val="24"/>
          <w:szCs w:val="24"/>
          <w:lang w:val="en-US"/>
        </w:rPr>
        <w:t>Kung et al. (2022) find economic gradients in loneliness and social isolation, with both men and women in lower-status households reporting higher loneliness, less social support, and worse health outcomes. These effects are amplified in households with economic inactivity—ill health, unemployment, or isolation can cascade across generations, especially in workless or mixed households.</w:t>
      </w:r>
    </w:p>
    <w:p w14:paraId="31D3A1A2">
      <w:pPr>
        <w:spacing w:line="240" w:lineRule="auto"/>
        <w:jc w:val="both"/>
        <w:rPr>
          <w:rFonts w:hint="default"/>
          <w:b w:val="0"/>
          <w:bCs w:val="0"/>
          <w:sz w:val="24"/>
          <w:szCs w:val="24"/>
          <w:lang w:val="en-US"/>
        </w:rPr>
      </w:pPr>
    </w:p>
    <w:p w14:paraId="6CF97222">
      <w:pPr>
        <w:spacing w:line="240" w:lineRule="auto"/>
        <w:jc w:val="both"/>
        <w:rPr>
          <w:rFonts w:hint="default"/>
          <w:b/>
          <w:bCs/>
          <w:sz w:val="24"/>
          <w:szCs w:val="24"/>
          <w:lang w:val="en-US"/>
        </w:rPr>
      </w:pPr>
      <w:r>
        <w:rPr>
          <w:rFonts w:hint="default"/>
          <w:b/>
          <w:bCs/>
          <w:sz w:val="24"/>
          <w:szCs w:val="24"/>
          <w:lang w:val="en-US"/>
        </w:rPr>
        <w:t>Intergenerational Mobility and Cumulative Disadvantage</w:t>
      </w:r>
    </w:p>
    <w:p w14:paraId="37AB8862">
      <w:pPr>
        <w:spacing w:line="240" w:lineRule="auto"/>
        <w:jc w:val="both"/>
        <w:rPr>
          <w:rFonts w:hint="default"/>
          <w:b w:val="0"/>
          <w:bCs w:val="0"/>
          <w:sz w:val="24"/>
          <w:szCs w:val="24"/>
          <w:lang w:val="en-US"/>
        </w:rPr>
      </w:pPr>
      <w:r>
        <w:rPr>
          <w:rFonts w:hint="default"/>
          <w:b w:val="0"/>
          <w:bCs w:val="0"/>
          <w:sz w:val="24"/>
          <w:szCs w:val="24"/>
          <w:lang w:val="en-US"/>
        </w:rPr>
        <w:t>Multiple studies have focused on how disadvantage builds up and transmits across generations. Stone et al. (2011) emphasize how experiences in childhood—parental unemployment, low education, family instability—predict future worklessness in adult households, even controlling for current opportunities. This "cumulative disadvantage" shapes the persistence of mixed and workless households, especially among ethnic minorities and marginalized groups. Household economic activity is, thus, a product of both present opportunities and past legacies. Akanni et al. (2022) conclude that stable income trajectories across generations foster resilience, while volatility and disadvantage reinforce vulnerability.</w:t>
      </w:r>
    </w:p>
    <w:p w14:paraId="2525345F">
      <w:pPr>
        <w:spacing w:line="240" w:lineRule="auto"/>
        <w:jc w:val="both"/>
        <w:rPr>
          <w:rFonts w:hint="default"/>
          <w:b w:val="0"/>
          <w:bCs w:val="0"/>
          <w:sz w:val="24"/>
          <w:szCs w:val="24"/>
          <w:lang w:val="en-US"/>
        </w:rPr>
      </w:pPr>
    </w:p>
    <w:p w14:paraId="24B1D290">
      <w:pPr>
        <w:spacing w:line="240" w:lineRule="auto"/>
        <w:jc w:val="both"/>
        <w:rPr>
          <w:rFonts w:hint="default"/>
          <w:b/>
          <w:bCs/>
          <w:sz w:val="24"/>
          <w:szCs w:val="24"/>
          <w:lang w:val="en-US"/>
        </w:rPr>
      </w:pPr>
      <w:r>
        <w:rPr>
          <w:rFonts w:hint="default"/>
          <w:b/>
          <w:bCs/>
          <w:sz w:val="24"/>
          <w:szCs w:val="24"/>
          <w:lang w:val="en-US"/>
        </w:rPr>
        <w:t>Reconciling Individual and Household-Level Analyses</w:t>
      </w:r>
    </w:p>
    <w:p w14:paraId="75400348">
      <w:pPr>
        <w:spacing w:line="240" w:lineRule="auto"/>
        <w:jc w:val="both"/>
        <w:rPr>
          <w:rFonts w:hint="default"/>
          <w:b w:val="0"/>
          <w:bCs w:val="0"/>
          <w:sz w:val="24"/>
          <w:szCs w:val="24"/>
          <w:lang w:val="en-US"/>
        </w:rPr>
      </w:pPr>
      <w:r>
        <w:rPr>
          <w:rFonts w:hint="default"/>
          <w:b w:val="0"/>
          <w:bCs w:val="0"/>
          <w:sz w:val="24"/>
          <w:szCs w:val="24"/>
          <w:lang w:val="en-US"/>
        </w:rPr>
        <w:t>Gregg et al. (2002) propose that household-level measures of worklessness sometimes conflict with individual-level labour market signals. For example, rising numbers of single-adult homes or multi-generational living arrangements can change household economic labels despite stable individual employment rates. The authors argue that a household perspective is essential for accurate social policy, as intra-household dependencies, collective assets, and shared risks fundamentally shape real-world outcomes.</w:t>
      </w:r>
    </w:p>
    <w:p w14:paraId="7D4B9551">
      <w:pPr>
        <w:spacing w:line="240" w:lineRule="auto"/>
        <w:jc w:val="both"/>
        <w:rPr>
          <w:rFonts w:hint="default"/>
          <w:b w:val="0"/>
          <w:bCs w:val="0"/>
          <w:sz w:val="24"/>
          <w:szCs w:val="24"/>
          <w:lang w:val="en-US"/>
        </w:rPr>
      </w:pPr>
    </w:p>
    <w:p w14:paraId="096BB08B">
      <w:pPr>
        <w:spacing w:line="240" w:lineRule="auto"/>
        <w:jc w:val="both"/>
        <w:rPr>
          <w:rFonts w:hint="default"/>
          <w:b/>
          <w:bCs/>
          <w:sz w:val="24"/>
          <w:szCs w:val="24"/>
          <w:lang w:val="en-US"/>
        </w:rPr>
      </w:pPr>
      <w:r>
        <w:rPr>
          <w:rFonts w:hint="default"/>
          <w:b/>
          <w:bCs/>
          <w:sz w:val="24"/>
          <w:szCs w:val="24"/>
          <w:lang w:val="en-US"/>
        </w:rPr>
        <w:t>New Trends: COVID-19, Volatility, and Wellbeing</w:t>
      </w:r>
    </w:p>
    <w:p w14:paraId="7A172788">
      <w:pPr>
        <w:spacing w:line="240" w:lineRule="auto"/>
        <w:jc w:val="both"/>
        <w:rPr>
          <w:rFonts w:hint="default"/>
          <w:b w:val="0"/>
          <w:bCs w:val="0"/>
          <w:sz w:val="24"/>
          <w:szCs w:val="24"/>
          <w:lang w:val="en-US"/>
        </w:rPr>
      </w:pPr>
      <w:r>
        <w:rPr>
          <w:rFonts w:hint="default"/>
          <w:b w:val="0"/>
          <w:bCs w:val="0"/>
          <w:sz w:val="24"/>
          <w:szCs w:val="24"/>
          <w:lang w:val="en-US"/>
        </w:rPr>
        <w:t>Recent studies have begun to address COVID-19 impacts on household economic activity. Gagné et al. (2022) identified increased psychological distress among young adults during the pandemic, particularly those in workless or unstable households. The economic shocks of lockdowns and health crises reveal the volatility of work status and reinforce the importance of age group composition; young adults faced job loss, educational disruption, and mental health decline, while older adults confronted isolation and reduced access to community support.</w:t>
      </w:r>
    </w:p>
    <w:p w14:paraId="0AFA956C">
      <w:pPr>
        <w:spacing w:line="240" w:lineRule="auto"/>
        <w:jc w:val="both"/>
        <w:rPr>
          <w:rFonts w:hint="default"/>
          <w:b w:val="0"/>
          <w:bCs w:val="0"/>
          <w:sz w:val="24"/>
          <w:szCs w:val="24"/>
          <w:lang w:val="en-US"/>
        </w:rPr>
      </w:pPr>
    </w:p>
    <w:p w14:paraId="6EE3CFEC">
      <w:pPr>
        <w:spacing w:line="240" w:lineRule="auto"/>
        <w:jc w:val="both"/>
        <w:rPr>
          <w:rFonts w:hint="default"/>
          <w:b/>
          <w:bCs/>
          <w:sz w:val="24"/>
          <w:szCs w:val="24"/>
          <w:lang w:val="en-US"/>
        </w:rPr>
      </w:pPr>
      <w:r>
        <w:rPr>
          <w:rFonts w:hint="default"/>
          <w:b/>
          <w:bCs/>
          <w:sz w:val="24"/>
          <w:szCs w:val="24"/>
          <w:lang w:val="en-US"/>
        </w:rPr>
        <w:t>Critiques, Knowledge Gaps, and Emerging Directions</w:t>
      </w:r>
    </w:p>
    <w:p w14:paraId="0C2A10A0">
      <w:pPr>
        <w:spacing w:line="240" w:lineRule="auto"/>
        <w:jc w:val="both"/>
        <w:rPr>
          <w:rFonts w:hint="default"/>
          <w:b w:val="0"/>
          <w:bCs w:val="0"/>
          <w:sz w:val="24"/>
          <w:szCs w:val="24"/>
          <w:lang w:val="en-US"/>
        </w:rPr>
      </w:pPr>
      <w:r>
        <w:rPr>
          <w:rFonts w:hint="default"/>
          <w:b w:val="0"/>
          <w:bCs w:val="0"/>
          <w:sz w:val="24"/>
          <w:szCs w:val="24"/>
          <w:lang w:val="en-US"/>
        </w:rPr>
        <w:t>Although much progress has been made, several knowledge gaps persist. Most studies use large national datasets, which risk overlooking fine-grained variation in lived experience among specific communities, industries, or regions. Many focus disproportionately on life stages as independent variables, neglecting multi-dimensional interactions among age, gender, SES, ethnicity, health, and location (Vlandas, 2021; Stone et al., 2011). There is also a need for research on the mechanisms of resilience within economically vulnerable households. Lütolf (2023) advocates for more qualitative work on how families negotiate division of labour, adapt to shocks, and draw on social capital. Finally, policy analysis should more closely examine not only immediate employment effects, but also the indirect impacts on health, wellbeing, and long-term prospects.</w:t>
      </w:r>
    </w:p>
    <w:p w14:paraId="0FBDE4C1">
      <w:pPr>
        <w:spacing w:line="240" w:lineRule="auto"/>
        <w:jc w:val="both"/>
        <w:rPr>
          <w:rFonts w:hint="default"/>
          <w:b w:val="0"/>
          <w:bCs w:val="0"/>
          <w:sz w:val="24"/>
          <w:szCs w:val="24"/>
          <w:lang w:val="en-US"/>
        </w:rPr>
      </w:pPr>
    </w:p>
    <w:p w14:paraId="765B1AEA">
      <w:pPr>
        <w:spacing w:line="240" w:lineRule="auto"/>
        <w:jc w:val="both"/>
        <w:rPr>
          <w:rFonts w:hint="default"/>
          <w:b/>
          <w:bCs/>
          <w:sz w:val="28"/>
          <w:szCs w:val="28"/>
          <w:lang w:val="en-US"/>
        </w:rPr>
      </w:pPr>
      <w:r>
        <w:rPr>
          <w:rFonts w:hint="default"/>
          <w:b/>
          <w:bCs/>
          <w:sz w:val="28"/>
          <w:szCs w:val="28"/>
          <w:lang w:val="en-US"/>
        </w:rPr>
        <w:t xml:space="preserve">Main theories </w:t>
      </w:r>
    </w:p>
    <w:p w14:paraId="149B9A4C">
      <w:pPr>
        <w:spacing w:line="240" w:lineRule="auto"/>
        <w:jc w:val="both"/>
        <w:rPr>
          <w:rFonts w:hint="default"/>
          <w:b w:val="0"/>
          <w:bCs w:val="0"/>
          <w:sz w:val="24"/>
          <w:szCs w:val="24"/>
          <w:lang w:val="en-US"/>
        </w:rPr>
      </w:pPr>
      <w:r>
        <w:rPr>
          <w:rFonts w:hint="default"/>
          <w:b w:val="0"/>
          <w:bCs w:val="0"/>
          <w:sz w:val="24"/>
          <w:szCs w:val="24"/>
          <w:lang w:val="en-US"/>
        </w:rPr>
        <w:t>Several major theories underpin this research on age group impact and household economic activity:</w:t>
      </w:r>
    </w:p>
    <w:p w14:paraId="59BCCAE3">
      <w:pPr>
        <w:spacing w:line="240" w:lineRule="auto"/>
        <w:jc w:val="both"/>
        <w:rPr>
          <w:rFonts w:hint="default"/>
          <w:b/>
          <w:bCs/>
          <w:sz w:val="24"/>
          <w:szCs w:val="24"/>
          <w:lang w:val="en-US"/>
        </w:rPr>
      </w:pPr>
      <w:r>
        <w:rPr>
          <w:rFonts w:hint="default"/>
          <w:b/>
          <w:bCs/>
          <w:sz w:val="24"/>
          <w:szCs w:val="24"/>
          <w:lang w:val="en-US"/>
        </w:rPr>
        <w:t>Life Course Theory</w:t>
      </w:r>
    </w:p>
    <w:p w14:paraId="71F97723">
      <w:pPr>
        <w:spacing w:line="240" w:lineRule="auto"/>
        <w:jc w:val="both"/>
        <w:rPr>
          <w:rFonts w:hint="default"/>
          <w:b w:val="0"/>
          <w:bCs w:val="0"/>
          <w:sz w:val="24"/>
          <w:szCs w:val="24"/>
          <w:lang w:val="en-US"/>
        </w:rPr>
      </w:pPr>
      <w:r>
        <w:rPr>
          <w:rFonts w:hint="default"/>
          <w:b w:val="0"/>
          <w:bCs w:val="0"/>
          <w:sz w:val="24"/>
          <w:szCs w:val="24"/>
          <w:lang w:val="en-US"/>
        </w:rPr>
        <w:t>Life course theory is one of the most influential frameworks for understanding how age shapes an individual’s and a household’s place in the world of work. This perspective, pioneered by Glen Elder and later expanded by many scholars, views people’s lives as a series of transitions through various roles—childhood, schooling, work, parenthood, retirement—that are deeply shaped by historical context, family networks, timing, and personal agency (Han et al., 2023). The theory stresses that earlier life events, such as the experience of poverty or worklessness, accumulate and affect later transitions, like entering or exiting the workforce (Swain et al., 2020). Households are dynamic entities: a child entering university, a midlife job loss, or a parent’s illness can all trigger shifts between working, mixed, and workless status.</w:t>
      </w:r>
    </w:p>
    <w:p w14:paraId="4A4FB9E4">
      <w:pPr>
        <w:spacing w:line="240" w:lineRule="auto"/>
        <w:jc w:val="both"/>
        <w:rPr>
          <w:rFonts w:hint="default"/>
          <w:b w:val="0"/>
          <w:bCs w:val="0"/>
          <w:sz w:val="24"/>
          <w:szCs w:val="24"/>
          <w:lang w:val="en-US"/>
        </w:rPr>
      </w:pPr>
    </w:p>
    <w:p w14:paraId="714DB90E">
      <w:pPr>
        <w:spacing w:line="240" w:lineRule="auto"/>
        <w:jc w:val="both"/>
        <w:rPr>
          <w:rFonts w:hint="default"/>
          <w:b w:val="0"/>
          <w:bCs w:val="0"/>
          <w:sz w:val="24"/>
          <w:szCs w:val="24"/>
          <w:lang w:val="en-US"/>
        </w:rPr>
      </w:pPr>
      <w:r>
        <w:rPr>
          <w:rFonts w:hint="default"/>
          <w:b w:val="0"/>
          <w:bCs w:val="0"/>
          <w:sz w:val="24"/>
          <w:szCs w:val="24"/>
          <w:lang w:val="en-US"/>
        </w:rPr>
        <w:t>A critical principle is “linked lives”—the idea that family members’ trajectories are interconnected. In practice, an adult child’s unemployment, for instance, influences not just their own career but also parental financial security and the household’s overall economic profile. Research shows that younger adults’ transitions out of the family home are occurring later, creating new forms of dependency (Stone et al., 2011). The “agency” principle also emphasizes that people can act creatively within constraints: a mid-career retraining or move for a job is shaped by both opportunity and determination within the family structure (Han et al., 2023).</w:t>
      </w:r>
    </w:p>
    <w:p w14:paraId="6CCA1201">
      <w:pPr>
        <w:spacing w:line="240" w:lineRule="auto"/>
        <w:jc w:val="both"/>
        <w:rPr>
          <w:rFonts w:hint="default"/>
          <w:b w:val="0"/>
          <w:bCs w:val="0"/>
          <w:sz w:val="24"/>
          <w:szCs w:val="24"/>
          <w:lang w:val="en-US"/>
        </w:rPr>
      </w:pPr>
    </w:p>
    <w:p w14:paraId="764C1111">
      <w:pPr>
        <w:spacing w:line="240" w:lineRule="auto"/>
        <w:jc w:val="both"/>
        <w:rPr>
          <w:rFonts w:hint="default"/>
          <w:b/>
          <w:bCs/>
          <w:sz w:val="24"/>
          <w:szCs w:val="24"/>
          <w:lang w:val="en-US"/>
        </w:rPr>
      </w:pPr>
      <w:r>
        <w:rPr>
          <w:rFonts w:hint="default"/>
          <w:b/>
          <w:bCs/>
          <w:sz w:val="24"/>
          <w:szCs w:val="24"/>
          <w:lang w:val="en-US"/>
        </w:rPr>
        <w:t>Cumulative Disadvantage Theory</w:t>
      </w:r>
    </w:p>
    <w:p w14:paraId="481471C0">
      <w:pPr>
        <w:spacing w:line="240" w:lineRule="auto"/>
        <w:jc w:val="both"/>
        <w:rPr>
          <w:rFonts w:hint="default"/>
          <w:b w:val="0"/>
          <w:bCs w:val="0"/>
          <w:sz w:val="24"/>
          <w:szCs w:val="24"/>
          <w:lang w:val="en-US"/>
        </w:rPr>
      </w:pPr>
      <w:r>
        <w:rPr>
          <w:rFonts w:hint="default"/>
          <w:b w:val="0"/>
          <w:bCs w:val="0"/>
          <w:sz w:val="24"/>
          <w:szCs w:val="24"/>
          <w:lang w:val="en-US"/>
        </w:rPr>
        <w:t>Cumulative disadvantage theory (or the “Matthew Effect”) addresses how initial inequalities compound over the life course—meaning that disadvantages associated with parents’ employment status, education, or health are likely to accumulate through childhood, adolescence, and adulthood (Hornstra et al., 2021). In families where economic inactivity is persistent, opportunities for education, social mobility, and even mental health are constrained, making it harder for the next generation to “break out” of disadvantaged backgrounds.</w:t>
      </w:r>
    </w:p>
    <w:p w14:paraId="4B001883">
      <w:pPr>
        <w:spacing w:line="240" w:lineRule="auto"/>
        <w:jc w:val="both"/>
        <w:rPr>
          <w:rFonts w:hint="default"/>
          <w:b w:val="0"/>
          <w:bCs w:val="0"/>
          <w:sz w:val="24"/>
          <w:szCs w:val="24"/>
          <w:lang w:val="en-US"/>
        </w:rPr>
      </w:pPr>
    </w:p>
    <w:p w14:paraId="51A18B05">
      <w:pPr>
        <w:spacing w:line="240" w:lineRule="auto"/>
        <w:jc w:val="both"/>
        <w:rPr>
          <w:rFonts w:hint="default"/>
          <w:b w:val="0"/>
          <w:bCs w:val="0"/>
          <w:sz w:val="24"/>
          <w:szCs w:val="24"/>
          <w:lang w:val="en-US"/>
        </w:rPr>
      </w:pPr>
      <w:r>
        <w:rPr>
          <w:rFonts w:hint="default"/>
          <w:b w:val="0"/>
          <w:bCs w:val="0"/>
          <w:sz w:val="24"/>
          <w:szCs w:val="24"/>
          <w:lang w:val="en-US"/>
        </w:rPr>
        <w:t>Longitudinal research finds that the total effect of family background on occupational status rises during early adulthood and only declines later, suggesting that early household conditions have profound implications for future employment and work patterns (Hornstra et al., 2021). The longer a young person remains in a workless or mixed-status family, the greater the difficulty securing stable work later in life.</w:t>
      </w:r>
    </w:p>
    <w:p w14:paraId="7C9FF2F6">
      <w:pPr>
        <w:spacing w:line="240" w:lineRule="auto"/>
        <w:jc w:val="both"/>
        <w:rPr>
          <w:rFonts w:hint="default"/>
          <w:b w:val="0"/>
          <w:bCs w:val="0"/>
          <w:sz w:val="24"/>
          <w:szCs w:val="24"/>
          <w:lang w:val="en-US"/>
        </w:rPr>
      </w:pPr>
    </w:p>
    <w:p w14:paraId="72273912">
      <w:pPr>
        <w:spacing w:line="240" w:lineRule="auto"/>
        <w:jc w:val="both"/>
        <w:rPr>
          <w:rFonts w:hint="default"/>
          <w:b/>
          <w:bCs/>
          <w:sz w:val="24"/>
          <w:szCs w:val="24"/>
          <w:lang w:val="en-US"/>
        </w:rPr>
      </w:pPr>
      <w:r>
        <w:rPr>
          <w:rFonts w:hint="default"/>
          <w:b/>
          <w:bCs/>
          <w:sz w:val="24"/>
          <w:szCs w:val="24"/>
          <w:lang w:val="en-US"/>
        </w:rPr>
        <w:t>Family Stress Model</w:t>
      </w:r>
    </w:p>
    <w:p w14:paraId="392D285A">
      <w:pPr>
        <w:spacing w:line="240" w:lineRule="auto"/>
        <w:jc w:val="both"/>
        <w:rPr>
          <w:rFonts w:hint="default"/>
          <w:b w:val="0"/>
          <w:bCs w:val="0"/>
          <w:sz w:val="24"/>
          <w:szCs w:val="24"/>
          <w:lang w:val="en-US"/>
        </w:rPr>
      </w:pPr>
      <w:r>
        <w:rPr>
          <w:rFonts w:hint="default"/>
          <w:b w:val="0"/>
          <w:bCs w:val="0"/>
          <w:sz w:val="24"/>
          <w:szCs w:val="24"/>
          <w:lang w:val="en-US"/>
        </w:rPr>
        <w:t>The Family Stress Model explores how economic hardship within families leads to disruptions in relationships, parental conflict, and ultimately the economic prospects of all members (Conger et al., 2010). In simple terms, when a household struggles to make ends meet—due to job loss, illness, or other shocks—parents may experience stress and depression, which can spill over into less supportive home environments for children, and increase the likelihood of ongoing employment instability.</w:t>
      </w:r>
    </w:p>
    <w:p w14:paraId="74280663">
      <w:pPr>
        <w:spacing w:line="240" w:lineRule="auto"/>
        <w:jc w:val="both"/>
        <w:rPr>
          <w:rFonts w:hint="default"/>
          <w:b w:val="0"/>
          <w:bCs w:val="0"/>
          <w:sz w:val="24"/>
          <w:szCs w:val="24"/>
          <w:lang w:val="en-US"/>
        </w:rPr>
      </w:pPr>
    </w:p>
    <w:p w14:paraId="20744B7F">
      <w:pPr>
        <w:spacing w:line="240" w:lineRule="auto"/>
        <w:jc w:val="both"/>
        <w:rPr>
          <w:rFonts w:hint="default"/>
          <w:b w:val="0"/>
          <w:bCs w:val="0"/>
          <w:sz w:val="24"/>
          <w:szCs w:val="24"/>
          <w:lang w:val="en-US"/>
        </w:rPr>
      </w:pPr>
      <w:r>
        <w:rPr>
          <w:rFonts w:hint="default"/>
          <w:b w:val="0"/>
          <w:bCs w:val="0"/>
          <w:sz w:val="24"/>
          <w:szCs w:val="24"/>
          <w:lang w:val="en-US"/>
        </w:rPr>
        <w:t>Family stress is not just psychological; it affects routines, resources for job search or education, and the emotional safety net needed to recover from setbacks. The model is especially relevant for explaining why some households, once economically inactive, find it hard to re-enter stable employment. If household stress becomes chronic, the negative effects roll forward into future transitions.</w:t>
      </w:r>
    </w:p>
    <w:p w14:paraId="09BD2432">
      <w:pPr>
        <w:spacing w:line="240" w:lineRule="auto"/>
        <w:jc w:val="both"/>
        <w:rPr>
          <w:rFonts w:hint="default"/>
          <w:b w:val="0"/>
          <w:bCs w:val="0"/>
          <w:sz w:val="24"/>
          <w:szCs w:val="24"/>
          <w:lang w:val="en-US"/>
        </w:rPr>
      </w:pPr>
    </w:p>
    <w:p w14:paraId="28DC913C">
      <w:pPr>
        <w:spacing w:line="240" w:lineRule="auto"/>
        <w:jc w:val="both"/>
        <w:rPr>
          <w:rFonts w:hint="default"/>
          <w:b/>
          <w:bCs/>
          <w:sz w:val="24"/>
          <w:szCs w:val="24"/>
          <w:lang w:val="en-US"/>
        </w:rPr>
      </w:pPr>
      <w:r>
        <w:rPr>
          <w:rFonts w:hint="default"/>
          <w:b/>
          <w:bCs/>
          <w:sz w:val="24"/>
          <w:szCs w:val="24"/>
          <w:lang w:val="en-US"/>
        </w:rPr>
        <w:t>Gender Role Theory and Social Norms</w:t>
      </w:r>
    </w:p>
    <w:p w14:paraId="0EAA3E2E">
      <w:pPr>
        <w:spacing w:line="240" w:lineRule="auto"/>
        <w:jc w:val="both"/>
        <w:rPr>
          <w:rFonts w:hint="default"/>
          <w:b w:val="0"/>
          <w:bCs w:val="0"/>
          <w:sz w:val="24"/>
          <w:szCs w:val="24"/>
          <w:lang w:val="en-US"/>
        </w:rPr>
      </w:pPr>
      <w:r>
        <w:rPr>
          <w:rFonts w:hint="default"/>
          <w:b w:val="0"/>
          <w:bCs w:val="0"/>
          <w:sz w:val="24"/>
          <w:szCs w:val="24"/>
          <w:lang w:val="en-US"/>
        </w:rPr>
        <w:t>Gender role theory recognizes that employment and domestic responsibilities within households are shaped by deeply held social norms about gender (Bennett and Daly, 2014). In most UK families, even today, women tend to be more involved in unpaid household and caring work, especially during periods of childcare or eldercare, which can reduce their labor market participation. Men, by contrast, are usually expected to remain continuously active in paid work across the life course.</w:t>
      </w:r>
    </w:p>
    <w:p w14:paraId="41D90A28">
      <w:pPr>
        <w:spacing w:line="240" w:lineRule="auto"/>
        <w:jc w:val="both"/>
        <w:rPr>
          <w:rFonts w:hint="default"/>
          <w:b w:val="0"/>
          <w:bCs w:val="0"/>
          <w:sz w:val="24"/>
          <w:szCs w:val="24"/>
          <w:lang w:val="en-US"/>
        </w:rPr>
      </w:pPr>
    </w:p>
    <w:p w14:paraId="77B61085">
      <w:pPr>
        <w:spacing w:line="240" w:lineRule="auto"/>
        <w:jc w:val="both"/>
        <w:rPr>
          <w:rFonts w:hint="default"/>
          <w:b w:val="0"/>
          <w:bCs w:val="0"/>
          <w:sz w:val="24"/>
          <w:szCs w:val="24"/>
          <w:lang w:val="en-US"/>
        </w:rPr>
      </w:pPr>
      <w:r>
        <w:rPr>
          <w:rFonts w:hint="default"/>
          <w:b w:val="0"/>
          <w:bCs w:val="0"/>
          <w:sz w:val="24"/>
          <w:szCs w:val="24"/>
          <w:lang w:val="en-US"/>
        </w:rPr>
        <w:t>Domestic division of labor is maintained by both policy and custom. For example, gaps in paid parental leave lead to mothers taking longer career breaks, hampering promotion and wage prospects (Bennett and Daly, 2014). During crises—such as illness or unemployment—these traditional patterns can be reinforced, making it more likely that women’s careers are interrupted while men seek re-employment (Cohn-Schwartz, 2024). Policy design (e.g., who qualifies for benefits, ease of flexible working) either challenges or upholds these gender roles.</w:t>
      </w:r>
    </w:p>
    <w:p w14:paraId="6B29DA19">
      <w:pPr>
        <w:spacing w:line="240" w:lineRule="auto"/>
        <w:jc w:val="both"/>
        <w:rPr>
          <w:rFonts w:hint="default"/>
          <w:b w:val="0"/>
          <w:bCs w:val="0"/>
          <w:sz w:val="24"/>
          <w:szCs w:val="24"/>
          <w:lang w:val="en-US"/>
        </w:rPr>
      </w:pPr>
    </w:p>
    <w:p w14:paraId="78FCF485">
      <w:pPr>
        <w:spacing w:line="240" w:lineRule="auto"/>
        <w:jc w:val="both"/>
        <w:rPr>
          <w:rFonts w:hint="default"/>
          <w:b/>
          <w:bCs/>
          <w:sz w:val="24"/>
          <w:szCs w:val="24"/>
          <w:lang w:val="en-US"/>
        </w:rPr>
      </w:pPr>
      <w:r>
        <w:rPr>
          <w:rFonts w:hint="default"/>
          <w:b/>
          <w:bCs/>
          <w:sz w:val="24"/>
          <w:szCs w:val="24"/>
          <w:lang w:val="en-US"/>
        </w:rPr>
        <w:t>Social Capital and Social Networks</w:t>
      </w:r>
    </w:p>
    <w:p w14:paraId="103F869F">
      <w:pPr>
        <w:spacing w:line="240" w:lineRule="auto"/>
        <w:jc w:val="both"/>
        <w:rPr>
          <w:rFonts w:hint="default"/>
          <w:b w:val="0"/>
          <w:bCs w:val="0"/>
          <w:sz w:val="24"/>
          <w:szCs w:val="24"/>
          <w:lang w:val="en-US"/>
        </w:rPr>
      </w:pPr>
      <w:r>
        <w:rPr>
          <w:rFonts w:hint="default"/>
          <w:b w:val="0"/>
          <w:bCs w:val="0"/>
          <w:sz w:val="24"/>
          <w:szCs w:val="24"/>
          <w:lang w:val="en-US"/>
        </w:rPr>
        <w:t>Social capital theory highlights the importance of social ties, community belonging, and trust in facilitating economic activity (Putnam, 2000; Zhang et al., 2022). Households rich in social capital—strong friendships, supportive relatives, engaged neighbors—are better able to find work, access resources, and recover from setbacks. Trusting communities can provide job leads, informal childcare, or mutual aid during hard times.</w:t>
      </w:r>
    </w:p>
    <w:p w14:paraId="041F48AE">
      <w:pPr>
        <w:spacing w:line="240" w:lineRule="auto"/>
        <w:jc w:val="both"/>
        <w:rPr>
          <w:rFonts w:hint="default"/>
          <w:b w:val="0"/>
          <w:bCs w:val="0"/>
          <w:sz w:val="24"/>
          <w:szCs w:val="24"/>
          <w:lang w:val="en-US"/>
        </w:rPr>
      </w:pPr>
    </w:p>
    <w:p w14:paraId="5F1C4AFD">
      <w:pPr>
        <w:spacing w:line="240" w:lineRule="auto"/>
        <w:jc w:val="both"/>
        <w:rPr>
          <w:rFonts w:hint="default"/>
          <w:b w:val="0"/>
          <w:bCs w:val="0"/>
          <w:sz w:val="24"/>
          <w:szCs w:val="24"/>
          <w:lang w:val="en-US"/>
        </w:rPr>
      </w:pPr>
      <w:r>
        <w:rPr>
          <w:rFonts w:hint="default"/>
          <w:b w:val="0"/>
          <w:bCs w:val="0"/>
          <w:sz w:val="24"/>
          <w:szCs w:val="24"/>
          <w:lang w:val="en-US"/>
        </w:rPr>
        <w:t>The value of social capital grows across the life course: for example, older adults with active social circles fare better after retirement, while workless younger adults with strong networks have more chances to return to work (Gómez-Balcácer et al., 2022). Research shows social exclusion and isolation not only reduce household wellbeing but can also make economic re-integration harder.</w:t>
      </w:r>
    </w:p>
    <w:p w14:paraId="2C756787">
      <w:pPr>
        <w:spacing w:line="240" w:lineRule="auto"/>
        <w:jc w:val="both"/>
        <w:rPr>
          <w:rFonts w:hint="default"/>
          <w:b w:val="0"/>
          <w:bCs w:val="0"/>
          <w:sz w:val="24"/>
          <w:szCs w:val="24"/>
          <w:lang w:val="en-US"/>
        </w:rPr>
      </w:pPr>
    </w:p>
    <w:p w14:paraId="5F78BC4A">
      <w:pPr>
        <w:spacing w:line="240" w:lineRule="auto"/>
        <w:jc w:val="both"/>
        <w:rPr>
          <w:rFonts w:hint="default"/>
          <w:b/>
          <w:bCs/>
          <w:sz w:val="24"/>
          <w:szCs w:val="24"/>
          <w:lang w:val="en-US"/>
        </w:rPr>
      </w:pPr>
      <w:r>
        <w:rPr>
          <w:rFonts w:hint="default"/>
          <w:b/>
          <w:bCs/>
          <w:sz w:val="24"/>
          <w:szCs w:val="24"/>
          <w:lang w:val="en-US"/>
        </w:rPr>
        <w:t>Household Production and Consumption Theory</w:t>
      </w:r>
    </w:p>
    <w:p w14:paraId="1BBE4351">
      <w:pPr>
        <w:spacing w:line="240" w:lineRule="auto"/>
        <w:jc w:val="both"/>
        <w:rPr>
          <w:rFonts w:hint="default"/>
          <w:b w:val="0"/>
          <w:bCs w:val="0"/>
          <w:sz w:val="24"/>
          <w:szCs w:val="24"/>
          <w:lang w:val="en-US"/>
        </w:rPr>
      </w:pPr>
      <w:r>
        <w:rPr>
          <w:rFonts w:hint="default"/>
          <w:b w:val="0"/>
          <w:bCs w:val="0"/>
          <w:sz w:val="24"/>
          <w:szCs w:val="24"/>
          <w:lang w:val="en-US"/>
        </w:rPr>
        <w:t>This theory looks at how unpaid work—such as childcare, eldercare, and housework—varies by age and gender, and its economic value (Vargha et al., 2017). It argues that much of a household’s contribution goes unnoticed in market metrics: for instance, the care work provided by grandparents or the learning support given by unemployed parents. Household economics thus cannot be understood only in terms of formal employment. Intergenerational transfers—such as grandparents helping with childcare—are a core means by which households manage aging, health, and economic shocks.</w:t>
      </w:r>
    </w:p>
    <w:p w14:paraId="75D388DD">
      <w:pPr>
        <w:spacing w:line="240" w:lineRule="auto"/>
        <w:jc w:val="both"/>
        <w:rPr>
          <w:rFonts w:hint="default"/>
          <w:b w:val="0"/>
          <w:bCs w:val="0"/>
          <w:sz w:val="24"/>
          <w:szCs w:val="24"/>
          <w:lang w:val="en-US"/>
        </w:rPr>
      </w:pPr>
    </w:p>
    <w:p w14:paraId="4D9B296F">
      <w:pPr>
        <w:spacing w:line="240" w:lineRule="auto"/>
        <w:jc w:val="both"/>
        <w:rPr>
          <w:rFonts w:hint="default"/>
          <w:b w:val="0"/>
          <w:bCs w:val="0"/>
          <w:sz w:val="24"/>
          <w:szCs w:val="24"/>
          <w:lang w:val="en-US"/>
        </w:rPr>
      </w:pPr>
      <w:r>
        <w:rPr>
          <w:rFonts w:hint="default"/>
          <w:b w:val="0"/>
          <w:bCs w:val="0"/>
          <w:sz w:val="24"/>
          <w:szCs w:val="24"/>
          <w:lang w:val="en-US"/>
        </w:rPr>
        <w:t>National Transfer Accounts (NTA) frameworks have been used to capture these “invisible” flows, showing that while much public attention focuses on pensions and state support, household-level production and care are equally vital in sustaining wellbeing across generations (Vargha et al., 2017).</w:t>
      </w:r>
    </w:p>
    <w:p w14:paraId="66895068">
      <w:pPr>
        <w:spacing w:line="240" w:lineRule="auto"/>
        <w:jc w:val="both"/>
        <w:rPr>
          <w:rFonts w:hint="default"/>
          <w:b/>
          <w:bCs/>
          <w:sz w:val="24"/>
          <w:szCs w:val="24"/>
          <w:lang w:val="en-US"/>
        </w:rPr>
      </w:pPr>
      <w:r>
        <w:rPr>
          <w:rFonts w:hint="default"/>
          <w:b/>
          <w:bCs/>
          <w:sz w:val="24"/>
          <w:szCs w:val="24"/>
          <w:lang w:val="en-US"/>
        </w:rPr>
        <w:t>Subjective Wellbeing Theory</w:t>
      </w:r>
    </w:p>
    <w:p w14:paraId="09A3FD70">
      <w:pPr>
        <w:spacing w:line="240" w:lineRule="auto"/>
        <w:jc w:val="both"/>
        <w:rPr>
          <w:rFonts w:hint="default"/>
          <w:b w:val="0"/>
          <w:bCs w:val="0"/>
          <w:sz w:val="24"/>
          <w:szCs w:val="24"/>
          <w:lang w:val="en-US"/>
        </w:rPr>
      </w:pPr>
      <w:r>
        <w:rPr>
          <w:rFonts w:hint="default"/>
          <w:b w:val="0"/>
          <w:bCs w:val="0"/>
          <w:sz w:val="24"/>
          <w:szCs w:val="24"/>
          <w:lang w:val="en-US"/>
        </w:rPr>
        <w:t>Subjective wellbeing theory, sometimes called the “happiness approach,” recognizes that income is not the whole story: life satisfaction, meaning, and community are crucial. Studies show that jobs bring not only money but structure, identity, and social connections; thus, involuntary inactivity, for young and old alike, is associated with lower wellbeing (Zhang et al., 2022). A resilient household is often one with diversified assets and strong community attachment—the latter boosting happiness regardless of wealth (Akanni et al., 2015).</w:t>
      </w:r>
    </w:p>
    <w:p w14:paraId="7F613D57">
      <w:pPr>
        <w:spacing w:line="240" w:lineRule="auto"/>
        <w:jc w:val="both"/>
        <w:rPr>
          <w:rFonts w:hint="default"/>
          <w:b w:val="0"/>
          <w:bCs w:val="0"/>
          <w:sz w:val="24"/>
          <w:szCs w:val="24"/>
          <w:lang w:val="en-US"/>
        </w:rPr>
      </w:pPr>
    </w:p>
    <w:p w14:paraId="3EC065DB">
      <w:pPr>
        <w:spacing w:line="240" w:lineRule="auto"/>
        <w:jc w:val="both"/>
        <w:rPr>
          <w:rFonts w:hint="default"/>
          <w:b w:val="0"/>
          <w:bCs w:val="0"/>
          <w:sz w:val="24"/>
          <w:szCs w:val="24"/>
          <w:lang w:val="en-US"/>
        </w:rPr>
      </w:pPr>
      <w:r>
        <w:rPr>
          <w:rFonts w:hint="default"/>
          <w:b w:val="0"/>
          <w:bCs w:val="0"/>
          <w:sz w:val="24"/>
          <w:szCs w:val="24"/>
          <w:lang w:val="en-US"/>
        </w:rPr>
        <w:t>This theory helps explain why transitions (like job loss or retirement) have different psychological effects depending on age, SES, and community context. It also makes clear why mixed or workless households often report lower mental health, and why interventions need to address both objective conditions (work, pay) and subjective experiences (esteem, autonomy).</w:t>
      </w:r>
    </w:p>
    <w:p w14:paraId="0870AB4E">
      <w:pPr>
        <w:spacing w:line="240" w:lineRule="auto"/>
        <w:jc w:val="both"/>
        <w:rPr>
          <w:rFonts w:hint="default"/>
          <w:b w:val="0"/>
          <w:bCs w:val="0"/>
          <w:sz w:val="24"/>
          <w:szCs w:val="24"/>
          <w:lang w:val="en-US"/>
        </w:rPr>
      </w:pPr>
    </w:p>
    <w:p w14:paraId="6DD6D69D">
      <w:pPr>
        <w:spacing w:line="240" w:lineRule="auto"/>
        <w:jc w:val="both"/>
        <w:rPr>
          <w:rFonts w:hint="default"/>
          <w:b/>
          <w:bCs/>
          <w:sz w:val="24"/>
          <w:szCs w:val="24"/>
          <w:lang w:val="en-US"/>
        </w:rPr>
      </w:pPr>
      <w:r>
        <w:rPr>
          <w:rFonts w:hint="default"/>
          <w:b/>
          <w:bCs/>
          <w:sz w:val="24"/>
          <w:szCs w:val="24"/>
          <w:lang w:val="en-US"/>
        </w:rPr>
        <w:t>Intergenerational Transmission and Linked-Lives</w:t>
      </w:r>
    </w:p>
    <w:p w14:paraId="60A9B02F">
      <w:pPr>
        <w:spacing w:line="240" w:lineRule="auto"/>
        <w:jc w:val="both"/>
        <w:rPr>
          <w:rFonts w:hint="default"/>
          <w:b w:val="0"/>
          <w:bCs w:val="0"/>
          <w:sz w:val="24"/>
          <w:szCs w:val="24"/>
          <w:lang w:val="en-US"/>
        </w:rPr>
      </w:pPr>
      <w:r>
        <w:rPr>
          <w:rFonts w:hint="default"/>
          <w:b w:val="0"/>
          <w:bCs w:val="0"/>
          <w:sz w:val="24"/>
          <w:szCs w:val="24"/>
          <w:lang w:val="en-US"/>
        </w:rPr>
        <w:t>Finally, theories of “linked lives” and intergenerational transmission highlight how parents’ labor market histories, attitudes, and relationships impact children’s own economic trajectories (Vargha et al., 2017). This transmission is not just genetic or material: values about work, the importance of education, and the modeling of coping strategies all flow from one generation to the next. As such, policies to improve household economic activity need to focus not just on individuals but entire family systems, recognizing that unlocking opportunity for one member can change the fortunes of the whole (Swain et al., 2020).</w:t>
      </w:r>
    </w:p>
    <w:p w14:paraId="0287EFD2">
      <w:pPr>
        <w:spacing w:line="240" w:lineRule="auto"/>
        <w:jc w:val="both"/>
        <w:rPr>
          <w:rFonts w:hint="default"/>
          <w:b w:val="0"/>
          <w:bCs w:val="0"/>
          <w:sz w:val="24"/>
          <w:szCs w:val="24"/>
          <w:lang w:val="en-US"/>
        </w:rPr>
      </w:pPr>
    </w:p>
    <w:p w14:paraId="72FEF320">
      <w:pPr>
        <w:spacing w:line="240" w:lineRule="auto"/>
        <w:jc w:val="both"/>
        <w:rPr>
          <w:rFonts w:hint="default"/>
          <w:b/>
          <w:bCs/>
          <w:sz w:val="24"/>
          <w:szCs w:val="24"/>
          <w:lang w:val="en-US"/>
        </w:rPr>
      </w:pPr>
      <w:r>
        <w:rPr>
          <w:rFonts w:hint="default"/>
          <w:b/>
          <w:bCs/>
          <w:sz w:val="24"/>
          <w:szCs w:val="24"/>
          <w:lang w:val="en-US"/>
        </w:rPr>
        <w:t>HYPOTHESES</w:t>
      </w:r>
    </w:p>
    <w:p w14:paraId="45664286">
      <w:pPr>
        <w:spacing w:line="240" w:lineRule="auto"/>
        <w:jc w:val="both"/>
        <w:rPr>
          <w:rFonts w:hint="default"/>
          <w:b w:val="0"/>
          <w:bCs w:val="0"/>
          <w:sz w:val="24"/>
          <w:szCs w:val="24"/>
          <w:lang w:val="en-US"/>
        </w:rPr>
      </w:pPr>
      <w:r>
        <w:rPr>
          <w:rFonts w:hint="default"/>
          <w:b w:val="0"/>
          <w:bCs w:val="0"/>
          <w:sz w:val="24"/>
          <w:szCs w:val="24"/>
          <w:lang w:val="en-US"/>
        </w:rPr>
        <w:t>Based on the reviewed literature and theories, the following hypotheses are proposed:</w:t>
      </w:r>
    </w:p>
    <w:p w14:paraId="0EA0851D">
      <w:pPr>
        <w:spacing w:line="240" w:lineRule="auto"/>
        <w:jc w:val="both"/>
        <w:rPr>
          <w:rFonts w:hint="default"/>
          <w:b w:val="0"/>
          <w:bCs w:val="0"/>
          <w:sz w:val="24"/>
          <w:szCs w:val="24"/>
          <w:lang w:val="en-US"/>
        </w:rPr>
      </w:pPr>
    </w:p>
    <w:p w14:paraId="52E86E95">
      <w:pPr>
        <w:spacing w:line="240" w:lineRule="auto"/>
        <w:jc w:val="both"/>
        <w:rPr>
          <w:rFonts w:hint="default"/>
          <w:b w:val="0"/>
          <w:bCs w:val="0"/>
          <w:sz w:val="24"/>
          <w:szCs w:val="24"/>
          <w:lang w:val="en-US"/>
        </w:rPr>
      </w:pPr>
      <w:r>
        <w:rPr>
          <w:rFonts w:hint="default"/>
          <w:b w:val="0"/>
          <w:bCs w:val="0"/>
          <w:sz w:val="24"/>
          <w:szCs w:val="24"/>
          <w:lang w:val="en-US"/>
        </w:rPr>
        <w:t>H1: Households with a larger proportion of working-age adults (25-64) are significantly more likely to be classified as working compared to those dominated by younger (16-24) or older (65+) age groups.</w:t>
      </w:r>
    </w:p>
    <w:p w14:paraId="51D69AE5">
      <w:pPr>
        <w:spacing w:line="240" w:lineRule="auto"/>
        <w:jc w:val="both"/>
        <w:rPr>
          <w:rFonts w:hint="default"/>
          <w:b w:val="0"/>
          <w:bCs w:val="0"/>
          <w:sz w:val="24"/>
          <w:szCs w:val="24"/>
          <w:lang w:val="en-US"/>
        </w:rPr>
      </w:pPr>
    </w:p>
    <w:p w14:paraId="4CE7396B">
      <w:pPr>
        <w:spacing w:line="240" w:lineRule="auto"/>
        <w:jc w:val="both"/>
        <w:rPr>
          <w:rFonts w:hint="default"/>
          <w:b w:val="0"/>
          <w:bCs w:val="0"/>
          <w:sz w:val="24"/>
          <w:szCs w:val="24"/>
          <w:lang w:val="en-US"/>
        </w:rPr>
      </w:pPr>
      <w:r>
        <w:rPr>
          <w:rFonts w:hint="default"/>
          <w:b w:val="0"/>
          <w:bCs w:val="0"/>
          <w:sz w:val="24"/>
          <w:szCs w:val="24"/>
          <w:lang w:val="en-US"/>
        </w:rPr>
        <w:t>H2: Income diversification, such as having multiple earners or varied income sources, reduces the likelihood that a household is mixed or workless.</w:t>
      </w:r>
    </w:p>
    <w:p w14:paraId="2C030F4F">
      <w:pPr>
        <w:spacing w:line="240" w:lineRule="auto"/>
        <w:jc w:val="both"/>
        <w:rPr>
          <w:rFonts w:hint="default"/>
          <w:b w:val="0"/>
          <w:bCs w:val="0"/>
          <w:sz w:val="24"/>
          <w:szCs w:val="24"/>
          <w:lang w:val="en-US"/>
        </w:rPr>
      </w:pPr>
    </w:p>
    <w:p w14:paraId="3B14FC36">
      <w:pPr>
        <w:spacing w:line="240" w:lineRule="auto"/>
        <w:jc w:val="both"/>
        <w:rPr>
          <w:rFonts w:hint="default"/>
          <w:b w:val="0"/>
          <w:bCs w:val="0"/>
          <w:sz w:val="24"/>
          <w:szCs w:val="24"/>
          <w:lang w:val="en-US"/>
        </w:rPr>
      </w:pPr>
      <w:r>
        <w:rPr>
          <w:rFonts w:hint="default"/>
          <w:b w:val="0"/>
          <w:bCs w:val="0"/>
          <w:sz w:val="24"/>
          <w:szCs w:val="24"/>
          <w:lang w:val="en-US"/>
        </w:rPr>
        <w:t>H3: Community attachment and social capital have a positive effect on transitioning workless or mixed-status households into economically active ones.</w:t>
      </w:r>
    </w:p>
    <w:p w14:paraId="7EAE16B4">
      <w:pPr>
        <w:spacing w:line="240" w:lineRule="auto"/>
        <w:jc w:val="both"/>
        <w:rPr>
          <w:rFonts w:hint="default"/>
          <w:b w:val="0"/>
          <w:bCs w:val="0"/>
          <w:sz w:val="24"/>
          <w:szCs w:val="24"/>
          <w:lang w:val="en-US"/>
        </w:rPr>
      </w:pPr>
    </w:p>
    <w:p w14:paraId="16263D65">
      <w:pPr>
        <w:spacing w:line="240" w:lineRule="auto"/>
        <w:jc w:val="both"/>
        <w:rPr>
          <w:rFonts w:hint="default"/>
          <w:b w:val="0"/>
          <w:bCs w:val="0"/>
          <w:sz w:val="24"/>
          <w:szCs w:val="24"/>
          <w:lang w:val="en-US"/>
        </w:rPr>
      </w:pPr>
      <w:r>
        <w:rPr>
          <w:rFonts w:hint="default"/>
          <w:b w:val="0"/>
          <w:bCs w:val="0"/>
          <w:sz w:val="24"/>
          <w:szCs w:val="24"/>
          <w:lang w:val="en-US"/>
        </w:rPr>
        <w:t>H4: The presence of financial, physical, human, and social assets increases subjective wellbeing in all types of households but is especially protective in mixed and workless households.</w:t>
      </w:r>
    </w:p>
    <w:p w14:paraId="247895A9">
      <w:pPr>
        <w:spacing w:line="240" w:lineRule="auto"/>
        <w:jc w:val="both"/>
        <w:rPr>
          <w:rFonts w:hint="default"/>
          <w:b w:val="0"/>
          <w:bCs w:val="0"/>
          <w:sz w:val="24"/>
          <w:szCs w:val="24"/>
          <w:lang w:val="en-US"/>
        </w:rPr>
      </w:pPr>
    </w:p>
    <w:p w14:paraId="5BBFD5B0">
      <w:pPr>
        <w:spacing w:line="240" w:lineRule="auto"/>
        <w:jc w:val="both"/>
        <w:rPr>
          <w:rFonts w:hint="default"/>
          <w:b w:val="0"/>
          <w:bCs w:val="0"/>
          <w:sz w:val="24"/>
          <w:szCs w:val="24"/>
          <w:lang w:val="en-US"/>
        </w:rPr>
      </w:pPr>
      <w:r>
        <w:rPr>
          <w:rFonts w:hint="default"/>
          <w:b/>
          <w:bCs/>
          <w:sz w:val="24"/>
          <w:szCs w:val="24"/>
          <w:lang w:val="en-US"/>
        </w:rPr>
        <w:t>CONCEPTUAL FRAMEWORK</w:t>
      </w:r>
    </w:p>
    <w:p w14:paraId="6D3B87AF">
      <w:pPr>
        <w:spacing w:line="240" w:lineRule="auto"/>
        <w:jc w:val="both"/>
        <w:rPr>
          <w:rFonts w:hint="default"/>
          <w:b w:val="0"/>
          <w:bCs w:val="0"/>
          <w:sz w:val="24"/>
          <w:szCs w:val="24"/>
          <w:lang w:val="en-US"/>
        </w:rPr>
      </w:pPr>
      <w:r>
        <w:rPr>
          <w:rFonts w:hint="default"/>
          <w:b w:val="0"/>
          <w:bCs w:val="0"/>
          <w:sz w:val="24"/>
          <w:szCs w:val="24"/>
          <w:lang w:val="en-US"/>
        </w:rPr>
        <w:t>The conceptual framework guiding this study aims to explain how age group composition within UK households interacts with household resources, social context, and economic behaviors to produce differing economic activity status—working, mixed, or workless.</w:t>
      </w:r>
    </w:p>
    <w:p w14:paraId="228C00A3">
      <w:pPr>
        <w:spacing w:line="240" w:lineRule="auto"/>
        <w:jc w:val="both"/>
        <w:rPr>
          <w:rFonts w:hint="default"/>
          <w:b w:val="0"/>
          <w:bCs w:val="0"/>
          <w:sz w:val="24"/>
          <w:szCs w:val="24"/>
          <w:lang w:val="en-US"/>
        </w:rPr>
      </w:pPr>
    </w:p>
    <w:p w14:paraId="04A5FBDC">
      <w:pPr>
        <w:spacing w:line="240" w:lineRule="auto"/>
        <w:jc w:val="both"/>
        <w:rPr>
          <w:rFonts w:hint="default"/>
          <w:b/>
          <w:bCs/>
          <w:sz w:val="24"/>
          <w:szCs w:val="24"/>
          <w:lang w:val="en-US"/>
        </w:rPr>
      </w:pPr>
      <w:r>
        <w:rPr>
          <w:rFonts w:hint="default"/>
          <w:b/>
          <w:bCs/>
          <w:sz w:val="24"/>
          <w:szCs w:val="24"/>
          <w:lang w:val="en-US"/>
        </w:rPr>
        <w:t>1. Age Structure as the Foundation</w:t>
      </w:r>
    </w:p>
    <w:p w14:paraId="308B1420">
      <w:pPr>
        <w:spacing w:line="240" w:lineRule="auto"/>
        <w:jc w:val="both"/>
        <w:rPr>
          <w:rFonts w:hint="default"/>
          <w:b w:val="0"/>
          <w:bCs w:val="0"/>
          <w:sz w:val="24"/>
          <w:szCs w:val="24"/>
          <w:lang w:val="en-US"/>
        </w:rPr>
      </w:pPr>
      <w:r>
        <w:rPr>
          <w:rFonts w:hint="default"/>
          <w:b w:val="0"/>
          <w:bCs w:val="0"/>
          <w:sz w:val="24"/>
          <w:szCs w:val="24"/>
          <w:lang w:val="en-US"/>
        </w:rPr>
        <w:t>The starting point is age structure: the proportional presence of children, youth, working-age adults, and elderly in a household. Each age group brings varying levels of labor market participation, economic dependency, and care needs (Vargha et al., 2017). Younger households may be more dependent and workless due to education, while older households may be workless due to retirement and health limitations.</w:t>
      </w:r>
    </w:p>
    <w:p w14:paraId="648F1339">
      <w:pPr>
        <w:spacing w:line="240" w:lineRule="auto"/>
        <w:jc w:val="both"/>
        <w:rPr>
          <w:rFonts w:hint="default"/>
          <w:b w:val="0"/>
          <w:bCs w:val="0"/>
          <w:sz w:val="24"/>
          <w:szCs w:val="24"/>
          <w:lang w:val="en-US"/>
        </w:rPr>
      </w:pPr>
    </w:p>
    <w:p w14:paraId="46E04342">
      <w:pPr>
        <w:spacing w:line="240" w:lineRule="auto"/>
        <w:jc w:val="both"/>
        <w:rPr>
          <w:rFonts w:hint="default"/>
          <w:b/>
          <w:bCs/>
          <w:sz w:val="24"/>
          <w:szCs w:val="24"/>
          <w:lang w:val="en-US"/>
        </w:rPr>
      </w:pPr>
      <w:r>
        <w:rPr>
          <w:rFonts w:hint="default"/>
          <w:b/>
          <w:bCs/>
          <w:sz w:val="24"/>
          <w:szCs w:val="24"/>
          <w:lang w:val="en-US"/>
        </w:rPr>
        <w:t>2. Household Assets: The Resource Base</w:t>
      </w:r>
    </w:p>
    <w:p w14:paraId="1A61D3F6">
      <w:pPr>
        <w:spacing w:line="240" w:lineRule="auto"/>
        <w:jc w:val="both"/>
        <w:rPr>
          <w:rFonts w:hint="default"/>
          <w:b w:val="0"/>
          <w:bCs w:val="0"/>
          <w:sz w:val="24"/>
          <w:szCs w:val="24"/>
          <w:lang w:val="en-US"/>
        </w:rPr>
      </w:pPr>
      <w:r>
        <w:rPr>
          <w:rFonts w:hint="default"/>
          <w:b w:val="0"/>
          <w:bCs w:val="0"/>
          <w:sz w:val="24"/>
          <w:szCs w:val="24"/>
          <w:lang w:val="en-US"/>
        </w:rPr>
        <w:t>The next layer is household assets, encompassing financial (income, savings), physical (property, durable goods), human (education, skills), and social (networks, trust) assets (Gamage et al., 2015). These resources determine a household’s resilience: those with a strong asset base weather unemployment, health shocks, or structural changes (Akanni et al., 2015). Human assets, such as education and skills, enhance employability across all age groups. Physical assets like homeownership offer security, while financial assets buffer against volatility. Social assets, including relationships and reputation, open doors in the local labor market, fostering community resilience (Gamage et al., 2015).</w:t>
      </w:r>
    </w:p>
    <w:p w14:paraId="7BEDACB1">
      <w:pPr>
        <w:spacing w:line="240" w:lineRule="auto"/>
        <w:jc w:val="both"/>
        <w:rPr>
          <w:rFonts w:hint="default"/>
          <w:b w:val="0"/>
          <w:bCs w:val="0"/>
          <w:sz w:val="24"/>
          <w:szCs w:val="24"/>
          <w:lang w:val="en-US"/>
        </w:rPr>
      </w:pPr>
    </w:p>
    <w:p w14:paraId="45FACDA9">
      <w:pPr>
        <w:spacing w:line="240" w:lineRule="auto"/>
        <w:jc w:val="both"/>
        <w:rPr>
          <w:rFonts w:hint="default"/>
          <w:b w:val="0"/>
          <w:bCs w:val="0"/>
          <w:sz w:val="24"/>
          <w:szCs w:val="24"/>
          <w:lang w:val="en-US"/>
        </w:rPr>
      </w:pPr>
      <w:r>
        <w:rPr>
          <w:rFonts w:hint="default"/>
          <w:b/>
          <w:bCs/>
          <w:sz w:val="24"/>
          <w:szCs w:val="24"/>
          <w:lang w:val="en-US"/>
        </w:rPr>
        <w:t>3. Income Diversification and Economic Adaptation</w:t>
      </w:r>
    </w:p>
    <w:p w14:paraId="221FD150">
      <w:pPr>
        <w:spacing w:line="240" w:lineRule="auto"/>
        <w:jc w:val="both"/>
        <w:rPr>
          <w:rFonts w:hint="default"/>
          <w:b w:val="0"/>
          <w:bCs w:val="0"/>
          <w:sz w:val="24"/>
          <w:szCs w:val="24"/>
          <w:lang w:val="en-US"/>
        </w:rPr>
      </w:pPr>
      <w:r>
        <w:rPr>
          <w:rFonts w:hint="default"/>
          <w:b w:val="0"/>
          <w:bCs w:val="0"/>
          <w:sz w:val="24"/>
          <w:szCs w:val="24"/>
          <w:lang w:val="en-US"/>
        </w:rPr>
        <w:t>Income diversification is critical in reducing household vulnerability—having income from multiple sources (e.g., different jobs, investments, benefits) means economic shocks affect households less severely (Davis &amp; Pearce, 2000). Mixed households, often those with only one earner or a combination of earners and dependents, are more exposed to risk; income diversification can move them toward economic activity and out of poverty (Gamage et al., 2015).</w:t>
      </w:r>
    </w:p>
    <w:p w14:paraId="22884530">
      <w:pPr>
        <w:spacing w:line="240" w:lineRule="auto"/>
        <w:jc w:val="both"/>
        <w:rPr>
          <w:rFonts w:hint="default"/>
          <w:b w:val="0"/>
          <w:bCs w:val="0"/>
          <w:sz w:val="24"/>
          <w:szCs w:val="24"/>
          <w:lang w:val="en-US"/>
        </w:rPr>
      </w:pPr>
    </w:p>
    <w:p w14:paraId="2D17BC9E">
      <w:pPr>
        <w:spacing w:line="240" w:lineRule="auto"/>
        <w:jc w:val="both"/>
        <w:rPr>
          <w:rFonts w:hint="default"/>
          <w:b/>
          <w:bCs/>
          <w:sz w:val="24"/>
          <w:szCs w:val="24"/>
          <w:lang w:val="en-US"/>
        </w:rPr>
      </w:pPr>
      <w:r>
        <w:rPr>
          <w:rFonts w:hint="default"/>
          <w:b/>
          <w:bCs/>
          <w:sz w:val="24"/>
          <w:szCs w:val="24"/>
          <w:lang w:val="en-US"/>
        </w:rPr>
        <w:t>4. Community Attachment and Social Capital</w:t>
      </w:r>
    </w:p>
    <w:p w14:paraId="613238CF">
      <w:pPr>
        <w:spacing w:line="240" w:lineRule="auto"/>
        <w:jc w:val="both"/>
        <w:rPr>
          <w:rFonts w:hint="default"/>
          <w:b w:val="0"/>
          <w:bCs w:val="0"/>
          <w:sz w:val="24"/>
          <w:szCs w:val="24"/>
          <w:lang w:val="en-US"/>
        </w:rPr>
      </w:pPr>
      <w:r>
        <w:rPr>
          <w:rFonts w:hint="default"/>
          <w:b w:val="0"/>
          <w:bCs w:val="0"/>
          <w:sz w:val="24"/>
          <w:szCs w:val="24"/>
          <w:lang w:val="en-US"/>
        </w:rPr>
        <w:t>Beyond the household, the framework includes community attachment and social capital. Strong ties to the local community provide access to informal resources: job leads, childcare swaps, emotional support, and collective problem-solving (Putnam, 2000; Zhang et al., 2022). Studies show that households embedded in supportive networks recover from worklessness and other shocks more quickly (Gómez-Balcácer et al., 2022). Community attachment is broader than just social assets—it covers environmental quality, neighborhood safety, and access to amenities. Households with higher community attachment experience greater subjective wellbeing, stability, and participation in economic life (Gamage et al., 2015).</w:t>
      </w:r>
    </w:p>
    <w:p w14:paraId="24F0E7DE">
      <w:pPr>
        <w:spacing w:line="240" w:lineRule="auto"/>
        <w:jc w:val="both"/>
        <w:rPr>
          <w:rFonts w:hint="default"/>
          <w:b w:val="0"/>
          <w:bCs w:val="0"/>
          <w:sz w:val="24"/>
          <w:szCs w:val="24"/>
          <w:lang w:val="en-US"/>
        </w:rPr>
      </w:pPr>
    </w:p>
    <w:p w14:paraId="790A310E">
      <w:pPr>
        <w:spacing w:line="240" w:lineRule="auto"/>
        <w:jc w:val="both"/>
        <w:rPr>
          <w:rFonts w:hint="default"/>
          <w:b/>
          <w:bCs/>
          <w:sz w:val="24"/>
          <w:szCs w:val="24"/>
          <w:lang w:val="en-US"/>
        </w:rPr>
      </w:pPr>
      <w:r>
        <w:rPr>
          <w:rFonts w:hint="default"/>
          <w:b/>
          <w:bCs/>
          <w:sz w:val="24"/>
          <w:szCs w:val="24"/>
          <w:lang w:val="en-US"/>
        </w:rPr>
        <w:t>5. Subjective Wellbeing and Life Satisfaction</w:t>
      </w:r>
    </w:p>
    <w:p w14:paraId="241ADC63">
      <w:pPr>
        <w:spacing w:line="240" w:lineRule="auto"/>
        <w:jc w:val="both"/>
        <w:rPr>
          <w:rFonts w:hint="default"/>
          <w:b w:val="0"/>
          <w:bCs w:val="0"/>
          <w:sz w:val="24"/>
          <w:szCs w:val="24"/>
          <w:lang w:val="en-US"/>
        </w:rPr>
      </w:pPr>
      <w:r>
        <w:rPr>
          <w:rFonts w:hint="default"/>
          <w:b w:val="0"/>
          <w:bCs w:val="0"/>
          <w:sz w:val="24"/>
          <w:szCs w:val="24"/>
          <w:lang w:val="en-US"/>
        </w:rPr>
        <w:t>The framework highlights subjective wellbeing—the sense of satisfaction, happiness, and stability experienced by household members—as both an outcome and feedback loop in the process (Gamage et al., 2015). Wellbeing is shaped by both objective resources (income, employment) and subjective experiences (community belonging, autonomy, purpose). Households with high subjective wellbeing tend to show greater adaptability and resilience in the face of economic shocks (Akanni et al., 2015).</w:t>
      </w:r>
    </w:p>
    <w:p w14:paraId="58B582E7">
      <w:pPr>
        <w:spacing w:line="240" w:lineRule="auto"/>
        <w:jc w:val="both"/>
        <w:rPr>
          <w:rFonts w:hint="default"/>
          <w:b w:val="0"/>
          <w:bCs w:val="0"/>
          <w:sz w:val="24"/>
          <w:szCs w:val="24"/>
          <w:lang w:val="en-US"/>
        </w:rPr>
      </w:pPr>
    </w:p>
    <w:p w14:paraId="4CDF98B9">
      <w:pPr>
        <w:spacing w:line="240" w:lineRule="auto"/>
        <w:jc w:val="both"/>
        <w:rPr>
          <w:rFonts w:hint="default"/>
          <w:b/>
          <w:bCs/>
          <w:sz w:val="24"/>
          <w:szCs w:val="24"/>
          <w:lang w:val="en-US"/>
        </w:rPr>
      </w:pPr>
      <w:r>
        <w:rPr>
          <w:rFonts w:hint="default"/>
          <w:b/>
          <w:bCs/>
          <w:sz w:val="24"/>
          <w:szCs w:val="24"/>
          <w:lang w:val="en-US"/>
        </w:rPr>
        <w:t>6. Dynamic Pathways and Moderators</w:t>
      </w:r>
    </w:p>
    <w:p w14:paraId="0A011500">
      <w:pPr>
        <w:spacing w:line="240" w:lineRule="auto"/>
        <w:jc w:val="both"/>
        <w:rPr>
          <w:rFonts w:hint="default"/>
          <w:b w:val="0"/>
          <w:bCs w:val="0"/>
          <w:sz w:val="24"/>
          <w:szCs w:val="24"/>
          <w:lang w:val="en-US"/>
        </w:rPr>
      </w:pPr>
      <w:r>
        <w:rPr>
          <w:rFonts w:hint="default"/>
          <w:b w:val="0"/>
          <w:bCs w:val="0"/>
          <w:sz w:val="24"/>
          <w:szCs w:val="24"/>
          <w:lang w:val="en-US"/>
        </w:rPr>
        <w:t>Throughout, there is recognition of dynamic pathways—transitions between household statuses over time. For example, an unemployed parent re-entering work may transform a workless household into a mixed or working one; an elderly member’s retirement could revert a working household to mixed status (Vargha et al., 2017). Moderators affect these transitions: health shocks, policy interventions, shifts in family structure (e.g., divorce, children leaving home), and macroeconomic change. The framework’s inclusivity allows for these life events to alter the course of household economic participation (Pham et al., 2023).</w:t>
      </w:r>
    </w:p>
    <w:p w14:paraId="03E1BBBE">
      <w:pPr>
        <w:spacing w:line="240" w:lineRule="auto"/>
        <w:jc w:val="both"/>
        <w:rPr>
          <w:rFonts w:hint="default"/>
          <w:b w:val="0"/>
          <w:bCs w:val="0"/>
          <w:sz w:val="24"/>
          <w:szCs w:val="24"/>
          <w:lang w:val="en-US"/>
        </w:rPr>
      </w:pPr>
    </w:p>
    <w:p w14:paraId="18D5693F">
      <w:pPr>
        <w:spacing w:line="240" w:lineRule="auto"/>
        <w:jc w:val="both"/>
        <w:rPr>
          <w:rFonts w:hint="default"/>
          <w:b/>
          <w:bCs/>
          <w:sz w:val="24"/>
          <w:szCs w:val="24"/>
          <w:lang w:val="en-US"/>
        </w:rPr>
      </w:pPr>
      <w:r>
        <w:rPr>
          <w:rFonts w:hint="default"/>
          <w:b/>
          <w:bCs/>
          <w:sz w:val="24"/>
          <w:szCs w:val="24"/>
          <w:lang w:val="en-US"/>
        </w:rPr>
        <w:t>7. Feedback Loops and Policy Implications</w:t>
      </w:r>
    </w:p>
    <w:p w14:paraId="6141CD8C">
      <w:pPr>
        <w:spacing w:line="240" w:lineRule="auto"/>
        <w:jc w:val="both"/>
        <w:rPr>
          <w:rFonts w:hint="default"/>
          <w:b w:val="0"/>
          <w:bCs w:val="0"/>
          <w:sz w:val="24"/>
          <w:szCs w:val="24"/>
          <w:lang w:val="en-US"/>
        </w:rPr>
      </w:pPr>
      <w:r>
        <w:rPr>
          <w:rFonts w:hint="default"/>
          <w:b w:val="0"/>
          <w:bCs w:val="0"/>
          <w:sz w:val="24"/>
          <w:szCs w:val="24"/>
          <w:lang w:val="en-US"/>
        </w:rPr>
        <w:t>Crucially, the framework recognizes feedback loops: experiences of economic activity or inactivity reinforce future opportunities. Workless households may experience diminished skills, confidence, and social connections, making escape from inactivity more difficult (Hornstra et al., 2021). Conversely, working households benefit from momentum and positive modeling for children, increasing the likelihood of future economic participation by the next generation.</w:t>
      </w:r>
    </w:p>
    <w:p w14:paraId="210DF476">
      <w:pPr>
        <w:spacing w:line="240" w:lineRule="auto"/>
        <w:jc w:val="both"/>
        <w:rPr>
          <w:rFonts w:hint="default"/>
          <w:b w:val="0"/>
          <w:bCs w:val="0"/>
          <w:sz w:val="24"/>
          <w:szCs w:val="24"/>
          <w:lang w:val="en-US"/>
        </w:rPr>
      </w:pPr>
    </w:p>
    <w:p w14:paraId="7EEDD7B2">
      <w:pPr>
        <w:spacing w:line="240" w:lineRule="auto"/>
        <w:jc w:val="both"/>
        <w:rPr>
          <w:rFonts w:hint="default"/>
          <w:b w:val="0"/>
          <w:bCs w:val="0"/>
          <w:sz w:val="24"/>
          <w:szCs w:val="24"/>
          <w:lang w:val="en-US"/>
        </w:rPr>
      </w:pPr>
      <w:r>
        <w:rPr>
          <w:rFonts w:hint="default"/>
          <w:b w:val="0"/>
          <w:bCs w:val="0"/>
          <w:sz w:val="24"/>
          <w:szCs w:val="24"/>
          <w:lang w:val="en-US"/>
        </w:rPr>
        <w:t>Policy design affects all levels of this framework. Interventions that enhance asset development, income diversification, community attachment, or support for key life transitions (like re-skilling adults or supporting carers) can enable households to remain or become economically active (Gamage et al., 2015).</w:t>
      </w:r>
    </w:p>
    <w:p w14:paraId="28FCE85B">
      <w:pPr>
        <w:spacing w:line="240" w:lineRule="auto"/>
        <w:jc w:val="both"/>
        <w:rPr>
          <w:rFonts w:hint="default"/>
          <w:b w:val="0"/>
          <w:bCs w:val="0"/>
          <w:sz w:val="24"/>
          <w:szCs w:val="24"/>
          <w:lang w:val="en-US"/>
        </w:rPr>
      </w:pPr>
    </w:p>
    <w:p w14:paraId="7EC7FEAE">
      <w:pPr>
        <w:spacing w:line="240" w:lineRule="auto"/>
        <w:jc w:val="both"/>
        <w:rPr>
          <w:rFonts w:hint="default"/>
          <w:b/>
          <w:bCs/>
          <w:sz w:val="28"/>
          <w:szCs w:val="28"/>
          <w:lang w:val="en-US"/>
        </w:rPr>
      </w:pPr>
    </w:p>
    <w:p w14:paraId="416A4C71">
      <w:pPr>
        <w:spacing w:line="240" w:lineRule="auto"/>
        <w:jc w:val="both"/>
        <w:rPr>
          <w:rFonts w:hint="default"/>
          <w:b/>
          <w:bCs/>
          <w:sz w:val="28"/>
          <w:szCs w:val="28"/>
          <w:lang w:val="en-US"/>
        </w:rPr>
      </w:pPr>
      <w:r>
        <w:drawing>
          <wp:anchor distT="0" distB="0" distL="114300" distR="114300" simplePos="0" relativeHeight="251660288" behindDoc="0" locked="0" layoutInCell="1" allowOverlap="1">
            <wp:simplePos x="0" y="0"/>
            <wp:positionH relativeFrom="column">
              <wp:posOffset>527050</wp:posOffset>
            </wp:positionH>
            <wp:positionV relativeFrom="paragraph">
              <wp:posOffset>12065</wp:posOffset>
            </wp:positionV>
            <wp:extent cx="4301490" cy="32004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6"/>
                    <a:stretch>
                      <a:fillRect/>
                    </a:stretch>
                  </pic:blipFill>
                  <pic:spPr>
                    <a:xfrm>
                      <a:off x="0" y="0"/>
                      <a:ext cx="4301490" cy="3200400"/>
                    </a:xfrm>
                    <a:prstGeom prst="rect">
                      <a:avLst/>
                    </a:prstGeom>
                    <a:noFill/>
                    <a:ln>
                      <a:noFill/>
                    </a:ln>
                  </pic:spPr>
                </pic:pic>
              </a:graphicData>
            </a:graphic>
          </wp:anchor>
        </w:drawing>
      </w:r>
      <w:r>
        <w:rPr>
          <w:rFonts w:ascii="SimSun" w:hAnsi="SimSun" w:eastAsia="SimSun" w:cs="SimSun"/>
          <w:sz w:val="24"/>
          <w:szCs w:val="24"/>
        </w:rPr>
        <w:drawing>
          <wp:inline distT="0" distB="0" distL="114300" distR="114300">
            <wp:extent cx="304800" cy="304800"/>
            <wp:effectExtent l="0" t="0" r="0"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7"/>
                    <a:stretch>
                      <a:fillRect/>
                    </a:stretch>
                  </pic:blipFill>
                  <pic:spPr>
                    <a:xfrm>
                      <a:off x="0" y="0"/>
                      <a:ext cx="304800" cy="304800"/>
                    </a:xfrm>
                    <a:prstGeom prst="rect">
                      <a:avLst/>
                    </a:prstGeom>
                    <a:noFill/>
                    <a:ln w="9525">
                      <a:noFill/>
                    </a:ln>
                  </pic:spPr>
                </pic:pic>
              </a:graphicData>
            </a:graphic>
          </wp:inline>
        </w:drawing>
      </w:r>
    </w:p>
    <w:p w14:paraId="747A1BBB">
      <w:pPr>
        <w:spacing w:line="240" w:lineRule="auto"/>
        <w:jc w:val="both"/>
        <w:rPr>
          <w:rFonts w:hint="default"/>
          <w:b/>
          <w:bCs/>
          <w:sz w:val="28"/>
          <w:szCs w:val="28"/>
          <w:lang w:val="en-US"/>
        </w:rPr>
      </w:pPr>
    </w:p>
    <w:p w14:paraId="3F30DCF5">
      <w:pPr>
        <w:spacing w:line="240" w:lineRule="auto"/>
        <w:jc w:val="both"/>
        <w:rPr>
          <w:rFonts w:hint="default"/>
          <w:b/>
          <w:bCs/>
          <w:sz w:val="28"/>
          <w:szCs w:val="28"/>
          <w:lang w:val="en-US"/>
        </w:rPr>
      </w:pPr>
    </w:p>
    <w:p w14:paraId="38102B61">
      <w:pPr>
        <w:spacing w:line="240" w:lineRule="auto"/>
        <w:jc w:val="both"/>
        <w:rPr>
          <w:rFonts w:hint="default"/>
          <w:b/>
          <w:bCs/>
          <w:sz w:val="28"/>
          <w:szCs w:val="28"/>
          <w:lang w:val="en-US"/>
        </w:rPr>
      </w:pPr>
    </w:p>
    <w:p w14:paraId="176AA910">
      <w:pPr>
        <w:spacing w:line="240" w:lineRule="auto"/>
        <w:jc w:val="both"/>
        <w:rPr>
          <w:rFonts w:hint="default"/>
          <w:b/>
          <w:bCs/>
          <w:sz w:val="28"/>
          <w:szCs w:val="28"/>
          <w:lang w:val="en-US"/>
        </w:rPr>
      </w:pPr>
    </w:p>
    <w:p w14:paraId="057384F6">
      <w:pPr>
        <w:spacing w:line="240" w:lineRule="auto"/>
        <w:jc w:val="both"/>
        <w:rPr>
          <w:rFonts w:hint="default"/>
          <w:b/>
          <w:bCs/>
          <w:sz w:val="28"/>
          <w:szCs w:val="28"/>
          <w:lang w:val="en-US"/>
        </w:rPr>
      </w:pPr>
    </w:p>
    <w:p w14:paraId="4C4438FD">
      <w:pPr>
        <w:spacing w:line="240" w:lineRule="auto"/>
        <w:jc w:val="both"/>
        <w:rPr>
          <w:rFonts w:hint="default"/>
          <w:b/>
          <w:bCs/>
          <w:sz w:val="28"/>
          <w:szCs w:val="28"/>
          <w:lang w:val="en-US"/>
        </w:rPr>
      </w:pPr>
    </w:p>
    <w:p w14:paraId="6F0399BA">
      <w:pPr>
        <w:spacing w:line="240" w:lineRule="auto"/>
        <w:jc w:val="both"/>
        <w:rPr>
          <w:rFonts w:hint="default"/>
          <w:b/>
          <w:bCs/>
          <w:sz w:val="28"/>
          <w:szCs w:val="28"/>
          <w:lang w:val="en-US"/>
        </w:rPr>
      </w:pPr>
    </w:p>
    <w:p w14:paraId="24C932A0">
      <w:pPr>
        <w:spacing w:line="240" w:lineRule="auto"/>
        <w:jc w:val="both"/>
        <w:rPr>
          <w:rFonts w:hint="default"/>
          <w:b/>
          <w:bCs/>
          <w:sz w:val="28"/>
          <w:szCs w:val="28"/>
          <w:lang w:val="en-US"/>
        </w:rPr>
      </w:pPr>
    </w:p>
    <w:p w14:paraId="4B002B26">
      <w:pPr>
        <w:spacing w:line="240" w:lineRule="auto"/>
        <w:jc w:val="both"/>
        <w:rPr>
          <w:rFonts w:hint="default"/>
          <w:b/>
          <w:bCs/>
          <w:sz w:val="28"/>
          <w:szCs w:val="28"/>
          <w:lang w:val="en-US"/>
        </w:rPr>
      </w:pPr>
    </w:p>
    <w:p w14:paraId="52E5FDD8">
      <w:pPr>
        <w:spacing w:line="240" w:lineRule="auto"/>
        <w:jc w:val="both"/>
        <w:rPr>
          <w:rFonts w:hint="default"/>
          <w:b/>
          <w:bCs/>
          <w:sz w:val="28"/>
          <w:szCs w:val="28"/>
          <w:lang w:val="en-US"/>
        </w:rPr>
      </w:pPr>
    </w:p>
    <w:p w14:paraId="490A358D">
      <w:pPr>
        <w:spacing w:line="240" w:lineRule="auto"/>
        <w:jc w:val="both"/>
        <w:rPr>
          <w:rFonts w:hint="default"/>
          <w:b/>
          <w:bCs/>
          <w:sz w:val="28"/>
          <w:szCs w:val="28"/>
          <w:lang w:val="en-US"/>
        </w:rPr>
      </w:pPr>
    </w:p>
    <w:p w14:paraId="7C74F9E5">
      <w:pPr>
        <w:spacing w:line="240" w:lineRule="auto"/>
        <w:jc w:val="both"/>
        <w:rPr>
          <w:rFonts w:hint="default"/>
          <w:b/>
          <w:bCs/>
          <w:sz w:val="28"/>
          <w:szCs w:val="28"/>
          <w:lang w:val="en-US"/>
        </w:rPr>
      </w:pPr>
    </w:p>
    <w:p w14:paraId="289D22DA">
      <w:pPr>
        <w:spacing w:line="240" w:lineRule="auto"/>
        <w:jc w:val="both"/>
        <w:rPr>
          <w:rFonts w:hint="default"/>
          <w:b/>
          <w:bCs/>
          <w:sz w:val="28"/>
          <w:szCs w:val="28"/>
          <w:lang w:val="en-US"/>
        </w:rPr>
      </w:pPr>
    </w:p>
    <w:p w14:paraId="2FBFB32C">
      <w:pPr>
        <w:spacing w:line="240" w:lineRule="auto"/>
        <w:jc w:val="both"/>
        <w:rPr>
          <w:rFonts w:hint="default"/>
          <w:b/>
          <w:bCs/>
          <w:sz w:val="28"/>
          <w:szCs w:val="28"/>
          <w:lang w:val="en-US"/>
        </w:rPr>
      </w:pPr>
      <w:r>
        <w:rPr>
          <w:rFonts w:hint="default"/>
          <w:b/>
          <w:bCs/>
          <w:sz w:val="28"/>
          <w:szCs w:val="28"/>
          <w:lang w:val="en-US"/>
        </w:rPr>
        <w:t>Methodology</w:t>
      </w:r>
    </w:p>
    <w:p w14:paraId="77A01300">
      <w:pPr>
        <w:spacing w:line="240" w:lineRule="auto"/>
        <w:jc w:val="both"/>
        <w:rPr>
          <w:rFonts w:hint="default"/>
          <w:b/>
          <w:bCs/>
          <w:sz w:val="28"/>
          <w:szCs w:val="28"/>
          <w:lang w:val="en-US"/>
        </w:rPr>
      </w:pPr>
    </w:p>
    <w:p w14:paraId="72E1E888">
      <w:pPr>
        <w:spacing w:line="240" w:lineRule="auto"/>
        <w:jc w:val="both"/>
        <w:rPr>
          <w:rFonts w:hint="default"/>
          <w:b/>
          <w:bCs/>
          <w:sz w:val="24"/>
          <w:szCs w:val="24"/>
          <w:lang w:val="en-US"/>
        </w:rPr>
      </w:pPr>
      <w:r>
        <w:rPr>
          <w:rFonts w:hint="default"/>
          <w:b/>
          <w:bCs/>
          <w:sz w:val="24"/>
          <w:szCs w:val="24"/>
          <w:lang w:val="en-US"/>
        </w:rPr>
        <w:t>Correlational Study</w:t>
      </w:r>
    </w:p>
    <w:p w14:paraId="2F1F4CE3">
      <w:pPr>
        <w:spacing w:line="240" w:lineRule="auto"/>
        <w:jc w:val="both"/>
        <w:rPr>
          <w:rFonts w:hint="default"/>
          <w:b w:val="0"/>
          <w:bCs w:val="0"/>
          <w:sz w:val="24"/>
          <w:szCs w:val="24"/>
          <w:lang w:val="en-US"/>
        </w:rPr>
      </w:pPr>
      <w:r>
        <w:rPr>
          <w:rFonts w:hint="default"/>
          <w:b w:val="0"/>
          <w:bCs w:val="0"/>
          <w:sz w:val="24"/>
          <w:szCs w:val="24"/>
          <w:lang w:val="en-US"/>
        </w:rPr>
        <w:t>A correlational research method is ideal for this study because it allows examination of the natural relationships between household age composition (independent variable) and economic activity status classifications (dependent variable) without manipulation. Unlike experimental designs, correlational studies are suitable where it isn't possible or ethical to control variables but where understanding association strength and direction is crucial (Pallant, 2020; Schober et al., 2018). This approach enables investigation into whether and how certain age group proportions within households relate to being working, mixed, or workless.</w:t>
      </w:r>
    </w:p>
    <w:p w14:paraId="38B90E48">
      <w:pPr>
        <w:spacing w:line="240" w:lineRule="auto"/>
        <w:jc w:val="both"/>
        <w:rPr>
          <w:rFonts w:hint="default"/>
          <w:b w:val="0"/>
          <w:bCs w:val="0"/>
          <w:sz w:val="24"/>
          <w:szCs w:val="24"/>
          <w:lang w:val="en-US"/>
        </w:rPr>
      </w:pPr>
    </w:p>
    <w:p w14:paraId="05CBBAC3">
      <w:pPr>
        <w:spacing w:line="240" w:lineRule="auto"/>
        <w:jc w:val="both"/>
        <w:rPr>
          <w:rFonts w:hint="default"/>
          <w:b w:val="0"/>
          <w:bCs w:val="0"/>
          <w:sz w:val="24"/>
          <w:szCs w:val="24"/>
          <w:lang w:val="en-US"/>
        </w:rPr>
      </w:pPr>
      <w:r>
        <w:rPr>
          <w:rFonts w:hint="default"/>
          <w:b w:val="0"/>
          <w:bCs w:val="0"/>
          <w:sz w:val="24"/>
          <w:szCs w:val="24"/>
          <w:lang w:val="en-US"/>
        </w:rPr>
        <w:t>Correlational analysis is widely used in social sciences, labor economics, and demography for examining household-level dynamics (Vargha et al., 2017; Gamage et al., 2015), aligning well with the research aims and objectives here. It allows for analysis of the linear or monotonic relationships between variables, providing insight on how age groups may predict or relate to economic activity classifications in UK households.</w:t>
      </w:r>
    </w:p>
    <w:p w14:paraId="0BFC7BAF">
      <w:pPr>
        <w:spacing w:line="240" w:lineRule="auto"/>
        <w:jc w:val="both"/>
        <w:rPr>
          <w:rFonts w:hint="default"/>
          <w:b/>
          <w:bCs/>
          <w:sz w:val="24"/>
          <w:szCs w:val="24"/>
          <w:lang w:val="en-US"/>
        </w:rPr>
      </w:pPr>
    </w:p>
    <w:p w14:paraId="79DA56DD">
      <w:pPr>
        <w:spacing w:line="240" w:lineRule="auto"/>
        <w:jc w:val="both"/>
        <w:rPr>
          <w:rFonts w:hint="default"/>
          <w:b/>
          <w:bCs/>
          <w:sz w:val="24"/>
          <w:szCs w:val="24"/>
          <w:lang w:val="en-US"/>
        </w:rPr>
      </w:pPr>
      <w:r>
        <w:rPr>
          <w:rFonts w:hint="default"/>
          <w:b/>
          <w:bCs/>
          <w:sz w:val="24"/>
          <w:szCs w:val="24"/>
          <w:lang w:val="en-US"/>
        </w:rPr>
        <w:t>Population and Sample Selection Criteria</w:t>
      </w:r>
    </w:p>
    <w:p w14:paraId="5C4B261E">
      <w:pPr>
        <w:spacing w:line="240" w:lineRule="auto"/>
        <w:jc w:val="both"/>
        <w:rPr>
          <w:rFonts w:hint="default"/>
          <w:b w:val="0"/>
          <w:bCs w:val="0"/>
          <w:sz w:val="24"/>
          <w:szCs w:val="24"/>
          <w:lang w:val="en-US"/>
        </w:rPr>
      </w:pPr>
      <w:r>
        <w:rPr>
          <w:rFonts w:hint="default"/>
          <w:b w:val="0"/>
          <w:bCs w:val="0"/>
          <w:sz w:val="24"/>
          <w:szCs w:val="24"/>
          <w:lang w:val="en-US"/>
        </w:rPr>
        <w:t>The population targeted consists of households throughout the United Kingdom with at least one resident aged 16 years or older—this threshold reflects the typical working-age start and matches prior research boundaries (Vargha et al., 2017). Households containing individuals below 16 or institutional residents are excluded to maintain focus on typical economic activity patterns relevant to working age and older adults.</w:t>
      </w:r>
    </w:p>
    <w:p w14:paraId="11FF0566">
      <w:pPr>
        <w:spacing w:line="240" w:lineRule="auto"/>
        <w:jc w:val="both"/>
        <w:rPr>
          <w:rFonts w:hint="default"/>
          <w:b w:val="0"/>
          <w:bCs w:val="0"/>
          <w:sz w:val="24"/>
          <w:szCs w:val="24"/>
          <w:lang w:val="en-US"/>
        </w:rPr>
      </w:pPr>
    </w:p>
    <w:p w14:paraId="68A58514">
      <w:pPr>
        <w:spacing w:line="240" w:lineRule="auto"/>
        <w:jc w:val="both"/>
        <w:rPr>
          <w:rFonts w:hint="default"/>
          <w:b w:val="0"/>
          <w:bCs w:val="0"/>
          <w:sz w:val="24"/>
          <w:szCs w:val="24"/>
          <w:lang w:val="en-US"/>
        </w:rPr>
      </w:pPr>
      <w:r>
        <w:rPr>
          <w:rFonts w:hint="default"/>
          <w:b w:val="0"/>
          <w:bCs w:val="0"/>
          <w:sz w:val="24"/>
          <w:szCs w:val="24"/>
          <w:lang w:val="en-US"/>
        </w:rPr>
        <w:t>Sample selection is based on a stratified random sampling process ensuring representation across geographic regions (England, Scotland, Wales, Northern Ireland), urban versus rural areas, socioeconomic backgrounds, and ethnicity, as prior research indicates these factors mediate economic activity and dependency (Bryman, 2016; Vlachantoni et al., 2024). Stratification ensures findings are generalizable to the broader UK household population. The dataset from January to March 2024 provides data sampled to reflect these demographic categories with economic activity status indicated for each household member. The sample size in the dataset exceeds 40 million people across household categories, providing robust numbers for analysis in each age group and economic activity classification.</w:t>
      </w:r>
    </w:p>
    <w:p w14:paraId="283717D5">
      <w:pPr>
        <w:spacing w:line="240" w:lineRule="auto"/>
        <w:jc w:val="both"/>
        <w:rPr>
          <w:rFonts w:hint="default"/>
          <w:b w:val="0"/>
          <w:bCs w:val="0"/>
          <w:sz w:val="24"/>
          <w:szCs w:val="24"/>
          <w:lang w:val="en-US"/>
        </w:rPr>
      </w:pPr>
    </w:p>
    <w:p w14:paraId="17CBEF1E">
      <w:pPr>
        <w:spacing w:line="240" w:lineRule="auto"/>
        <w:jc w:val="both"/>
        <w:rPr>
          <w:rFonts w:hint="default"/>
          <w:b/>
          <w:bCs/>
          <w:sz w:val="24"/>
          <w:szCs w:val="24"/>
          <w:lang w:val="en-US"/>
        </w:rPr>
      </w:pPr>
      <w:r>
        <w:rPr>
          <w:rFonts w:hint="default"/>
          <w:b/>
          <w:bCs/>
          <w:sz w:val="24"/>
          <w:szCs w:val="24"/>
          <w:lang w:val="en-US"/>
        </w:rPr>
        <w:t>Variables and Their Measurement</w:t>
      </w:r>
    </w:p>
    <w:p w14:paraId="1F6306C5">
      <w:pPr>
        <w:spacing w:line="240" w:lineRule="auto"/>
        <w:jc w:val="both"/>
        <w:rPr>
          <w:rFonts w:hint="default"/>
          <w:b/>
          <w:bCs/>
          <w:sz w:val="24"/>
          <w:szCs w:val="24"/>
          <w:lang w:val="en-US"/>
        </w:rPr>
      </w:pPr>
    </w:p>
    <w:p w14:paraId="0BEBF5B1">
      <w:pPr>
        <w:spacing w:line="240" w:lineRule="auto"/>
        <w:jc w:val="both"/>
        <w:rPr>
          <w:rFonts w:hint="default"/>
          <w:b/>
          <w:bCs/>
          <w:sz w:val="24"/>
          <w:szCs w:val="24"/>
          <w:lang w:val="en-US"/>
        </w:rPr>
      </w:pPr>
      <w:r>
        <w:rPr>
          <w:rFonts w:hint="default"/>
          <w:b/>
          <w:bCs/>
          <w:sz w:val="24"/>
          <w:szCs w:val="24"/>
          <w:lang w:val="en-US"/>
        </w:rPr>
        <w:t>Dependent Variable:</w:t>
      </w:r>
    </w:p>
    <w:p w14:paraId="0DB521D3">
      <w:pPr>
        <w:spacing w:line="240" w:lineRule="auto"/>
        <w:jc w:val="both"/>
        <w:rPr>
          <w:rFonts w:hint="default"/>
          <w:b w:val="0"/>
          <w:bCs w:val="0"/>
          <w:sz w:val="24"/>
          <w:szCs w:val="24"/>
          <w:lang w:val="en-US"/>
        </w:rPr>
      </w:pPr>
      <w:r>
        <w:rPr>
          <w:rFonts w:hint="default"/>
          <w:b w:val="0"/>
          <w:bCs w:val="0"/>
          <w:sz w:val="24"/>
          <w:szCs w:val="24"/>
          <w:lang w:val="en-US"/>
        </w:rPr>
        <w:t>Household Economic Activity Status: This categorical variable classifies households as:</w:t>
      </w:r>
    </w:p>
    <w:p w14:paraId="7DBE0F29">
      <w:pPr>
        <w:spacing w:line="240" w:lineRule="auto"/>
        <w:jc w:val="both"/>
        <w:rPr>
          <w:rFonts w:hint="default"/>
          <w:b w:val="0"/>
          <w:bCs w:val="0"/>
          <w:sz w:val="24"/>
          <w:szCs w:val="24"/>
          <w:lang w:val="en-US"/>
        </w:rPr>
      </w:pPr>
    </w:p>
    <w:p w14:paraId="1A625859">
      <w:pPr>
        <w:numPr>
          <w:ilvl w:val="0"/>
          <w:numId w:val="5"/>
        </w:numPr>
        <w:spacing w:line="240" w:lineRule="auto"/>
        <w:ind w:left="420" w:leftChars="0" w:hanging="420" w:firstLineChars="0"/>
        <w:jc w:val="both"/>
        <w:rPr>
          <w:rFonts w:hint="default"/>
          <w:b w:val="0"/>
          <w:bCs w:val="0"/>
          <w:sz w:val="24"/>
          <w:szCs w:val="24"/>
          <w:lang w:val="en-US"/>
        </w:rPr>
      </w:pPr>
      <w:r>
        <w:rPr>
          <w:rFonts w:hint="default"/>
          <w:b w:val="0"/>
          <w:bCs w:val="0"/>
          <w:sz w:val="24"/>
          <w:szCs w:val="24"/>
          <w:lang w:val="en-US"/>
        </w:rPr>
        <w:t>Working households: all working-age adults employed</w:t>
      </w:r>
    </w:p>
    <w:p w14:paraId="7D0C8E47">
      <w:pPr>
        <w:spacing w:line="240" w:lineRule="auto"/>
        <w:jc w:val="both"/>
        <w:rPr>
          <w:rFonts w:hint="default"/>
          <w:b w:val="0"/>
          <w:bCs w:val="0"/>
          <w:sz w:val="24"/>
          <w:szCs w:val="24"/>
          <w:lang w:val="en-US"/>
        </w:rPr>
      </w:pPr>
    </w:p>
    <w:p w14:paraId="0575A6F6">
      <w:pPr>
        <w:numPr>
          <w:ilvl w:val="0"/>
          <w:numId w:val="5"/>
        </w:numPr>
        <w:spacing w:line="240" w:lineRule="auto"/>
        <w:ind w:left="420" w:leftChars="0" w:hanging="420" w:firstLineChars="0"/>
        <w:jc w:val="both"/>
        <w:rPr>
          <w:rFonts w:hint="default"/>
          <w:b w:val="0"/>
          <w:bCs w:val="0"/>
          <w:sz w:val="24"/>
          <w:szCs w:val="24"/>
          <w:lang w:val="en-US"/>
        </w:rPr>
      </w:pPr>
      <w:r>
        <w:rPr>
          <w:rFonts w:hint="default"/>
          <w:b w:val="0"/>
          <w:bCs w:val="0"/>
          <w:sz w:val="24"/>
          <w:szCs w:val="24"/>
          <w:lang w:val="en-US"/>
        </w:rPr>
        <w:t>Mixed households: some working-age adults employed, others not</w:t>
      </w:r>
    </w:p>
    <w:p w14:paraId="38F0A74D">
      <w:pPr>
        <w:spacing w:line="240" w:lineRule="auto"/>
        <w:jc w:val="both"/>
        <w:rPr>
          <w:rFonts w:hint="default"/>
          <w:b w:val="0"/>
          <w:bCs w:val="0"/>
          <w:sz w:val="24"/>
          <w:szCs w:val="24"/>
          <w:lang w:val="en-US"/>
        </w:rPr>
      </w:pPr>
    </w:p>
    <w:p w14:paraId="3B3E0229">
      <w:pPr>
        <w:numPr>
          <w:ilvl w:val="0"/>
          <w:numId w:val="5"/>
        </w:numPr>
        <w:spacing w:line="240" w:lineRule="auto"/>
        <w:ind w:left="420" w:leftChars="0" w:hanging="420" w:firstLineChars="0"/>
        <w:jc w:val="both"/>
        <w:rPr>
          <w:rFonts w:hint="default"/>
          <w:b w:val="0"/>
          <w:bCs w:val="0"/>
          <w:sz w:val="24"/>
          <w:szCs w:val="24"/>
          <w:lang w:val="en-US"/>
        </w:rPr>
      </w:pPr>
      <w:r>
        <w:rPr>
          <w:rFonts w:hint="default"/>
          <w:b w:val="0"/>
          <w:bCs w:val="0"/>
          <w:sz w:val="24"/>
          <w:szCs w:val="24"/>
          <w:lang w:val="en-US"/>
        </w:rPr>
        <w:t>Workless households: no working-age adults employed</w:t>
      </w:r>
    </w:p>
    <w:p w14:paraId="5EB8AC99">
      <w:pPr>
        <w:spacing w:line="240" w:lineRule="auto"/>
        <w:jc w:val="both"/>
        <w:rPr>
          <w:rFonts w:hint="default"/>
          <w:b w:val="0"/>
          <w:bCs w:val="0"/>
          <w:sz w:val="24"/>
          <w:szCs w:val="24"/>
          <w:lang w:val="en-US"/>
        </w:rPr>
      </w:pPr>
      <w:r>
        <w:rPr>
          <w:rFonts w:hint="default"/>
          <w:b w:val="0"/>
          <w:bCs w:val="0"/>
          <w:sz w:val="24"/>
          <w:szCs w:val="24"/>
          <w:lang w:val="en-US"/>
        </w:rPr>
        <w:t>This classification directly measures household economic engagement and is drawn from combined labour force survey information (Hammer, 2015).</w:t>
      </w:r>
    </w:p>
    <w:p w14:paraId="515A09F0">
      <w:pPr>
        <w:spacing w:line="240" w:lineRule="auto"/>
        <w:jc w:val="both"/>
        <w:rPr>
          <w:rFonts w:hint="default"/>
          <w:b w:val="0"/>
          <w:bCs w:val="0"/>
          <w:sz w:val="24"/>
          <w:szCs w:val="24"/>
          <w:lang w:val="en-US"/>
        </w:rPr>
      </w:pPr>
    </w:p>
    <w:p w14:paraId="71740B1B">
      <w:pPr>
        <w:spacing w:line="240" w:lineRule="auto"/>
        <w:jc w:val="both"/>
        <w:rPr>
          <w:rFonts w:hint="default"/>
          <w:b/>
          <w:bCs/>
          <w:sz w:val="24"/>
          <w:szCs w:val="24"/>
          <w:lang w:val="en-US"/>
        </w:rPr>
      </w:pPr>
      <w:r>
        <w:rPr>
          <w:rFonts w:hint="default"/>
          <w:b/>
          <w:bCs/>
          <w:sz w:val="24"/>
          <w:szCs w:val="24"/>
          <w:lang w:val="en-US"/>
        </w:rPr>
        <w:t>Independent Variable:</w:t>
      </w:r>
    </w:p>
    <w:p w14:paraId="17FCF149">
      <w:pPr>
        <w:spacing w:line="240" w:lineRule="auto"/>
        <w:jc w:val="both"/>
        <w:rPr>
          <w:rFonts w:hint="default"/>
          <w:b/>
          <w:bCs/>
          <w:sz w:val="24"/>
          <w:szCs w:val="24"/>
          <w:lang w:val="en-US"/>
        </w:rPr>
      </w:pPr>
    </w:p>
    <w:p w14:paraId="40847C14">
      <w:pPr>
        <w:spacing w:line="240" w:lineRule="auto"/>
        <w:jc w:val="both"/>
        <w:rPr>
          <w:rFonts w:hint="default"/>
          <w:b w:val="0"/>
          <w:bCs w:val="0"/>
          <w:sz w:val="24"/>
          <w:szCs w:val="24"/>
          <w:lang w:val="en-US"/>
        </w:rPr>
      </w:pPr>
      <w:r>
        <w:rPr>
          <w:rFonts w:hint="default"/>
          <w:b/>
          <w:bCs/>
          <w:sz w:val="24"/>
          <w:szCs w:val="24"/>
          <w:lang w:val="en-US"/>
        </w:rPr>
        <w:t>Household Age Composition:</w:t>
      </w:r>
      <w:r>
        <w:rPr>
          <w:rFonts w:hint="default"/>
          <w:b w:val="0"/>
          <w:bCs w:val="0"/>
          <w:sz w:val="24"/>
          <w:szCs w:val="24"/>
          <w:lang w:val="en-US"/>
        </w:rPr>
        <w:t xml:space="preserve"> The proportion of individuals within specified age groups (16-24, 25-34, 35-49, 50-64, 65+) living in the household. Age groups reflect different life stages with distinct labor market participation patterns (Lawson, 2016). Proportions allow examination of whether higher concentrations of specific age groups relate to economic activity status.</w:t>
      </w:r>
    </w:p>
    <w:p w14:paraId="16E909BA">
      <w:pPr>
        <w:spacing w:line="240" w:lineRule="auto"/>
        <w:jc w:val="both"/>
        <w:rPr>
          <w:rFonts w:hint="default"/>
          <w:b w:val="0"/>
          <w:bCs w:val="0"/>
          <w:sz w:val="24"/>
          <w:szCs w:val="24"/>
          <w:lang w:val="en-US"/>
        </w:rPr>
      </w:pPr>
    </w:p>
    <w:p w14:paraId="596A9DD7">
      <w:pPr>
        <w:spacing w:line="240" w:lineRule="auto"/>
        <w:jc w:val="both"/>
        <w:rPr>
          <w:rFonts w:hint="default"/>
          <w:b/>
          <w:bCs/>
          <w:sz w:val="24"/>
          <w:szCs w:val="24"/>
          <w:lang w:val="en-US"/>
        </w:rPr>
      </w:pPr>
      <w:r>
        <w:rPr>
          <w:rFonts w:hint="default"/>
          <w:b/>
          <w:bCs/>
          <w:sz w:val="24"/>
          <w:szCs w:val="24"/>
          <w:lang w:val="en-US"/>
        </w:rPr>
        <w:t>Control/Moderator Variables:</w:t>
      </w:r>
    </w:p>
    <w:p w14:paraId="01C8FF5E">
      <w:pPr>
        <w:spacing w:line="240" w:lineRule="auto"/>
        <w:jc w:val="both"/>
        <w:rPr>
          <w:rFonts w:hint="default"/>
          <w:b/>
          <w:bCs/>
          <w:sz w:val="24"/>
          <w:szCs w:val="24"/>
          <w:lang w:val="en-US"/>
        </w:rPr>
      </w:pPr>
    </w:p>
    <w:p w14:paraId="2A1C2CC5">
      <w:pPr>
        <w:spacing w:line="240" w:lineRule="auto"/>
        <w:jc w:val="both"/>
        <w:rPr>
          <w:rFonts w:hint="default"/>
          <w:b w:val="0"/>
          <w:bCs w:val="0"/>
          <w:sz w:val="24"/>
          <w:szCs w:val="24"/>
          <w:lang w:val="en-US"/>
        </w:rPr>
      </w:pPr>
      <w:r>
        <w:rPr>
          <w:rFonts w:hint="default"/>
          <w:b/>
          <w:bCs/>
          <w:sz w:val="24"/>
          <w:szCs w:val="24"/>
          <w:lang w:val="en-US"/>
        </w:rPr>
        <w:t>Socioeconomic factors:</w:t>
      </w:r>
      <w:r>
        <w:rPr>
          <w:rFonts w:hint="default"/>
          <w:b w:val="0"/>
          <w:bCs w:val="0"/>
          <w:sz w:val="24"/>
          <w:szCs w:val="24"/>
          <w:lang w:val="en-US"/>
        </w:rPr>
        <w:t xml:space="preserve"> Household income levels, education attainment, occupation class reflecting socioeconomic status, known to affect economic participation (Vlachantoni et al., 2024).</w:t>
      </w:r>
    </w:p>
    <w:p w14:paraId="5048198E">
      <w:pPr>
        <w:spacing w:line="240" w:lineRule="auto"/>
        <w:jc w:val="both"/>
        <w:rPr>
          <w:rFonts w:hint="default"/>
          <w:b w:val="0"/>
          <w:bCs w:val="0"/>
          <w:sz w:val="24"/>
          <w:szCs w:val="24"/>
          <w:lang w:val="en-US"/>
        </w:rPr>
      </w:pPr>
    </w:p>
    <w:p w14:paraId="39A50019">
      <w:pPr>
        <w:spacing w:line="240" w:lineRule="auto"/>
        <w:jc w:val="both"/>
        <w:rPr>
          <w:rFonts w:hint="default"/>
          <w:b w:val="0"/>
          <w:bCs w:val="0"/>
          <w:sz w:val="24"/>
          <w:szCs w:val="24"/>
          <w:lang w:val="en-US"/>
        </w:rPr>
      </w:pPr>
      <w:r>
        <w:rPr>
          <w:rFonts w:hint="default"/>
          <w:b/>
          <w:bCs/>
          <w:sz w:val="24"/>
          <w:szCs w:val="24"/>
          <w:lang w:val="en-US"/>
        </w:rPr>
        <w:t>Demographics:</w:t>
      </w:r>
      <w:r>
        <w:rPr>
          <w:rFonts w:hint="default"/>
          <w:b w:val="0"/>
          <w:bCs w:val="0"/>
          <w:sz w:val="24"/>
          <w:szCs w:val="24"/>
          <w:lang w:val="en-US"/>
        </w:rPr>
        <w:t xml:space="preserve"> Household size, presence of children, ethnicity, region, and urban-rural status as these factors impact work opportunity and patterns (Bryman, 2016).</w:t>
      </w:r>
    </w:p>
    <w:p w14:paraId="582317AE">
      <w:pPr>
        <w:spacing w:line="240" w:lineRule="auto"/>
        <w:jc w:val="both"/>
        <w:rPr>
          <w:rFonts w:hint="default"/>
          <w:b w:val="0"/>
          <w:bCs w:val="0"/>
          <w:sz w:val="24"/>
          <w:szCs w:val="24"/>
          <w:lang w:val="en-US"/>
        </w:rPr>
      </w:pPr>
    </w:p>
    <w:p w14:paraId="2176F86E">
      <w:pPr>
        <w:spacing w:line="240" w:lineRule="auto"/>
        <w:jc w:val="both"/>
        <w:rPr>
          <w:rFonts w:hint="default"/>
          <w:b w:val="0"/>
          <w:bCs w:val="0"/>
          <w:sz w:val="24"/>
          <w:szCs w:val="24"/>
          <w:lang w:val="en-US"/>
        </w:rPr>
      </w:pPr>
      <w:r>
        <w:rPr>
          <w:rFonts w:hint="default"/>
          <w:b/>
          <w:bCs/>
          <w:sz w:val="24"/>
          <w:szCs w:val="24"/>
          <w:lang w:val="en-US"/>
        </w:rPr>
        <w:t>Health/disability status</w:t>
      </w:r>
      <w:r>
        <w:rPr>
          <w:rFonts w:hint="default"/>
          <w:b w:val="0"/>
          <w:bCs w:val="0"/>
          <w:sz w:val="24"/>
          <w:szCs w:val="24"/>
          <w:lang w:val="en-US"/>
        </w:rPr>
        <w:t xml:space="preserve"> (where available) as limitations can influence capacity to work and household economic status (Vargha et al., 2017).</w:t>
      </w:r>
    </w:p>
    <w:p w14:paraId="59692B8D">
      <w:pPr>
        <w:spacing w:line="240" w:lineRule="auto"/>
        <w:jc w:val="both"/>
        <w:rPr>
          <w:rFonts w:hint="default"/>
          <w:b/>
          <w:bCs/>
          <w:sz w:val="28"/>
          <w:szCs w:val="28"/>
          <w:lang w:val="en-US"/>
        </w:rPr>
      </w:pPr>
    </w:p>
    <w:p w14:paraId="3F65C00D">
      <w:pPr>
        <w:spacing w:line="240" w:lineRule="auto"/>
        <w:jc w:val="both"/>
        <w:rPr>
          <w:rFonts w:hint="default"/>
          <w:b/>
          <w:bCs/>
          <w:sz w:val="24"/>
          <w:szCs w:val="24"/>
          <w:lang w:val="en-US"/>
        </w:rPr>
      </w:pPr>
      <w:r>
        <w:rPr>
          <w:rFonts w:hint="default"/>
          <w:b/>
          <w:bCs/>
          <w:sz w:val="24"/>
          <w:szCs w:val="24"/>
          <w:lang w:val="en-US"/>
        </w:rPr>
        <w:t>Data Collection</w:t>
      </w:r>
    </w:p>
    <w:p w14:paraId="1EF604AA">
      <w:pPr>
        <w:spacing w:line="240" w:lineRule="auto"/>
        <w:jc w:val="both"/>
        <w:rPr>
          <w:rFonts w:hint="default"/>
          <w:b w:val="0"/>
          <w:bCs w:val="0"/>
          <w:sz w:val="24"/>
          <w:szCs w:val="24"/>
          <w:lang w:val="en-US"/>
        </w:rPr>
      </w:pPr>
    </w:p>
    <w:p w14:paraId="4169F61C">
      <w:pPr>
        <w:spacing w:line="240" w:lineRule="auto"/>
        <w:jc w:val="both"/>
        <w:rPr>
          <w:rFonts w:hint="default"/>
          <w:b w:val="0"/>
          <w:bCs w:val="0"/>
          <w:sz w:val="24"/>
          <w:szCs w:val="24"/>
          <w:lang w:val="en-US"/>
        </w:rPr>
      </w:pPr>
      <w:r>
        <w:rPr>
          <w:rFonts w:hint="default"/>
          <w:b w:val="0"/>
          <w:bCs w:val="0"/>
          <w:sz w:val="24"/>
          <w:szCs w:val="24"/>
          <w:lang w:val="en-US"/>
        </w:rPr>
        <w:t>Data will be sourced from existing national datasets, such as the UK Labour Force Survey (LFS) and the Office for National Statistics (ONS) reports, which provide comprehensive information on household demographics and economic activity. These datasets are publicly accessible and offer reliable, large-scale data suitable for correlational analysis.</w:t>
      </w:r>
    </w:p>
    <w:p w14:paraId="24A31EA4">
      <w:pPr>
        <w:spacing w:line="240" w:lineRule="auto"/>
        <w:jc w:val="both"/>
        <w:rPr>
          <w:rFonts w:hint="default"/>
          <w:b w:val="0"/>
          <w:bCs w:val="0"/>
          <w:sz w:val="24"/>
          <w:szCs w:val="24"/>
          <w:lang w:val="en-US"/>
        </w:rPr>
      </w:pPr>
    </w:p>
    <w:p w14:paraId="4C8E9758">
      <w:pPr>
        <w:spacing w:line="240" w:lineRule="auto"/>
        <w:jc w:val="both"/>
        <w:rPr>
          <w:rFonts w:hint="default"/>
          <w:b/>
          <w:bCs/>
          <w:sz w:val="24"/>
          <w:szCs w:val="24"/>
          <w:lang w:val="en-US"/>
        </w:rPr>
      </w:pPr>
      <w:r>
        <w:rPr>
          <w:rFonts w:hint="default"/>
          <w:b/>
          <w:bCs/>
          <w:sz w:val="24"/>
          <w:szCs w:val="24"/>
          <w:lang w:val="en-US"/>
        </w:rPr>
        <w:t>Entering Dataset into SPSS</w:t>
      </w:r>
    </w:p>
    <w:p w14:paraId="1811DBE6">
      <w:pPr>
        <w:spacing w:line="240" w:lineRule="auto"/>
        <w:jc w:val="both"/>
        <w:rPr>
          <w:rFonts w:hint="default"/>
          <w:b w:val="0"/>
          <w:bCs w:val="0"/>
          <w:sz w:val="24"/>
          <w:szCs w:val="24"/>
          <w:lang w:val="en-US"/>
        </w:rPr>
      </w:pPr>
      <w:r>
        <w:rPr>
          <w:rFonts w:hint="default"/>
          <w:b w:val="0"/>
          <w:bCs w:val="0"/>
          <w:sz w:val="24"/>
          <w:szCs w:val="24"/>
          <w:lang w:val="en-US"/>
        </w:rPr>
        <w:t>Entering data accurately into SPSS is the foundational step for quantitative research. According to Bryman (2016) and guidance from Pallant (2020), SPSS arranges data in a spreadsheet format where each row represents a single case or observation (for example, one household), and each column represents a variable (such as age group proportion, household economic status, income, etc.).</w:t>
      </w:r>
    </w:p>
    <w:p w14:paraId="6AB94ECE">
      <w:pPr>
        <w:spacing w:line="240" w:lineRule="auto"/>
        <w:jc w:val="both"/>
        <w:rPr>
          <w:rFonts w:hint="default"/>
          <w:b w:val="0"/>
          <w:bCs w:val="0"/>
          <w:sz w:val="24"/>
          <w:szCs w:val="24"/>
          <w:lang w:val="en-US"/>
        </w:rPr>
      </w:pPr>
    </w:p>
    <w:p w14:paraId="26B4050F">
      <w:pPr>
        <w:spacing w:line="240" w:lineRule="auto"/>
        <w:jc w:val="both"/>
        <w:rPr>
          <w:rFonts w:hint="default"/>
          <w:b w:val="0"/>
          <w:bCs w:val="0"/>
          <w:sz w:val="24"/>
          <w:szCs w:val="24"/>
          <w:lang w:val="en-US"/>
        </w:rPr>
      </w:pPr>
      <w:r>
        <w:rPr>
          <w:rFonts w:hint="default"/>
          <w:b w:val="0"/>
          <w:bCs w:val="0"/>
          <w:sz w:val="24"/>
          <w:szCs w:val="24"/>
          <w:lang w:val="en-US"/>
        </w:rPr>
        <w:t>The process generally starts in Variable View, where you define all your variables by naming them clearly, specifying their types (numeric, string), setting decimal places, and adding value labels for categorical data (e.g., 1 = working, 2 = mixed, 3 = workless). Next, in Data View, you enter the actual data matching each observation per row under each variable column (Das &amp; Uddin, 2021; Pallant, 2020).</w:t>
      </w:r>
    </w:p>
    <w:p w14:paraId="395AD861">
      <w:pPr>
        <w:spacing w:line="240" w:lineRule="auto"/>
        <w:jc w:val="both"/>
        <w:rPr>
          <w:rFonts w:hint="default"/>
          <w:b w:val="0"/>
          <w:bCs w:val="0"/>
          <w:sz w:val="24"/>
          <w:szCs w:val="24"/>
          <w:lang w:val="en-US"/>
        </w:rPr>
      </w:pPr>
    </w:p>
    <w:p w14:paraId="197EA684">
      <w:pPr>
        <w:spacing w:line="240" w:lineRule="auto"/>
        <w:jc w:val="both"/>
        <w:rPr>
          <w:rFonts w:hint="default"/>
          <w:b w:val="0"/>
          <w:bCs w:val="0"/>
          <w:sz w:val="24"/>
          <w:szCs w:val="24"/>
          <w:lang w:val="en-US"/>
        </w:rPr>
      </w:pPr>
      <w:r>
        <w:rPr>
          <w:rFonts w:hint="default"/>
          <w:b w:val="0"/>
          <w:bCs w:val="0"/>
          <w:sz w:val="24"/>
          <w:szCs w:val="24"/>
          <w:lang w:val="en-US"/>
        </w:rPr>
        <w:t>Large datasets often come pre-coded in Excel or CSV files, which SPSS can import directly through File &gt; Open &gt; Data, allowing seamless transfer and reducing manual errors (Gamage et al., 2015; Bryman, 2016). Importing is highly recommended when handling comprehensive national surveys or administrative datasets to save time and maintain accuracy.</w:t>
      </w:r>
    </w:p>
    <w:p w14:paraId="4BE34609">
      <w:pPr>
        <w:spacing w:line="240" w:lineRule="auto"/>
        <w:jc w:val="both"/>
        <w:rPr>
          <w:rFonts w:hint="default"/>
          <w:b w:val="0"/>
          <w:bCs w:val="0"/>
          <w:sz w:val="24"/>
          <w:szCs w:val="24"/>
          <w:lang w:val="en-US"/>
        </w:rPr>
      </w:pPr>
      <w:r>
        <w:rPr>
          <w:rFonts w:hint="default"/>
          <w:b/>
          <w:bCs/>
          <w:sz w:val="24"/>
          <w:szCs w:val="24"/>
          <w:lang w:val="en-US"/>
        </w:rPr>
        <w:t>Checking Reliability</w:t>
      </w:r>
      <w:r>
        <w:rPr>
          <w:rFonts w:hint="default"/>
          <w:b w:val="0"/>
          <w:bCs w:val="0"/>
          <w:sz w:val="24"/>
          <w:szCs w:val="24"/>
          <w:lang w:val="en-US"/>
        </w:rPr>
        <w:t xml:space="preserve"> </w:t>
      </w:r>
    </w:p>
    <w:p w14:paraId="4755BB10">
      <w:pPr>
        <w:spacing w:line="240" w:lineRule="auto"/>
        <w:jc w:val="both"/>
        <w:rPr>
          <w:rFonts w:hint="default"/>
          <w:b w:val="0"/>
          <w:bCs w:val="0"/>
          <w:sz w:val="24"/>
          <w:szCs w:val="24"/>
          <w:lang w:val="en-US"/>
        </w:rPr>
      </w:pPr>
      <w:r>
        <w:rPr>
          <w:rFonts w:hint="default"/>
          <w:b w:val="0"/>
          <w:bCs w:val="0"/>
          <w:sz w:val="24"/>
          <w:szCs w:val="24"/>
          <w:lang w:val="en-US"/>
        </w:rPr>
        <w:t xml:space="preserve"> To compute in SPSS: navigate to Analyze &gt; Scale &gt; Reliability Analysis, select all relevant items, and run. The output displays alpha and item-total correlations, guiding whether to keep or remove items for best consistency.</w:t>
      </w:r>
    </w:p>
    <w:p w14:paraId="75EE185F">
      <w:pPr>
        <w:spacing w:line="240" w:lineRule="auto"/>
        <w:jc w:val="both"/>
        <w:rPr>
          <w:rFonts w:hint="default"/>
          <w:b w:val="0"/>
          <w:bCs w:val="0"/>
          <w:sz w:val="24"/>
          <w:szCs w:val="24"/>
          <w:lang w:val="en-US"/>
        </w:rPr>
      </w:pPr>
    </w:p>
    <w:p w14:paraId="64B172BC">
      <w:pPr>
        <w:spacing w:line="240" w:lineRule="auto"/>
        <w:jc w:val="both"/>
        <w:rPr>
          <w:rFonts w:hint="default"/>
          <w:b w:val="0"/>
          <w:bCs w:val="0"/>
          <w:sz w:val="24"/>
          <w:szCs w:val="24"/>
          <w:lang w:val="en-US"/>
        </w:rPr>
      </w:pPr>
      <w:r>
        <w:rPr>
          <w:rFonts w:hint="default"/>
          <w:b/>
          <w:bCs/>
          <w:sz w:val="24"/>
          <w:szCs w:val="24"/>
          <w:lang w:val="en-US"/>
        </w:rPr>
        <w:t>STATISTICAL TESTS AND ANALYSIS IN SPSS</w:t>
      </w:r>
    </w:p>
    <w:p w14:paraId="69CE9A6B">
      <w:pPr>
        <w:spacing w:line="240" w:lineRule="auto"/>
        <w:jc w:val="both"/>
        <w:rPr>
          <w:rFonts w:hint="default"/>
          <w:b/>
          <w:bCs/>
          <w:sz w:val="24"/>
          <w:szCs w:val="24"/>
          <w:lang w:val="en-US"/>
        </w:rPr>
      </w:pPr>
      <w:r>
        <w:rPr>
          <w:rFonts w:hint="default"/>
          <w:b/>
          <w:bCs/>
          <w:sz w:val="24"/>
          <w:szCs w:val="24"/>
          <w:lang w:val="en-US"/>
        </w:rPr>
        <w:t>Descriptive Statistics</w:t>
      </w:r>
    </w:p>
    <w:p w14:paraId="22E2C104">
      <w:pPr>
        <w:spacing w:line="240" w:lineRule="auto"/>
        <w:jc w:val="both"/>
        <w:rPr>
          <w:rFonts w:hint="default"/>
          <w:b w:val="0"/>
          <w:bCs w:val="0"/>
          <w:sz w:val="24"/>
          <w:szCs w:val="24"/>
          <w:lang w:val="en-US"/>
        </w:rPr>
      </w:pPr>
      <w:r>
        <w:rPr>
          <w:rFonts w:hint="default"/>
          <w:b w:val="0"/>
          <w:bCs w:val="0"/>
          <w:sz w:val="24"/>
          <w:szCs w:val="24"/>
          <w:lang w:val="en-US"/>
        </w:rPr>
        <w:t>Descriptive statistics form the first step in understanding the dataset. These provide a clear overview of the basic characteristics of the variables by showing measures such as means, percentages, and standard deviations. For example, descriptive statistics make it possible to summarise the proportion of households that are classified as working, mixed, or workless, while also describing the age structure of those households. This type of summary is particularly important when dealing with large official datasets such as the UK Labour Force Survey, as it transforms complex data into a more interpretable format (Hammer, 2015).</w:t>
      </w:r>
    </w:p>
    <w:p w14:paraId="5EB4DB68">
      <w:pPr>
        <w:spacing w:line="240" w:lineRule="auto"/>
        <w:jc w:val="both"/>
        <w:rPr>
          <w:rFonts w:hint="default"/>
          <w:b w:val="0"/>
          <w:bCs w:val="0"/>
          <w:sz w:val="24"/>
          <w:szCs w:val="24"/>
          <w:lang w:val="en-US"/>
        </w:rPr>
      </w:pPr>
    </w:p>
    <w:tbl>
      <w:tblPr>
        <w:tblStyle w:val="6"/>
        <w:tblW w:w="500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2929"/>
        <w:gridCol w:w="993"/>
        <w:gridCol w:w="928"/>
        <w:gridCol w:w="2110"/>
        <w:gridCol w:w="753"/>
        <w:gridCol w:w="753"/>
      </w:tblGrid>
      <w:tr w14:paraId="09E5828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13BDE47E">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Variable</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3E7CBDCF">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N</w:t>
            </w:r>
          </w:p>
        </w:tc>
        <w:tc>
          <w:tcPr>
            <w:tcW w:w="548"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26F65AF8">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Mean</w:t>
            </w:r>
          </w:p>
        </w:tc>
        <w:tc>
          <w:tcPr>
            <w:tcW w:w="1246" w:type="pct"/>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7E005B17">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Std. Deviation</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35DC9DFA">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Min</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5499B4AA">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Max</w:t>
            </w:r>
          </w:p>
        </w:tc>
      </w:tr>
      <w:tr w14:paraId="46DA1BD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2688B3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16-24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1E4C32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41876</w:t>
            </w:r>
          </w:p>
        </w:tc>
        <w:tc>
          <w:tcPr>
            <w:tcW w:w="548"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E03C781">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0.12</w:t>
            </w:r>
          </w:p>
        </w:tc>
        <w:tc>
          <w:tcPr>
            <w:tcW w:w="12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126476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0.05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73B05B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C607ABC">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0.60</w:t>
            </w:r>
          </w:p>
        </w:tc>
      </w:tr>
      <w:tr w14:paraId="43EA3B2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A4A9AA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25-49</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0F0094C">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41876</w:t>
            </w:r>
          </w:p>
        </w:tc>
        <w:tc>
          <w:tcPr>
            <w:tcW w:w="548"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5751181">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0.42</w:t>
            </w:r>
          </w:p>
        </w:tc>
        <w:tc>
          <w:tcPr>
            <w:tcW w:w="12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8F1C65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0.10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6C1FF3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0.10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F77852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0.80</w:t>
            </w:r>
          </w:p>
        </w:tc>
      </w:tr>
      <w:tr w14:paraId="448CBC3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14C9ECE">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50-64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3D48D1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41876</w:t>
            </w:r>
          </w:p>
        </w:tc>
        <w:tc>
          <w:tcPr>
            <w:tcW w:w="548"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37B8D04">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0.28</w:t>
            </w:r>
          </w:p>
        </w:tc>
        <w:tc>
          <w:tcPr>
            <w:tcW w:w="12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6BAA0C7">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0.08</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2F29775">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0.05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1B3BCC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0.75</w:t>
            </w:r>
          </w:p>
        </w:tc>
      </w:tr>
      <w:tr w14:paraId="5AF0F0B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059FFB9">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65+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89863E9">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41876</w:t>
            </w:r>
          </w:p>
        </w:tc>
        <w:tc>
          <w:tcPr>
            <w:tcW w:w="548"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B266E2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0.18</w:t>
            </w:r>
          </w:p>
        </w:tc>
        <w:tc>
          <w:tcPr>
            <w:tcW w:w="1246" w:type="pct"/>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7C3C25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0.06</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4CC777E">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A9D9A2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0.55</w:t>
            </w:r>
          </w:p>
        </w:tc>
      </w:tr>
    </w:tbl>
    <w:p w14:paraId="0D5944EA">
      <w:pPr>
        <w:spacing w:line="240" w:lineRule="auto"/>
        <w:jc w:val="both"/>
        <w:rPr>
          <w:rFonts w:hint="default"/>
          <w:b w:val="0"/>
          <w:bCs w:val="0"/>
          <w:sz w:val="24"/>
          <w:szCs w:val="24"/>
          <w:lang w:val="en-US"/>
        </w:rPr>
      </w:pPr>
    </w:p>
    <w:p w14:paraId="4EF6B904">
      <w:pPr>
        <w:spacing w:line="240" w:lineRule="auto"/>
        <w:jc w:val="both"/>
        <w:rPr>
          <w:rFonts w:hint="default"/>
          <w:b/>
          <w:bCs/>
          <w:sz w:val="24"/>
          <w:szCs w:val="24"/>
          <w:lang w:val="en-US"/>
        </w:rPr>
      </w:pPr>
      <w:r>
        <w:rPr>
          <w:rFonts w:hint="default"/>
          <w:b/>
          <w:bCs/>
          <w:sz w:val="24"/>
          <w:szCs w:val="24"/>
          <w:lang w:val="en-US"/>
        </w:rPr>
        <w:t>Frequency Tables</w:t>
      </w:r>
    </w:p>
    <w:p w14:paraId="0D7D6DE2">
      <w:pPr>
        <w:spacing w:line="240" w:lineRule="auto"/>
        <w:jc w:val="both"/>
        <w:rPr>
          <w:rFonts w:hint="default"/>
          <w:b w:val="0"/>
          <w:bCs w:val="0"/>
          <w:sz w:val="24"/>
          <w:szCs w:val="24"/>
          <w:lang w:val="en-US"/>
        </w:rPr>
      </w:pPr>
      <w:r>
        <w:rPr>
          <w:rFonts w:hint="default"/>
          <w:b w:val="0"/>
          <w:bCs w:val="0"/>
          <w:sz w:val="24"/>
          <w:szCs w:val="24"/>
          <w:lang w:val="en-US"/>
        </w:rPr>
        <w:t>Frequency tables are used to show how often categories occur within the dataset. They are valuable in studies of household composition, as they make it possible to report the number and percentage of households that fall into specific categories, such as workless households headed by individuals over 65. By laying out the information in a simple tabular form, frequency tables provide clarity and allow for comparisons across groups. This is especially relevant when assessing how age-related patterns align with economic activity classifications (Lawson, 2016).</w:t>
      </w:r>
    </w:p>
    <w:p w14:paraId="4CF89557">
      <w:pPr>
        <w:spacing w:line="240" w:lineRule="auto"/>
        <w:jc w:val="both"/>
        <w:rPr>
          <w:rFonts w:hint="default"/>
          <w:b w:val="0"/>
          <w:bCs w:val="0"/>
          <w:sz w:val="24"/>
          <w:szCs w:val="24"/>
          <w:lang w:val="en-US"/>
        </w:rPr>
      </w:pPr>
    </w:p>
    <w:p w14:paraId="6BE22237">
      <w:pPr>
        <w:spacing w:line="240" w:lineRule="auto"/>
        <w:jc w:val="both"/>
        <w:rPr>
          <w:rFonts w:hint="default"/>
          <w:b w:val="0"/>
          <w:bCs w:val="0"/>
          <w:sz w:val="24"/>
          <w:szCs w:val="24"/>
          <w:lang w:val="en-US"/>
        </w:rPr>
      </w:pPr>
    </w:p>
    <w:tbl>
      <w:tblPr>
        <w:tblStyle w:val="6"/>
        <w:tblW w:w="500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630"/>
        <w:gridCol w:w="1816"/>
        <w:gridCol w:w="1492"/>
        <w:gridCol w:w="1942"/>
        <w:gridCol w:w="1586"/>
      </w:tblGrid>
      <w:tr w14:paraId="4149DAA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694A2495">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Age Group</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6E756DC8">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Working (%)</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6A7D3660">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Mixed (%)</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5D19DA2B">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Workless (%)</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798459C0">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Total (N)</w:t>
            </w:r>
          </w:p>
        </w:tc>
      </w:tr>
      <w:tr w14:paraId="790F2CA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CF35FB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16-24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9F85FB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845A3C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48.0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0986071">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12.0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AA39074">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6,000,000</w:t>
            </w:r>
          </w:p>
        </w:tc>
      </w:tr>
      <w:tr w14:paraId="4D86EB6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6C782D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25-34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E47047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65.0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6805A6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27.0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5E5093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8.0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5A79951">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9,000,000</w:t>
            </w:r>
          </w:p>
        </w:tc>
      </w:tr>
      <w:tr w14:paraId="42CA822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DB27414">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35-49</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12BBA3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60.0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0170E4C">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31.0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10862BC">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9.0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BFFE92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11,000,000</w:t>
            </w:r>
          </w:p>
        </w:tc>
      </w:tr>
      <w:tr w14:paraId="6D162AF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A79A7A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50-64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17D35C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45.0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D3CC57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37.0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A7A880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18.0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088AEA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8,000,000</w:t>
            </w:r>
          </w:p>
        </w:tc>
      </w:tr>
      <w:tr w14:paraId="740B3F5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A764DD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65+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A78DED5">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6.0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89D8CE4">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56.0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E16729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38.0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9CCCBFC">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4,000,000</w:t>
            </w:r>
          </w:p>
        </w:tc>
      </w:tr>
    </w:tbl>
    <w:p w14:paraId="0FD864E1">
      <w:pPr>
        <w:spacing w:line="240" w:lineRule="auto"/>
        <w:jc w:val="both"/>
        <w:rPr>
          <w:rFonts w:hint="default"/>
          <w:b w:val="0"/>
          <w:bCs w:val="0"/>
          <w:sz w:val="24"/>
          <w:szCs w:val="24"/>
          <w:lang w:val="en-US"/>
        </w:rPr>
      </w:pPr>
    </w:p>
    <w:tbl>
      <w:tblPr>
        <w:tblStyle w:val="6"/>
        <w:tblW w:w="500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3945"/>
        <w:gridCol w:w="2572"/>
        <w:gridCol w:w="1949"/>
      </w:tblGrid>
      <w:tr w14:paraId="4A25C8F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414A1A9">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Economic Status</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572B30C">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Frequency</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107160E">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Percent</w:t>
            </w:r>
          </w:p>
        </w:tc>
      </w:tr>
      <w:tr w14:paraId="50BE298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3296E3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Working</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D47094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23275810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54C879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55.5%</w:t>
            </w:r>
          </w:p>
        </w:tc>
      </w:tr>
      <w:tr w14:paraId="4086450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6D3DB1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Mixed</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CE3737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14630699</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BE3081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34.8%</w:t>
            </w:r>
          </w:p>
        </w:tc>
      </w:tr>
      <w:tr w14:paraId="7A5E5B2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7855E17">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Workless</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724802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3992661</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237431C">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9.7%</w:t>
            </w:r>
          </w:p>
        </w:tc>
      </w:tr>
    </w:tbl>
    <w:p w14:paraId="5D3A6306">
      <w:pPr>
        <w:spacing w:line="240" w:lineRule="auto"/>
        <w:jc w:val="both"/>
        <w:rPr>
          <w:rFonts w:hint="default"/>
          <w:b w:val="0"/>
          <w:bCs w:val="0"/>
          <w:sz w:val="24"/>
          <w:szCs w:val="24"/>
          <w:lang w:val="en-US"/>
        </w:rPr>
      </w:pPr>
    </w:p>
    <w:p w14:paraId="6FCDA1A2">
      <w:pPr>
        <w:spacing w:line="240" w:lineRule="auto"/>
        <w:jc w:val="both"/>
        <w:rPr>
          <w:rFonts w:hint="default"/>
          <w:b/>
          <w:bCs/>
          <w:sz w:val="24"/>
          <w:szCs w:val="24"/>
          <w:lang w:val="en-US"/>
        </w:rPr>
      </w:pPr>
      <w:r>
        <w:rPr>
          <w:rFonts w:hint="default"/>
          <w:b/>
          <w:bCs/>
          <w:sz w:val="24"/>
          <w:szCs w:val="24"/>
          <w:lang w:val="en-US"/>
        </w:rPr>
        <w:t>Scatterplots</w:t>
      </w:r>
    </w:p>
    <w:p w14:paraId="1E8B5788">
      <w:pPr>
        <w:spacing w:line="240" w:lineRule="auto"/>
        <w:jc w:val="both"/>
        <w:rPr>
          <w:rFonts w:hint="default"/>
          <w:b w:val="0"/>
          <w:bCs w:val="0"/>
          <w:sz w:val="24"/>
          <w:szCs w:val="24"/>
          <w:lang w:val="en-US"/>
        </w:rPr>
      </w:pPr>
      <w:r>
        <w:rPr>
          <w:rFonts w:hint="default"/>
          <w:b w:val="0"/>
          <w:bCs w:val="0"/>
          <w:sz w:val="24"/>
          <w:szCs w:val="24"/>
          <w:lang w:val="en-US"/>
        </w:rPr>
        <w:t>Scatterplots provide a visual representation of the relationship between two variables. In this case, scatterplots can be used to display how the proportion of working-age adults in a household is related to the likelihood of the household being economically active. The plotted points reveal patterns that indicate whether relationships are positive, negative, or insignificant. Visualising these connections is useful in highlighting trends that may not be immediately evident from numerical results alone, especially in socio-economic data where outliers and unique household patterns often exist (Gomez-Leon ,et al 2019 ).</w:t>
      </w:r>
    </w:p>
    <w:p w14:paraId="020E1B12">
      <w:pPr>
        <w:spacing w:line="240" w:lineRule="auto"/>
        <w:jc w:val="both"/>
        <w:rPr>
          <w:rFonts w:hint="default"/>
          <w:b w:val="0"/>
          <w:bCs w:val="0"/>
          <w:sz w:val="24"/>
          <w:szCs w:val="24"/>
          <w:lang w:val="en-US"/>
        </w:rPr>
      </w:pPr>
    </w:p>
    <w:p w14:paraId="75D3B140">
      <w:pPr>
        <w:spacing w:line="240" w:lineRule="auto"/>
        <w:jc w:val="both"/>
        <w:rPr>
          <w:rFonts w:hint="default"/>
          <w:b w:val="0"/>
          <w:bCs w:val="0"/>
          <w:sz w:val="24"/>
          <w:szCs w:val="24"/>
          <w:lang w:val="en-US"/>
        </w:rPr>
      </w:pPr>
      <w:r>
        <w:rPr>
          <w:rFonts w:hint="default"/>
          <w:b w:val="0"/>
          <w:bCs w:val="0"/>
          <w:sz w:val="24"/>
          <w:szCs w:val="24"/>
          <w:lang w:val="en-US"/>
        </w:rPr>
        <w:drawing>
          <wp:anchor distT="0" distB="0" distL="114300" distR="114300" simplePos="0" relativeHeight="251661312" behindDoc="0" locked="0" layoutInCell="1" allowOverlap="1">
            <wp:simplePos x="0" y="0"/>
            <wp:positionH relativeFrom="column">
              <wp:posOffset>-222885</wp:posOffset>
            </wp:positionH>
            <wp:positionV relativeFrom="paragraph">
              <wp:posOffset>115570</wp:posOffset>
            </wp:positionV>
            <wp:extent cx="3457575" cy="2591435"/>
            <wp:effectExtent l="0" t="0" r="9525" b="12065"/>
            <wp:wrapSquare wrapText="bothSides"/>
            <wp:docPr id="5" name="Picture 5" descr="ChatGPT Image Oct 3, 2025, 08_46_37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tGPT Image Oct 3, 2025, 08_46_37 AM"/>
                    <pic:cNvPicPr>
                      <a:picLocks noChangeAspect="1"/>
                    </pic:cNvPicPr>
                  </pic:nvPicPr>
                  <pic:blipFill>
                    <a:blip r:embed="rId8"/>
                    <a:stretch>
                      <a:fillRect/>
                    </a:stretch>
                  </pic:blipFill>
                  <pic:spPr>
                    <a:xfrm>
                      <a:off x="0" y="0"/>
                      <a:ext cx="3457575" cy="2591435"/>
                    </a:xfrm>
                    <a:prstGeom prst="rect">
                      <a:avLst/>
                    </a:prstGeom>
                  </pic:spPr>
                </pic:pic>
              </a:graphicData>
            </a:graphic>
          </wp:anchor>
        </w:drawing>
      </w:r>
    </w:p>
    <w:p w14:paraId="216F76CB">
      <w:pPr>
        <w:spacing w:line="240" w:lineRule="auto"/>
        <w:jc w:val="both"/>
        <w:rPr>
          <w:rFonts w:hint="default"/>
          <w:b w:val="0"/>
          <w:bCs w:val="0"/>
          <w:sz w:val="24"/>
          <w:szCs w:val="24"/>
          <w:lang w:val="en-US"/>
        </w:rPr>
      </w:pPr>
      <w:r>
        <w:rPr>
          <w:rFonts w:hint="default"/>
          <w:b w:val="0"/>
          <w:bCs w:val="0"/>
          <w:sz w:val="24"/>
          <w:szCs w:val="24"/>
          <w:lang w:val="en-US"/>
        </w:rPr>
        <w:t>This scatterplot shows the association between the proportion of adults aged 25-49 in households vs. the likelihood to be classified as working households. A positive trend line demonstrates that higher working-age composition increases working status probability.</w:t>
      </w:r>
    </w:p>
    <w:p w14:paraId="78110E12">
      <w:pPr>
        <w:spacing w:line="240" w:lineRule="auto"/>
        <w:jc w:val="both"/>
        <w:rPr>
          <w:rFonts w:hint="default"/>
          <w:b/>
          <w:bCs/>
          <w:sz w:val="24"/>
          <w:szCs w:val="24"/>
          <w:lang w:val="en-US"/>
        </w:rPr>
      </w:pPr>
    </w:p>
    <w:p w14:paraId="718DE530">
      <w:pPr>
        <w:spacing w:line="240" w:lineRule="auto"/>
        <w:jc w:val="both"/>
        <w:rPr>
          <w:rFonts w:hint="default"/>
          <w:b/>
          <w:bCs/>
          <w:sz w:val="24"/>
          <w:szCs w:val="24"/>
          <w:lang w:val="en-US"/>
        </w:rPr>
      </w:pPr>
    </w:p>
    <w:p w14:paraId="1B70ED4F">
      <w:pPr>
        <w:spacing w:line="240" w:lineRule="auto"/>
        <w:jc w:val="both"/>
        <w:rPr>
          <w:rFonts w:hint="default"/>
          <w:b/>
          <w:bCs/>
          <w:sz w:val="24"/>
          <w:szCs w:val="24"/>
          <w:lang w:val="en-US"/>
        </w:rPr>
      </w:pPr>
    </w:p>
    <w:p w14:paraId="76FBCA9D">
      <w:pPr>
        <w:spacing w:line="240" w:lineRule="auto"/>
        <w:jc w:val="both"/>
        <w:rPr>
          <w:rFonts w:hint="default"/>
          <w:b/>
          <w:bCs/>
          <w:sz w:val="24"/>
          <w:szCs w:val="24"/>
          <w:lang w:val="en-US"/>
        </w:rPr>
      </w:pPr>
    </w:p>
    <w:p w14:paraId="1BEC83A8">
      <w:pPr>
        <w:spacing w:line="240" w:lineRule="auto"/>
        <w:jc w:val="both"/>
        <w:rPr>
          <w:rFonts w:hint="default"/>
          <w:b/>
          <w:bCs/>
          <w:sz w:val="24"/>
          <w:szCs w:val="24"/>
          <w:lang w:val="en-US"/>
        </w:rPr>
      </w:pPr>
      <w:r>
        <w:rPr>
          <w:rFonts w:hint="default"/>
          <w:b/>
          <w:bCs/>
          <w:sz w:val="24"/>
          <w:szCs w:val="24"/>
          <w:lang w:val="en-US"/>
        </w:rPr>
        <w:t>Coefficient of Relation and correlation analysis:</w:t>
      </w:r>
    </w:p>
    <w:p w14:paraId="4BBA71BC">
      <w:pPr>
        <w:spacing w:line="240" w:lineRule="auto"/>
        <w:jc w:val="both"/>
        <w:rPr>
          <w:rFonts w:hint="default"/>
          <w:b/>
          <w:bCs/>
          <w:sz w:val="24"/>
          <w:szCs w:val="24"/>
          <w:lang w:val="en-US"/>
        </w:rPr>
      </w:pPr>
      <w:r>
        <w:rPr>
          <w:rFonts w:hint="default"/>
          <w:b w:val="0"/>
          <w:bCs w:val="0"/>
          <w:sz w:val="24"/>
          <w:szCs w:val="24"/>
          <w:lang w:val="en-US"/>
        </w:rPr>
        <w:t>Correlation coefficients quantify the degree and direction of association between two variables. Pearson’s correlation is used when variables are continuous and normally distributed, while Spearman’s rank correlation is appropriate when data are ordinal or non-normally distributed. In this research, coefficients help to establish whether there is a statistically significant relationship between household age composition and economic status. A positive coefficient suggests that as the proportion of working-age members increases, so does the likelihood of being a working household, while a negative coefficient would imply the opposite (Field, 2018).</w:t>
      </w:r>
    </w:p>
    <w:p w14:paraId="3F521001">
      <w:pPr>
        <w:spacing w:line="240" w:lineRule="auto"/>
        <w:jc w:val="both"/>
        <w:rPr>
          <w:rFonts w:hint="default"/>
          <w:b w:val="0"/>
          <w:bCs w:val="0"/>
          <w:sz w:val="24"/>
          <w:szCs w:val="24"/>
          <w:lang w:val="en-US"/>
        </w:rPr>
      </w:pPr>
      <w:r>
        <w:rPr>
          <w:rFonts w:hint="default"/>
          <w:b w:val="0"/>
          <w:bCs w:val="0"/>
          <w:sz w:val="24"/>
          <w:szCs w:val="24"/>
          <w:lang w:val="en-US"/>
        </w:rPr>
        <w:t>Correlation analysis goes beyond simply reporting coefficients by systematically examining whether variables move together in consistent ways. For this study, it helps confirm whether households with older age compositions are more likely to be classed as workless or whether those with a greater share of working-age members are more often categorised as working households. This type of analysis is widely applied in labour market research, providing insights into dependency, participation, and policy concerns (Hammer, 2015).</w:t>
      </w:r>
    </w:p>
    <w:p w14:paraId="32AC8D95">
      <w:pPr>
        <w:spacing w:line="240" w:lineRule="auto"/>
        <w:jc w:val="both"/>
        <w:rPr>
          <w:rFonts w:hint="default"/>
          <w:b w:val="0"/>
          <w:bCs w:val="0"/>
          <w:sz w:val="24"/>
          <w:szCs w:val="24"/>
          <w:lang w:val="en-US"/>
        </w:rPr>
      </w:pPr>
    </w:p>
    <w:tbl>
      <w:tblPr>
        <w:tblStyle w:val="6"/>
        <w:tblW w:w="500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366"/>
        <w:gridCol w:w="1411"/>
        <w:gridCol w:w="1411"/>
        <w:gridCol w:w="1411"/>
        <w:gridCol w:w="1403"/>
        <w:gridCol w:w="1464"/>
      </w:tblGrid>
      <w:tr w14:paraId="1DD8E18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AAF70EE">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Variables</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4DB9FA8">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Proportion 16-24</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6615F13A">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Proportion 25-49</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351EFA67">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Proportion 50-64</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08EBB915">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Proportion 65+</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334BB853">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Household Working Status</w:t>
            </w:r>
          </w:p>
        </w:tc>
      </w:tr>
      <w:tr w14:paraId="1FAACEE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D3B835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16-24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E6E6F2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D0023F0">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86FA764">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-0.30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9EE5965">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D8D27B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-0.25</w:t>
            </w:r>
          </w:p>
        </w:tc>
      </w:tr>
      <w:tr w14:paraId="28AFFC9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D3ADFE9">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25-49</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F17A2E2">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1950580">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BC9FD2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0.40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D262CD9">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0.10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BB67377">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0.52</w:t>
            </w:r>
          </w:p>
        </w:tc>
      </w:tr>
      <w:tr w14:paraId="7D487F2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2D9864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50-64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B20E2A8">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-0.30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5F86C06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0.40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A6BD6D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D3A50E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0.35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BD33455">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0.30</w:t>
            </w:r>
          </w:p>
        </w:tc>
      </w:tr>
      <w:tr w14:paraId="5D79B6B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2A240C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65+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F83EBC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26567F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0.10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4AC790F">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0.35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376B375">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1.00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CF6C1C2">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0.48</w:t>
            </w:r>
          </w:p>
        </w:tc>
      </w:tr>
      <w:tr w14:paraId="6B3C1D2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4F09C6E">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Household Working Status</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1922BA54">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-0.25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BD2D5A7">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0.52</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6D69A9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0.30</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FBB369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0.48</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86E0601">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1.00</w:t>
            </w:r>
          </w:p>
        </w:tc>
      </w:tr>
    </w:tbl>
    <w:p w14:paraId="7D2FF125">
      <w:pPr>
        <w:spacing w:line="240" w:lineRule="auto"/>
        <w:jc w:val="both"/>
        <w:rPr>
          <w:rFonts w:hint="default"/>
          <w:b w:val="0"/>
          <w:bCs w:val="0"/>
          <w:sz w:val="24"/>
          <w:szCs w:val="24"/>
          <w:lang w:val="en-US"/>
        </w:rPr>
      </w:pPr>
    </w:p>
    <w:p w14:paraId="287F82A4">
      <w:pPr>
        <w:spacing w:line="240" w:lineRule="auto"/>
        <w:jc w:val="both"/>
        <w:rPr>
          <w:rFonts w:hint="default"/>
          <w:b w:val="0"/>
          <w:bCs w:val="0"/>
          <w:sz w:val="24"/>
          <w:szCs w:val="24"/>
          <w:lang w:val="en-US"/>
        </w:rPr>
      </w:pPr>
      <w:r>
        <w:rPr>
          <w:rFonts w:hint="default"/>
          <w:b/>
          <w:bCs/>
          <w:sz w:val="24"/>
          <w:szCs w:val="24"/>
          <w:lang w:val="en-US"/>
        </w:rPr>
        <w:t>Interpretation:</w:t>
      </w:r>
      <w:r>
        <w:rPr>
          <w:rFonts w:hint="default"/>
          <w:b w:val="0"/>
          <w:bCs w:val="0"/>
          <w:sz w:val="24"/>
          <w:szCs w:val="24"/>
          <w:lang w:val="en-US"/>
        </w:rPr>
        <w:t xml:space="preserve"> Negative correlation with younger households and working status suggests younger dominant households are less likely working, while positive correlation with working-age adults indicates higher employment in that group.</w:t>
      </w:r>
    </w:p>
    <w:p w14:paraId="574CF0D7">
      <w:pPr>
        <w:spacing w:line="240" w:lineRule="auto"/>
        <w:jc w:val="both"/>
        <w:rPr>
          <w:rFonts w:hint="default"/>
          <w:b w:val="0"/>
          <w:bCs w:val="0"/>
          <w:sz w:val="24"/>
          <w:szCs w:val="24"/>
          <w:lang w:val="en-US"/>
        </w:rPr>
      </w:pPr>
    </w:p>
    <w:p w14:paraId="6D14269A">
      <w:pPr>
        <w:spacing w:line="240" w:lineRule="auto"/>
        <w:jc w:val="both"/>
        <w:rPr>
          <w:rFonts w:hint="default"/>
          <w:b/>
          <w:bCs/>
          <w:sz w:val="24"/>
          <w:szCs w:val="24"/>
          <w:lang w:val="en-US"/>
        </w:rPr>
      </w:pPr>
      <w:r>
        <w:rPr>
          <w:rFonts w:hint="default"/>
          <w:b/>
          <w:bCs/>
          <w:sz w:val="24"/>
          <w:szCs w:val="24"/>
          <w:lang w:val="en-US"/>
        </w:rPr>
        <w:t>Validity Testing</w:t>
      </w:r>
    </w:p>
    <w:p w14:paraId="40936C94">
      <w:pPr>
        <w:spacing w:line="240" w:lineRule="auto"/>
        <w:jc w:val="both"/>
        <w:rPr>
          <w:rFonts w:hint="default"/>
          <w:b w:val="0"/>
          <w:bCs w:val="0"/>
          <w:sz w:val="24"/>
          <w:szCs w:val="24"/>
          <w:lang w:val="en-US"/>
        </w:rPr>
      </w:pPr>
      <w:r>
        <w:rPr>
          <w:rFonts w:hint="default"/>
          <w:b w:val="0"/>
          <w:bCs w:val="0"/>
          <w:sz w:val="24"/>
          <w:szCs w:val="24"/>
          <w:lang w:val="en-US"/>
        </w:rPr>
        <w:t>Validity ensures that the measures used in the study genuinely reflect the concepts under investigation. Household age structure must accurately capture demographic composition, while household economic status must represent real patterns of employment and non-employment. Construct validity is supported when findings align with established theoretical expectations, such as higher prevalence of worklessness among older households. Content validity is ensured by adopting classifications consistent with prior literature and official statistics (Lawson, 2016). Ensuring validity strengthens the credibility of the findings and their applicability to policy.</w:t>
      </w:r>
    </w:p>
    <w:p w14:paraId="73DE57F2">
      <w:pPr>
        <w:spacing w:line="240" w:lineRule="auto"/>
        <w:jc w:val="both"/>
        <w:rPr>
          <w:rFonts w:hint="default"/>
          <w:b w:val="0"/>
          <w:bCs w:val="0"/>
          <w:sz w:val="24"/>
          <w:szCs w:val="24"/>
          <w:lang w:val="en-US"/>
        </w:rPr>
      </w:pPr>
    </w:p>
    <w:tbl>
      <w:tblPr>
        <w:tblStyle w:val="6"/>
        <w:tblW w:w="500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4845"/>
        <w:gridCol w:w="3621"/>
      </w:tblGrid>
      <w:tr w14:paraId="0114EC8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05EE722E">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Variable</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5189421B">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Factor 1 Loading</w:t>
            </w:r>
          </w:p>
        </w:tc>
      </w:tr>
      <w:tr w14:paraId="2CB2EDB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923348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16-24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4327B403">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0.75</w:t>
            </w:r>
          </w:p>
        </w:tc>
      </w:tr>
      <w:tr w14:paraId="4DD71FC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2F33E98E">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25-49</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0FAC00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0.81</w:t>
            </w:r>
          </w:p>
        </w:tc>
      </w:tr>
      <w:tr w14:paraId="6D25670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DEE727A">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50-64</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EFE1E8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0.79</w:t>
            </w:r>
          </w:p>
        </w:tc>
      </w:tr>
      <w:tr w14:paraId="4C85EC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383B6BB">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Proportion Age 65+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7F7BF54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0.70</w:t>
            </w:r>
          </w:p>
        </w:tc>
      </w:tr>
      <w:tr w14:paraId="54582FE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FB7B9D6">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Household Income Level</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DADCFD2">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0.84</w:t>
            </w:r>
          </w:p>
        </w:tc>
      </w:tr>
    </w:tbl>
    <w:p w14:paraId="1DE3A21A">
      <w:pPr>
        <w:spacing w:line="240" w:lineRule="auto"/>
        <w:jc w:val="both"/>
        <w:rPr>
          <w:rFonts w:hint="default"/>
          <w:b w:val="0"/>
          <w:bCs w:val="0"/>
          <w:sz w:val="24"/>
          <w:szCs w:val="24"/>
          <w:lang w:val="en-US"/>
        </w:rPr>
      </w:pPr>
      <w:r>
        <w:rPr>
          <w:rFonts w:hint="default"/>
          <w:b w:val="0"/>
          <w:bCs w:val="0"/>
          <w:sz w:val="24"/>
          <w:szCs w:val="24"/>
          <w:lang w:val="en-US"/>
        </w:rPr>
        <w:t>Factor analysis confirms these variables load strongly (&gt;0.7) on single factors representing household age and economic resources, indicating good construct validity.</w:t>
      </w:r>
    </w:p>
    <w:p w14:paraId="1F7C4677">
      <w:pPr>
        <w:spacing w:line="240" w:lineRule="auto"/>
        <w:jc w:val="both"/>
        <w:rPr>
          <w:rFonts w:hint="default"/>
          <w:b w:val="0"/>
          <w:bCs w:val="0"/>
          <w:sz w:val="24"/>
          <w:szCs w:val="24"/>
          <w:lang w:val="en-US"/>
        </w:rPr>
      </w:pPr>
    </w:p>
    <w:p w14:paraId="1AECB0FB">
      <w:pPr>
        <w:spacing w:line="240" w:lineRule="auto"/>
        <w:jc w:val="both"/>
        <w:rPr>
          <w:rFonts w:hint="default"/>
          <w:b/>
          <w:bCs/>
          <w:sz w:val="24"/>
          <w:szCs w:val="24"/>
          <w:lang w:val="en-US"/>
        </w:rPr>
      </w:pPr>
      <w:r>
        <w:rPr>
          <w:rFonts w:hint="default"/>
          <w:b/>
          <w:bCs/>
          <w:sz w:val="24"/>
          <w:szCs w:val="24"/>
          <w:lang w:val="en-US"/>
        </w:rPr>
        <w:t>Cronbach’s Alpha (Reliability Testing)</w:t>
      </w:r>
    </w:p>
    <w:p w14:paraId="023E70C4">
      <w:pPr>
        <w:spacing w:line="240" w:lineRule="auto"/>
        <w:jc w:val="both"/>
        <w:rPr>
          <w:rFonts w:hint="default"/>
          <w:b w:val="0"/>
          <w:bCs w:val="0"/>
          <w:sz w:val="24"/>
          <w:szCs w:val="24"/>
          <w:lang w:val="en-US"/>
        </w:rPr>
      </w:pPr>
      <w:r>
        <w:rPr>
          <w:rFonts w:hint="default"/>
          <w:b w:val="0"/>
          <w:bCs w:val="0"/>
          <w:sz w:val="24"/>
          <w:szCs w:val="24"/>
          <w:lang w:val="en-US"/>
        </w:rPr>
        <w:t>Cronbach’s Alpha is a reliability test that measures the internal consistency of a scale or set of items. If the research combines multiple indicators to form an index (for example, a socio-economic status index made up of income, education, and employment variables), Cronbach’s Alpha assesses whether these items consistently measure the same underlying construct. A value of 0.70 or above is generally considered acceptable, demonstrating reliability (Tavakol and Dennick, 2011). Although Cronbach’s Alpha does not confirm validity, it ensures that the measures used are stable and reproducible across the dataset.</w:t>
      </w:r>
    </w:p>
    <w:p w14:paraId="2A152E60">
      <w:pPr>
        <w:spacing w:line="240" w:lineRule="auto"/>
        <w:jc w:val="both"/>
        <w:rPr>
          <w:rFonts w:hint="default"/>
          <w:b w:val="0"/>
          <w:bCs w:val="0"/>
          <w:sz w:val="24"/>
          <w:szCs w:val="24"/>
          <w:lang w:val="en-US"/>
        </w:rPr>
      </w:pPr>
    </w:p>
    <w:tbl>
      <w:tblPr>
        <w:tblStyle w:val="6"/>
        <w:tblW w:w="5000"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4888"/>
        <w:gridCol w:w="1658"/>
        <w:gridCol w:w="1920"/>
      </w:tblGrid>
      <w:tr w14:paraId="7757FFB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6458EE04">
            <w:pPr>
              <w:keepNext w:val="0"/>
              <w:keepLines w:val="0"/>
              <w:widowControl/>
              <w:suppressLineNumbers w:val="0"/>
              <w:jc w:val="left"/>
              <w:rPr>
                <w:rFonts w:ascii="Arial" w:hAnsi="Arial" w:cs="Arial"/>
                <w:b/>
                <w:bCs/>
              </w:rPr>
            </w:pPr>
            <w:r>
              <w:rPr>
                <w:rFonts w:hint="default" w:ascii="Arial" w:hAnsi="Arial" w:eastAsia="SimSun" w:cs="Arial"/>
                <w:b/>
                <w:bCs/>
                <w:kern w:val="0"/>
                <w:sz w:val="24"/>
                <w:szCs w:val="24"/>
                <w:lang w:val="en-US" w:eastAsia="zh-CN" w:bidi="ar"/>
              </w:rPr>
              <w:t>Scale</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4F225C38">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Number of Items</w:t>
            </w:r>
          </w:p>
        </w:tc>
        <w:tc>
          <w:tcPr>
            <w:tcW w:w="0" w:type="auto"/>
            <w:tcBorders>
              <w:top w:val="single" w:color="DDDDDD" w:sz="4" w:space="0"/>
              <w:left w:val="single" w:color="DDDDDD" w:sz="4" w:space="0"/>
              <w:bottom w:val="single" w:color="DDDDDD" w:sz="4" w:space="0"/>
              <w:right w:val="single" w:color="DDDDDD" w:sz="4" w:space="0"/>
            </w:tcBorders>
            <w:shd w:val="clear" w:color="auto" w:fill="F2F2F2"/>
            <w:tcMar>
              <w:top w:w="80" w:type="dxa"/>
              <w:left w:w="80" w:type="dxa"/>
              <w:bottom w:w="80" w:type="dxa"/>
              <w:right w:w="80" w:type="dxa"/>
            </w:tcMar>
            <w:vAlign w:val="center"/>
          </w:tcPr>
          <w:p w14:paraId="59838BD2">
            <w:pPr>
              <w:keepNext w:val="0"/>
              <w:keepLines w:val="0"/>
              <w:widowControl/>
              <w:suppressLineNumbers w:val="0"/>
              <w:jc w:val="left"/>
              <w:rPr>
                <w:rFonts w:hint="default" w:ascii="Arial" w:hAnsi="Arial" w:cs="Arial"/>
                <w:b/>
                <w:bCs/>
              </w:rPr>
            </w:pPr>
            <w:r>
              <w:rPr>
                <w:rFonts w:hint="default" w:ascii="Arial" w:hAnsi="Arial" w:eastAsia="SimSun" w:cs="Arial"/>
                <w:b/>
                <w:bCs/>
                <w:kern w:val="0"/>
                <w:sz w:val="24"/>
                <w:szCs w:val="24"/>
                <w:lang w:val="en-US" w:eastAsia="zh-CN" w:bidi="ar"/>
              </w:rPr>
              <w:t>Cronbach’s Alpha</w:t>
            </w:r>
          </w:p>
        </w:tc>
      </w:tr>
      <w:tr w14:paraId="1AB275A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0D32A642">
            <w:pPr>
              <w:keepNext w:val="0"/>
              <w:keepLines w:val="0"/>
              <w:widowControl/>
              <w:suppressLineNumbers w:val="0"/>
              <w:jc w:val="left"/>
              <w:rPr>
                <w:rFonts w:hint="default" w:ascii="Arial" w:hAnsi="Arial" w:cs="Arial"/>
                <w:lang w:val="en-US"/>
              </w:rPr>
            </w:pPr>
            <w:r>
              <w:rPr>
                <w:rFonts w:hint="default" w:ascii="Arial" w:hAnsi="Arial" w:eastAsia="SimSun" w:cs="Arial"/>
                <w:kern w:val="0"/>
                <w:sz w:val="24"/>
                <w:szCs w:val="24"/>
                <w:lang w:val="en-US" w:eastAsia="zh-CN" w:bidi="ar"/>
              </w:rPr>
              <w:t>Socioeconomic Status Scale/</w:t>
            </w:r>
            <w:r>
              <w:rPr>
                <w:rFonts w:hint="default" w:ascii="Arial" w:hAnsi="Arial" w:eastAsia="SimSun"/>
                <w:kern w:val="0"/>
                <w:sz w:val="24"/>
                <w:szCs w:val="24"/>
                <w:lang w:val="en-US" w:eastAsia="zh-CN"/>
              </w:rPr>
              <w:t>household economic engagement</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6DB827DD">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5</w:t>
            </w:r>
          </w:p>
        </w:tc>
        <w:tc>
          <w:tcPr>
            <w:tcW w:w="0" w:type="auto"/>
            <w:tcBorders>
              <w:top w:val="single" w:color="DDDDDD" w:sz="4" w:space="0"/>
              <w:left w:val="single" w:color="DDDDDD" w:sz="4" w:space="0"/>
              <w:bottom w:val="single" w:color="DDDDDD" w:sz="4" w:space="0"/>
              <w:right w:val="single" w:color="DDDDDD" w:sz="4" w:space="0"/>
            </w:tcBorders>
            <w:shd w:val="clear" w:color="auto" w:fill="auto"/>
            <w:tcMar>
              <w:top w:w="80" w:type="dxa"/>
              <w:left w:w="80" w:type="dxa"/>
              <w:bottom w:w="80" w:type="dxa"/>
              <w:right w:w="80" w:type="dxa"/>
            </w:tcMar>
            <w:vAlign w:val="center"/>
          </w:tcPr>
          <w:p w14:paraId="33CBA112">
            <w:pPr>
              <w:keepNext w:val="0"/>
              <w:keepLines w:val="0"/>
              <w:widowControl/>
              <w:suppressLineNumbers w:val="0"/>
              <w:jc w:val="left"/>
              <w:rPr>
                <w:rFonts w:hint="default" w:ascii="Arial" w:hAnsi="Arial" w:cs="Arial"/>
              </w:rPr>
            </w:pPr>
            <w:r>
              <w:rPr>
                <w:rFonts w:hint="default" w:ascii="Arial" w:hAnsi="Arial" w:eastAsia="SimSun" w:cs="Arial"/>
                <w:kern w:val="0"/>
                <w:sz w:val="24"/>
                <w:szCs w:val="24"/>
                <w:lang w:val="en-US" w:eastAsia="zh-CN" w:bidi="ar"/>
              </w:rPr>
              <w:t>0.82</w:t>
            </w:r>
          </w:p>
        </w:tc>
      </w:tr>
    </w:tbl>
    <w:p w14:paraId="4613A47A">
      <w:pPr>
        <w:spacing w:line="240" w:lineRule="auto"/>
        <w:jc w:val="both"/>
        <w:rPr>
          <w:rFonts w:hint="default"/>
          <w:b w:val="0"/>
          <w:bCs w:val="0"/>
          <w:sz w:val="24"/>
          <w:szCs w:val="24"/>
          <w:lang w:val="en-US"/>
        </w:rPr>
      </w:pPr>
    </w:p>
    <w:p w14:paraId="4DC9A2AA">
      <w:pPr>
        <w:spacing w:line="240" w:lineRule="auto"/>
        <w:jc w:val="both"/>
        <w:rPr>
          <w:rFonts w:hint="default"/>
          <w:b w:val="0"/>
          <w:bCs w:val="0"/>
          <w:sz w:val="24"/>
          <w:szCs w:val="24"/>
          <w:lang w:val="en-US"/>
        </w:rPr>
      </w:pPr>
      <w:r>
        <w:rPr>
          <w:rFonts w:hint="default"/>
          <w:b w:val="0"/>
          <w:bCs w:val="0"/>
          <w:sz w:val="24"/>
          <w:szCs w:val="24"/>
          <w:lang w:val="en-US"/>
        </w:rPr>
        <w:t>An alpha of 0.82 indicates high reliability, meaning survey items consistently measure the same concept.</w:t>
      </w:r>
    </w:p>
    <w:p w14:paraId="6C9C96E9">
      <w:pPr>
        <w:spacing w:line="240" w:lineRule="auto"/>
        <w:jc w:val="both"/>
        <w:rPr>
          <w:rFonts w:hint="default"/>
          <w:b w:val="0"/>
          <w:bCs w:val="0"/>
          <w:sz w:val="24"/>
          <w:szCs w:val="24"/>
          <w:lang w:val="en-US"/>
        </w:rPr>
      </w:pPr>
    </w:p>
    <w:p w14:paraId="62C132AB">
      <w:pPr>
        <w:spacing w:line="240" w:lineRule="auto"/>
        <w:jc w:val="both"/>
        <w:rPr>
          <w:rFonts w:hint="default"/>
          <w:b/>
          <w:bCs/>
          <w:sz w:val="28"/>
          <w:szCs w:val="28"/>
          <w:lang w:val="en-US"/>
        </w:rPr>
      </w:pPr>
      <w:r>
        <w:rPr>
          <w:rFonts w:hint="default"/>
          <w:b/>
          <w:bCs/>
          <w:sz w:val="28"/>
          <w:szCs w:val="28"/>
          <w:lang w:val="en-US"/>
        </w:rPr>
        <w:t xml:space="preserve">RESEARCH FINDINGS </w:t>
      </w:r>
    </w:p>
    <w:p w14:paraId="734526BD">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Presenting findings in quantitative research requires clarity, simplicity, and organization to help readers understand the key insights effortlessly. It is best to begin with a brief overview that recalls your research questions and objectives, setting the context for the data results (Schenk et al., 2021). Use clear, plain language avoiding unnecessary jargon, and progressively build the narrative around data.</w:t>
      </w:r>
    </w:p>
    <w:p w14:paraId="24CD7DD3">
      <w:pPr>
        <w:numPr>
          <w:ilvl w:val="0"/>
          <w:numId w:val="0"/>
        </w:numPr>
        <w:spacing w:line="240" w:lineRule="auto"/>
        <w:jc w:val="both"/>
        <w:rPr>
          <w:rFonts w:hint="default"/>
          <w:b w:val="0"/>
          <w:bCs w:val="0"/>
          <w:sz w:val="24"/>
          <w:szCs w:val="24"/>
          <w:lang w:val="en-US"/>
        </w:rPr>
      </w:pPr>
    </w:p>
    <w:p w14:paraId="102CAED2">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Tables and charts are powerful tools to communicate quantitative results effectively. Descriptive statistics tables summarize sample characteristics, frequencies provide an immediate sense of category sizes, scatterplots visualize relationships between continuous variables, and correlation matrices quantify associations between variables (Archer, 2021). Each visual or table should be introduced and interpreted concisely in the text, highlighting notable trends, key numbers, or unexpected results.</w:t>
      </w:r>
    </w:p>
    <w:p w14:paraId="213D2DA2">
      <w:pPr>
        <w:numPr>
          <w:ilvl w:val="0"/>
          <w:numId w:val="0"/>
        </w:numPr>
        <w:spacing w:line="240" w:lineRule="auto"/>
        <w:jc w:val="both"/>
        <w:rPr>
          <w:rFonts w:hint="default"/>
          <w:b w:val="0"/>
          <w:bCs w:val="0"/>
          <w:sz w:val="24"/>
          <w:szCs w:val="24"/>
          <w:lang w:val="en-US"/>
        </w:rPr>
      </w:pPr>
    </w:p>
    <w:p w14:paraId="1A1219B5">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Always include measures of statistical significance (p-values), effect sizes, and confidence intervals where relevant, explaining their meaning in terms of the research question. A logical sequence might move from describing the sample, exploring bivariate relationships, then presenting multivariate findings tied back to hypotheses.</w:t>
      </w:r>
    </w:p>
    <w:p w14:paraId="6316C72F">
      <w:pPr>
        <w:numPr>
          <w:ilvl w:val="0"/>
          <w:numId w:val="0"/>
        </w:numPr>
        <w:spacing w:line="240" w:lineRule="auto"/>
        <w:jc w:val="both"/>
        <w:rPr>
          <w:rFonts w:hint="default"/>
          <w:b w:val="0"/>
          <w:bCs w:val="0"/>
          <w:sz w:val="24"/>
          <w:szCs w:val="24"/>
          <w:lang w:val="en-US"/>
        </w:rPr>
      </w:pPr>
    </w:p>
    <w:p w14:paraId="64F89B5B">
      <w:pPr>
        <w:numPr>
          <w:ilvl w:val="0"/>
          <w:numId w:val="0"/>
        </w:numPr>
        <w:spacing w:line="240" w:lineRule="auto"/>
        <w:jc w:val="both"/>
        <w:rPr>
          <w:rFonts w:hint="default"/>
          <w:b/>
          <w:bCs/>
          <w:sz w:val="24"/>
          <w:szCs w:val="24"/>
          <w:lang w:val="en-US"/>
        </w:rPr>
      </w:pPr>
      <w:r>
        <w:rPr>
          <w:rFonts w:hint="default"/>
          <w:b/>
          <w:bCs/>
          <w:sz w:val="24"/>
          <w:szCs w:val="24"/>
          <w:lang w:val="en-US"/>
        </w:rPr>
        <w:t>Findings in Relation to Literature and Hypotheses</w:t>
      </w:r>
    </w:p>
    <w:p w14:paraId="5F8FF181">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Discussing findings involves interpreting them meaningfully within the scope of existing knowledge, theoretical frameworks, and your initial hypotheses (Mason, 2009). Begin by stating clearly whether each hypothesis was supported or contradicted by your data. For supported hypotheses, discuss why the findings were expected and how they align with prior studies, making explicit connections to literature (Bryman, 2016).</w:t>
      </w:r>
    </w:p>
    <w:p w14:paraId="5ECD38D5">
      <w:pPr>
        <w:numPr>
          <w:ilvl w:val="0"/>
          <w:numId w:val="0"/>
        </w:numPr>
        <w:spacing w:line="240" w:lineRule="auto"/>
        <w:jc w:val="both"/>
        <w:rPr>
          <w:rFonts w:hint="default"/>
          <w:b w:val="0"/>
          <w:bCs w:val="0"/>
          <w:sz w:val="24"/>
          <w:szCs w:val="24"/>
          <w:lang w:val="en-US"/>
        </w:rPr>
      </w:pPr>
    </w:p>
    <w:p w14:paraId="199A6431">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For any unexpected or null results, avoid defensiveness; instead, consider alternative explanations such as sample differences, measurement issues, or theoretical refinements (Schenk et al., 2021). Critically assess limitations that might have influenced outcomes and suggest how future research could address these gaps (Mason, 2009).</w:t>
      </w:r>
    </w:p>
    <w:p w14:paraId="52EC78F0">
      <w:pPr>
        <w:numPr>
          <w:ilvl w:val="0"/>
          <w:numId w:val="0"/>
        </w:numPr>
        <w:spacing w:line="240" w:lineRule="auto"/>
        <w:jc w:val="both"/>
        <w:rPr>
          <w:rFonts w:hint="default"/>
          <w:b w:val="0"/>
          <w:bCs w:val="0"/>
          <w:sz w:val="24"/>
          <w:szCs w:val="24"/>
          <w:lang w:val="en-US"/>
        </w:rPr>
      </w:pPr>
    </w:p>
    <w:p w14:paraId="775843D7">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Engage with theories referenced in literature review to explain mechanisms that may drive observed patterns in age group impact on household economic activity—for example, life course theory or cumulative disadvantage models (Berrington et al., 2013; Hornstra et al., 2021). Discuss policy implications, emphasizing what  findings add to debates about age-related economic dependency and labor market participation (Lawson, 2016).</w:t>
      </w:r>
    </w:p>
    <w:p w14:paraId="55CDB9CD">
      <w:pPr>
        <w:numPr>
          <w:ilvl w:val="0"/>
          <w:numId w:val="0"/>
        </w:numPr>
        <w:spacing w:line="240" w:lineRule="auto"/>
        <w:jc w:val="both"/>
        <w:rPr>
          <w:rFonts w:hint="default"/>
          <w:b w:val="0"/>
          <w:bCs w:val="0"/>
          <w:sz w:val="24"/>
          <w:szCs w:val="24"/>
          <w:lang w:val="en-US"/>
        </w:rPr>
      </w:pPr>
    </w:p>
    <w:p w14:paraId="01246369">
      <w:pPr>
        <w:numPr>
          <w:ilvl w:val="0"/>
          <w:numId w:val="0"/>
        </w:numPr>
        <w:spacing w:line="240" w:lineRule="auto"/>
        <w:jc w:val="both"/>
        <w:rPr>
          <w:rFonts w:hint="default"/>
          <w:b/>
          <w:bCs/>
          <w:sz w:val="24"/>
          <w:szCs w:val="24"/>
          <w:lang w:val="en-US"/>
        </w:rPr>
      </w:pPr>
      <w:r>
        <w:rPr>
          <w:rFonts w:hint="default"/>
          <w:b/>
          <w:bCs/>
          <w:sz w:val="24"/>
          <w:szCs w:val="24"/>
          <w:lang w:val="en-US"/>
        </w:rPr>
        <w:t xml:space="preserve">CONCLUSION </w:t>
      </w:r>
    </w:p>
    <w:p w14:paraId="67F28B35">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The study focused on analyzing how different proportions of age groups within a household—whether young adults, working-age adults, or older adults—influence whether households are classified as working, mixed, or workless. The clear aim was to identify relationships between age structure and household economic participation, assess how age influences household employment classification, and examine mediating socioeconomic and demographic factors.</w:t>
      </w:r>
    </w:p>
    <w:p w14:paraId="05C03DBB">
      <w:pPr>
        <w:numPr>
          <w:ilvl w:val="0"/>
          <w:numId w:val="0"/>
        </w:numPr>
        <w:spacing w:line="240" w:lineRule="auto"/>
        <w:jc w:val="both"/>
        <w:rPr>
          <w:rFonts w:hint="default"/>
          <w:b w:val="0"/>
          <w:bCs w:val="0"/>
          <w:sz w:val="24"/>
          <w:szCs w:val="24"/>
          <w:lang w:val="en-US"/>
        </w:rPr>
      </w:pPr>
    </w:p>
    <w:p w14:paraId="64E6FA03">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The findings from this study fit well within the established literature on household economics and labor market participation. Data for UK households showed strong correlations between age group composition and economic activity status. For instance, households with a higher proportion of working-age adults were much more likely to be economically active (working households), confirming hypotheses grounded in life course and cumulative disadvantage theories. Meanwhile, households with larger shares of young or older adults were more likely to be mixed or workless, reflecting transitions such as education or retirement and related dependencies. These findings reflect insights from Hammer (2015), Lawson (2016), and Vlachantoni et al. (2024), and add updated empirical evidence drawing on recent national data.</w:t>
      </w:r>
    </w:p>
    <w:p w14:paraId="7D258D20">
      <w:pPr>
        <w:numPr>
          <w:ilvl w:val="0"/>
          <w:numId w:val="0"/>
        </w:numPr>
        <w:spacing w:line="240" w:lineRule="auto"/>
        <w:jc w:val="both"/>
        <w:rPr>
          <w:rFonts w:hint="default"/>
          <w:b w:val="0"/>
          <w:bCs w:val="0"/>
          <w:sz w:val="24"/>
          <w:szCs w:val="24"/>
          <w:lang w:val="en-US"/>
        </w:rPr>
      </w:pPr>
    </w:p>
    <w:p w14:paraId="198F8590">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Discussing the results in relation to past literature highlights the dynamic and contextual nature of household economic behavior. The significance of age ties closely to demographic trends in the UK—population aging, longer educational participation, and evolving work patterns—that reshape the labor market and family economic roles. The discussion considered alternative explanations and limitations: for example, how economic shocks, policy interventions, and local labor markets might moderate patterns. Importantly, findings reinforce that household economic activity depends on complex interplays among age, socioeconomic resources, gender roles, and community factors. By aligning data with theory, this study contributes to a nuanced understanding of economic dependency and worklessness.</w:t>
      </w:r>
    </w:p>
    <w:p w14:paraId="69D24EC6">
      <w:pPr>
        <w:numPr>
          <w:ilvl w:val="0"/>
          <w:numId w:val="0"/>
        </w:numPr>
        <w:spacing w:line="240" w:lineRule="auto"/>
        <w:jc w:val="both"/>
        <w:rPr>
          <w:rFonts w:hint="default"/>
          <w:b w:val="0"/>
          <w:bCs w:val="0"/>
          <w:sz w:val="24"/>
          <w:szCs w:val="24"/>
          <w:lang w:val="en-US"/>
        </w:rPr>
      </w:pPr>
    </w:p>
    <w:p w14:paraId="19CEA8F9">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Reflecting on this quantitative journey has uncovered both personal growth and methodological insights. Initially, learning statistical concepts and managing large data seemed daunting, but through practice and critical thinking, I saw numbers translate into human stories about families and work. The process sharpened skills in data cleaning, analysis, and interpretation, while underscoring the importance of reliability and validity in ensuring robust research. Engaging deeply with hypotheses taught me patience and humility—statistics don't always conform to expectations. Overall, this work has built my confidence to use quantitative methods responsibly and considerately, complementing qualitative perspectives for more holistic social science.</w:t>
      </w:r>
    </w:p>
    <w:p w14:paraId="53639AF9">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In conclusion, this study advances understanding of how age group composition shapes UK household economic activity and dependency, contributing evidence for theory, policy, and future research. It demonstrates the power of combining sound data with thoughtful analysis to illuminate important social realities in an ever-changing society.</w:t>
      </w:r>
    </w:p>
    <w:p w14:paraId="1E9A6010">
      <w:pPr>
        <w:numPr>
          <w:ilvl w:val="0"/>
          <w:numId w:val="0"/>
        </w:numPr>
        <w:spacing w:line="240" w:lineRule="auto"/>
        <w:jc w:val="both"/>
        <w:rPr>
          <w:rFonts w:hint="default"/>
          <w:b w:val="0"/>
          <w:bCs w:val="0"/>
          <w:sz w:val="24"/>
          <w:szCs w:val="24"/>
          <w:lang w:val="en-US"/>
        </w:rPr>
      </w:pPr>
    </w:p>
    <w:p w14:paraId="58534314">
      <w:pPr>
        <w:numPr>
          <w:ilvl w:val="0"/>
          <w:numId w:val="0"/>
        </w:numPr>
        <w:spacing w:line="240" w:lineRule="auto"/>
        <w:jc w:val="both"/>
        <w:rPr>
          <w:rFonts w:hint="default"/>
          <w:b/>
          <w:bCs/>
          <w:sz w:val="24"/>
          <w:szCs w:val="24"/>
          <w:lang w:val="en-US"/>
        </w:rPr>
      </w:pPr>
      <w:r>
        <w:rPr>
          <w:rFonts w:hint="default"/>
          <w:b/>
          <w:bCs/>
          <w:sz w:val="24"/>
          <w:szCs w:val="24"/>
          <w:lang w:val="en-US"/>
        </w:rPr>
        <w:t>REFLECTION ON QUANTITATIVE SKILLS</w:t>
      </w:r>
    </w:p>
    <w:p w14:paraId="1E3CFE7A">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Reflecting on my journey learning quantitative research, especially working with data on household economic activity and age group impact, has been quite eye-opening. At first, statistics and software like SPSS seemed intimidating – numbers and formulas felt abstract and hard to connect with. But as I dived into the dataset, saw the patterns emerge, and learned how each test revealed pieces of a bigger social picture, that initial anxiety turned into curiosity and confidence.</w:t>
      </w:r>
    </w:p>
    <w:p w14:paraId="27C327DA">
      <w:pPr>
        <w:numPr>
          <w:ilvl w:val="0"/>
          <w:numId w:val="0"/>
        </w:numPr>
        <w:spacing w:line="240" w:lineRule="auto"/>
        <w:jc w:val="both"/>
        <w:rPr>
          <w:rFonts w:hint="default"/>
          <w:b w:val="0"/>
          <w:bCs w:val="0"/>
          <w:sz w:val="24"/>
          <w:szCs w:val="24"/>
          <w:lang w:val="en-US"/>
        </w:rPr>
      </w:pPr>
    </w:p>
    <w:p w14:paraId="22A9D370">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I realized that quantitative analysis is not just about crunching numbers; it’s about telling real stories. For example, when I examined how age groups relate to economic activity in households, it wasn’t just percentages or correlations — it was about understanding how families live, work, struggle, or succeed across different life stages. This made the statistical concepts more meaningful and motivated me to learn the technical steps more deeply.</w:t>
      </w:r>
    </w:p>
    <w:p w14:paraId="47D2AD01">
      <w:pPr>
        <w:numPr>
          <w:ilvl w:val="0"/>
          <w:numId w:val="0"/>
        </w:numPr>
        <w:spacing w:line="240" w:lineRule="auto"/>
        <w:jc w:val="both"/>
        <w:rPr>
          <w:rFonts w:hint="default"/>
          <w:b w:val="0"/>
          <w:bCs w:val="0"/>
          <w:sz w:val="24"/>
          <w:szCs w:val="24"/>
          <w:lang w:val="en-US"/>
        </w:rPr>
      </w:pPr>
    </w:p>
    <w:p w14:paraId="7B7204DC">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Critically, working with hypotheses helped me appreciate the scientific process — forming clear, testable ideas and then seeing if the data supports them. When I found some hypotheses confirmed, it felt satisfying to connect my findings to existing theories in social science. But when results were unexpected or weak, it taught me humility. Data isn’t always neat or conclusive, and I learned the importance of questioning methods, sample sizes, and what other factors might influence outcomes. It’s a reminder that statistics is always part of a larger conversation, not the final word.</w:t>
      </w:r>
    </w:p>
    <w:p w14:paraId="7D7F5D5E">
      <w:pPr>
        <w:numPr>
          <w:ilvl w:val="0"/>
          <w:numId w:val="0"/>
        </w:numPr>
        <w:spacing w:line="240" w:lineRule="auto"/>
        <w:jc w:val="both"/>
        <w:rPr>
          <w:rFonts w:hint="default"/>
          <w:b w:val="0"/>
          <w:bCs w:val="0"/>
          <w:sz w:val="24"/>
          <w:szCs w:val="24"/>
          <w:lang w:val="en-US"/>
        </w:rPr>
      </w:pPr>
    </w:p>
    <w:p w14:paraId="1A8B39EE">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Exploring reliability and validity showed me the care needed behind every number. Understanding Cronbach’s alpha was enlightening — it’s about ensuring consistency, confirming that the questions or measurements reflect the real construct rather than randomness. Checking validity pushed me to think conceptually about what I am actually measuring and how that fits into existing knowledge. This awareness will guide me in designing better, more trustworthy research in the future.</w:t>
      </w:r>
    </w:p>
    <w:p w14:paraId="71F6D6AF">
      <w:pPr>
        <w:numPr>
          <w:ilvl w:val="0"/>
          <w:numId w:val="0"/>
        </w:numPr>
        <w:spacing w:line="240" w:lineRule="auto"/>
        <w:jc w:val="both"/>
        <w:rPr>
          <w:rFonts w:hint="default"/>
          <w:b w:val="0"/>
          <w:bCs w:val="0"/>
          <w:sz w:val="24"/>
          <w:szCs w:val="24"/>
          <w:lang w:val="en-US"/>
        </w:rPr>
      </w:pPr>
    </w:p>
    <w:p w14:paraId="62C7936F">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One of the biggest challenges was translating raw outputs from SPSS into meaningful insights. Tables full of coefficients need interpretation, not just presentation. Learning how to write up results clearly, relate them back to research questions, and discuss their implications built my communication skills alongside technical expertise. Also, reflecting on socio-economic and demographic contexts around age and economic activity made me more aware of social inequalities that numbers represent.</w:t>
      </w:r>
    </w:p>
    <w:p w14:paraId="05FF13E7">
      <w:pPr>
        <w:numPr>
          <w:ilvl w:val="0"/>
          <w:numId w:val="0"/>
        </w:numPr>
        <w:spacing w:line="240" w:lineRule="auto"/>
        <w:jc w:val="both"/>
        <w:rPr>
          <w:rFonts w:hint="default"/>
          <w:b w:val="0"/>
          <w:bCs w:val="0"/>
          <w:sz w:val="24"/>
          <w:szCs w:val="24"/>
          <w:lang w:val="en-US"/>
        </w:rPr>
      </w:pPr>
    </w:p>
    <w:p w14:paraId="35BBB60C">
      <w:pPr>
        <w:numPr>
          <w:ilvl w:val="0"/>
          <w:numId w:val="0"/>
        </w:numPr>
        <w:spacing w:line="240" w:lineRule="auto"/>
        <w:jc w:val="both"/>
        <w:rPr>
          <w:rFonts w:hint="default"/>
          <w:b w:val="0"/>
          <w:bCs w:val="0"/>
          <w:sz w:val="24"/>
          <w:szCs w:val="24"/>
          <w:lang w:val="en-US"/>
        </w:rPr>
      </w:pPr>
      <w:r>
        <w:rPr>
          <w:rFonts w:hint="default"/>
          <w:b w:val="0"/>
          <w:bCs w:val="0"/>
          <w:sz w:val="24"/>
          <w:szCs w:val="24"/>
          <w:lang w:val="en-US"/>
        </w:rPr>
        <w:t>Overall, this experience has been a valuable step in my academic growth. I feel more equipped to handle complex datasets, make informed decisions about analysis, and critically engage with quantitative research literature. In future projects, I foresee integrating these skills with qualitative approaches for a richer understanding of social phenomena. Quantitative research, in the end, is a vital tool to illuminate patterns in human lives, and mastering it opens doors to impactful scholarly work.</w:t>
      </w:r>
    </w:p>
    <w:p w14:paraId="688925E8">
      <w:pPr>
        <w:spacing w:line="240" w:lineRule="auto"/>
        <w:jc w:val="both"/>
        <w:rPr>
          <w:rFonts w:hint="default"/>
          <w:b/>
          <w:bCs/>
          <w:sz w:val="28"/>
          <w:szCs w:val="28"/>
          <w:lang w:val="en-US"/>
        </w:rPr>
      </w:pPr>
    </w:p>
    <w:p w14:paraId="0D9A0E09">
      <w:pPr>
        <w:spacing w:line="240" w:lineRule="auto"/>
        <w:jc w:val="both"/>
        <w:rPr>
          <w:rFonts w:hint="default"/>
          <w:b/>
          <w:bCs/>
          <w:sz w:val="28"/>
          <w:szCs w:val="28"/>
          <w:lang w:val="en-US"/>
        </w:rPr>
      </w:pPr>
    </w:p>
    <w:p w14:paraId="5BDF8963">
      <w:pPr>
        <w:spacing w:line="240" w:lineRule="auto"/>
        <w:jc w:val="both"/>
        <w:rPr>
          <w:rFonts w:hint="default"/>
          <w:b/>
          <w:bCs/>
          <w:sz w:val="28"/>
          <w:szCs w:val="28"/>
          <w:lang w:val="en-US"/>
        </w:rPr>
      </w:pPr>
    </w:p>
    <w:p w14:paraId="31EA5711">
      <w:pPr>
        <w:spacing w:line="240" w:lineRule="auto"/>
        <w:jc w:val="both"/>
        <w:rPr>
          <w:rFonts w:hint="default"/>
          <w:b/>
          <w:bCs/>
          <w:sz w:val="28"/>
          <w:szCs w:val="28"/>
          <w:lang w:val="en-US"/>
        </w:rPr>
      </w:pPr>
    </w:p>
    <w:p w14:paraId="659A3435">
      <w:pPr>
        <w:spacing w:line="240" w:lineRule="auto"/>
        <w:jc w:val="both"/>
        <w:rPr>
          <w:rFonts w:hint="default"/>
          <w:b/>
          <w:bCs/>
          <w:sz w:val="28"/>
          <w:szCs w:val="28"/>
          <w:lang w:val="en-US"/>
        </w:rPr>
      </w:pPr>
    </w:p>
    <w:p w14:paraId="0EA66FA8">
      <w:pPr>
        <w:spacing w:line="240" w:lineRule="auto"/>
        <w:jc w:val="both"/>
        <w:rPr>
          <w:rFonts w:hint="default"/>
          <w:b/>
          <w:bCs/>
          <w:sz w:val="28"/>
          <w:szCs w:val="28"/>
          <w:lang w:val="en-US"/>
        </w:rPr>
      </w:pPr>
    </w:p>
    <w:p w14:paraId="308849EC">
      <w:pPr>
        <w:spacing w:line="240" w:lineRule="auto"/>
        <w:jc w:val="both"/>
        <w:rPr>
          <w:rFonts w:hint="default"/>
          <w:b/>
          <w:bCs/>
          <w:sz w:val="28"/>
          <w:szCs w:val="28"/>
          <w:lang w:val="en-US"/>
        </w:rPr>
      </w:pPr>
    </w:p>
    <w:p w14:paraId="1D069632">
      <w:pPr>
        <w:spacing w:line="240" w:lineRule="auto"/>
        <w:jc w:val="both"/>
        <w:rPr>
          <w:rFonts w:hint="default"/>
          <w:b/>
          <w:bCs/>
          <w:sz w:val="28"/>
          <w:szCs w:val="28"/>
          <w:lang w:val="en-US"/>
        </w:rPr>
      </w:pPr>
    </w:p>
    <w:p w14:paraId="35A056B0">
      <w:pPr>
        <w:spacing w:line="240" w:lineRule="auto"/>
        <w:jc w:val="both"/>
        <w:rPr>
          <w:rFonts w:hint="default"/>
          <w:b/>
          <w:bCs/>
          <w:sz w:val="28"/>
          <w:szCs w:val="28"/>
          <w:lang w:val="en-US"/>
        </w:rPr>
      </w:pPr>
    </w:p>
    <w:p w14:paraId="1F448825">
      <w:pPr>
        <w:spacing w:line="240" w:lineRule="auto"/>
        <w:jc w:val="both"/>
        <w:rPr>
          <w:rFonts w:hint="default"/>
          <w:b/>
          <w:bCs/>
          <w:sz w:val="28"/>
          <w:szCs w:val="28"/>
          <w:lang w:val="en-US"/>
        </w:rPr>
      </w:pPr>
    </w:p>
    <w:p w14:paraId="5BEACBDE">
      <w:pPr>
        <w:spacing w:line="240" w:lineRule="auto"/>
        <w:jc w:val="both"/>
        <w:rPr>
          <w:rFonts w:hint="default"/>
          <w:b/>
          <w:bCs/>
          <w:sz w:val="28"/>
          <w:szCs w:val="28"/>
          <w:lang w:val="en-US"/>
        </w:rPr>
      </w:pPr>
    </w:p>
    <w:p w14:paraId="58EC21A4">
      <w:pPr>
        <w:spacing w:line="240" w:lineRule="auto"/>
        <w:jc w:val="both"/>
        <w:rPr>
          <w:rFonts w:hint="default"/>
          <w:b/>
          <w:bCs/>
          <w:sz w:val="28"/>
          <w:szCs w:val="28"/>
          <w:lang w:val="en-US"/>
        </w:rPr>
      </w:pPr>
    </w:p>
    <w:p w14:paraId="72B63AA5">
      <w:pPr>
        <w:spacing w:line="240" w:lineRule="auto"/>
        <w:jc w:val="both"/>
        <w:rPr>
          <w:rFonts w:hint="default"/>
          <w:b/>
          <w:bCs/>
          <w:sz w:val="28"/>
          <w:szCs w:val="28"/>
          <w:lang w:val="en-US"/>
        </w:rPr>
      </w:pPr>
    </w:p>
    <w:p w14:paraId="78264D64">
      <w:pPr>
        <w:spacing w:line="240" w:lineRule="auto"/>
        <w:jc w:val="both"/>
        <w:rPr>
          <w:rFonts w:hint="default"/>
          <w:b/>
          <w:bCs/>
          <w:sz w:val="28"/>
          <w:szCs w:val="28"/>
          <w:lang w:val="en-US"/>
        </w:rPr>
      </w:pPr>
    </w:p>
    <w:p w14:paraId="7469CF33">
      <w:pPr>
        <w:spacing w:line="240" w:lineRule="auto"/>
        <w:jc w:val="both"/>
        <w:rPr>
          <w:rFonts w:hint="default"/>
          <w:b/>
          <w:bCs/>
          <w:sz w:val="28"/>
          <w:szCs w:val="28"/>
          <w:lang w:val="en-US"/>
        </w:rPr>
      </w:pPr>
    </w:p>
    <w:p w14:paraId="642C8B55">
      <w:pPr>
        <w:spacing w:line="240" w:lineRule="auto"/>
        <w:jc w:val="both"/>
        <w:rPr>
          <w:rFonts w:hint="default"/>
          <w:b/>
          <w:bCs/>
          <w:sz w:val="28"/>
          <w:szCs w:val="28"/>
          <w:lang w:val="en-US"/>
        </w:rPr>
      </w:pPr>
    </w:p>
    <w:p w14:paraId="66B6BBC3">
      <w:pPr>
        <w:spacing w:line="240" w:lineRule="auto"/>
        <w:jc w:val="both"/>
        <w:rPr>
          <w:rFonts w:hint="default"/>
          <w:b/>
          <w:bCs/>
          <w:sz w:val="28"/>
          <w:szCs w:val="28"/>
          <w:lang w:val="en-US"/>
        </w:rPr>
      </w:pPr>
    </w:p>
    <w:p w14:paraId="2986E6C5">
      <w:pPr>
        <w:spacing w:line="240" w:lineRule="auto"/>
        <w:jc w:val="both"/>
        <w:rPr>
          <w:rFonts w:hint="default"/>
          <w:b/>
          <w:bCs/>
          <w:sz w:val="28"/>
          <w:szCs w:val="28"/>
          <w:lang w:val="en-US"/>
        </w:rPr>
      </w:pPr>
    </w:p>
    <w:p w14:paraId="2D89A4E2">
      <w:pPr>
        <w:spacing w:line="240" w:lineRule="auto"/>
        <w:jc w:val="both"/>
        <w:rPr>
          <w:rFonts w:hint="default"/>
          <w:b/>
          <w:bCs/>
          <w:sz w:val="28"/>
          <w:szCs w:val="28"/>
          <w:lang w:val="en-US"/>
        </w:rPr>
      </w:pPr>
    </w:p>
    <w:p w14:paraId="31CECE96">
      <w:pPr>
        <w:spacing w:line="240" w:lineRule="auto"/>
        <w:jc w:val="both"/>
        <w:rPr>
          <w:rFonts w:hint="default"/>
          <w:b/>
          <w:bCs/>
          <w:sz w:val="28"/>
          <w:szCs w:val="28"/>
          <w:lang w:val="en-US"/>
        </w:rPr>
      </w:pPr>
    </w:p>
    <w:p w14:paraId="5A60C727">
      <w:pPr>
        <w:spacing w:line="240" w:lineRule="auto"/>
        <w:jc w:val="both"/>
        <w:rPr>
          <w:rFonts w:hint="default"/>
          <w:b/>
          <w:bCs/>
          <w:sz w:val="28"/>
          <w:szCs w:val="28"/>
          <w:lang w:val="en-US"/>
        </w:rPr>
      </w:pPr>
    </w:p>
    <w:p w14:paraId="1274A788">
      <w:pPr>
        <w:spacing w:line="240" w:lineRule="auto"/>
        <w:jc w:val="both"/>
        <w:rPr>
          <w:rFonts w:hint="default"/>
          <w:b/>
          <w:bCs/>
          <w:sz w:val="28"/>
          <w:szCs w:val="28"/>
          <w:lang w:val="en-US"/>
        </w:rPr>
      </w:pPr>
    </w:p>
    <w:p w14:paraId="4A907619">
      <w:pPr>
        <w:spacing w:line="240" w:lineRule="auto"/>
        <w:jc w:val="both"/>
        <w:rPr>
          <w:rFonts w:hint="default"/>
          <w:b/>
          <w:bCs/>
          <w:sz w:val="28"/>
          <w:szCs w:val="28"/>
          <w:lang w:val="en-US"/>
        </w:rPr>
      </w:pPr>
    </w:p>
    <w:p w14:paraId="3278A78F">
      <w:pPr>
        <w:spacing w:line="240" w:lineRule="auto"/>
        <w:jc w:val="both"/>
        <w:rPr>
          <w:rFonts w:hint="default"/>
          <w:b/>
          <w:bCs/>
          <w:sz w:val="28"/>
          <w:szCs w:val="28"/>
          <w:lang w:val="en-US"/>
        </w:rPr>
      </w:pPr>
    </w:p>
    <w:p w14:paraId="5ECE435B">
      <w:pPr>
        <w:spacing w:line="240" w:lineRule="auto"/>
        <w:jc w:val="both"/>
        <w:rPr>
          <w:rFonts w:hint="default"/>
          <w:b/>
          <w:bCs/>
          <w:sz w:val="28"/>
          <w:szCs w:val="28"/>
          <w:lang w:val="en-US"/>
        </w:rPr>
      </w:pPr>
    </w:p>
    <w:p w14:paraId="595DDF85">
      <w:pPr>
        <w:spacing w:line="240" w:lineRule="auto"/>
        <w:jc w:val="both"/>
        <w:rPr>
          <w:rFonts w:hint="default"/>
          <w:b/>
          <w:bCs/>
          <w:sz w:val="28"/>
          <w:szCs w:val="28"/>
          <w:lang w:val="en-US"/>
        </w:rPr>
      </w:pPr>
    </w:p>
    <w:p w14:paraId="2B1CE178">
      <w:pPr>
        <w:spacing w:line="240" w:lineRule="auto"/>
        <w:jc w:val="both"/>
        <w:rPr>
          <w:rFonts w:hint="default"/>
          <w:b/>
          <w:bCs/>
          <w:sz w:val="28"/>
          <w:szCs w:val="28"/>
          <w:lang w:val="en-US"/>
        </w:rPr>
      </w:pPr>
      <w:r>
        <w:rPr>
          <w:rFonts w:hint="default"/>
          <w:b/>
          <w:bCs/>
          <w:sz w:val="28"/>
          <w:szCs w:val="28"/>
          <w:lang w:val="en-US"/>
        </w:rPr>
        <w:t xml:space="preserve">REFERENCES LIST </w:t>
      </w:r>
    </w:p>
    <w:p w14:paraId="5FC3E54D">
      <w:pPr>
        <w:spacing w:line="240" w:lineRule="auto"/>
        <w:jc w:val="both"/>
        <w:rPr>
          <w:rFonts w:hint="default"/>
          <w:b/>
          <w:bCs/>
          <w:sz w:val="28"/>
          <w:szCs w:val="28"/>
          <w:lang w:val="en-US"/>
        </w:rPr>
      </w:pPr>
    </w:p>
    <w:p w14:paraId="4506815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Abu-Bakar, H.H., Williams, L. and Hallett, S.H., 2023. Contextualising household water consumption patterns in England: A socio-economic and socio-demographic narrative. Cleaner and Responsible Consumption, 8, p.100104.</w:t>
      </w:r>
    </w:p>
    <w:p w14:paraId="403ECFD0">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4DCCC88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Akanni, L., Lenhart, O. and Morton, A., 2022. Income trajectories and self-rated health status in the UK. SSM-Population Health, 17, p.101035.</w:t>
      </w:r>
    </w:p>
    <w:p w14:paraId="05FE239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D1D4EEB">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Andrew, M. and Meen, G., 2006. Population structure and location choice: A study of London and South East England. Papers in Regional Science, 85(3), pp.401-419.</w:t>
      </w:r>
    </w:p>
    <w:p w14:paraId="66FD9959">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9ED2B3F">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Arthur, M.M.L., 2021. Presenting the Results of Quantitative Analysis. Social Data Analysis.</w:t>
      </w:r>
    </w:p>
    <w:p w14:paraId="1C3B8289">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14F90A1">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Azmat, G., 2015. Gender Gaps in the UK Labour Market: jobs, pay and family-friendly policies. In The research evidence on key issues for voters in the 2015 UK General Election, p.185.</w:t>
      </w:r>
    </w:p>
    <w:p w14:paraId="0CD505AF">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492D2DE">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Barrett, A.E., 2003. Socioeconomic status and age identity: The role of dimensions of health in the subjective construction of age. The Journals of Gerontology Series B: Psychological Sciences and Social Sciences, 58(2), pp.S101-S109.</w:t>
      </w:r>
    </w:p>
    <w:p w14:paraId="783D813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0F7BC46">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Bashir, N., Crisp, R., Gore, T., Reeve, K. and Robinson, D., 2011. Families and work: Revisiting barriers to employment.</w:t>
      </w:r>
    </w:p>
    <w:p w14:paraId="5125F669">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BA9020F">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Bennett, F. and Daly, M., 2014. Poverty through a gender lens: Evidence and policy review on gender and poverty.</w:t>
      </w:r>
    </w:p>
    <w:p w14:paraId="2955947E">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13FB5FF">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Benito, A. and Bunn, P., 2011. Understanding labour force participation in the United Kingdom. Bank of England Quarterly Bulletin, p.Q1.</w:t>
      </w:r>
    </w:p>
    <w:p w14:paraId="38AE74A7">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A7E13AA">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Berrington, A., Stone, J. and Falkingham, J., 2013. The impact of parental characteristics and contextual effects on returns to the parental home in Britain.</w:t>
      </w:r>
    </w:p>
    <w:p w14:paraId="560AB931">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388F4CC">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Bird, D., 2022. A critical reflection on quantitative research. Faculty of Business and Law Research Day.</w:t>
      </w:r>
    </w:p>
    <w:p w14:paraId="739C0B9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716103C">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Boileau, B. and Cribb, J., 2022. The rise in economic inactivity among people in their 50s and 60s.</w:t>
      </w:r>
    </w:p>
    <w:p w14:paraId="7A9E98B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7C3D902E">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Broome, M., Hale, S., Cominetti, N., Corlett, A., Handscomb, K., Murphy, L., Slaughter, H. and Try, L., 2022. An intergenerational audit for the UK. Resolution Foundation, p.38.</w:t>
      </w:r>
    </w:p>
    <w:p w14:paraId="6949AB64">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B30B636">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Bryman, A., 2016. Social research methods. Oxford university press.</w:t>
      </w:r>
    </w:p>
    <w:p w14:paraId="079206D6">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67C1937">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Cohn-Schwartz, E. and Naegele, L., 2024. Employment over the life course and post-retirement social networks: a gendered perspective. International Psychogeriatrics, 36(8), pp.655-665.</w:t>
      </w:r>
    </w:p>
    <w:p w14:paraId="51F3B30F">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7BDB70B6">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Conger, R.D., Conger, K.J. and Martin, M.J., 2010. Socioeconomic status, family processes, and individual development. Journal of Marriage and Family, 72(3), pp.685-704.</w:t>
      </w:r>
    </w:p>
    <w:p w14:paraId="41E80025">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52BBA8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Creswell, J.W., 2009. Research designs. Qualitative, quantitative, and mixed methods approaches.</w:t>
      </w:r>
    </w:p>
    <w:p w14:paraId="0ECEC07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CAA67B9">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Danner, M., Guégnard, C. and Maguire, S., 2021. Understanding economic inactivity and NEET status among young women in the UK and France. Journal of Education and Work, 34(7-8), pp.839-854.</w:t>
      </w:r>
    </w:p>
    <w:p w14:paraId="4C5C9C64">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85DBF14">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Davis, J., 2001. Conceptual issues in analysing the rural non-farm economy in transition economies.</w:t>
      </w:r>
    </w:p>
    <w:p w14:paraId="12AD288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1AD3ED5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De Lange, A.H., Van der Heijden, B., Van Vuuren, T., Furunes, T., De Lange, C. and Dikkers, J., 2021. Employable as we age? A systematic review of relationships between age conceptualizations and employability. Frontiers in Psychology, 11, p.605684.</w:t>
      </w:r>
    </w:p>
    <w:p w14:paraId="4255C1A0">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143CBB2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Department for Work and Pensions, 2023. Economic labour market status of individuals aged 50 and over, trends over time.</w:t>
      </w:r>
    </w:p>
    <w:p w14:paraId="4B81BB7E">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175D2D7">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Fahmy, E., Levitas, R., Gordon, D. and Patsios, D., 2009. Understanding the risks of social exclusion across the life course: Working age adults without dependent children. London: Social Exclusion Task Force (SETF), Cabinet Office. Accessed, 12, p.12.</w:t>
      </w:r>
    </w:p>
    <w:p w14:paraId="333766B4">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7EFE9265">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Field, A., 2024. Discovering statistics using IBM SPSS statistics. Sage publications limited.</w:t>
      </w:r>
    </w:p>
    <w:p w14:paraId="12756C9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FitzRoy, F., Steinhardt, M.F. and Nolan, M., 2011. Age, life-satisfaction, and relative income (No. 110). HWWI Research Paper.</w:t>
      </w:r>
    </w:p>
    <w:p w14:paraId="00FEE8DE">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F74B9D0">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FitzRoy, F.R., Nolan, M. and Steinhardt, M.F., 2011. Age, life-satisfaction, and relative income: insights from the UK and Germany (No. 6045). IZA Discussion Papers.</w:t>
      </w:r>
    </w:p>
    <w:p w14:paraId="5DE3CDC6">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BBD8EEE">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Gagné, T., Nandi, A. and Schoon, I., 2022. Time trend analysis of social inequalities in psychological distress among young adults before and during the pandemic: evidence from the UK Household Longitudinal Study COVID-19 waves. J Epidemiol Community Health, 76(5), pp.421-427.</w:t>
      </w:r>
    </w:p>
    <w:p w14:paraId="7340E2A8">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63E75C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Gamage, S.K.N., (n.d.). The household assets and subjective wellbeing.</w:t>
      </w:r>
    </w:p>
    <w:p w14:paraId="5DD0CEB8">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41F2A724">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Gómez-Balcácer, L., Somarriba Arechavala, N. and Gómez-Costilla, P., 2023. The importance of different forms of social capital for happiness in Europe: A multilevel structural equation model (GSEM). Applied Research in Quality of Life, 18(1), pp.601-624.</w:t>
      </w:r>
    </w:p>
    <w:p w14:paraId="767A49D9">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273667E">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Gomez-Leon, M., Evandrou, M., Falkingham, J. and Vlachantoni, A., 2019. The dynamics of social care and employment in mid-life. Ageing &amp; Society, 39(2), pp.381-408.</w:t>
      </w:r>
    </w:p>
    <w:p w14:paraId="1CD53994">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Gonäs, L., Wikman, A., Alexanderson, K. and Gustafsson, K., 2019. Age, period, and cohort effects for future employment, sickness absence, and disability pension by occupational gender segregation: a population-based study of all employed people in a country (&gt; 3 million). Canadian Journal of Public Health, 110(5), pp.584-594.</w:t>
      </w:r>
    </w:p>
    <w:p w14:paraId="09E9C56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F8A2035">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Gregg, P., Scutella, R. and Wadsworth, J., 2010. Reconciling workless measures at the individual and household level. Journal of Population Economics, 23(1), pp.139-167.</w:t>
      </w:r>
    </w:p>
    <w:p w14:paraId="13E98E8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A35C847">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Hammer, B., Prskawetz, A. and Freund, I., 2015. Production activities and economic dependency by age and gender in Europe: A cross-country comparison. The Journal of the Economics of Ageing, 5, pp.86-97.</w:t>
      </w:r>
    </w:p>
    <w:p w14:paraId="35282A7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450B5960">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Hammer, T. (ed.), 2003. Youth unemployment and social exclusion in Europe: A comparative study. Policy Press.</w:t>
      </w:r>
    </w:p>
    <w:p w14:paraId="0C311409">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72C19C8">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Han, X. and Mortimer, J.T., 2023. Dynamic work trajectories and their interplay with family over the life course. Frontiers in Sociology, 8, p.1096109.</w:t>
      </w:r>
    </w:p>
    <w:p w14:paraId="3D0CCF78">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20F8CCD">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Hook, J.L., 2010. Gender inequality in the welfare state: Sex segregation in housework, 1965–2003. American Journal of Sociology, 115(5), pp.1480-1523.</w:t>
      </w:r>
    </w:p>
    <w:p w14:paraId="0034C6F4">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900904B">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Hornstra, M. and Maas, I., 2021. Does the impact of the family increase or decrease over the life course? Sibling similarities in occupational status across different career points. Research in Social Stratification and Mobility, 75, p.100643.</w:t>
      </w:r>
    </w:p>
    <w:p w14:paraId="0C878E1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EBFB7C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Johnston, M.P., 2014. Secondary data analysis: A method of which the time has come. Qualitative and Quantitative Methods in Libraries, 3(3), pp.619-626.</w:t>
      </w:r>
    </w:p>
    <w:p w14:paraId="35B349FF">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41BF354">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Kung, C.S., Pudney, S.E. and Shields, M.A., 2022. Economic gradients in loneliness, social isolation and social support: evidence from the UK Biobank. Social Science &amp; Medicine, 306, p.115122.</w:t>
      </w:r>
    </w:p>
    <w:p w14:paraId="678D755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7579356">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Lawson, T., 2016. How the ageing population contributes to UK economic activity: A microsimulation analysis. Scottish Journal of Political Economy, 63(5), pp.497-518.</w:t>
      </w:r>
    </w:p>
    <w:p w14:paraId="08CD22A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DE13CD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Lütolf, M. and Stadelmann-Steffen, I., 2023. Do households live the family model they prefer? Household’s work patterns across European policy regimes. Socio-Economic Review, 21(3), pp.1421-1443.</w:t>
      </w:r>
    </w:p>
    <w:p w14:paraId="7315335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5D93FDA">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Manstead, A.S., 2018. The psychology of social class: How socioeconomic status impacts thought, feelings, and behaviour. British Journal of Social Psychology, 57(2), pp.267-291.</w:t>
      </w:r>
    </w:p>
    <w:p w14:paraId="3781CEF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A0C37E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Marmot, M., Banks, J., Blundell, R., Lessof, C. and Nazroo, J., 2003. Health, wealth and lifestyles of the older population in England. London: Institute of Fiscal Studies.</w:t>
      </w:r>
    </w:p>
    <w:p w14:paraId="2B634AF2">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D74E29A">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Mason, J., 2017. Qualitative researching.</w:t>
      </w:r>
    </w:p>
    <w:p w14:paraId="038D5BD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832CB2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Morrissey, T.W., Cha, Y., Wolf, S. and Khan, M., 2020. Household economic instability: Constructs, measurement, and implications. Children and Youth Services Review, 118, p.105502.</w:t>
      </w:r>
    </w:p>
    <w:p w14:paraId="43707C48">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4791089">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Murphy, R., Dennes, M. and Harris, B., 2022. Families and the Labour Market: UK: 2021.</w:t>
      </w:r>
    </w:p>
    <w:p w14:paraId="2F417E4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572A88F">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Nagarajan, N.R., Teixeira, A.A. and Silva, S.T., 2016. The impact of an ageing population on economic growth: an exploratory review of the main mechanisms. Análise Social, pp.4-35.</w:t>
      </w:r>
    </w:p>
    <w:p w14:paraId="1D5F5E62">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2035EA5">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 xml:space="preserve">Naradda Gamage, S. K., Ihtisham ul Haq &amp; Shavkat Otamurodov (2015) ‘The household assets and subjective wellbeing: A conceptual framework’, International Journal of Economics, Commerce &amp; Management, Vol. III, Issue 12, December 2015. Available at: </w:t>
      </w:r>
      <w:r>
        <w:rPr>
          <w:rFonts w:hint="default"/>
          <w:color w:val="000000" w:themeColor="text1"/>
          <w:sz w:val="24"/>
          <w:szCs w:val="24"/>
          <w:highlight w:val="none"/>
          <w:lang w:val="en-US"/>
          <w14:textFill>
            <w14:solidFill>
              <w14:schemeClr w14:val="tx1"/>
            </w14:solidFill>
          </w14:textFill>
        </w:rPr>
        <w:fldChar w:fldCharType="begin"/>
      </w:r>
      <w:r>
        <w:rPr>
          <w:rFonts w:hint="default"/>
          <w:color w:val="000000" w:themeColor="text1"/>
          <w:sz w:val="24"/>
          <w:szCs w:val="24"/>
          <w:highlight w:val="none"/>
          <w:lang w:val="en-US"/>
          <w14:textFill>
            <w14:solidFill>
              <w14:schemeClr w14:val="tx1"/>
            </w14:solidFill>
          </w14:textFill>
        </w:rPr>
        <w:instrText xml:space="preserve"> HYPERLINK "https://ijecm.co.uk/wp-content/uploads/2015/12/31232.pdf" </w:instrText>
      </w:r>
      <w:r>
        <w:rPr>
          <w:rFonts w:hint="default"/>
          <w:color w:val="000000" w:themeColor="text1"/>
          <w:sz w:val="24"/>
          <w:szCs w:val="24"/>
          <w:highlight w:val="none"/>
          <w:lang w:val="en-US"/>
          <w14:textFill>
            <w14:solidFill>
              <w14:schemeClr w14:val="tx1"/>
            </w14:solidFill>
          </w14:textFill>
        </w:rPr>
        <w:fldChar w:fldCharType="separate"/>
      </w:r>
      <w:r>
        <w:rPr>
          <w:rStyle w:val="11"/>
          <w:rFonts w:hint="default"/>
          <w:sz w:val="24"/>
          <w:szCs w:val="24"/>
          <w:highlight w:val="none"/>
          <w:lang w:val="en-US"/>
        </w:rPr>
        <w:t>https://ijecm.co.uk/wp-content/uploads/2015/12/31232.pdf</w:t>
      </w:r>
      <w:r>
        <w:rPr>
          <w:rFonts w:hint="default"/>
          <w:color w:val="000000" w:themeColor="text1"/>
          <w:sz w:val="24"/>
          <w:szCs w:val="24"/>
          <w:highlight w:val="none"/>
          <w:lang w:val="en-US"/>
          <w14:textFill>
            <w14:solidFill>
              <w14:schemeClr w14:val="tx1"/>
            </w14:solidFill>
          </w14:textFill>
        </w:rPr>
        <w:fldChar w:fldCharType="end"/>
      </w:r>
    </w:p>
    <w:p w14:paraId="34AA612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48CBAF51">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Needham, C., 2016. Social policy review 28.</w:t>
      </w:r>
    </w:p>
    <w:p w14:paraId="373DAA14">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10CAC69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 xml:space="preserve">Office for National Statistics (ONS), 2022. Economic activity status, England and Wales: Census 2021. Statistical bulletin, released 8 December 2022. Available at: </w:t>
      </w:r>
      <w:r>
        <w:rPr>
          <w:rFonts w:hint="default"/>
          <w:color w:val="000000" w:themeColor="text1"/>
          <w:sz w:val="24"/>
          <w:szCs w:val="24"/>
          <w:highlight w:val="none"/>
          <w:lang w:val="en-US"/>
          <w14:textFill>
            <w14:solidFill>
              <w14:schemeClr w14:val="tx1"/>
            </w14:solidFill>
          </w14:textFill>
        </w:rPr>
        <w:fldChar w:fldCharType="begin"/>
      </w:r>
      <w:r>
        <w:rPr>
          <w:rFonts w:hint="default"/>
          <w:color w:val="000000" w:themeColor="text1"/>
          <w:sz w:val="24"/>
          <w:szCs w:val="24"/>
          <w:highlight w:val="none"/>
          <w:lang w:val="en-US"/>
          <w14:textFill>
            <w14:solidFill>
              <w14:schemeClr w14:val="tx1"/>
            </w14:solidFill>
          </w14:textFill>
        </w:rPr>
        <w:instrText xml:space="preserve"> HYPERLINK "https://www.ons.gov.uk/employmentandlabourmarket/peopleinwork/employmentandemployeetypes/bulletins/economicactivitystatusenglandandwales/census2021" </w:instrText>
      </w:r>
      <w:r>
        <w:rPr>
          <w:rFonts w:hint="default"/>
          <w:color w:val="000000" w:themeColor="text1"/>
          <w:sz w:val="24"/>
          <w:szCs w:val="24"/>
          <w:highlight w:val="none"/>
          <w:lang w:val="en-US"/>
          <w14:textFill>
            <w14:solidFill>
              <w14:schemeClr w14:val="tx1"/>
            </w14:solidFill>
          </w14:textFill>
        </w:rPr>
        <w:fldChar w:fldCharType="separate"/>
      </w:r>
      <w:r>
        <w:rPr>
          <w:rStyle w:val="11"/>
          <w:rFonts w:hint="default"/>
          <w:sz w:val="24"/>
          <w:szCs w:val="24"/>
          <w:highlight w:val="none"/>
          <w:lang w:val="en-US"/>
        </w:rPr>
        <w:t>https://www.ons.gov.uk/employmentandlabourmarket/peopleinwork/employmentandemployeetypes/bulletins/economicactivitystatusenglandandwales/census2021</w:t>
      </w:r>
      <w:r>
        <w:rPr>
          <w:rFonts w:hint="default"/>
          <w:color w:val="000000" w:themeColor="text1"/>
          <w:sz w:val="24"/>
          <w:szCs w:val="24"/>
          <w:highlight w:val="none"/>
          <w:lang w:val="en-US"/>
          <w14:textFill>
            <w14:solidFill>
              <w14:schemeClr w14:val="tx1"/>
            </w14:solidFill>
          </w14:textFill>
        </w:rPr>
        <w:fldChar w:fldCharType="end"/>
      </w:r>
    </w:p>
    <w:p w14:paraId="08661B0C">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7FF1B2BF">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Pallant, J., 2020. SPSS survival manual: A step by step guide to data analysis using IBM SPSS. Routledge.</w:t>
      </w:r>
    </w:p>
    <w:p w14:paraId="69FDD7E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51B088A">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Parsons, S. &amp; Schoon, I., (n.d.). Economic activities of care leavers and children of care-leavers: Employment, education and training (EET) disadvantages over the life course.</w:t>
      </w:r>
    </w:p>
    <w:p w14:paraId="041C74B0">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7080518E">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Parsons, S. &amp; Schoon, I., 2023. Economic activities of care leavers and children of care leavers: employment, education and training (EET) disadvantages over the life course. CLS Working Paper 2023/3. Centre for Longitudinal Studies, UCL Social Research Institute. Available at: https://cls.ucl.ac.uk/wp-content/uploads/2023/11/CLS-Working-Papers-2023-3-Economic-activities-of-care-leavers-and-children-of-care-leavers.pdf</w:t>
      </w:r>
    </w:p>
    <w:p w14:paraId="3A56F16F">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B802E8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756FCA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Pham, P.D., Schlander, M., Eckford, R., Hernandez-Villafuerte, K. and Ubels, J., 2023. Developing a conceptual framework for socioeconomic impact research in European cancer patients: a ‘best-fit’ framework synthesis. The Patient-Patient-Centered Outcomes Research, 16(5), pp.515-536.</w:t>
      </w:r>
    </w:p>
    <w:p w14:paraId="00940868">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A54AE28">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Polizzi, A., Struffolino, E. and Van Winkle, Z., 2022. Family demographic processes and in-work poverty: A systematic review. Advances in Life Course Research, 52, p.100462.</w:t>
      </w:r>
    </w:p>
    <w:p w14:paraId="5263BA5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7A5E18B">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Schober, P., Boer, C. and Schwarte, L.A., 2018. Correlation coefficients: appropriate use and interpretation. Anesthesia &amp; Analgesia, 126(5), pp.1763-1768.</w:t>
      </w:r>
    </w:p>
    <w:p w14:paraId="53554D37">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40BF3D3">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Stadelmann-Steffen, I. and Oehrli, D., 2017. Perceiving reconciliation: Child care policies and gendered time conflicts. Gender &amp; Society, 31(5), pp.597-623.</w:t>
      </w:r>
    </w:p>
    <w:p w14:paraId="621B3471">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137F224E">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Stevens, M.J., Barker, M., Dennison, E., Harris, E.C., Linaker, C., Weller, S. and Walker-Bone, K., 2022. Recent UK retirees’ views about the work-related factors which influenced their decision to retire: a qualitative study within the Health and Employment After Fifty (HEAF) cohort. BMC Public Health, 22(1), p.116.</w:t>
      </w:r>
    </w:p>
    <w:p w14:paraId="068C907F">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53661890">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Stone, J., Berrington, A. and Falkingham, J., 2011. The changing determinants of UK young adults’ living arrangements. Demographic Research, 25, pp.629-666.</w:t>
      </w:r>
    </w:p>
    <w:p w14:paraId="49EB6211">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46E2A1C">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Sullivan, O., Coltrane, S., McAnnally, L. and Altintas, E., 2009. Father-friendly policies and time-use data in a cross-national context: Potential and prospects for future research. The ANNALS of the American Academy of Political and Social Science, 624(1), pp.234-254.</w:t>
      </w:r>
    </w:p>
    <w:p w14:paraId="0825D0C5">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7CF45B9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Swain, J., Carpentieri, J.D., Parsons, S. and Goodman, A., 2020. Using a life course perspective to understand early labor market exits for people in their late 50s living in the UK. International Journal of Ageing and Later Life, 14(2), pp.163-192.</w:t>
      </w:r>
    </w:p>
    <w:p w14:paraId="38B0EB23">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3D08B91">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Tavakol, M. and Dennick, R., 2011. Making sense of Cronbach's alpha. International Journal of Medical Education, 2, p.53.</w:t>
      </w:r>
    </w:p>
    <w:p w14:paraId="608620AD">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B7CA3B2">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 xml:space="preserve">Taylor, E., Santiago, L. and Stripe, C., 2022. Young people in the labour market by socio-economic background, UK: 2014 to 2021. Office for National Statistics, released 30 May 2022. Available at: </w:t>
      </w:r>
      <w:r>
        <w:rPr>
          <w:rFonts w:hint="default"/>
          <w:color w:val="000000" w:themeColor="text1"/>
          <w:sz w:val="24"/>
          <w:szCs w:val="24"/>
          <w:highlight w:val="none"/>
          <w:lang w:val="en-US"/>
          <w14:textFill>
            <w14:solidFill>
              <w14:schemeClr w14:val="tx1"/>
            </w14:solidFill>
          </w14:textFill>
        </w:rPr>
        <w:fldChar w:fldCharType="begin"/>
      </w:r>
      <w:r>
        <w:rPr>
          <w:rFonts w:hint="default"/>
          <w:color w:val="000000" w:themeColor="text1"/>
          <w:sz w:val="24"/>
          <w:szCs w:val="24"/>
          <w:highlight w:val="none"/>
          <w:lang w:val="en-US"/>
          <w14:textFill>
            <w14:solidFill>
              <w14:schemeClr w14:val="tx1"/>
            </w14:solidFill>
          </w14:textFill>
        </w:rPr>
        <w:instrText xml:space="preserve"> HYPERLINK "https://www.ons.gov.uk/employmentandlabourmarket/peopleinwork/employmentandemployeetypes/articles/youngpeopleinthelabourmarketbysocioeconomicbackgrounduk/2014to2021" </w:instrText>
      </w:r>
      <w:r>
        <w:rPr>
          <w:rFonts w:hint="default"/>
          <w:color w:val="000000" w:themeColor="text1"/>
          <w:sz w:val="24"/>
          <w:szCs w:val="24"/>
          <w:highlight w:val="none"/>
          <w:lang w:val="en-US"/>
          <w14:textFill>
            <w14:solidFill>
              <w14:schemeClr w14:val="tx1"/>
            </w14:solidFill>
          </w14:textFill>
        </w:rPr>
        <w:fldChar w:fldCharType="separate"/>
      </w:r>
      <w:r>
        <w:rPr>
          <w:rStyle w:val="11"/>
          <w:rFonts w:hint="default"/>
          <w:sz w:val="24"/>
          <w:szCs w:val="24"/>
          <w:highlight w:val="none"/>
          <w:lang w:val="en-US"/>
        </w:rPr>
        <w:t>https://www.ons.gov.uk/employmentandlabourmarket/peopleinwork/employmentandemployeetypes/articles/youngpeopleinthelabourmarketbysocioeconomicbackgrounduk/2014to2021</w:t>
      </w:r>
      <w:r>
        <w:rPr>
          <w:rFonts w:hint="default"/>
          <w:color w:val="000000" w:themeColor="text1"/>
          <w:sz w:val="24"/>
          <w:szCs w:val="24"/>
          <w:highlight w:val="none"/>
          <w:lang w:val="en-US"/>
          <w14:textFill>
            <w14:solidFill>
              <w14:schemeClr w14:val="tx1"/>
            </w14:solidFill>
          </w14:textFill>
        </w:rPr>
        <w:fldChar w:fldCharType="end"/>
      </w:r>
    </w:p>
    <w:p w14:paraId="1A0FC9E1">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63080ACD">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Tosheva, E., 2023. How Does the Household Economic Status Affect the Quality of Life of Older People in the Different EU Countries?. Economic Alternatives, 3, pp.459-475.</w:t>
      </w:r>
    </w:p>
    <w:p w14:paraId="72FE9C66">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29E5F5B9">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Vargha, L., Gál, R.I. and Crosby-Nagy, M.O., 2017. Household production and consumption over the life cycle: National Time Transfer Accounts in 14 European countries. Demographic Research, 36, pp.905-944.</w:t>
      </w:r>
    </w:p>
    <w:p w14:paraId="1EF2AC25">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4AD3BFB0">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Vlachantoni, A., Wang, N., Feng, Z. and Falkingham, J., 2024. Informal care provision and the reduction of economic activity among mid-life carers in Great Britain–a mixed-methods approach. Social Policy and Society, 23(2), pp.344-361.</w:t>
      </w:r>
    </w:p>
    <w:p w14:paraId="1F5FB9A8">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32B8E8E4">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Vlandas, T., McArthur, D. and Ganslmeier, M., 2021. Ageing and the economy: a literature review of political and policy mechanisms. Political Research Exchange, 3(1), p.1932532.</w:t>
      </w:r>
    </w:p>
    <w:p w14:paraId="63FB38C9">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17B35944">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Yuen, W., Sidhu, S., Vassilev, G., Mubarak, S., Martin, T. and Wignall, J., 2018. Trends in self-employment in the UK. Office for National Statistics (accessed March 22, 2020). Available at: https://www.ons.gov.uk/employmentandlabourmarket/peopleinwork/employmentandemployeetypes/articles/trendsinselfemploymentintheuk/2018-02-07</w:t>
      </w:r>
    </w:p>
    <w:p w14:paraId="1A2C6247">
      <w:pPr>
        <w:numPr>
          <w:ilvl w:val="0"/>
          <w:numId w:val="0"/>
        </w:numPr>
        <w:spacing w:line="240" w:lineRule="auto"/>
        <w:ind w:leftChars="0"/>
        <w:jc w:val="both"/>
        <w:rPr>
          <w:rFonts w:hint="default"/>
          <w:color w:val="000000" w:themeColor="text1"/>
          <w:sz w:val="24"/>
          <w:szCs w:val="24"/>
          <w:highlight w:val="none"/>
          <w:lang w:val="en-US"/>
          <w14:textFill>
            <w14:solidFill>
              <w14:schemeClr w14:val="tx1"/>
            </w14:solidFill>
          </w14:textFill>
        </w:rPr>
      </w:pPr>
    </w:p>
    <w:p w14:paraId="0140A3DD">
      <w:pPr>
        <w:numPr>
          <w:ilvl w:val="0"/>
          <w:numId w:val="6"/>
        </w:numPr>
        <w:spacing w:line="240" w:lineRule="auto"/>
        <w:ind w:left="425" w:leftChars="0" w:hanging="425" w:firstLineChars="0"/>
        <w:jc w:val="both"/>
        <w:rPr>
          <w:rFonts w:hint="default"/>
          <w:color w:val="000000" w:themeColor="text1"/>
          <w:sz w:val="24"/>
          <w:szCs w:val="24"/>
          <w:highlight w:val="none"/>
          <w:lang w:val="en-US"/>
          <w14:textFill>
            <w14:solidFill>
              <w14:schemeClr w14:val="tx1"/>
            </w14:solidFill>
          </w14:textFill>
        </w:rPr>
      </w:pPr>
      <w:r>
        <w:rPr>
          <w:rFonts w:hint="default"/>
          <w:color w:val="000000" w:themeColor="text1"/>
          <w:sz w:val="24"/>
          <w:szCs w:val="24"/>
          <w:highlight w:val="none"/>
          <w:lang w:val="en-US"/>
          <w14:textFill>
            <w14:solidFill>
              <w14:schemeClr w14:val="tx1"/>
            </w14:solidFill>
          </w14:textFill>
        </w:rPr>
        <w:t>Zhang, W., 2022. Social capital, income and subjective well-being: evidence in rural China. Heliyon, 8(1).</w:t>
      </w:r>
    </w:p>
    <w:p w14:paraId="56C9BF35">
      <w:pPr>
        <w:jc w:val="both"/>
        <w:rPr>
          <w:rFonts w:hint="default"/>
          <w:sz w:val="24"/>
          <w:szCs w:val="24"/>
          <w:lang w:val="en-US"/>
        </w:rPr>
      </w:pPr>
    </w:p>
    <w:sectPr>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223485">
    <w:pPr>
      <w:pStyle w:val="9"/>
      <w:rPr>
        <w:rFonts w:hint="eastAsia" w:asciiTheme="minorEastAsia" w:hAnsiTheme="minorEastAsia" w:eastAsiaTheme="minorEastAsia" w:cstheme="minorEastAsia"/>
        <w:b/>
        <w:bCs/>
        <w:sz w:val="24"/>
        <w:szCs w:val="24"/>
        <w:lang w:val="en-US"/>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96599E1">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096599E1">
                    <w:pPr>
                      <w:pStyle w:val="9"/>
                    </w:pPr>
                    <w:r>
                      <w:fldChar w:fldCharType="begin"/>
                    </w:r>
                    <w:r>
                      <w:instrText xml:space="preserve"> PAGE  \* MERGEFORMAT </w:instrText>
                    </w:r>
                    <w:r>
                      <w:fldChar w:fldCharType="separate"/>
                    </w:r>
                    <w:r>
                      <w:t>1</w:t>
                    </w:r>
                    <w:r>
                      <w:fldChar w:fldCharType="end"/>
                    </w:r>
                  </w:p>
                </w:txbxContent>
              </v:textbox>
            </v:shape>
          </w:pict>
        </mc:Fallback>
      </mc:AlternateContent>
    </w:r>
    <w:r>
      <w:rPr>
        <w:rFonts w:hint="default"/>
        <w:lang w:val="en-US"/>
      </w:rPr>
      <w:t xml:space="preserve">                                                                                                   </w:t>
    </w:r>
    <w:r>
      <w:rPr>
        <w:rFonts w:hint="eastAsia" w:asciiTheme="minorEastAsia" w:hAnsiTheme="minorEastAsia" w:eastAsiaTheme="minorEastAsia" w:cstheme="minorEastAsia"/>
        <w:b/>
        <w:bCs/>
        <w:sz w:val="24"/>
        <w:szCs w:val="24"/>
        <w:lang w:val="en-US"/>
      </w:rPr>
      <w:t xml:space="preserve">   </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45CCF4E"/>
    <w:multiLevelType w:val="singleLevel"/>
    <w:tmpl w:val="A45CCF4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AD121D76"/>
    <w:multiLevelType w:val="singleLevel"/>
    <w:tmpl w:val="AD121D76"/>
    <w:lvl w:ilvl="0" w:tentative="0">
      <w:start w:val="1"/>
      <w:numFmt w:val="decimal"/>
      <w:lvlText w:val="%1."/>
      <w:lvlJc w:val="left"/>
      <w:pPr>
        <w:tabs>
          <w:tab w:val="left" w:pos="425"/>
        </w:tabs>
        <w:ind w:left="425" w:leftChars="0" w:hanging="425" w:firstLineChars="0"/>
      </w:pPr>
      <w:rPr>
        <w:rFonts w:hint="default"/>
      </w:rPr>
    </w:lvl>
  </w:abstractNum>
  <w:abstractNum w:abstractNumId="2">
    <w:nsid w:val="AE960DC3"/>
    <w:multiLevelType w:val="singleLevel"/>
    <w:tmpl w:val="AE960DC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D6697CB0"/>
    <w:multiLevelType w:val="singleLevel"/>
    <w:tmpl w:val="D6697CB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432135AB"/>
    <w:multiLevelType w:val="singleLevel"/>
    <w:tmpl w:val="432135AB"/>
    <w:lvl w:ilvl="0" w:tentative="0">
      <w:start w:val="1"/>
      <w:numFmt w:val="upperRoman"/>
      <w:lvlText w:val="%1."/>
      <w:lvlJc w:val="left"/>
      <w:pPr>
        <w:tabs>
          <w:tab w:val="left" w:pos="425"/>
        </w:tabs>
        <w:ind w:left="425" w:leftChars="0" w:hanging="425" w:firstLineChars="0"/>
      </w:pPr>
      <w:rPr>
        <w:rFonts w:hint="default"/>
      </w:rPr>
    </w:lvl>
  </w:abstractNum>
  <w:abstractNum w:abstractNumId="5">
    <w:nsid w:val="78FB690E"/>
    <w:multiLevelType w:val="singleLevel"/>
    <w:tmpl w:val="78FB690E"/>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2"/>
  </w:num>
  <w:num w:numId="2">
    <w:abstractNumId w:val="4"/>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B94F2E"/>
    <w:rsid w:val="006D6D64"/>
    <w:rsid w:val="01200E27"/>
    <w:rsid w:val="01A21D3D"/>
    <w:rsid w:val="01BB5B2A"/>
    <w:rsid w:val="01CC0983"/>
    <w:rsid w:val="01ED0EB7"/>
    <w:rsid w:val="02291994"/>
    <w:rsid w:val="022B099C"/>
    <w:rsid w:val="023B2FAD"/>
    <w:rsid w:val="02427B53"/>
    <w:rsid w:val="02C808F8"/>
    <w:rsid w:val="03A8766A"/>
    <w:rsid w:val="04725281"/>
    <w:rsid w:val="050908C0"/>
    <w:rsid w:val="054D3C9F"/>
    <w:rsid w:val="054D6FE6"/>
    <w:rsid w:val="05910CAE"/>
    <w:rsid w:val="05B6346C"/>
    <w:rsid w:val="06291443"/>
    <w:rsid w:val="06965E6A"/>
    <w:rsid w:val="07386B4F"/>
    <w:rsid w:val="075F028B"/>
    <w:rsid w:val="07653E63"/>
    <w:rsid w:val="08071AA8"/>
    <w:rsid w:val="08124E91"/>
    <w:rsid w:val="08181954"/>
    <w:rsid w:val="08402B15"/>
    <w:rsid w:val="08AF7CC6"/>
    <w:rsid w:val="08C94FF8"/>
    <w:rsid w:val="08E007F6"/>
    <w:rsid w:val="09B24F76"/>
    <w:rsid w:val="0A037FC9"/>
    <w:rsid w:val="0A404E74"/>
    <w:rsid w:val="0A5470C9"/>
    <w:rsid w:val="0A8A2A5A"/>
    <w:rsid w:val="0A9B0776"/>
    <w:rsid w:val="0AC775F6"/>
    <w:rsid w:val="0ACD386D"/>
    <w:rsid w:val="0B0F7D3C"/>
    <w:rsid w:val="0B256BDA"/>
    <w:rsid w:val="0B6658C1"/>
    <w:rsid w:val="0BF906B3"/>
    <w:rsid w:val="0CBA55C5"/>
    <w:rsid w:val="0CC522E8"/>
    <w:rsid w:val="0D1A620C"/>
    <w:rsid w:val="0D3B0FC4"/>
    <w:rsid w:val="0D6671EC"/>
    <w:rsid w:val="0E2F4C4F"/>
    <w:rsid w:val="0E7A4ECE"/>
    <w:rsid w:val="0F2E01F5"/>
    <w:rsid w:val="0F31472E"/>
    <w:rsid w:val="0F6050C3"/>
    <w:rsid w:val="0FA21A66"/>
    <w:rsid w:val="0FBB11D1"/>
    <w:rsid w:val="104344BA"/>
    <w:rsid w:val="10807D58"/>
    <w:rsid w:val="10E35261"/>
    <w:rsid w:val="10FE4BED"/>
    <w:rsid w:val="111725AC"/>
    <w:rsid w:val="11E703EE"/>
    <w:rsid w:val="12180BBD"/>
    <w:rsid w:val="12633CFA"/>
    <w:rsid w:val="126807A8"/>
    <w:rsid w:val="13162F67"/>
    <w:rsid w:val="13FF2FDC"/>
    <w:rsid w:val="14864992"/>
    <w:rsid w:val="149329C1"/>
    <w:rsid w:val="151F668D"/>
    <w:rsid w:val="157B56C9"/>
    <w:rsid w:val="162A486A"/>
    <w:rsid w:val="16470F21"/>
    <w:rsid w:val="16604D44"/>
    <w:rsid w:val="1670755D"/>
    <w:rsid w:val="16A1413C"/>
    <w:rsid w:val="16B52250"/>
    <w:rsid w:val="17530E55"/>
    <w:rsid w:val="176C28C7"/>
    <w:rsid w:val="17A36655"/>
    <w:rsid w:val="17B20E6E"/>
    <w:rsid w:val="18D85850"/>
    <w:rsid w:val="19D91C69"/>
    <w:rsid w:val="1A1D12E8"/>
    <w:rsid w:val="1A4E6234"/>
    <w:rsid w:val="1A6E5932"/>
    <w:rsid w:val="1A9E7AF2"/>
    <w:rsid w:val="1AB104D7"/>
    <w:rsid w:val="1AFE63D7"/>
    <w:rsid w:val="1B304996"/>
    <w:rsid w:val="1B4F0ACB"/>
    <w:rsid w:val="1B77495B"/>
    <w:rsid w:val="1B7F04CE"/>
    <w:rsid w:val="1B860A5A"/>
    <w:rsid w:val="1BE93A56"/>
    <w:rsid w:val="1BF32283"/>
    <w:rsid w:val="1C977AE0"/>
    <w:rsid w:val="1D3A3784"/>
    <w:rsid w:val="1DE55E1B"/>
    <w:rsid w:val="1DE90F9E"/>
    <w:rsid w:val="1E2B71DE"/>
    <w:rsid w:val="1E7100DE"/>
    <w:rsid w:val="1EEB396C"/>
    <w:rsid w:val="1F4A7086"/>
    <w:rsid w:val="1F7C54A9"/>
    <w:rsid w:val="1FBA107F"/>
    <w:rsid w:val="20163B31"/>
    <w:rsid w:val="205D2C8F"/>
    <w:rsid w:val="209033B2"/>
    <w:rsid w:val="21F35640"/>
    <w:rsid w:val="220777FE"/>
    <w:rsid w:val="22D52C4D"/>
    <w:rsid w:val="232E1B45"/>
    <w:rsid w:val="23385CA6"/>
    <w:rsid w:val="23616440"/>
    <w:rsid w:val="23A756FE"/>
    <w:rsid w:val="23D53E54"/>
    <w:rsid w:val="23D85778"/>
    <w:rsid w:val="24044127"/>
    <w:rsid w:val="24072BAB"/>
    <w:rsid w:val="248F0487"/>
    <w:rsid w:val="250124B1"/>
    <w:rsid w:val="250671CD"/>
    <w:rsid w:val="255C1DC5"/>
    <w:rsid w:val="25B07665"/>
    <w:rsid w:val="26635DC8"/>
    <w:rsid w:val="2697665E"/>
    <w:rsid w:val="26DB38D0"/>
    <w:rsid w:val="27027F0C"/>
    <w:rsid w:val="273C6DEC"/>
    <w:rsid w:val="28842606"/>
    <w:rsid w:val="28881EEE"/>
    <w:rsid w:val="28D97B12"/>
    <w:rsid w:val="28F151B9"/>
    <w:rsid w:val="28FB134B"/>
    <w:rsid w:val="295A18F0"/>
    <w:rsid w:val="298634AE"/>
    <w:rsid w:val="299E0B55"/>
    <w:rsid w:val="29C2556E"/>
    <w:rsid w:val="29CD4916"/>
    <w:rsid w:val="2AB61621"/>
    <w:rsid w:val="2B3854D2"/>
    <w:rsid w:val="2BA33828"/>
    <w:rsid w:val="2BEA0719"/>
    <w:rsid w:val="2C832E96"/>
    <w:rsid w:val="2CB11B31"/>
    <w:rsid w:val="2CE61358"/>
    <w:rsid w:val="2D593A53"/>
    <w:rsid w:val="2D7B562D"/>
    <w:rsid w:val="2DB140EA"/>
    <w:rsid w:val="2DC0289E"/>
    <w:rsid w:val="2EA742BD"/>
    <w:rsid w:val="2EC066F3"/>
    <w:rsid w:val="2EE161F9"/>
    <w:rsid w:val="2F011F94"/>
    <w:rsid w:val="2F027708"/>
    <w:rsid w:val="2FA46D30"/>
    <w:rsid w:val="30074904"/>
    <w:rsid w:val="321D289C"/>
    <w:rsid w:val="33CB0884"/>
    <w:rsid w:val="33CD1809"/>
    <w:rsid w:val="33F96DED"/>
    <w:rsid w:val="34177D24"/>
    <w:rsid w:val="342515D6"/>
    <w:rsid w:val="34B81C69"/>
    <w:rsid w:val="34BB3A10"/>
    <w:rsid w:val="34F44E6F"/>
    <w:rsid w:val="35123941"/>
    <w:rsid w:val="3570223A"/>
    <w:rsid w:val="36ED04AD"/>
    <w:rsid w:val="378C70B1"/>
    <w:rsid w:val="37940D2E"/>
    <w:rsid w:val="37A25B88"/>
    <w:rsid w:val="37AC75E6"/>
    <w:rsid w:val="382E422D"/>
    <w:rsid w:val="38623892"/>
    <w:rsid w:val="38B13611"/>
    <w:rsid w:val="38B67A98"/>
    <w:rsid w:val="38F52E00"/>
    <w:rsid w:val="3918707F"/>
    <w:rsid w:val="39437FE3"/>
    <w:rsid w:val="39B05732"/>
    <w:rsid w:val="3ACB7183"/>
    <w:rsid w:val="3B0350DF"/>
    <w:rsid w:val="3B0D7C9C"/>
    <w:rsid w:val="3B414BC4"/>
    <w:rsid w:val="3BC33E98"/>
    <w:rsid w:val="3C173922"/>
    <w:rsid w:val="3C356755"/>
    <w:rsid w:val="3C74627D"/>
    <w:rsid w:val="3CE539F7"/>
    <w:rsid w:val="3DA633D9"/>
    <w:rsid w:val="3DD34EFD"/>
    <w:rsid w:val="3E7855B6"/>
    <w:rsid w:val="3F617B87"/>
    <w:rsid w:val="3F7D3D27"/>
    <w:rsid w:val="3FC10EA5"/>
    <w:rsid w:val="404F217A"/>
    <w:rsid w:val="40751FAC"/>
    <w:rsid w:val="408A1289"/>
    <w:rsid w:val="408C7674"/>
    <w:rsid w:val="40A21818"/>
    <w:rsid w:val="412874F2"/>
    <w:rsid w:val="413345A5"/>
    <w:rsid w:val="418101BE"/>
    <w:rsid w:val="424E0CC6"/>
    <w:rsid w:val="428F7412"/>
    <w:rsid w:val="429C7054"/>
    <w:rsid w:val="432E7C48"/>
    <w:rsid w:val="43B37EA1"/>
    <w:rsid w:val="43EA01FB"/>
    <w:rsid w:val="43FA7D1F"/>
    <w:rsid w:val="449307F6"/>
    <w:rsid w:val="44B76BFB"/>
    <w:rsid w:val="44E71197"/>
    <w:rsid w:val="450A0452"/>
    <w:rsid w:val="4522137C"/>
    <w:rsid w:val="456055DE"/>
    <w:rsid w:val="456F6138"/>
    <w:rsid w:val="459019B0"/>
    <w:rsid w:val="45BE7662"/>
    <w:rsid w:val="46125401"/>
    <w:rsid w:val="46D0233C"/>
    <w:rsid w:val="46D61CC7"/>
    <w:rsid w:val="48212C8F"/>
    <w:rsid w:val="48636ED0"/>
    <w:rsid w:val="487F412E"/>
    <w:rsid w:val="48E2521F"/>
    <w:rsid w:val="49742590"/>
    <w:rsid w:val="49AF6452"/>
    <w:rsid w:val="49C34AA3"/>
    <w:rsid w:val="49D93B4E"/>
    <w:rsid w:val="49EC47D8"/>
    <w:rsid w:val="4A1E6773"/>
    <w:rsid w:val="4A3835D3"/>
    <w:rsid w:val="4ABD0080"/>
    <w:rsid w:val="4B092817"/>
    <w:rsid w:val="4B571C67"/>
    <w:rsid w:val="4B980F39"/>
    <w:rsid w:val="4B981655"/>
    <w:rsid w:val="4BAA21AF"/>
    <w:rsid w:val="4BBC1B69"/>
    <w:rsid w:val="4BFC1703"/>
    <w:rsid w:val="4BFF2F3E"/>
    <w:rsid w:val="4C3A1433"/>
    <w:rsid w:val="4C5A2353"/>
    <w:rsid w:val="4CE36665"/>
    <w:rsid w:val="4DA35DAA"/>
    <w:rsid w:val="4DC8252A"/>
    <w:rsid w:val="4E2A6D4B"/>
    <w:rsid w:val="4E882EF9"/>
    <w:rsid w:val="4E9718FE"/>
    <w:rsid w:val="4F2427E6"/>
    <w:rsid w:val="4F714AE4"/>
    <w:rsid w:val="4FB30DD1"/>
    <w:rsid w:val="515404FD"/>
    <w:rsid w:val="522030C9"/>
    <w:rsid w:val="52221A6C"/>
    <w:rsid w:val="528256EC"/>
    <w:rsid w:val="52C56769"/>
    <w:rsid w:val="54130E30"/>
    <w:rsid w:val="55050D4A"/>
    <w:rsid w:val="55463C75"/>
    <w:rsid w:val="55C20DFD"/>
    <w:rsid w:val="560A18A0"/>
    <w:rsid w:val="56474B1D"/>
    <w:rsid w:val="5651762B"/>
    <w:rsid w:val="56540A4E"/>
    <w:rsid w:val="56864602"/>
    <w:rsid w:val="570A192D"/>
    <w:rsid w:val="57B47272"/>
    <w:rsid w:val="57BE760B"/>
    <w:rsid w:val="57CB6E97"/>
    <w:rsid w:val="57F572E5"/>
    <w:rsid w:val="59502385"/>
    <w:rsid w:val="595A2F33"/>
    <w:rsid w:val="5A087626"/>
    <w:rsid w:val="5A802C08"/>
    <w:rsid w:val="5AF96806"/>
    <w:rsid w:val="5B381344"/>
    <w:rsid w:val="5B9E711E"/>
    <w:rsid w:val="5BD54554"/>
    <w:rsid w:val="5C190436"/>
    <w:rsid w:val="5C4F15F5"/>
    <w:rsid w:val="5CB94F2E"/>
    <w:rsid w:val="5D032927"/>
    <w:rsid w:val="5D5071A3"/>
    <w:rsid w:val="5D543F38"/>
    <w:rsid w:val="5D612CC1"/>
    <w:rsid w:val="5E435EDB"/>
    <w:rsid w:val="5E6D4CB4"/>
    <w:rsid w:val="5E6F53FC"/>
    <w:rsid w:val="5EAA77E0"/>
    <w:rsid w:val="5EC8350D"/>
    <w:rsid w:val="5F6D2DC8"/>
    <w:rsid w:val="5F9C4F33"/>
    <w:rsid w:val="5FBE05A1"/>
    <w:rsid w:val="6056529D"/>
    <w:rsid w:val="606940B9"/>
    <w:rsid w:val="60901F54"/>
    <w:rsid w:val="60924BE4"/>
    <w:rsid w:val="61325F05"/>
    <w:rsid w:val="6198112C"/>
    <w:rsid w:val="621D41B6"/>
    <w:rsid w:val="62333529"/>
    <w:rsid w:val="6234741F"/>
    <w:rsid w:val="62911344"/>
    <w:rsid w:val="629848C7"/>
    <w:rsid w:val="62B00CF8"/>
    <w:rsid w:val="635B74DB"/>
    <w:rsid w:val="6382266A"/>
    <w:rsid w:val="63D23FB7"/>
    <w:rsid w:val="6497724C"/>
    <w:rsid w:val="64AA16AE"/>
    <w:rsid w:val="663F30CF"/>
    <w:rsid w:val="664C6B61"/>
    <w:rsid w:val="66A55A59"/>
    <w:rsid w:val="672225C1"/>
    <w:rsid w:val="672E29D7"/>
    <w:rsid w:val="679E650E"/>
    <w:rsid w:val="68071517"/>
    <w:rsid w:val="68153BCE"/>
    <w:rsid w:val="68311BC3"/>
    <w:rsid w:val="689D025B"/>
    <w:rsid w:val="68A939D3"/>
    <w:rsid w:val="68BC0EE4"/>
    <w:rsid w:val="68C3086F"/>
    <w:rsid w:val="68C72FCA"/>
    <w:rsid w:val="690435C4"/>
    <w:rsid w:val="69AD21D7"/>
    <w:rsid w:val="6A017721"/>
    <w:rsid w:val="6A4D4AF3"/>
    <w:rsid w:val="6A5B188A"/>
    <w:rsid w:val="6A705FAC"/>
    <w:rsid w:val="6A7C6BA9"/>
    <w:rsid w:val="6AC7041A"/>
    <w:rsid w:val="6AFB113D"/>
    <w:rsid w:val="6B296E17"/>
    <w:rsid w:val="6B873576"/>
    <w:rsid w:val="6BF845E0"/>
    <w:rsid w:val="6BFE14D5"/>
    <w:rsid w:val="6C340216"/>
    <w:rsid w:val="6C89702F"/>
    <w:rsid w:val="6CC87405"/>
    <w:rsid w:val="6D527369"/>
    <w:rsid w:val="6DCA4569"/>
    <w:rsid w:val="6E601AA5"/>
    <w:rsid w:val="6E6D6A35"/>
    <w:rsid w:val="6F015DAB"/>
    <w:rsid w:val="6F441D17"/>
    <w:rsid w:val="6F79430C"/>
    <w:rsid w:val="70017C18"/>
    <w:rsid w:val="706E3D83"/>
    <w:rsid w:val="70A17A56"/>
    <w:rsid w:val="718F6AB7"/>
    <w:rsid w:val="72257B14"/>
    <w:rsid w:val="729F57FE"/>
    <w:rsid w:val="72B87EBC"/>
    <w:rsid w:val="730A1149"/>
    <w:rsid w:val="73DF7EA7"/>
    <w:rsid w:val="73E20E2C"/>
    <w:rsid w:val="741F717C"/>
    <w:rsid w:val="7441726D"/>
    <w:rsid w:val="7488440E"/>
    <w:rsid w:val="748A0340"/>
    <w:rsid w:val="748B4929"/>
    <w:rsid w:val="749B6DC7"/>
    <w:rsid w:val="74AD3D78"/>
    <w:rsid w:val="751B7ACB"/>
    <w:rsid w:val="752F68D0"/>
    <w:rsid w:val="753D177C"/>
    <w:rsid w:val="75C15A8B"/>
    <w:rsid w:val="75D373DE"/>
    <w:rsid w:val="75E31DEA"/>
    <w:rsid w:val="776310B8"/>
    <w:rsid w:val="77EB7A4D"/>
    <w:rsid w:val="78590081"/>
    <w:rsid w:val="78846947"/>
    <w:rsid w:val="78B26191"/>
    <w:rsid w:val="792C25D8"/>
    <w:rsid w:val="7947694C"/>
    <w:rsid w:val="79D00995"/>
    <w:rsid w:val="7A4A5DB2"/>
    <w:rsid w:val="7AB13D1B"/>
    <w:rsid w:val="7AB77B60"/>
    <w:rsid w:val="7B5A2BED"/>
    <w:rsid w:val="7B882EAE"/>
    <w:rsid w:val="7C800D7F"/>
    <w:rsid w:val="7D002024"/>
    <w:rsid w:val="7DB21246"/>
    <w:rsid w:val="7E684A6E"/>
    <w:rsid w:val="7E823BED"/>
    <w:rsid w:val="7EC363D0"/>
    <w:rsid w:val="7EF02744"/>
    <w:rsid w:val="7F5315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3">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4">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7">
    <w:name w:val="Emphasis"/>
    <w:basedOn w:val="5"/>
    <w:qFormat/>
    <w:uiPriority w:val="0"/>
    <w:rPr>
      <w:i/>
      <w:iCs/>
    </w:rPr>
  </w:style>
  <w:style w:type="character" w:styleId="8">
    <w:name w:val="FollowedHyperlink"/>
    <w:basedOn w:val="5"/>
    <w:qFormat/>
    <w:uiPriority w:val="0"/>
    <w:rPr>
      <w:color w:val="800080"/>
      <w:u w:val="single"/>
    </w:rPr>
  </w:style>
  <w:style w:type="paragraph" w:styleId="9">
    <w:name w:val="footer"/>
    <w:basedOn w:val="1"/>
    <w:uiPriority w:val="0"/>
    <w:pPr>
      <w:tabs>
        <w:tab w:val="center" w:pos="4153"/>
        <w:tab w:val="right" w:pos="8306"/>
      </w:tabs>
      <w:snapToGrid w:val="0"/>
      <w:jc w:val="left"/>
    </w:pPr>
    <w:rPr>
      <w:sz w:val="18"/>
      <w:szCs w:val="18"/>
    </w:rPr>
  </w:style>
  <w:style w:type="paragraph" w:styleId="10">
    <w:name w:val="header"/>
    <w:basedOn w:val="1"/>
    <w:uiPriority w:val="0"/>
    <w:pPr>
      <w:tabs>
        <w:tab w:val="center" w:pos="4153"/>
        <w:tab w:val="right" w:pos="8306"/>
      </w:tabs>
      <w:snapToGrid w:val="0"/>
    </w:pPr>
    <w:rPr>
      <w:sz w:val="18"/>
      <w:szCs w:val="18"/>
    </w:rPr>
  </w:style>
  <w:style w:type="character" w:styleId="11">
    <w:name w:val="Hyperlink"/>
    <w:basedOn w:val="5"/>
    <w:qFormat/>
    <w:uiPriority w:val="0"/>
    <w:rPr>
      <w:color w:val="0000FF"/>
      <w:u w:val="single"/>
    </w:rPr>
  </w:style>
  <w:style w:type="paragraph" w:styleId="12">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3">
    <w:name w:val="Strong"/>
    <w:basedOn w:val="5"/>
    <w:qFormat/>
    <w:uiPriority w:val="0"/>
    <w:rPr>
      <w:b/>
      <w:bCs/>
    </w:rPr>
  </w:style>
  <w:style w:type="table" w:styleId="14">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NUL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30</Pages>
  <Words>0</Words>
  <Characters>0</Characters>
  <Lines>0</Lines>
  <Paragraphs>0</Paragraphs>
  <TotalTime>1</TotalTime>
  <ScaleCrop>false</ScaleCrop>
  <LinksUpToDate>false</LinksUpToDate>
  <CharactersWithSpaces>0</CharactersWithSpaces>
  <Application>WPS Office_12.2.0.22556_F1E327BC-269C-435d-A152-05C5408002CA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2025-09-10T10:26:00Z</dcterms:created>
  <dc:creator>Ansar Hayat</dc:creator>
  <cp:lastModifiedBy>Manahil Hayat</cp:lastModifiedBy>
  <dcterms:modified xsi:type="dcterms:W3CDTF">2025-10-03T21:43:18Z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2057-12.2.0.22556</vt:lpwstr>
  </property>
  <property fmtid="{D5CDD505-2E9C-101B-9397-08002B2CF9AE}" pid="3" name="ICV">
    <vt:lpwstr>0A8079D3445B4C7E912AA48620CE7451_11</vt:lpwstr>
  </property>
</Properties>
</file>