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BBDDB" w14:textId="77777777" w:rsidR="00EA3D73" w:rsidRDefault="00EA3D73">
      <w:pPr>
        <w:jc w:val="center"/>
        <w:rPr>
          <w:rFonts w:ascii="Times New Roman" w:eastAsia="Times New Roman" w:hAnsi="Times New Roman" w:cs="Times New Roman"/>
          <w:sz w:val="20"/>
          <w:szCs w:val="20"/>
        </w:rPr>
      </w:pPr>
    </w:p>
    <w:p w14:paraId="1A6F19A8" w14:textId="77777777" w:rsidR="00EA3D73" w:rsidRDefault="00EA3D73">
      <w:pPr>
        <w:jc w:val="both"/>
        <w:rPr>
          <w:rFonts w:ascii="Times New Roman" w:eastAsia="Times New Roman" w:hAnsi="Times New Roman" w:cs="Times New Roman"/>
          <w:b/>
          <w:sz w:val="26"/>
          <w:szCs w:val="26"/>
        </w:rPr>
      </w:pPr>
    </w:p>
    <w:p w14:paraId="3338041F" w14:textId="77777777" w:rsidR="00EA3D73" w:rsidRDefault="007E7F07">
      <w:pPr>
        <w:jc w:val="center"/>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w:drawing>
          <wp:inline distT="0" distB="0" distL="0" distR="0" wp14:anchorId="0D9E32C0" wp14:editId="090DB80F">
            <wp:extent cx="2218690" cy="882650"/>
            <wp:effectExtent l="0" t="0" r="0" b="0"/>
            <wp:docPr id="820340384" name="image2.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2.png" descr="一張含有 文字 的圖片&#10;&#10;自動產生的描述"/>
                    <pic:cNvPicPr preferRelativeResize="0"/>
                  </pic:nvPicPr>
                  <pic:blipFill>
                    <a:blip r:embed="rId7"/>
                    <a:srcRect/>
                    <a:stretch>
                      <a:fillRect/>
                    </a:stretch>
                  </pic:blipFill>
                  <pic:spPr>
                    <a:xfrm>
                      <a:off x="0" y="0"/>
                      <a:ext cx="2218690" cy="882650"/>
                    </a:xfrm>
                    <a:prstGeom prst="rect">
                      <a:avLst/>
                    </a:prstGeom>
                    <a:ln/>
                  </pic:spPr>
                </pic:pic>
              </a:graphicData>
            </a:graphic>
          </wp:inline>
        </w:drawing>
      </w:r>
    </w:p>
    <w:p w14:paraId="0702EBB0" w14:textId="77777777" w:rsidR="00EA3D73" w:rsidRDefault="00EA3D73">
      <w:pPr>
        <w:jc w:val="center"/>
        <w:rPr>
          <w:rFonts w:ascii="Times New Roman" w:eastAsia="Times New Roman" w:hAnsi="Times New Roman" w:cs="Times New Roman"/>
          <w:b/>
          <w:sz w:val="26"/>
          <w:szCs w:val="26"/>
        </w:rPr>
      </w:pPr>
    </w:p>
    <w:p w14:paraId="16186AEC" w14:textId="77777777" w:rsidR="00EA3D73" w:rsidRDefault="00EA3D73">
      <w:pPr>
        <w:jc w:val="center"/>
        <w:rPr>
          <w:rFonts w:ascii="Times New Roman" w:eastAsia="Times New Roman" w:hAnsi="Times New Roman" w:cs="Times New Roman"/>
          <w:b/>
          <w:sz w:val="26"/>
          <w:szCs w:val="26"/>
        </w:rPr>
      </w:pPr>
    </w:p>
    <w:p w14:paraId="41CAAB1D" w14:textId="77777777" w:rsidR="00EA3D73" w:rsidRDefault="007E7F07">
      <w:pPr>
        <w:jc w:val="center"/>
        <w:rPr>
          <w:rFonts w:ascii="Times New Roman" w:eastAsia="Times New Roman" w:hAnsi="Times New Roman" w:cs="Times New Roman"/>
          <w:b/>
          <w:sz w:val="36"/>
          <w:szCs w:val="36"/>
        </w:rPr>
      </w:pPr>
      <w:r>
        <w:rPr>
          <w:rFonts w:ascii="Times New Roman" w:eastAsia="Times New Roman" w:hAnsi="Times New Roman" w:cs="Times New Roman"/>
          <w:color w:val="000000"/>
          <w:sz w:val="36"/>
          <w:szCs w:val="36"/>
        </w:rPr>
        <w:t>UWTSD MBA HKBM7009</w:t>
      </w:r>
      <w:r>
        <w:rPr>
          <w:rFonts w:ascii="Times New Roman" w:eastAsia="Times New Roman" w:hAnsi="Times New Roman" w:cs="Times New Roman"/>
          <w:color w:val="000000"/>
          <w:sz w:val="36"/>
          <w:szCs w:val="36"/>
        </w:rPr>
        <w:br/>
        <w:t>(UWMBA-30013-2024-1-SS)</w:t>
      </w:r>
    </w:p>
    <w:p w14:paraId="17134709" w14:textId="77777777" w:rsidR="00EA3D73" w:rsidRDefault="007E7F07">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HKBM7009 Global Business Challenges </w:t>
      </w:r>
    </w:p>
    <w:p w14:paraId="5998F364" w14:textId="77777777" w:rsidR="00EA3D73" w:rsidRDefault="00EA3D73">
      <w:pPr>
        <w:jc w:val="center"/>
        <w:rPr>
          <w:rFonts w:ascii="Times New Roman" w:eastAsia="Times New Roman" w:hAnsi="Times New Roman" w:cs="Times New Roman"/>
          <w:b/>
          <w:sz w:val="32"/>
          <w:szCs w:val="32"/>
        </w:rPr>
      </w:pPr>
    </w:p>
    <w:p w14:paraId="5BBE3C56" w14:textId="77777777" w:rsidR="00EA3D73" w:rsidRDefault="00EA3D73">
      <w:pPr>
        <w:jc w:val="center"/>
        <w:rPr>
          <w:rFonts w:ascii="Times New Roman" w:eastAsia="Times New Roman" w:hAnsi="Times New Roman" w:cs="Times New Roman"/>
          <w:b/>
          <w:sz w:val="32"/>
          <w:szCs w:val="32"/>
        </w:rPr>
      </w:pPr>
    </w:p>
    <w:p w14:paraId="2C1D967F" w14:textId="77777777" w:rsidR="00EA3D73" w:rsidRDefault="00EA3D73">
      <w:pPr>
        <w:jc w:val="center"/>
        <w:rPr>
          <w:rFonts w:ascii="Times New Roman" w:eastAsia="Times New Roman" w:hAnsi="Times New Roman" w:cs="Times New Roman"/>
          <w:b/>
          <w:sz w:val="32"/>
          <w:szCs w:val="32"/>
        </w:rPr>
      </w:pPr>
    </w:p>
    <w:p w14:paraId="06234528" w14:textId="77777777" w:rsidR="00EA3D73" w:rsidRDefault="007E7F07">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An Analytical Report on How Global price Changes Affects Domestic market</w:t>
      </w:r>
    </w:p>
    <w:p w14:paraId="1220B9CB" w14:textId="77777777" w:rsidR="00EA3D73" w:rsidRDefault="007E7F0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C84654F" w14:textId="77777777" w:rsidR="00EA3D73" w:rsidRDefault="00EA3D73">
      <w:pPr>
        <w:jc w:val="center"/>
        <w:rPr>
          <w:rFonts w:ascii="Times New Roman" w:eastAsia="Times New Roman" w:hAnsi="Times New Roman" w:cs="Times New Roman"/>
          <w:b/>
          <w:sz w:val="26"/>
          <w:szCs w:val="26"/>
        </w:rPr>
      </w:pPr>
    </w:p>
    <w:p w14:paraId="4E2F42E4" w14:textId="77777777" w:rsidR="00EA3D73" w:rsidRDefault="007E7F0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062611B4" w14:textId="77777777" w:rsidR="00EA3D73" w:rsidRDefault="00EA3D73">
      <w:pPr>
        <w:jc w:val="center"/>
        <w:rPr>
          <w:rFonts w:ascii="Times New Roman" w:eastAsia="Times New Roman" w:hAnsi="Times New Roman" w:cs="Times New Roman"/>
          <w:b/>
          <w:sz w:val="26"/>
          <w:szCs w:val="26"/>
        </w:rPr>
      </w:pPr>
    </w:p>
    <w:p w14:paraId="7D81D6F1" w14:textId="77777777" w:rsidR="00EA3D73" w:rsidRDefault="00EA3D73">
      <w:pPr>
        <w:jc w:val="both"/>
        <w:rPr>
          <w:rFonts w:ascii="Times New Roman" w:eastAsia="Times New Roman" w:hAnsi="Times New Roman" w:cs="Times New Roman"/>
          <w:b/>
          <w:sz w:val="26"/>
          <w:szCs w:val="26"/>
        </w:rPr>
      </w:pPr>
    </w:p>
    <w:p w14:paraId="791FD05C" w14:textId="77777777" w:rsidR="00EA3D73" w:rsidRDefault="00EA3D73">
      <w:pPr>
        <w:jc w:val="both"/>
        <w:rPr>
          <w:rFonts w:ascii="Times New Roman" w:eastAsia="Times New Roman" w:hAnsi="Times New Roman" w:cs="Times New Roman"/>
          <w:b/>
          <w:sz w:val="26"/>
          <w:szCs w:val="26"/>
        </w:rPr>
      </w:pPr>
    </w:p>
    <w:p w14:paraId="54896084" w14:textId="77777777" w:rsidR="00EA3D73" w:rsidRDefault="00EA3D73">
      <w:pPr>
        <w:jc w:val="both"/>
        <w:rPr>
          <w:rFonts w:ascii="Times New Roman" w:eastAsia="Times New Roman" w:hAnsi="Times New Roman" w:cs="Times New Roman"/>
          <w:b/>
          <w:sz w:val="26"/>
          <w:szCs w:val="26"/>
        </w:rPr>
      </w:pPr>
    </w:p>
    <w:p w14:paraId="354894FA" w14:textId="77777777" w:rsidR="00EA3D73" w:rsidRDefault="007E7F0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An Analytical Report Submitted in Contribution to 100% Module Assessment</w:t>
      </w:r>
    </w:p>
    <w:p w14:paraId="3C87F950" w14:textId="77777777" w:rsidR="00EA3D73" w:rsidRDefault="00EA3D73">
      <w:pPr>
        <w:jc w:val="center"/>
        <w:rPr>
          <w:rFonts w:ascii="Times New Roman" w:eastAsia="Times New Roman" w:hAnsi="Times New Roman" w:cs="Times New Roman"/>
        </w:rPr>
      </w:pPr>
    </w:p>
    <w:p w14:paraId="47743845" w14:textId="77777777" w:rsidR="00EA3D73" w:rsidRDefault="007E7F07">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p w14:paraId="509F9079" w14:textId="77777777" w:rsidR="00EA3D73" w:rsidRDefault="00EA3D73">
      <w:pPr>
        <w:jc w:val="both"/>
        <w:rPr>
          <w:rFonts w:ascii="Times New Roman" w:eastAsia="Times New Roman" w:hAnsi="Times New Roman" w:cs="Times New Roman"/>
          <w:b/>
          <w:sz w:val="26"/>
          <w:szCs w:val="26"/>
        </w:rPr>
      </w:pPr>
    </w:p>
    <w:p w14:paraId="147650E5" w14:textId="77777777" w:rsidR="00EA3D73" w:rsidRDefault="00EA3D73">
      <w:pPr>
        <w:jc w:val="both"/>
        <w:rPr>
          <w:rFonts w:ascii="Times New Roman" w:eastAsia="Times New Roman" w:hAnsi="Times New Roman" w:cs="Times New Roman"/>
          <w:b/>
          <w:sz w:val="26"/>
          <w:szCs w:val="26"/>
        </w:rPr>
      </w:pPr>
    </w:p>
    <w:p w14:paraId="1A0A19FD" w14:textId="77777777" w:rsidR="00EA3D73" w:rsidRDefault="00EA3D73">
      <w:pPr>
        <w:jc w:val="both"/>
        <w:rPr>
          <w:rFonts w:ascii="Times New Roman" w:eastAsia="Times New Roman" w:hAnsi="Times New Roman" w:cs="Times New Roman"/>
          <w:b/>
          <w:sz w:val="26"/>
          <w:szCs w:val="26"/>
        </w:rPr>
      </w:pPr>
    </w:p>
    <w:p w14:paraId="1093CC9D" w14:textId="77777777" w:rsidR="00EA3D73" w:rsidRDefault="00EA3D73">
      <w:pPr>
        <w:jc w:val="both"/>
        <w:rPr>
          <w:rFonts w:ascii="Times New Roman" w:eastAsia="Times New Roman" w:hAnsi="Times New Roman" w:cs="Times New Roman"/>
          <w:b/>
          <w:sz w:val="26"/>
          <w:szCs w:val="26"/>
        </w:rPr>
      </w:pPr>
    </w:p>
    <w:p w14:paraId="111D6460" w14:textId="77777777" w:rsidR="00EA3D73" w:rsidRDefault="00EA3D73">
      <w:pPr>
        <w:jc w:val="both"/>
        <w:rPr>
          <w:rFonts w:ascii="Times New Roman" w:eastAsia="Times New Roman" w:hAnsi="Times New Roman" w:cs="Times New Roman"/>
          <w:b/>
          <w:sz w:val="26"/>
          <w:szCs w:val="26"/>
        </w:rPr>
      </w:pPr>
    </w:p>
    <w:p w14:paraId="2FA07956" w14:textId="77777777" w:rsidR="00EA3D73" w:rsidRDefault="00EA3D73">
      <w:pPr>
        <w:jc w:val="both"/>
        <w:rPr>
          <w:rFonts w:ascii="Times New Roman" w:eastAsia="Times New Roman" w:hAnsi="Times New Roman" w:cs="Times New Roman"/>
          <w:b/>
          <w:sz w:val="26"/>
          <w:szCs w:val="26"/>
        </w:rPr>
      </w:pPr>
    </w:p>
    <w:p w14:paraId="3A5BB681" w14:textId="77777777" w:rsidR="00EA3D73" w:rsidRDefault="00EA3D73">
      <w:pPr>
        <w:jc w:val="both"/>
        <w:rPr>
          <w:rFonts w:ascii="Times New Roman" w:eastAsia="Times New Roman" w:hAnsi="Times New Roman" w:cs="Times New Roman"/>
          <w:b/>
          <w:sz w:val="26"/>
          <w:szCs w:val="26"/>
        </w:rPr>
      </w:pPr>
    </w:p>
    <w:tbl>
      <w:tblPr>
        <w:tblStyle w:val="aff"/>
        <w:tblW w:w="8610" w:type="dxa"/>
        <w:tblInd w:w="-115" w:type="dxa"/>
        <w:tblLayout w:type="fixed"/>
        <w:tblLook w:val="0400" w:firstRow="0" w:lastRow="0" w:firstColumn="0" w:lastColumn="0" w:noHBand="0" w:noVBand="1"/>
      </w:tblPr>
      <w:tblGrid>
        <w:gridCol w:w="2942"/>
        <w:gridCol w:w="284"/>
        <w:gridCol w:w="5384"/>
      </w:tblGrid>
      <w:tr w:rsidR="00EA3D73" w14:paraId="7608C79C" w14:textId="77777777">
        <w:tc>
          <w:tcPr>
            <w:tcW w:w="2942" w:type="dxa"/>
          </w:tcPr>
          <w:p w14:paraId="6B7539AB" w14:textId="77777777" w:rsidR="00EA3D73" w:rsidRDefault="007E7F07">
            <w:pPr>
              <w:tabs>
                <w:tab w:val="left" w:pos="4606"/>
              </w:tabs>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8"/>
                <w:szCs w:val="28"/>
              </w:rPr>
              <w:t>Student Name</w:t>
            </w:r>
          </w:p>
        </w:tc>
        <w:tc>
          <w:tcPr>
            <w:tcW w:w="284" w:type="dxa"/>
          </w:tcPr>
          <w:p w14:paraId="0B3247EA" w14:textId="77777777" w:rsidR="00EA3D73" w:rsidRDefault="00197B19">
            <w:pPr>
              <w:tabs>
                <w:tab w:val="left" w:pos="4606"/>
              </w:tabs>
              <w:spacing w:line="360" w:lineRule="auto"/>
              <w:jc w:val="both"/>
              <w:rPr>
                <w:rFonts w:ascii="Times New Roman" w:eastAsia="Times New Roman" w:hAnsi="Times New Roman" w:cs="Times New Roman"/>
                <w:b/>
                <w:sz w:val="26"/>
                <w:szCs w:val="26"/>
              </w:rPr>
            </w:pPr>
            <w:sdt>
              <w:sdtPr>
                <w:tag w:val="goog_rdk_0"/>
                <w:id w:val="1923058771"/>
              </w:sdtPr>
              <w:sdtEndPr/>
              <w:sdtContent>
                <w:r w:rsidR="007E7F07">
                  <w:rPr>
                    <w:rFonts w:ascii="Gungsuh" w:eastAsia="Gungsuh" w:hAnsi="Gungsuh" w:cs="Gungsuh"/>
                    <w:b/>
                    <w:sz w:val="28"/>
                    <w:szCs w:val="28"/>
                  </w:rPr>
                  <w:t>：</w:t>
                </w:r>
              </w:sdtContent>
            </w:sdt>
          </w:p>
        </w:tc>
        <w:tc>
          <w:tcPr>
            <w:tcW w:w="5384" w:type="dxa"/>
          </w:tcPr>
          <w:p w14:paraId="22FD99FA" w14:textId="77777777" w:rsidR="00EA3D73" w:rsidRDefault="007E7F07">
            <w:pPr>
              <w:tabs>
                <w:tab w:val="left" w:pos="4606"/>
              </w:tabs>
              <w:spacing w:line="360" w:lineRule="auto"/>
              <w:jc w:val="both"/>
              <w:rPr>
                <w:rFonts w:ascii="Times New Roman" w:eastAsia="Times New Roman" w:hAnsi="Times New Roman" w:cs="Times New Roman"/>
                <w:sz w:val="16"/>
                <w:szCs w:val="16"/>
              </w:rPr>
            </w:pPr>
            <w:r>
              <w:rPr>
                <w:rFonts w:ascii="Times New Roman" w:eastAsia="Times New Roman" w:hAnsi="Times New Roman" w:cs="Times New Roman"/>
                <w:sz w:val="26"/>
                <w:szCs w:val="26"/>
              </w:rPr>
              <w:t>Ng Yan Wah (Etta)</w:t>
            </w:r>
          </w:p>
        </w:tc>
      </w:tr>
      <w:tr w:rsidR="00EA3D73" w14:paraId="7FF3DB97" w14:textId="77777777">
        <w:tc>
          <w:tcPr>
            <w:tcW w:w="2942" w:type="dxa"/>
          </w:tcPr>
          <w:p w14:paraId="49DEA9ED" w14:textId="77777777" w:rsidR="00EA3D73" w:rsidRDefault="007E7F07">
            <w:pPr>
              <w:tabs>
                <w:tab w:val="left" w:pos="4606"/>
              </w:tabs>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8"/>
                <w:szCs w:val="28"/>
              </w:rPr>
              <w:t>Student ID Number</w:t>
            </w:r>
          </w:p>
        </w:tc>
        <w:tc>
          <w:tcPr>
            <w:tcW w:w="284" w:type="dxa"/>
          </w:tcPr>
          <w:p w14:paraId="7E29C57B" w14:textId="77777777" w:rsidR="00EA3D73" w:rsidRDefault="00197B19">
            <w:pPr>
              <w:tabs>
                <w:tab w:val="left" w:pos="4606"/>
              </w:tabs>
              <w:spacing w:line="360" w:lineRule="auto"/>
              <w:jc w:val="both"/>
              <w:rPr>
                <w:rFonts w:ascii="Times New Roman" w:eastAsia="Times New Roman" w:hAnsi="Times New Roman" w:cs="Times New Roman"/>
                <w:b/>
                <w:sz w:val="26"/>
                <w:szCs w:val="26"/>
              </w:rPr>
            </w:pPr>
            <w:sdt>
              <w:sdtPr>
                <w:tag w:val="goog_rdk_1"/>
                <w:id w:val="-1340382952"/>
              </w:sdtPr>
              <w:sdtEndPr/>
              <w:sdtContent>
                <w:r w:rsidR="007E7F07">
                  <w:rPr>
                    <w:rFonts w:ascii="Gungsuh" w:eastAsia="Gungsuh" w:hAnsi="Gungsuh" w:cs="Gungsuh"/>
                    <w:b/>
                    <w:sz w:val="28"/>
                    <w:szCs w:val="28"/>
                  </w:rPr>
                  <w:t>：</w:t>
                </w:r>
              </w:sdtContent>
            </w:sdt>
          </w:p>
        </w:tc>
        <w:tc>
          <w:tcPr>
            <w:tcW w:w="5384" w:type="dxa"/>
          </w:tcPr>
          <w:p w14:paraId="2389FE77" w14:textId="77777777" w:rsidR="00EA3D73" w:rsidRDefault="007E7F07">
            <w:pPr>
              <w:tabs>
                <w:tab w:val="left" w:pos="4606"/>
              </w:tabs>
              <w:spacing w:line="360" w:lineRule="auto"/>
              <w:jc w:val="both"/>
              <w:rPr>
                <w:rFonts w:ascii="Times New Roman" w:eastAsia="Times New Roman" w:hAnsi="Times New Roman" w:cs="Times New Roman"/>
                <w:sz w:val="16"/>
                <w:szCs w:val="16"/>
              </w:rPr>
            </w:pPr>
            <w:r>
              <w:rPr>
                <w:rFonts w:ascii="Times New Roman" w:eastAsia="Times New Roman" w:hAnsi="Times New Roman" w:cs="Times New Roman"/>
                <w:sz w:val="26"/>
                <w:szCs w:val="26"/>
              </w:rPr>
              <w:t>2425265</w:t>
            </w:r>
          </w:p>
        </w:tc>
      </w:tr>
      <w:tr w:rsidR="00EA3D73" w14:paraId="28486AB8" w14:textId="77777777">
        <w:tc>
          <w:tcPr>
            <w:tcW w:w="2942" w:type="dxa"/>
          </w:tcPr>
          <w:p w14:paraId="493C312E" w14:textId="77777777" w:rsidR="00EA3D73" w:rsidRDefault="007E7F07">
            <w:pPr>
              <w:tabs>
                <w:tab w:val="left" w:pos="4606"/>
              </w:tabs>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Date of Submission</w:t>
            </w:r>
          </w:p>
        </w:tc>
        <w:tc>
          <w:tcPr>
            <w:tcW w:w="284" w:type="dxa"/>
          </w:tcPr>
          <w:p w14:paraId="25379F55" w14:textId="77777777" w:rsidR="00EA3D73" w:rsidRDefault="00197B19">
            <w:pPr>
              <w:tabs>
                <w:tab w:val="left" w:pos="4606"/>
              </w:tabs>
              <w:spacing w:line="360" w:lineRule="auto"/>
              <w:jc w:val="both"/>
              <w:rPr>
                <w:rFonts w:ascii="Times New Roman" w:eastAsia="Times New Roman" w:hAnsi="Times New Roman" w:cs="Times New Roman"/>
                <w:b/>
                <w:sz w:val="26"/>
                <w:szCs w:val="26"/>
              </w:rPr>
            </w:pPr>
            <w:sdt>
              <w:sdtPr>
                <w:tag w:val="goog_rdk_2"/>
                <w:id w:val="758171476"/>
              </w:sdtPr>
              <w:sdtEndPr/>
              <w:sdtContent>
                <w:r w:rsidR="007E7F07">
                  <w:rPr>
                    <w:rFonts w:ascii="Gungsuh" w:eastAsia="Gungsuh" w:hAnsi="Gungsuh" w:cs="Gungsuh"/>
                    <w:b/>
                    <w:sz w:val="28"/>
                    <w:szCs w:val="28"/>
                  </w:rPr>
                  <w:t>：</w:t>
                </w:r>
              </w:sdtContent>
            </w:sdt>
          </w:p>
        </w:tc>
        <w:tc>
          <w:tcPr>
            <w:tcW w:w="5384" w:type="dxa"/>
          </w:tcPr>
          <w:p w14:paraId="61E84FC0" w14:textId="77777777" w:rsidR="00EA3D73" w:rsidRDefault="007E7F07">
            <w:pPr>
              <w:tabs>
                <w:tab w:val="left" w:pos="4606"/>
              </w:tabs>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11 March 2024</w:t>
            </w:r>
          </w:p>
        </w:tc>
      </w:tr>
      <w:tr w:rsidR="00EA3D73" w14:paraId="394C41AA" w14:textId="77777777">
        <w:tc>
          <w:tcPr>
            <w:tcW w:w="2942" w:type="dxa"/>
          </w:tcPr>
          <w:p w14:paraId="7D32D2E2" w14:textId="77777777" w:rsidR="00EA3D73" w:rsidRDefault="007E7F07">
            <w:pPr>
              <w:tabs>
                <w:tab w:val="left" w:pos="4606"/>
              </w:tabs>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w:t>
            </w:r>
          </w:p>
        </w:tc>
        <w:tc>
          <w:tcPr>
            <w:tcW w:w="284" w:type="dxa"/>
          </w:tcPr>
          <w:p w14:paraId="21D1113A" w14:textId="77777777" w:rsidR="00EA3D73" w:rsidRDefault="00197B19">
            <w:pPr>
              <w:tabs>
                <w:tab w:val="left" w:pos="4606"/>
              </w:tabs>
              <w:spacing w:line="360" w:lineRule="auto"/>
              <w:jc w:val="both"/>
              <w:rPr>
                <w:rFonts w:ascii="Times New Roman" w:eastAsia="Times New Roman" w:hAnsi="Times New Roman" w:cs="Times New Roman"/>
                <w:b/>
                <w:sz w:val="28"/>
                <w:szCs w:val="28"/>
              </w:rPr>
            </w:pPr>
            <w:sdt>
              <w:sdtPr>
                <w:tag w:val="goog_rdk_3"/>
                <w:id w:val="1341122176"/>
              </w:sdtPr>
              <w:sdtEndPr/>
              <w:sdtContent>
                <w:r w:rsidR="007E7F07">
                  <w:rPr>
                    <w:rFonts w:ascii="Gungsuh" w:eastAsia="Gungsuh" w:hAnsi="Gungsuh" w:cs="Gungsuh"/>
                    <w:b/>
                    <w:sz w:val="28"/>
                    <w:szCs w:val="28"/>
                  </w:rPr>
                  <w:t>：</w:t>
                </w:r>
              </w:sdtContent>
            </w:sdt>
          </w:p>
        </w:tc>
        <w:tc>
          <w:tcPr>
            <w:tcW w:w="5384" w:type="dxa"/>
          </w:tcPr>
          <w:p w14:paraId="6C8EB1EA" w14:textId="77777777" w:rsidR="00EA3D73" w:rsidRDefault="007E7F07">
            <w:pPr>
              <w:tabs>
                <w:tab w:val="left" w:pos="4606"/>
              </w:tabs>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Dr. Che Cheong Poon</w:t>
            </w:r>
          </w:p>
        </w:tc>
      </w:tr>
    </w:tbl>
    <w:p w14:paraId="3D7FE0B6" w14:textId="77777777" w:rsidR="00EA3D73" w:rsidRDefault="00EA3D73">
      <w:pPr>
        <w:spacing w:line="360" w:lineRule="auto"/>
        <w:rPr>
          <w:rFonts w:ascii="Times New Roman" w:eastAsia="Times New Roman" w:hAnsi="Times New Roman" w:cs="Times New Roman"/>
          <w:b/>
          <w:sz w:val="40"/>
          <w:szCs w:val="40"/>
        </w:rPr>
      </w:pPr>
    </w:p>
    <w:p w14:paraId="6DDC8AAB" w14:textId="77777777" w:rsidR="00EA3D73" w:rsidRDefault="00EA3D73">
      <w:pPr>
        <w:jc w:val="center"/>
        <w:rPr>
          <w:rFonts w:ascii="Times New Roman" w:eastAsia="Times New Roman" w:hAnsi="Times New Roman" w:cs="Times New Roman"/>
          <w:sz w:val="20"/>
          <w:szCs w:val="20"/>
        </w:rPr>
        <w:sectPr w:rsidR="00EA3D73">
          <w:footerReference w:type="even" r:id="rId8"/>
          <w:footerReference w:type="default" r:id="rId9"/>
          <w:pgSz w:w="11906" w:h="16838"/>
          <w:pgMar w:top="1134" w:right="1134" w:bottom="1134" w:left="1134" w:header="851" w:footer="992" w:gutter="0"/>
          <w:pgNumType w:start="1"/>
          <w:cols w:space="720"/>
          <w:titlePg/>
        </w:sectPr>
      </w:pPr>
    </w:p>
    <w:p w14:paraId="40C0B92F" w14:textId="77777777" w:rsidR="00EA3D73" w:rsidRDefault="00EA3D73">
      <w:pPr>
        <w:jc w:val="both"/>
        <w:rPr>
          <w:rFonts w:ascii="Times New Roman" w:eastAsia="Times New Roman" w:hAnsi="Times New Roman" w:cs="Times New Roman"/>
          <w:b/>
          <w:sz w:val="20"/>
          <w:szCs w:val="20"/>
          <w:u w:val="single"/>
        </w:rPr>
      </w:pPr>
    </w:p>
    <w:p w14:paraId="3C8D0BAD" w14:textId="77777777" w:rsidR="00EA3D73" w:rsidRDefault="007E7F07">
      <w:pPr>
        <w:jc w:val="center"/>
        <w:rPr>
          <w:rFonts w:ascii="Times New Roman" w:eastAsia="Times New Roman" w:hAnsi="Times New Roman" w:cs="Times New Roman"/>
          <w:b/>
          <w:sz w:val="26"/>
          <w:szCs w:val="26"/>
          <w:u w:val="single"/>
        </w:rPr>
      </w:pPr>
      <w:r>
        <w:rPr>
          <w:rFonts w:ascii="Times New Roman" w:eastAsia="Times New Roman" w:hAnsi="Times New Roman" w:cs="Times New Roman"/>
          <w:color w:val="000000"/>
          <w:sz w:val="26"/>
          <w:szCs w:val="26"/>
        </w:rPr>
        <w:t xml:space="preserve">UWTSD MBA (May/Nov 2023 intakes) </w:t>
      </w:r>
      <w:r>
        <w:rPr>
          <w:rFonts w:ascii="Times New Roman" w:eastAsia="Times New Roman" w:hAnsi="Times New Roman" w:cs="Times New Roman"/>
          <w:color w:val="000000"/>
          <w:sz w:val="26"/>
          <w:szCs w:val="26"/>
        </w:rPr>
        <w:br/>
        <w:t>BMMB7009 Global Business Challenges</w:t>
      </w:r>
    </w:p>
    <w:p w14:paraId="0A05D041" w14:textId="77777777" w:rsidR="00EA3D73" w:rsidRDefault="00EA3D73">
      <w:pPr>
        <w:jc w:val="center"/>
        <w:rPr>
          <w:rFonts w:ascii="Times New Roman" w:eastAsia="Times New Roman" w:hAnsi="Times New Roman" w:cs="Times New Roman"/>
          <w:b/>
          <w:sz w:val="26"/>
          <w:szCs w:val="26"/>
          <w:u w:val="single"/>
        </w:rPr>
      </w:pPr>
    </w:p>
    <w:p w14:paraId="1C131060" w14:textId="77777777" w:rsidR="00EA3D73" w:rsidRDefault="007E7F07">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Assignment Title: </w:t>
      </w:r>
    </w:p>
    <w:p w14:paraId="226806A6" w14:textId="77777777" w:rsidR="00EA3D73" w:rsidRDefault="007E7F07">
      <w:pPr>
        <w:rPr>
          <w:rFonts w:ascii="Times New Roman" w:eastAsia="Times New Roman" w:hAnsi="Times New Roman" w:cs="Times New Roman"/>
          <w:sz w:val="26"/>
          <w:szCs w:val="26"/>
        </w:rPr>
      </w:pPr>
      <w:r>
        <w:rPr>
          <w:rFonts w:ascii="Times New Roman" w:eastAsia="Times New Roman" w:hAnsi="Times New Roman" w:cs="Times New Roman"/>
          <w:sz w:val="26"/>
          <w:szCs w:val="26"/>
        </w:rPr>
        <w:t>An Analytical Report on How Global price Changes Affects Domestic market</w:t>
      </w:r>
    </w:p>
    <w:p w14:paraId="0BD3C4A2" w14:textId="77777777" w:rsidR="00EA3D73" w:rsidRDefault="00EA3D73">
      <w:pPr>
        <w:jc w:val="both"/>
        <w:rPr>
          <w:rFonts w:ascii="Times New Roman" w:eastAsia="Times New Roman" w:hAnsi="Times New Roman" w:cs="Times New Roman"/>
        </w:rPr>
      </w:pPr>
    </w:p>
    <w:p w14:paraId="562B226A" w14:textId="77777777" w:rsidR="00EA3D73" w:rsidRDefault="007E7F07">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“I, Ng Yan Wah (2425265), certify this work is the result of my own investigations, except where otherwise stated.  All references have been duly cited”</w:t>
      </w:r>
    </w:p>
    <w:p w14:paraId="4FD412C0" w14:textId="77777777" w:rsidR="00EA3D73" w:rsidRDefault="00EA3D73">
      <w:pPr>
        <w:jc w:val="both"/>
        <w:rPr>
          <w:rFonts w:ascii="Times New Roman" w:eastAsia="Times New Roman" w:hAnsi="Times New Roman" w:cs="Times New Roman"/>
        </w:rPr>
      </w:pPr>
    </w:p>
    <w:p w14:paraId="15E02C37" w14:textId="77777777" w:rsidR="00EA3D73" w:rsidRDefault="00EA3D73">
      <w:pPr>
        <w:jc w:val="both"/>
        <w:rPr>
          <w:rFonts w:ascii="Times New Roman" w:eastAsia="Times New Roman" w:hAnsi="Times New Roman" w:cs="Times New Roman"/>
        </w:rPr>
      </w:pPr>
    </w:p>
    <w:p w14:paraId="540CF300" w14:textId="77777777" w:rsidR="00EA3D73" w:rsidRDefault="00EA3D73">
      <w:pPr>
        <w:jc w:val="both"/>
        <w:rPr>
          <w:rFonts w:ascii="Times New Roman" w:eastAsia="Times New Roman" w:hAnsi="Times New Roman" w:cs="Times New Roman"/>
        </w:rPr>
      </w:pPr>
    </w:p>
    <w:p w14:paraId="0FD3299C" w14:textId="77777777" w:rsidR="00EA3D73" w:rsidRDefault="00EA3D73">
      <w:pPr>
        <w:jc w:val="both"/>
        <w:rPr>
          <w:rFonts w:ascii="Times New Roman" w:eastAsia="Times New Roman" w:hAnsi="Times New Roman" w:cs="Times New Roman"/>
          <w:b/>
        </w:rPr>
      </w:pPr>
    </w:p>
    <w:p w14:paraId="32EFFAA6" w14:textId="77777777" w:rsidR="00EA3D73" w:rsidRDefault="007E7F07">
      <w:pPr>
        <w:jc w:val="both"/>
        <w:rPr>
          <w:rFonts w:ascii="Times New Roman" w:eastAsia="Times New Roman" w:hAnsi="Times New Roman" w:cs="Times New Roman"/>
        </w:rPr>
      </w:pPr>
      <w:r>
        <w:rPr>
          <w:rFonts w:ascii="Times New Roman" w:eastAsia="Times New Roman" w:hAnsi="Times New Roman" w:cs="Times New Roman"/>
        </w:rPr>
        <w:t>Signed: _____________________</w:t>
      </w:r>
    </w:p>
    <w:p w14:paraId="3B6F75E4" w14:textId="77777777" w:rsidR="00EA3D73" w:rsidRDefault="00EA3D73">
      <w:pPr>
        <w:rPr>
          <w:rFonts w:ascii="Times New Roman" w:eastAsia="Times New Roman" w:hAnsi="Times New Roman" w:cs="Times New Roman"/>
          <w:sz w:val="26"/>
          <w:szCs w:val="26"/>
        </w:rPr>
      </w:pPr>
    </w:p>
    <w:p w14:paraId="3E0A7F86" w14:textId="77777777" w:rsidR="00EA3D73" w:rsidRDefault="007E7F07">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Date:  </w:t>
      </w:r>
    </w:p>
    <w:p w14:paraId="33CB0D66" w14:textId="77777777" w:rsidR="00EA3D73" w:rsidRDefault="00EA3D73">
      <w:pPr>
        <w:jc w:val="center"/>
        <w:rPr>
          <w:sz w:val="26"/>
          <w:szCs w:val="26"/>
        </w:rPr>
      </w:pPr>
    </w:p>
    <w:p w14:paraId="0FCDD41B" w14:textId="77777777" w:rsidR="00EA3D73" w:rsidRDefault="00EA3D73">
      <w:pPr>
        <w:widowControl/>
        <w:jc w:val="center"/>
        <w:rPr>
          <w:sz w:val="26"/>
          <w:szCs w:val="26"/>
        </w:rPr>
      </w:pPr>
    </w:p>
    <w:p w14:paraId="664EBF50" w14:textId="77777777" w:rsidR="00EA3D73" w:rsidRDefault="00EA3D73">
      <w:pPr>
        <w:widowControl/>
        <w:jc w:val="center"/>
        <w:rPr>
          <w:sz w:val="26"/>
          <w:szCs w:val="26"/>
        </w:rPr>
      </w:pPr>
    </w:p>
    <w:p w14:paraId="760E400B" w14:textId="77777777" w:rsidR="00EA3D73" w:rsidRDefault="00EA3D73">
      <w:pPr>
        <w:widowControl/>
        <w:jc w:val="center"/>
        <w:rPr>
          <w:sz w:val="26"/>
          <w:szCs w:val="26"/>
        </w:rPr>
      </w:pPr>
    </w:p>
    <w:p w14:paraId="1BBBD9FD" w14:textId="77777777" w:rsidR="00EA3D73" w:rsidRDefault="007E7F07">
      <w:pPr>
        <w:widowControl/>
        <w:rPr>
          <w:rFonts w:ascii="Times New Roman" w:eastAsia="Times New Roman" w:hAnsi="Times New Roman" w:cs="Times New Roman"/>
          <w:color w:val="0000CC"/>
          <w:sz w:val="26"/>
          <w:szCs w:val="26"/>
        </w:rPr>
      </w:pPr>
      <w:r>
        <w:br w:type="page"/>
      </w:r>
    </w:p>
    <w:p w14:paraId="10A67948" w14:textId="77777777" w:rsidR="00EA3D73" w:rsidRDefault="007E7F07">
      <w:pPr>
        <w:widowControl/>
        <w:jc w:val="center"/>
        <w:rPr>
          <w:rFonts w:ascii="Times New Roman" w:eastAsia="Times New Roman" w:hAnsi="Times New Roman" w:cs="Times New Roman"/>
          <w:color w:val="0000CC"/>
          <w:sz w:val="26"/>
          <w:szCs w:val="26"/>
        </w:rPr>
      </w:pPr>
      <w:r>
        <w:rPr>
          <w:rFonts w:ascii="Times New Roman" w:eastAsia="Times New Roman" w:hAnsi="Times New Roman" w:cs="Times New Roman"/>
          <w:b/>
          <w:sz w:val="26"/>
          <w:szCs w:val="26"/>
        </w:rPr>
        <w:lastRenderedPageBreak/>
        <w:t>Synopsis</w:t>
      </w:r>
    </w:p>
    <w:p w14:paraId="5D8785BD" w14:textId="77777777" w:rsidR="00EA3D73" w:rsidRDefault="00EA3D73">
      <w:pPr>
        <w:widowControl/>
        <w:jc w:val="center"/>
        <w:rPr>
          <w:rFonts w:ascii="Times New Roman" w:eastAsia="Times New Roman" w:hAnsi="Times New Roman" w:cs="Times New Roman"/>
          <w:b/>
          <w:sz w:val="26"/>
          <w:szCs w:val="26"/>
        </w:rPr>
      </w:pPr>
    </w:p>
    <w:p w14:paraId="3322818C" w14:textId="77777777" w:rsidR="00EA3D73" w:rsidRDefault="00EA3D73">
      <w:pPr>
        <w:widowControl/>
        <w:spacing w:line="360" w:lineRule="auto"/>
        <w:jc w:val="both"/>
        <w:rPr>
          <w:rFonts w:ascii="Times New Roman" w:eastAsia="Times New Roman" w:hAnsi="Times New Roman" w:cs="Times New Roman"/>
          <w:color w:val="0000CC"/>
          <w:sz w:val="26"/>
          <w:szCs w:val="26"/>
        </w:rPr>
      </w:pPr>
    </w:p>
    <w:p w14:paraId="4DD0A230" w14:textId="77777777" w:rsidR="00EA3D73" w:rsidRDefault="007E7F07">
      <w:pPr>
        <w:widowControl/>
        <w:spacing w:line="360" w:lineRule="auto"/>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rPr>
        <w:t>This article reports an empirical study on how global price changes affects the domestic retailing market by</w:t>
      </w:r>
      <w:r>
        <w:t xml:space="preserve"> </w:t>
      </w:r>
      <w:r>
        <w:rPr>
          <w:rFonts w:ascii="Times New Roman" w:eastAsia="Times New Roman" w:hAnsi="Times New Roman" w:cs="Times New Roman"/>
        </w:rPr>
        <w:t>conducting a comparative analysis of the consumer inflation pattern in Hong Kong and in India with a hope to explore investment opportunities for the company to expand its global business</w:t>
      </w:r>
      <w:r>
        <w:rPr>
          <w:rFonts w:ascii="Times New Roman" w:eastAsia="Times New Roman" w:hAnsi="Times New Roman" w:cs="Times New Roman"/>
          <w:color w:val="0000CC"/>
        </w:rPr>
        <w:t xml:space="preserve">. </w:t>
      </w:r>
    </w:p>
    <w:p w14:paraId="57EAEC78" w14:textId="77777777" w:rsidR="00EA3D73" w:rsidRDefault="00EA3D73">
      <w:pPr>
        <w:widowControl/>
        <w:jc w:val="both"/>
        <w:rPr>
          <w:rFonts w:ascii="Times New Roman" w:eastAsia="Times New Roman" w:hAnsi="Times New Roman" w:cs="Times New Roman"/>
          <w:b/>
          <w:sz w:val="26"/>
          <w:szCs w:val="26"/>
        </w:rPr>
      </w:pPr>
    </w:p>
    <w:p w14:paraId="6A7E9A0C" w14:textId="77777777" w:rsidR="00EA3D73" w:rsidRDefault="00EA3D73">
      <w:pPr>
        <w:widowControl/>
        <w:jc w:val="both"/>
        <w:rPr>
          <w:rFonts w:ascii="Times New Roman" w:eastAsia="Times New Roman" w:hAnsi="Times New Roman" w:cs="Times New Roman"/>
          <w:b/>
          <w:sz w:val="26"/>
          <w:szCs w:val="26"/>
        </w:rPr>
      </w:pPr>
    </w:p>
    <w:p w14:paraId="15E8B220" w14:textId="77777777" w:rsidR="00EA3D73" w:rsidRDefault="00EA3D73">
      <w:pPr>
        <w:widowControl/>
        <w:rPr>
          <w:rFonts w:ascii="Times New Roman" w:eastAsia="Times New Roman" w:hAnsi="Times New Roman" w:cs="Times New Roman"/>
          <w:b/>
          <w:sz w:val="26"/>
          <w:szCs w:val="26"/>
        </w:rPr>
      </w:pPr>
    </w:p>
    <w:p w14:paraId="1B064174" w14:textId="77777777" w:rsidR="00EA3D73" w:rsidRDefault="00EA3D73">
      <w:pPr>
        <w:widowControl/>
        <w:rPr>
          <w:rFonts w:ascii="Times New Roman" w:eastAsia="Times New Roman" w:hAnsi="Times New Roman" w:cs="Times New Roman"/>
          <w:b/>
          <w:sz w:val="26"/>
          <w:szCs w:val="26"/>
        </w:rPr>
      </w:pPr>
    </w:p>
    <w:p w14:paraId="5A09D216" w14:textId="77777777" w:rsidR="00EA3D73" w:rsidRDefault="00EA3D73">
      <w:pPr>
        <w:widowControl/>
        <w:rPr>
          <w:rFonts w:ascii="Times New Roman" w:eastAsia="Times New Roman" w:hAnsi="Times New Roman" w:cs="Times New Roman"/>
          <w:b/>
          <w:sz w:val="26"/>
          <w:szCs w:val="26"/>
        </w:rPr>
      </w:pPr>
    </w:p>
    <w:p w14:paraId="45CD72C1" w14:textId="77777777" w:rsidR="00EA3D73" w:rsidRDefault="00EA3D73">
      <w:pPr>
        <w:widowControl/>
        <w:rPr>
          <w:rFonts w:ascii="Times New Roman" w:eastAsia="Times New Roman" w:hAnsi="Times New Roman" w:cs="Times New Roman"/>
          <w:b/>
          <w:sz w:val="26"/>
          <w:szCs w:val="26"/>
        </w:rPr>
      </w:pPr>
    </w:p>
    <w:p w14:paraId="75B82B01" w14:textId="77777777" w:rsidR="00EA3D73" w:rsidRDefault="00EA3D73">
      <w:pPr>
        <w:widowControl/>
        <w:rPr>
          <w:rFonts w:ascii="Times New Roman" w:eastAsia="Times New Roman" w:hAnsi="Times New Roman" w:cs="Times New Roman"/>
          <w:b/>
          <w:sz w:val="26"/>
          <w:szCs w:val="26"/>
        </w:rPr>
      </w:pPr>
    </w:p>
    <w:p w14:paraId="3556BDD9" w14:textId="77777777" w:rsidR="00EA3D73" w:rsidRDefault="00EA3D73">
      <w:pPr>
        <w:widowControl/>
        <w:rPr>
          <w:rFonts w:ascii="Times New Roman" w:eastAsia="Times New Roman" w:hAnsi="Times New Roman" w:cs="Times New Roman"/>
          <w:b/>
          <w:sz w:val="26"/>
          <w:szCs w:val="26"/>
        </w:rPr>
      </w:pPr>
    </w:p>
    <w:p w14:paraId="5BBE0AAB" w14:textId="77777777" w:rsidR="00EA3D73" w:rsidRDefault="00EA3D73">
      <w:pPr>
        <w:widowControl/>
        <w:rPr>
          <w:rFonts w:ascii="Times New Roman" w:eastAsia="Times New Roman" w:hAnsi="Times New Roman" w:cs="Times New Roman"/>
          <w:b/>
          <w:sz w:val="26"/>
          <w:szCs w:val="26"/>
        </w:rPr>
      </w:pPr>
    </w:p>
    <w:p w14:paraId="24AC1DFC" w14:textId="77777777" w:rsidR="00EA3D73" w:rsidRDefault="00EA3D73">
      <w:pPr>
        <w:widowControl/>
        <w:rPr>
          <w:rFonts w:ascii="Times New Roman" w:eastAsia="Times New Roman" w:hAnsi="Times New Roman" w:cs="Times New Roman"/>
          <w:b/>
          <w:sz w:val="26"/>
          <w:szCs w:val="26"/>
        </w:rPr>
      </w:pPr>
    </w:p>
    <w:p w14:paraId="7A071A8B" w14:textId="77777777" w:rsidR="00EA3D73" w:rsidRDefault="00EA3D73">
      <w:pPr>
        <w:widowControl/>
        <w:rPr>
          <w:rFonts w:ascii="Times New Roman" w:eastAsia="Times New Roman" w:hAnsi="Times New Roman" w:cs="Times New Roman"/>
          <w:b/>
          <w:sz w:val="26"/>
          <w:szCs w:val="26"/>
        </w:rPr>
      </w:pPr>
    </w:p>
    <w:p w14:paraId="7D924A11" w14:textId="77777777" w:rsidR="00EA3D73" w:rsidRDefault="00EA3D73">
      <w:pPr>
        <w:widowControl/>
        <w:rPr>
          <w:rFonts w:ascii="Times New Roman" w:eastAsia="Times New Roman" w:hAnsi="Times New Roman" w:cs="Times New Roman"/>
          <w:b/>
          <w:sz w:val="26"/>
          <w:szCs w:val="26"/>
        </w:rPr>
      </w:pPr>
    </w:p>
    <w:p w14:paraId="70306CE0" w14:textId="77777777" w:rsidR="00EA3D73" w:rsidRDefault="00EA3D73">
      <w:pPr>
        <w:widowControl/>
        <w:rPr>
          <w:rFonts w:ascii="Times New Roman" w:eastAsia="Times New Roman" w:hAnsi="Times New Roman" w:cs="Times New Roman"/>
          <w:b/>
          <w:sz w:val="26"/>
          <w:szCs w:val="26"/>
        </w:rPr>
      </w:pPr>
    </w:p>
    <w:p w14:paraId="0CCDD393" w14:textId="77777777" w:rsidR="00EA3D73" w:rsidRDefault="00EA3D73">
      <w:pPr>
        <w:widowControl/>
        <w:rPr>
          <w:rFonts w:ascii="Times New Roman" w:eastAsia="Times New Roman" w:hAnsi="Times New Roman" w:cs="Times New Roman"/>
          <w:b/>
          <w:sz w:val="26"/>
          <w:szCs w:val="26"/>
        </w:rPr>
      </w:pPr>
    </w:p>
    <w:p w14:paraId="4F3A6E2A" w14:textId="77777777" w:rsidR="00EA3D73" w:rsidRDefault="00EA3D73">
      <w:pPr>
        <w:widowControl/>
        <w:rPr>
          <w:rFonts w:ascii="Times New Roman" w:eastAsia="Times New Roman" w:hAnsi="Times New Roman" w:cs="Times New Roman"/>
          <w:b/>
          <w:sz w:val="26"/>
          <w:szCs w:val="26"/>
        </w:rPr>
      </w:pPr>
    </w:p>
    <w:p w14:paraId="0FA13134" w14:textId="77777777" w:rsidR="00EA3D73" w:rsidRDefault="00EA3D73">
      <w:pPr>
        <w:widowControl/>
        <w:rPr>
          <w:rFonts w:ascii="Times New Roman" w:eastAsia="Times New Roman" w:hAnsi="Times New Roman" w:cs="Times New Roman"/>
          <w:b/>
          <w:sz w:val="26"/>
          <w:szCs w:val="26"/>
        </w:rPr>
      </w:pPr>
    </w:p>
    <w:p w14:paraId="35E9599B" w14:textId="77777777" w:rsidR="00EA3D73" w:rsidRDefault="00EA3D73">
      <w:pPr>
        <w:widowControl/>
        <w:rPr>
          <w:rFonts w:ascii="Times New Roman" w:eastAsia="Times New Roman" w:hAnsi="Times New Roman" w:cs="Times New Roman"/>
          <w:b/>
          <w:sz w:val="26"/>
          <w:szCs w:val="26"/>
        </w:rPr>
      </w:pPr>
    </w:p>
    <w:p w14:paraId="541F4E3F" w14:textId="77777777" w:rsidR="00EA3D73" w:rsidRDefault="00EA3D73">
      <w:pPr>
        <w:widowControl/>
        <w:rPr>
          <w:rFonts w:ascii="Times New Roman" w:eastAsia="Times New Roman" w:hAnsi="Times New Roman" w:cs="Times New Roman"/>
          <w:b/>
          <w:sz w:val="26"/>
          <w:szCs w:val="26"/>
        </w:rPr>
      </w:pPr>
    </w:p>
    <w:p w14:paraId="5009B6E7" w14:textId="77777777" w:rsidR="00EA3D73" w:rsidRDefault="00EA3D73">
      <w:pPr>
        <w:widowControl/>
        <w:rPr>
          <w:rFonts w:ascii="Times New Roman" w:eastAsia="Times New Roman" w:hAnsi="Times New Roman" w:cs="Times New Roman"/>
          <w:b/>
          <w:sz w:val="26"/>
          <w:szCs w:val="26"/>
        </w:rPr>
      </w:pPr>
    </w:p>
    <w:p w14:paraId="1FBAAAF7" w14:textId="77777777" w:rsidR="00EA3D73" w:rsidRDefault="00EA3D73">
      <w:pPr>
        <w:widowControl/>
        <w:rPr>
          <w:rFonts w:ascii="Times New Roman" w:eastAsia="Times New Roman" w:hAnsi="Times New Roman" w:cs="Times New Roman"/>
          <w:b/>
          <w:sz w:val="26"/>
          <w:szCs w:val="26"/>
        </w:rPr>
      </w:pPr>
    </w:p>
    <w:p w14:paraId="573D808C" w14:textId="77777777" w:rsidR="00EA3D73" w:rsidRDefault="00EA3D73">
      <w:pPr>
        <w:widowControl/>
        <w:rPr>
          <w:rFonts w:ascii="Times New Roman" w:eastAsia="Times New Roman" w:hAnsi="Times New Roman" w:cs="Times New Roman"/>
          <w:b/>
          <w:sz w:val="26"/>
          <w:szCs w:val="26"/>
        </w:rPr>
      </w:pPr>
    </w:p>
    <w:p w14:paraId="6D796B40" w14:textId="77777777" w:rsidR="00EA3D73" w:rsidRDefault="007E7F07">
      <w:pPr>
        <w:widowControl/>
        <w:rPr>
          <w:rFonts w:ascii="Times New Roman" w:eastAsia="Times New Roman" w:hAnsi="Times New Roman" w:cs="Times New Roman"/>
          <w:b/>
          <w:sz w:val="26"/>
          <w:szCs w:val="26"/>
        </w:rPr>
      </w:pPr>
      <w:r>
        <w:br w:type="page"/>
      </w:r>
    </w:p>
    <w:p w14:paraId="661461C5" w14:textId="77777777" w:rsidR="00EA3D73" w:rsidRDefault="007E7F07">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Table of Contents</w:t>
      </w:r>
    </w:p>
    <w:p w14:paraId="36F7B595" w14:textId="77777777" w:rsidR="00EA3D73" w:rsidRDefault="00EA3D73">
      <w:pPr>
        <w:jc w:val="center"/>
        <w:rPr>
          <w:rFonts w:ascii="Times New Roman" w:eastAsia="Times New Roman" w:hAnsi="Times New Roman" w:cs="Times New Roman"/>
          <w:b/>
          <w:sz w:val="26"/>
          <w:szCs w:val="26"/>
        </w:rPr>
      </w:pPr>
    </w:p>
    <w:p w14:paraId="57FDE800" w14:textId="77777777" w:rsidR="00EA3D73" w:rsidRDefault="00EA3D73">
      <w:pPr>
        <w:jc w:val="center"/>
        <w:rPr>
          <w:rFonts w:ascii="Times New Roman" w:eastAsia="Times New Roman" w:hAnsi="Times New Roman" w:cs="Times New Roman"/>
          <w:b/>
          <w:sz w:val="26"/>
          <w:szCs w:val="26"/>
        </w:rPr>
      </w:pPr>
    </w:p>
    <w:p w14:paraId="42BA1DCB" w14:textId="77777777" w:rsidR="00EA3D73" w:rsidRDefault="00EA3D73">
      <w:pPr>
        <w:pStyle w:val="Title"/>
        <w:rPr>
          <w:b w:val="0"/>
          <w:sz w:val="24"/>
        </w:rPr>
      </w:pPr>
    </w:p>
    <w:tbl>
      <w:tblPr>
        <w:tblStyle w:val="aff0"/>
        <w:tblW w:w="9126" w:type="dxa"/>
        <w:tblInd w:w="-28" w:type="dxa"/>
        <w:tblLayout w:type="fixed"/>
        <w:tblLook w:val="0000" w:firstRow="0" w:lastRow="0" w:firstColumn="0" w:lastColumn="0" w:noHBand="0" w:noVBand="0"/>
      </w:tblPr>
      <w:tblGrid>
        <w:gridCol w:w="546"/>
        <w:gridCol w:w="520"/>
        <w:gridCol w:w="35"/>
        <w:gridCol w:w="10"/>
        <w:gridCol w:w="7323"/>
        <w:gridCol w:w="692"/>
      </w:tblGrid>
      <w:tr w:rsidR="00EA3D73" w14:paraId="145D79FE" w14:textId="77777777">
        <w:tc>
          <w:tcPr>
            <w:tcW w:w="546" w:type="dxa"/>
          </w:tcPr>
          <w:p w14:paraId="7915CDC2"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bookmarkStart w:id="1" w:name="_heading=h.30j0zll" w:colFirst="0" w:colLast="0"/>
            <w:bookmarkEnd w:id="1"/>
          </w:p>
        </w:tc>
        <w:tc>
          <w:tcPr>
            <w:tcW w:w="7888" w:type="dxa"/>
            <w:gridSpan w:val="4"/>
          </w:tcPr>
          <w:p w14:paraId="54838396"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545BF1ED" w14:textId="77777777" w:rsidR="00EA3D73" w:rsidRDefault="007E7F07">
            <w:pPr>
              <w:widowControl/>
              <w:pBdr>
                <w:top w:val="nil"/>
                <w:left w:val="nil"/>
                <w:bottom w:val="nil"/>
                <w:right w:val="nil"/>
                <w:between w:val="nil"/>
              </w:pBdr>
              <w:jc w:val="center"/>
              <w:rPr>
                <w:rFonts w:ascii="Times New Roman" w:eastAsia="Times New Roman" w:hAnsi="Times New Roman" w:cs="Times New Roman"/>
                <w:color w:val="000000"/>
                <w:szCs w:val="24"/>
                <w:u w:val="single"/>
              </w:rPr>
            </w:pPr>
            <w:r>
              <w:rPr>
                <w:rFonts w:ascii="Times New Roman" w:eastAsia="Times New Roman" w:hAnsi="Times New Roman" w:cs="Times New Roman"/>
                <w:color w:val="000000"/>
                <w:szCs w:val="24"/>
                <w:u w:val="single"/>
              </w:rPr>
              <w:t>Page</w:t>
            </w:r>
          </w:p>
          <w:p w14:paraId="665CE22B"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u w:val="single"/>
              </w:rPr>
            </w:pPr>
          </w:p>
        </w:tc>
      </w:tr>
      <w:tr w:rsidR="00EA3D73" w14:paraId="664D2123" w14:textId="77777777">
        <w:tc>
          <w:tcPr>
            <w:tcW w:w="546" w:type="dxa"/>
          </w:tcPr>
          <w:p w14:paraId="611DCE1A"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1</w:t>
            </w:r>
          </w:p>
        </w:tc>
        <w:tc>
          <w:tcPr>
            <w:tcW w:w="7888" w:type="dxa"/>
            <w:gridSpan w:val="4"/>
          </w:tcPr>
          <w:p w14:paraId="4F78AA90"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FF"/>
                <w:szCs w:val="24"/>
              </w:rPr>
            </w:pPr>
            <w:r>
              <w:rPr>
                <w:rFonts w:ascii="Times New Roman" w:eastAsia="Times New Roman" w:hAnsi="Times New Roman" w:cs="Times New Roman"/>
                <w:color w:val="000000"/>
                <w:szCs w:val="24"/>
              </w:rPr>
              <w:t>Introduction</w:t>
            </w:r>
            <w:r>
              <w:rPr>
                <w:rFonts w:ascii="Times New Roman" w:eastAsia="Times New Roman" w:hAnsi="Times New Roman" w:cs="Times New Roman"/>
                <w:color w:val="0000CC"/>
                <w:szCs w:val="24"/>
              </w:rPr>
              <w:t xml:space="preserve"> </w:t>
            </w:r>
          </w:p>
        </w:tc>
        <w:tc>
          <w:tcPr>
            <w:tcW w:w="692" w:type="dxa"/>
          </w:tcPr>
          <w:p w14:paraId="63343E76" w14:textId="77777777" w:rsidR="00EA3D73" w:rsidRDefault="007E7F07">
            <w:pPr>
              <w:widowControl/>
              <w:pBdr>
                <w:top w:val="nil"/>
                <w:left w:val="nil"/>
                <w:bottom w:val="nil"/>
                <w:right w:val="nil"/>
                <w:between w:val="nil"/>
              </w:pBdr>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1</w:t>
            </w:r>
          </w:p>
        </w:tc>
      </w:tr>
      <w:tr w:rsidR="00EA3D73" w14:paraId="2DD7183E" w14:textId="77777777">
        <w:tc>
          <w:tcPr>
            <w:tcW w:w="546" w:type="dxa"/>
          </w:tcPr>
          <w:p w14:paraId="37FD279D"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7888" w:type="dxa"/>
            <w:gridSpan w:val="4"/>
          </w:tcPr>
          <w:p w14:paraId="05E57B18"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4FAFFF04"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3A1B8EAC" w14:textId="77777777">
        <w:tc>
          <w:tcPr>
            <w:tcW w:w="546" w:type="dxa"/>
          </w:tcPr>
          <w:p w14:paraId="2FC9C98F"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w:t>
            </w:r>
          </w:p>
        </w:tc>
        <w:tc>
          <w:tcPr>
            <w:tcW w:w="7888" w:type="dxa"/>
            <w:gridSpan w:val="4"/>
          </w:tcPr>
          <w:p w14:paraId="6B462DEA"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Research Background </w:t>
            </w:r>
          </w:p>
        </w:tc>
        <w:tc>
          <w:tcPr>
            <w:tcW w:w="692" w:type="dxa"/>
          </w:tcPr>
          <w:p w14:paraId="7E5C6855" w14:textId="09D1EE75" w:rsidR="00EA3D73" w:rsidRDefault="004C03FC">
            <w:pPr>
              <w:widowControl/>
              <w:pBdr>
                <w:top w:val="nil"/>
                <w:left w:val="nil"/>
                <w:bottom w:val="nil"/>
                <w:right w:val="nil"/>
                <w:between w:val="nil"/>
              </w:pBdr>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2-11</w:t>
            </w:r>
          </w:p>
        </w:tc>
      </w:tr>
      <w:tr w:rsidR="00EA3D73" w14:paraId="6199E0D6" w14:textId="77777777">
        <w:tc>
          <w:tcPr>
            <w:tcW w:w="546" w:type="dxa"/>
          </w:tcPr>
          <w:p w14:paraId="4E3D37D2"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bookmarkStart w:id="2" w:name="_heading=h.1fob9te" w:colFirst="0" w:colLast="0"/>
            <w:bookmarkEnd w:id="2"/>
          </w:p>
        </w:tc>
        <w:tc>
          <w:tcPr>
            <w:tcW w:w="520" w:type="dxa"/>
          </w:tcPr>
          <w:p w14:paraId="1D935D3D"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2.1</w:t>
            </w:r>
          </w:p>
        </w:tc>
        <w:tc>
          <w:tcPr>
            <w:tcW w:w="7368" w:type="dxa"/>
            <w:gridSpan w:val="3"/>
          </w:tcPr>
          <w:p w14:paraId="396CC0DB"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Theoretical basis</w:t>
            </w:r>
          </w:p>
        </w:tc>
        <w:tc>
          <w:tcPr>
            <w:tcW w:w="692" w:type="dxa"/>
          </w:tcPr>
          <w:p w14:paraId="1C2F6747"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16401CCA" w14:textId="77777777">
        <w:tc>
          <w:tcPr>
            <w:tcW w:w="546" w:type="dxa"/>
          </w:tcPr>
          <w:p w14:paraId="67536DF9"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20" w:type="dxa"/>
          </w:tcPr>
          <w:p w14:paraId="06AEC972"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2.2</w:t>
            </w:r>
          </w:p>
        </w:tc>
        <w:tc>
          <w:tcPr>
            <w:tcW w:w="7368" w:type="dxa"/>
            <w:gridSpan w:val="3"/>
          </w:tcPr>
          <w:p w14:paraId="7A72C1AC" w14:textId="77777777" w:rsidR="00EA3D73" w:rsidRDefault="007E7F07">
            <w:pPr>
              <w:widowControl/>
              <w:pBdr>
                <w:top w:val="nil"/>
                <w:left w:val="nil"/>
                <w:bottom w:val="nil"/>
                <w:right w:val="nil"/>
                <w:between w:val="nil"/>
              </w:pBdr>
              <w:jc w:val="both"/>
              <w:rPr>
                <w:rFonts w:ascii="Times New Roman" w:eastAsia="Times New Roman" w:hAnsi="Times New Roman" w:cs="Times New Roman"/>
                <w:szCs w:val="24"/>
              </w:rPr>
            </w:pPr>
            <w:r>
              <w:rPr>
                <w:rFonts w:ascii="Times New Roman" w:eastAsia="Times New Roman" w:hAnsi="Times New Roman" w:cs="Times New Roman"/>
                <w:color w:val="000000"/>
                <w:szCs w:val="24"/>
              </w:rPr>
              <w:t>Current performance of consumer inflation and retail sales in Hong Kong and</w:t>
            </w:r>
            <w:r>
              <w:rPr>
                <w:rFonts w:ascii="Times New Roman" w:eastAsia="Times New Roman" w:hAnsi="Times New Roman" w:cs="Times New Roman"/>
                <w:color w:val="0000CC"/>
                <w:szCs w:val="24"/>
              </w:rPr>
              <w:t xml:space="preserve"> </w:t>
            </w:r>
            <w:r>
              <w:rPr>
                <w:rFonts w:ascii="Times New Roman" w:eastAsia="Times New Roman" w:hAnsi="Times New Roman" w:cs="Times New Roman"/>
              </w:rPr>
              <w:t>India</w:t>
            </w:r>
          </w:p>
        </w:tc>
        <w:tc>
          <w:tcPr>
            <w:tcW w:w="692" w:type="dxa"/>
          </w:tcPr>
          <w:p w14:paraId="1F7CEA95"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464F958D" w14:textId="77777777">
        <w:tc>
          <w:tcPr>
            <w:tcW w:w="546" w:type="dxa"/>
          </w:tcPr>
          <w:p w14:paraId="349D2FE0"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20" w:type="dxa"/>
          </w:tcPr>
          <w:p w14:paraId="0D426A96"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2.3</w:t>
            </w:r>
          </w:p>
        </w:tc>
        <w:tc>
          <w:tcPr>
            <w:tcW w:w="7368" w:type="dxa"/>
            <w:gridSpan w:val="3"/>
          </w:tcPr>
          <w:p w14:paraId="47FFB789"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Dataset</w:t>
            </w:r>
          </w:p>
        </w:tc>
        <w:tc>
          <w:tcPr>
            <w:tcW w:w="692" w:type="dxa"/>
          </w:tcPr>
          <w:p w14:paraId="3830E1B4"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0DCC8711" w14:textId="77777777">
        <w:tc>
          <w:tcPr>
            <w:tcW w:w="546" w:type="dxa"/>
          </w:tcPr>
          <w:p w14:paraId="76290FEC"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7888" w:type="dxa"/>
            <w:gridSpan w:val="4"/>
          </w:tcPr>
          <w:p w14:paraId="2054B870"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6D346325"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59AB5D52" w14:textId="77777777">
        <w:tc>
          <w:tcPr>
            <w:tcW w:w="546" w:type="dxa"/>
          </w:tcPr>
          <w:p w14:paraId="7A665E21"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bookmarkStart w:id="3" w:name="_heading=h.3znysh7" w:colFirst="0" w:colLast="0"/>
            <w:bookmarkEnd w:id="3"/>
            <w:r>
              <w:rPr>
                <w:rFonts w:ascii="Times New Roman" w:eastAsia="Times New Roman" w:hAnsi="Times New Roman" w:cs="Times New Roman"/>
                <w:color w:val="000000"/>
                <w:szCs w:val="24"/>
              </w:rPr>
              <w:t>3</w:t>
            </w:r>
          </w:p>
        </w:tc>
        <w:tc>
          <w:tcPr>
            <w:tcW w:w="7888" w:type="dxa"/>
            <w:gridSpan w:val="4"/>
          </w:tcPr>
          <w:p w14:paraId="443618B7"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Analysis and Discussion </w:t>
            </w:r>
          </w:p>
        </w:tc>
        <w:tc>
          <w:tcPr>
            <w:tcW w:w="692" w:type="dxa"/>
          </w:tcPr>
          <w:p w14:paraId="6A5F00B7" w14:textId="4A0B7391" w:rsidR="00EA3D73" w:rsidRDefault="004C03FC">
            <w:pPr>
              <w:widowControl/>
              <w:pBdr>
                <w:top w:val="nil"/>
                <w:left w:val="nil"/>
                <w:bottom w:val="nil"/>
                <w:right w:val="nil"/>
                <w:between w:val="nil"/>
              </w:pBdr>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12</w:t>
            </w:r>
          </w:p>
        </w:tc>
      </w:tr>
      <w:tr w:rsidR="00EA3D73" w14:paraId="18F16312" w14:textId="77777777">
        <w:tc>
          <w:tcPr>
            <w:tcW w:w="546" w:type="dxa"/>
          </w:tcPr>
          <w:p w14:paraId="1E2801C3"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65" w:type="dxa"/>
            <w:gridSpan w:val="3"/>
          </w:tcPr>
          <w:p w14:paraId="7FD849B0"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3.1</w:t>
            </w:r>
          </w:p>
        </w:tc>
        <w:tc>
          <w:tcPr>
            <w:tcW w:w="7323" w:type="dxa"/>
          </w:tcPr>
          <w:p w14:paraId="278FD974" w14:textId="77777777" w:rsidR="00EA3D73" w:rsidRDefault="007E7F07">
            <w:pPr>
              <w:jc w:val="both"/>
              <w:rPr>
                <w:rFonts w:ascii="Times New Roman" w:eastAsia="Times New Roman" w:hAnsi="Times New Roman" w:cs="Times New Roman"/>
              </w:rPr>
            </w:pPr>
            <w:r>
              <w:rPr>
                <w:rFonts w:ascii="Times New Roman" w:eastAsia="Times New Roman" w:hAnsi="Times New Roman" w:cs="Times New Roman"/>
              </w:rPr>
              <w:t>The pattern of consumer inflation and retail sales in Hong Kong</w:t>
            </w:r>
          </w:p>
        </w:tc>
        <w:tc>
          <w:tcPr>
            <w:tcW w:w="692" w:type="dxa"/>
          </w:tcPr>
          <w:p w14:paraId="5495FC00"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13FB75AA" w14:textId="77777777">
        <w:tc>
          <w:tcPr>
            <w:tcW w:w="546" w:type="dxa"/>
          </w:tcPr>
          <w:p w14:paraId="7F725F8F"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65" w:type="dxa"/>
            <w:gridSpan w:val="3"/>
          </w:tcPr>
          <w:p w14:paraId="61C8EFBA"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3.2</w:t>
            </w:r>
          </w:p>
        </w:tc>
        <w:tc>
          <w:tcPr>
            <w:tcW w:w="7323" w:type="dxa"/>
          </w:tcPr>
          <w:p w14:paraId="74A1994B"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A comparative analysis.</w:t>
            </w:r>
          </w:p>
        </w:tc>
        <w:tc>
          <w:tcPr>
            <w:tcW w:w="692" w:type="dxa"/>
          </w:tcPr>
          <w:p w14:paraId="7682D392"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7B6D7AD8" w14:textId="77777777">
        <w:tc>
          <w:tcPr>
            <w:tcW w:w="546" w:type="dxa"/>
          </w:tcPr>
          <w:p w14:paraId="30DDA458"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65" w:type="dxa"/>
            <w:gridSpan w:val="3"/>
          </w:tcPr>
          <w:p w14:paraId="41F6968A"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p w14:paraId="2BFA0C6B"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p w14:paraId="32BB2802"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3.3</w:t>
            </w:r>
          </w:p>
        </w:tc>
        <w:tc>
          <w:tcPr>
            <w:tcW w:w="7323" w:type="dxa"/>
          </w:tcPr>
          <w:p w14:paraId="50FAA4F9"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3.2. Correlation analysis</w:t>
            </w:r>
          </w:p>
          <w:p w14:paraId="3A97D2E7"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3.2. Similarities and differences in patterns and trends </w:t>
            </w:r>
          </w:p>
          <w:p w14:paraId="6D82B7B7"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Summary of findings</w:t>
            </w:r>
          </w:p>
        </w:tc>
        <w:tc>
          <w:tcPr>
            <w:tcW w:w="692" w:type="dxa"/>
          </w:tcPr>
          <w:p w14:paraId="4ACED27A"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4C7FD36D" w14:textId="77777777">
        <w:tc>
          <w:tcPr>
            <w:tcW w:w="546" w:type="dxa"/>
          </w:tcPr>
          <w:p w14:paraId="320E9938"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7888" w:type="dxa"/>
            <w:gridSpan w:val="4"/>
          </w:tcPr>
          <w:p w14:paraId="7518D0C8"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540E87E2"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1CEA81A2" w14:textId="77777777">
        <w:tc>
          <w:tcPr>
            <w:tcW w:w="546" w:type="dxa"/>
          </w:tcPr>
          <w:p w14:paraId="5EDECCC5"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4</w:t>
            </w:r>
          </w:p>
        </w:tc>
        <w:tc>
          <w:tcPr>
            <w:tcW w:w="7888" w:type="dxa"/>
            <w:gridSpan w:val="4"/>
          </w:tcPr>
          <w:p w14:paraId="2462890B"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Conclusion and Recommendations</w:t>
            </w:r>
          </w:p>
        </w:tc>
        <w:tc>
          <w:tcPr>
            <w:tcW w:w="692" w:type="dxa"/>
          </w:tcPr>
          <w:p w14:paraId="73303EEA" w14:textId="117A20F1" w:rsidR="00EA3D73" w:rsidRDefault="004C03FC">
            <w:pPr>
              <w:widowControl/>
              <w:pBdr>
                <w:top w:val="nil"/>
                <w:left w:val="nil"/>
                <w:bottom w:val="nil"/>
                <w:right w:val="nil"/>
                <w:between w:val="nil"/>
              </w:pBdr>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21</w:t>
            </w:r>
          </w:p>
        </w:tc>
      </w:tr>
      <w:tr w:rsidR="00EA3D73" w14:paraId="566C0017" w14:textId="77777777">
        <w:tc>
          <w:tcPr>
            <w:tcW w:w="546" w:type="dxa"/>
          </w:tcPr>
          <w:p w14:paraId="6B7BE99C"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55" w:type="dxa"/>
            <w:gridSpan w:val="2"/>
          </w:tcPr>
          <w:p w14:paraId="0BBDE3A3"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4.1</w:t>
            </w:r>
          </w:p>
        </w:tc>
        <w:tc>
          <w:tcPr>
            <w:tcW w:w="7333" w:type="dxa"/>
            <w:gridSpan w:val="2"/>
          </w:tcPr>
          <w:p w14:paraId="0ED28F4D"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Conclusion</w:t>
            </w:r>
          </w:p>
        </w:tc>
        <w:tc>
          <w:tcPr>
            <w:tcW w:w="692" w:type="dxa"/>
          </w:tcPr>
          <w:p w14:paraId="3ED04175"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68B05647" w14:textId="77777777">
        <w:tc>
          <w:tcPr>
            <w:tcW w:w="546" w:type="dxa"/>
          </w:tcPr>
          <w:p w14:paraId="084C635A"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555" w:type="dxa"/>
            <w:gridSpan w:val="2"/>
          </w:tcPr>
          <w:p w14:paraId="758C23DF"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4.2</w:t>
            </w:r>
          </w:p>
        </w:tc>
        <w:tc>
          <w:tcPr>
            <w:tcW w:w="7333" w:type="dxa"/>
            <w:gridSpan w:val="2"/>
          </w:tcPr>
          <w:p w14:paraId="1C491A59"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Recommendations </w:t>
            </w:r>
          </w:p>
        </w:tc>
        <w:tc>
          <w:tcPr>
            <w:tcW w:w="692" w:type="dxa"/>
          </w:tcPr>
          <w:p w14:paraId="3B849762"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0AA0C54A" w14:textId="77777777">
        <w:tc>
          <w:tcPr>
            <w:tcW w:w="546" w:type="dxa"/>
          </w:tcPr>
          <w:p w14:paraId="4FEACD2A"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7888" w:type="dxa"/>
            <w:gridSpan w:val="4"/>
          </w:tcPr>
          <w:p w14:paraId="7DCDA942"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55E3437C"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49A0EF69" w14:textId="77777777">
        <w:tc>
          <w:tcPr>
            <w:tcW w:w="8434" w:type="dxa"/>
            <w:gridSpan w:val="5"/>
          </w:tcPr>
          <w:p w14:paraId="54BD682C" w14:textId="77777777" w:rsidR="00EA3D73" w:rsidRDefault="007E7F07">
            <w:pPr>
              <w:widowControl/>
              <w:pBdr>
                <w:top w:val="nil"/>
                <w:left w:val="nil"/>
                <w:bottom w:val="nil"/>
                <w:right w:val="nil"/>
                <w:between w:val="nil"/>
              </w:pBdr>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References</w:t>
            </w:r>
          </w:p>
        </w:tc>
        <w:tc>
          <w:tcPr>
            <w:tcW w:w="692" w:type="dxa"/>
          </w:tcPr>
          <w:p w14:paraId="015233FC" w14:textId="063CE823" w:rsidR="00EA3D73" w:rsidRDefault="004C03FC">
            <w:pPr>
              <w:widowControl/>
              <w:pBdr>
                <w:top w:val="nil"/>
                <w:left w:val="nil"/>
                <w:bottom w:val="nil"/>
                <w:right w:val="nil"/>
                <w:between w:val="nil"/>
              </w:pBdr>
              <w:jc w:val="center"/>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22</w:t>
            </w:r>
          </w:p>
        </w:tc>
      </w:tr>
      <w:tr w:rsidR="00EA3D73" w14:paraId="324F9664" w14:textId="77777777">
        <w:tc>
          <w:tcPr>
            <w:tcW w:w="8434" w:type="dxa"/>
            <w:gridSpan w:val="5"/>
          </w:tcPr>
          <w:p w14:paraId="3E0D7712" w14:textId="77777777" w:rsidR="00EA3D73" w:rsidRDefault="00EA3D73">
            <w:pPr>
              <w:widowControl/>
              <w:pBdr>
                <w:top w:val="nil"/>
                <w:left w:val="nil"/>
                <w:bottom w:val="nil"/>
                <w:right w:val="nil"/>
                <w:between w:val="nil"/>
              </w:pBdr>
              <w:jc w:val="both"/>
              <w:rPr>
                <w:rFonts w:ascii="Times New Roman" w:eastAsia="Times New Roman" w:hAnsi="Times New Roman" w:cs="Times New Roman"/>
                <w:color w:val="0000FF"/>
                <w:szCs w:val="24"/>
              </w:rPr>
            </w:pPr>
          </w:p>
        </w:tc>
        <w:tc>
          <w:tcPr>
            <w:tcW w:w="692" w:type="dxa"/>
          </w:tcPr>
          <w:p w14:paraId="259DD05F" w14:textId="77777777"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r w:rsidR="00EA3D73" w14:paraId="2161102C" w14:textId="77777777">
        <w:tc>
          <w:tcPr>
            <w:tcW w:w="8434" w:type="dxa"/>
            <w:gridSpan w:val="5"/>
          </w:tcPr>
          <w:p w14:paraId="324957EA" w14:textId="7DD68E9D" w:rsidR="00EA3D73" w:rsidRDefault="00EA3D73">
            <w:pPr>
              <w:widowControl/>
              <w:pBdr>
                <w:top w:val="nil"/>
                <w:left w:val="nil"/>
                <w:bottom w:val="nil"/>
                <w:right w:val="nil"/>
                <w:between w:val="nil"/>
              </w:pBdr>
              <w:jc w:val="both"/>
              <w:rPr>
                <w:rFonts w:ascii="Times New Roman" w:eastAsia="Times New Roman" w:hAnsi="Times New Roman" w:cs="Times New Roman"/>
                <w:color w:val="000000"/>
                <w:szCs w:val="24"/>
              </w:rPr>
            </w:pPr>
          </w:p>
        </w:tc>
        <w:tc>
          <w:tcPr>
            <w:tcW w:w="692" w:type="dxa"/>
          </w:tcPr>
          <w:p w14:paraId="42BE80D4" w14:textId="7D15D0CC" w:rsidR="00EA3D73" w:rsidRDefault="00EA3D73">
            <w:pPr>
              <w:widowControl/>
              <w:pBdr>
                <w:top w:val="nil"/>
                <w:left w:val="nil"/>
                <w:bottom w:val="nil"/>
                <w:right w:val="nil"/>
                <w:between w:val="nil"/>
              </w:pBdr>
              <w:jc w:val="center"/>
              <w:rPr>
                <w:rFonts w:ascii="Times New Roman" w:eastAsia="Times New Roman" w:hAnsi="Times New Roman" w:cs="Times New Roman"/>
                <w:color w:val="000000"/>
                <w:szCs w:val="24"/>
              </w:rPr>
            </w:pPr>
          </w:p>
        </w:tc>
      </w:tr>
    </w:tbl>
    <w:p w14:paraId="23B62295" w14:textId="77777777" w:rsidR="00EA3D73" w:rsidRDefault="00EA3D73">
      <w:pPr>
        <w:widowControl/>
        <w:jc w:val="both"/>
        <w:rPr>
          <w:rFonts w:ascii="Times New Roman" w:eastAsia="Times New Roman" w:hAnsi="Times New Roman" w:cs="Times New Roman"/>
          <w:b/>
          <w:sz w:val="26"/>
          <w:szCs w:val="26"/>
        </w:rPr>
      </w:pPr>
    </w:p>
    <w:p w14:paraId="1D596341" w14:textId="77777777" w:rsidR="00EA3D73" w:rsidRDefault="00EA3D73">
      <w:pPr>
        <w:widowControl/>
        <w:jc w:val="both"/>
        <w:rPr>
          <w:rFonts w:ascii="Times New Roman" w:eastAsia="Times New Roman" w:hAnsi="Times New Roman" w:cs="Times New Roman"/>
        </w:rPr>
      </w:pPr>
    </w:p>
    <w:p w14:paraId="09418624" w14:textId="77777777" w:rsidR="00EA3D73" w:rsidRDefault="00EA3D73">
      <w:pPr>
        <w:widowControl/>
        <w:jc w:val="both"/>
        <w:rPr>
          <w:rFonts w:ascii="Times New Roman" w:eastAsia="Times New Roman" w:hAnsi="Times New Roman" w:cs="Times New Roman"/>
        </w:rPr>
        <w:sectPr w:rsidR="00EA3D73">
          <w:pgSz w:w="11906" w:h="16838"/>
          <w:pgMar w:top="1134" w:right="1418" w:bottom="1134" w:left="1418" w:header="851" w:footer="992" w:gutter="0"/>
          <w:pgNumType w:start="1"/>
          <w:cols w:space="720"/>
        </w:sectPr>
      </w:pPr>
    </w:p>
    <w:p w14:paraId="31C3B82B" w14:textId="77777777" w:rsidR="00EA3D73" w:rsidRDefault="007E7F07">
      <w:pPr>
        <w:widowControl/>
        <w:jc w:val="both"/>
        <w:rPr>
          <w:rFonts w:ascii="Times New Roman" w:eastAsia="Times New Roman" w:hAnsi="Times New Roman" w:cs="Times New Roman"/>
          <w:b/>
          <w:color w:val="0000CC"/>
          <w:sz w:val="26"/>
          <w:szCs w:val="26"/>
        </w:rPr>
      </w:pPr>
      <w:r>
        <w:rPr>
          <w:rFonts w:ascii="Times New Roman" w:eastAsia="Times New Roman" w:hAnsi="Times New Roman" w:cs="Times New Roman"/>
          <w:b/>
          <w:sz w:val="26"/>
          <w:szCs w:val="26"/>
        </w:rPr>
        <w:lastRenderedPageBreak/>
        <w:t xml:space="preserve">1   Introduction </w:t>
      </w:r>
    </w:p>
    <w:p w14:paraId="59019AD9" w14:textId="77777777" w:rsidR="004D1993" w:rsidRPr="004D1993" w:rsidRDefault="004D1993" w:rsidP="004D1993">
      <w:pPr>
        <w:spacing w:line="360" w:lineRule="auto"/>
        <w:ind w:firstLine="360"/>
        <w:jc w:val="both"/>
        <w:rPr>
          <w:rFonts w:ascii="Times New Roman" w:eastAsia="Times New Roman" w:hAnsi="Times New Roman" w:cs="Times New Roman"/>
        </w:rPr>
      </w:pPr>
    </w:p>
    <w:p w14:paraId="3C7D2017" w14:textId="54F3E0A9" w:rsidR="00EA3D73" w:rsidRDefault="004D1993" w:rsidP="004D1993">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Global inflation </w:t>
      </w:r>
      <w:r w:rsidRPr="004D1993">
        <w:rPr>
          <w:rFonts w:ascii="Times New Roman" w:eastAsia="Times New Roman" w:hAnsi="Times New Roman" w:cs="Times New Roman"/>
        </w:rPr>
        <w:t>has led to reduced consumer spending, increased prices, and supply chain disruptions. In Hong Kong, these factors have contributed to a slower retail recovery and shifts in consumer behavior.</w:t>
      </w:r>
      <w:r>
        <w:rPr>
          <w:rFonts w:ascii="Times New Roman" w:eastAsia="Times New Roman" w:hAnsi="Times New Roman" w:cs="Times New Roman"/>
        </w:rPr>
        <w:t xml:space="preserve"> </w:t>
      </w:r>
      <w:r w:rsidRPr="004D1993">
        <w:rPr>
          <w:rFonts w:ascii="Times New Roman" w:eastAsia="Times New Roman" w:hAnsi="Times New Roman" w:cs="Times New Roman"/>
        </w:rPr>
        <w:t>Inflation leads to decreased spending on discretionary goods as consumers focus on essential items, affecting retail sales negatively</w:t>
      </w:r>
      <w:r>
        <w:rPr>
          <w:rFonts w:ascii="Times New Roman" w:eastAsia="Times New Roman" w:hAnsi="Times New Roman" w:cs="Times New Roman"/>
        </w:rPr>
        <w:t xml:space="preserve"> (Bob</w:t>
      </w:r>
      <w:r w:rsidR="00C96847">
        <w:rPr>
          <w:rFonts w:ascii="Times New Roman" w:eastAsia="Times New Roman" w:hAnsi="Times New Roman" w:cs="Times New Roman"/>
        </w:rPr>
        <w:t xml:space="preserve">, </w:t>
      </w:r>
      <w:r>
        <w:rPr>
          <w:rFonts w:ascii="Times New Roman" w:eastAsia="Times New Roman" w:hAnsi="Times New Roman" w:cs="Times New Roman"/>
        </w:rPr>
        <w:t>H</w:t>
      </w:r>
      <w:r w:rsidR="00C96847">
        <w:rPr>
          <w:rFonts w:ascii="Times New Roman" w:eastAsia="Times New Roman" w:hAnsi="Times New Roman" w:cs="Times New Roman"/>
        </w:rPr>
        <w:t>.</w:t>
      </w:r>
      <w:r>
        <w:rPr>
          <w:rFonts w:ascii="Times New Roman" w:eastAsia="Times New Roman" w:hAnsi="Times New Roman" w:cs="Times New Roman"/>
        </w:rPr>
        <w:t xml:space="preserve">, 2023) Retailers often raise prices to maintain profit margins which can further increase inflationary pressures. (KPMG, 2024) Inflation </w:t>
      </w:r>
      <w:proofErr w:type="gramStart"/>
      <w:r>
        <w:rPr>
          <w:rFonts w:ascii="Times New Roman" w:eastAsia="Times New Roman" w:hAnsi="Times New Roman" w:cs="Times New Roman"/>
        </w:rPr>
        <w:t>lead</w:t>
      </w:r>
      <w:proofErr w:type="gramEnd"/>
      <w:r>
        <w:rPr>
          <w:rFonts w:ascii="Times New Roman" w:eastAsia="Times New Roman" w:hAnsi="Times New Roman" w:cs="Times New Roman"/>
        </w:rPr>
        <w:t xml:space="preserve"> challenges to supply chain, increased higher storage costs and inventory management issues. In Hong Kong, retail sector sales decreased by 7.1% in the first ten months of 2024. (Hong Kong Business, 2025) Consumers in Hong Kong are becoming more cautious and prioritizing essential goods</w:t>
      </w:r>
      <w:r w:rsidR="002328E4">
        <w:rPr>
          <w:rFonts w:ascii="Times New Roman" w:eastAsia="Times New Roman" w:hAnsi="Times New Roman" w:cs="Times New Roman"/>
        </w:rPr>
        <w:t xml:space="preserve">. </w:t>
      </w:r>
    </w:p>
    <w:p w14:paraId="1BABA763" w14:textId="77777777" w:rsidR="00CB3094" w:rsidRPr="004D1993" w:rsidRDefault="00CB3094" w:rsidP="004D1993">
      <w:pPr>
        <w:spacing w:line="360" w:lineRule="auto"/>
        <w:ind w:firstLine="360"/>
        <w:jc w:val="both"/>
        <w:rPr>
          <w:rFonts w:ascii="Times New Roman" w:eastAsia="Times New Roman" w:hAnsi="Times New Roman" w:cs="Times New Roman"/>
        </w:rPr>
      </w:pPr>
    </w:p>
    <w:p w14:paraId="2744DD5C" w14:textId="1DE1D135" w:rsidR="00EA3D73" w:rsidRDefault="007E7F07">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Company A is a Japanese diversified retail holding company and one of the largest retail companies in Japan. Company A owns various hypermarkets, shopping malls, supermarkets, convenience stores, drugstores, and movie theaters. Company A was established in December 1985 and listed on the Hong Kong Stock Exchange in February 1994. It aim</w:t>
      </w:r>
      <w:r w:rsidR="00323C81">
        <w:rPr>
          <w:rFonts w:ascii="Times New Roman" w:eastAsia="Times New Roman" w:hAnsi="Times New Roman" w:cs="Times New Roman"/>
        </w:rPr>
        <w:t>e</w:t>
      </w:r>
      <w:r>
        <w:rPr>
          <w:rFonts w:ascii="Times New Roman" w:eastAsia="Times New Roman" w:hAnsi="Times New Roman" w:cs="Times New Roman"/>
        </w:rPr>
        <w:t>d to develop chain operations in Hong Kong and offered value-for-money merchandise. It mainly manag</w:t>
      </w:r>
      <w:r w:rsidR="002328E4">
        <w:rPr>
          <w:rFonts w:ascii="Times New Roman" w:eastAsia="Times New Roman" w:hAnsi="Times New Roman" w:cs="Times New Roman"/>
        </w:rPr>
        <w:t>es</w:t>
      </w:r>
      <w:r>
        <w:rPr>
          <w:rFonts w:ascii="Times New Roman" w:eastAsia="Times New Roman" w:hAnsi="Times New Roman" w:cs="Times New Roman"/>
        </w:rPr>
        <w:t xml:space="preserve"> shopping malls and retail shops such as supermarkets, convenience stores, department stores and home places.</w:t>
      </w:r>
      <w:r w:rsidR="002328E4">
        <w:rPr>
          <w:rFonts w:ascii="Times New Roman" w:eastAsia="Times New Roman" w:hAnsi="Times New Roman" w:cs="Times New Roman"/>
        </w:rPr>
        <w:t xml:space="preserve"> (</w:t>
      </w:r>
      <w:r w:rsidR="00B66EAA">
        <w:rPr>
          <w:rFonts w:ascii="Times New Roman" w:eastAsia="Times New Roman" w:hAnsi="Times New Roman" w:cs="Times New Roman"/>
        </w:rPr>
        <w:t>Company A</w:t>
      </w:r>
      <w:r w:rsidR="002328E4">
        <w:rPr>
          <w:rFonts w:ascii="Times New Roman" w:eastAsia="Times New Roman" w:hAnsi="Times New Roman" w:cs="Times New Roman"/>
        </w:rPr>
        <w:t>, 2024</w:t>
      </w:r>
      <w:r w:rsidR="002328E4">
        <w:rPr>
          <w:rFonts w:ascii="Times New Roman" w:eastAsia="Times New Roman" w:hAnsi="Times New Roman" w:cs="Times New Roman"/>
        </w:rPr>
        <w:t>)</w:t>
      </w:r>
    </w:p>
    <w:p w14:paraId="17ECE572" w14:textId="77777777" w:rsidR="00EA3D73" w:rsidRDefault="00EA3D73">
      <w:pPr>
        <w:spacing w:line="360" w:lineRule="auto"/>
        <w:ind w:firstLine="397"/>
        <w:jc w:val="both"/>
        <w:rPr>
          <w:rFonts w:ascii="Times New Roman" w:eastAsia="Times New Roman" w:hAnsi="Times New Roman" w:cs="Times New Roman"/>
        </w:rPr>
      </w:pPr>
    </w:p>
    <w:p w14:paraId="762B03C7" w14:textId="18EA4C06" w:rsidR="00EA3D73" w:rsidRDefault="007E7F07">
      <w:pPr>
        <w:spacing w:line="360" w:lineRule="auto"/>
        <w:ind w:firstLine="390"/>
        <w:jc w:val="both"/>
        <w:rPr>
          <w:rFonts w:ascii="Times New Roman" w:eastAsiaTheme="minorEastAsia" w:hAnsi="Times New Roman" w:cs="Times New Roman"/>
        </w:rPr>
      </w:pPr>
      <w:r>
        <w:rPr>
          <w:rFonts w:ascii="Times New Roman" w:eastAsia="Times New Roman" w:hAnsi="Times New Roman" w:cs="Times New Roman"/>
        </w:rPr>
        <w:t xml:space="preserve">Due to COVID-19 pandemic, Company A faced challenges including high-interest rates and sluggish consumption in 2023. </w:t>
      </w:r>
      <w:r w:rsidR="002328E4">
        <w:rPr>
          <w:rFonts w:ascii="Times New Roman" w:eastAsia="Times New Roman" w:hAnsi="Times New Roman" w:cs="Times New Roman"/>
        </w:rPr>
        <w:t>Its</w:t>
      </w:r>
      <w:r>
        <w:rPr>
          <w:rFonts w:ascii="Times New Roman" w:eastAsia="Times New Roman" w:hAnsi="Times New Roman" w:cs="Times New Roman"/>
        </w:rPr>
        <w:t xml:space="preserve"> business in Hong Kong was affected by slow-moving trade and investment activity. </w:t>
      </w:r>
      <w:r w:rsidR="002328E4">
        <w:rPr>
          <w:rFonts w:ascii="Times New Roman" w:eastAsia="Times New Roman" w:hAnsi="Times New Roman" w:cs="Times New Roman"/>
        </w:rPr>
        <w:t>According to the company’s news release (</w:t>
      </w:r>
      <w:r w:rsidR="00B66EAA">
        <w:rPr>
          <w:rFonts w:ascii="Times New Roman" w:eastAsia="Times New Roman" w:hAnsi="Times New Roman" w:cs="Times New Roman"/>
        </w:rPr>
        <w:t>Company A</w:t>
      </w:r>
      <w:r w:rsidR="002328E4">
        <w:rPr>
          <w:rFonts w:ascii="Times New Roman" w:eastAsia="Times New Roman" w:hAnsi="Times New Roman" w:cs="Times New Roman"/>
        </w:rPr>
        <w:t>, 2024), its operations r</w:t>
      </w:r>
      <w:r>
        <w:rPr>
          <w:rFonts w:ascii="Times New Roman" w:eastAsia="Times New Roman" w:hAnsi="Times New Roman" w:cs="Times New Roman"/>
        </w:rPr>
        <w:t>evenue</w:t>
      </w:r>
      <w:r w:rsidR="002328E4">
        <w:rPr>
          <w:rFonts w:ascii="Times New Roman" w:eastAsia="Times New Roman" w:hAnsi="Times New Roman" w:cs="Times New Roman"/>
        </w:rPr>
        <w:t xml:space="preserve"> </w:t>
      </w:r>
      <w:r>
        <w:rPr>
          <w:rFonts w:ascii="Times New Roman" w:eastAsia="Times New Roman" w:hAnsi="Times New Roman" w:cs="Times New Roman"/>
        </w:rPr>
        <w:t>decreased by 9.2% year-on-year to HK$4,140.9 million in 2023.</w:t>
      </w:r>
      <w:r w:rsidR="00594242" w:rsidRPr="00594242">
        <w:t xml:space="preserve"> </w:t>
      </w:r>
      <w:r w:rsidR="00594242" w:rsidRPr="00594242">
        <w:rPr>
          <w:rFonts w:ascii="Times New Roman" w:eastAsia="Times New Roman" w:hAnsi="Times New Roman" w:cs="Times New Roman"/>
        </w:rPr>
        <w:t xml:space="preserve">The COVID-19 pandemic has significantly impacted global economies, leading to challenges such as high-interest rates, sluggish consumption, and slow trade and investment activities. </w:t>
      </w:r>
      <w:r w:rsidR="00594242">
        <w:rPr>
          <w:rFonts w:ascii="Times New Roman" w:eastAsia="Times New Roman" w:hAnsi="Times New Roman" w:cs="Times New Roman"/>
        </w:rPr>
        <w:t>Company A</w:t>
      </w:r>
      <w:r w:rsidR="00594242" w:rsidRPr="00594242">
        <w:rPr>
          <w:rFonts w:ascii="Times New Roman" w:eastAsia="Times New Roman" w:hAnsi="Times New Roman" w:cs="Times New Roman"/>
        </w:rPr>
        <w:t>, a major retail player, faced these challenges in Hong Kong, with a notable decline in operations revenue. Understanding how such factors affect retail businesses and identifying strategies for resilience and growth are crucial for companies navigating similar environments.</w:t>
      </w:r>
      <w:r w:rsidR="00594242">
        <w:rPr>
          <w:rFonts w:ascii="Times New Roman" w:eastAsia="Times New Roman" w:hAnsi="Times New Roman" w:cs="Times New Roman"/>
        </w:rPr>
        <w:t xml:space="preserve"> In order to improve the business of Company A, suggesting Company A to expand its operation in India due to few objectives. </w:t>
      </w:r>
      <w:r w:rsidR="00594242">
        <w:rPr>
          <w:rFonts w:ascii="Times New Roman" w:eastAsiaTheme="minorEastAsia" w:hAnsi="Times New Roman" w:cs="Times New Roman" w:hint="eastAsia"/>
        </w:rPr>
        <w:t>The</w:t>
      </w:r>
      <w:r w:rsidR="00594242">
        <w:rPr>
          <w:rFonts w:ascii="Times New Roman" w:eastAsiaTheme="minorEastAsia" w:hAnsi="Times New Roman" w:cs="Times New Roman"/>
        </w:rPr>
        <w:t xml:space="preserve"> report investigated economic challenges for Company A, such as high-interest rates, consumption affecting retail businesses. In order to increase sales of Company A, the report identify potential opportunities </w:t>
      </w:r>
      <w:r w:rsidR="00594242">
        <w:rPr>
          <w:rFonts w:ascii="Times New Roman" w:eastAsiaTheme="minorEastAsia" w:hAnsi="Times New Roman" w:cs="Times New Roman"/>
        </w:rPr>
        <w:lastRenderedPageBreak/>
        <w:t xml:space="preserve">for growth in emerging markets in India and assess challenges associated with expanding into new </w:t>
      </w:r>
      <w:r w:rsidR="00CB3094">
        <w:rPr>
          <w:rFonts w:ascii="Times New Roman" w:eastAsiaTheme="minorEastAsia" w:hAnsi="Times New Roman" w:cs="Times New Roman"/>
        </w:rPr>
        <w:t>regions</w:t>
      </w:r>
      <w:r w:rsidR="00594242">
        <w:rPr>
          <w:rFonts w:ascii="Times New Roman" w:eastAsiaTheme="minorEastAsia" w:hAnsi="Times New Roman" w:cs="Times New Roman"/>
        </w:rPr>
        <w:t>.</w:t>
      </w:r>
    </w:p>
    <w:p w14:paraId="29240B81" w14:textId="66DA2981" w:rsidR="00CB3094" w:rsidRDefault="00CB3094">
      <w:pPr>
        <w:spacing w:line="360" w:lineRule="auto"/>
        <w:ind w:firstLine="390"/>
        <w:jc w:val="both"/>
        <w:rPr>
          <w:rFonts w:ascii="Times New Roman" w:eastAsiaTheme="minorEastAsia" w:hAnsi="Times New Roman" w:cs="Times New Roman"/>
        </w:rPr>
      </w:pPr>
    </w:p>
    <w:p w14:paraId="404EB32C" w14:textId="5E2C5507" w:rsidR="008749FB" w:rsidRDefault="00CB3094">
      <w:pPr>
        <w:spacing w:line="360" w:lineRule="auto"/>
        <w:ind w:firstLine="390"/>
        <w:jc w:val="both"/>
        <w:rPr>
          <w:rFonts w:ascii="Times New Roman" w:eastAsiaTheme="minorEastAsia" w:hAnsi="Times New Roman" w:cs="Times New Roman"/>
        </w:rPr>
      </w:pPr>
      <w:r>
        <w:rPr>
          <w:rFonts w:ascii="Times New Roman" w:eastAsiaTheme="minorEastAsia" w:hAnsi="Times New Roman" w:cs="Times New Roman"/>
        </w:rPr>
        <w:t>The reasons of ch</w:t>
      </w:r>
      <w:r>
        <w:rPr>
          <w:rFonts w:ascii="Times New Roman" w:eastAsiaTheme="minorEastAsia" w:hAnsi="Times New Roman" w:cs="Times New Roman" w:hint="eastAsia"/>
        </w:rPr>
        <w:t>oosing</w:t>
      </w:r>
      <w:r>
        <w:rPr>
          <w:rFonts w:ascii="Times New Roman" w:eastAsiaTheme="minorEastAsia" w:hAnsi="Times New Roman" w:cs="Times New Roman"/>
        </w:rPr>
        <w:t xml:space="preserve"> India as a target country to expand Company A’s global business due to below factors. India’s retail market is projected to grow significantly, with </w:t>
      </w:r>
      <w:proofErr w:type="gramStart"/>
      <w:r>
        <w:rPr>
          <w:rFonts w:ascii="Times New Roman" w:eastAsiaTheme="minorEastAsia" w:hAnsi="Times New Roman" w:cs="Times New Roman"/>
        </w:rPr>
        <w:t>a</w:t>
      </w:r>
      <w:proofErr w:type="gramEnd"/>
      <w:r>
        <w:rPr>
          <w:rFonts w:ascii="Times New Roman" w:eastAsiaTheme="minorEastAsia" w:hAnsi="Times New Roman" w:cs="Times New Roman"/>
        </w:rPr>
        <w:t xml:space="preserve"> increasement of 13.90% from 2024 to 2032, driven by factors like income growth, urbanization, and digital adoption. (</w:t>
      </w:r>
      <w:proofErr w:type="spellStart"/>
      <w:proofErr w:type="gramStart"/>
      <w:r>
        <w:rPr>
          <w:rFonts w:ascii="Times New Roman" w:eastAsiaTheme="minorEastAsia" w:hAnsi="Times New Roman" w:cs="Times New Roman"/>
        </w:rPr>
        <w:t>imarc</w:t>
      </w:r>
      <w:proofErr w:type="spellEnd"/>
      <w:proofErr w:type="gramEnd"/>
      <w:r>
        <w:rPr>
          <w:rFonts w:ascii="Times New Roman" w:eastAsiaTheme="minorEastAsia" w:hAnsi="Times New Roman" w:cs="Times New Roman"/>
        </w:rPr>
        <w:t xml:space="preserve">, 2024) </w:t>
      </w:r>
      <w:r w:rsidRPr="00CB3094">
        <w:rPr>
          <w:rFonts w:ascii="Times New Roman" w:eastAsiaTheme="minorEastAsia" w:hAnsi="Times New Roman" w:cs="Times New Roman"/>
        </w:rPr>
        <w:t xml:space="preserve">With a vast and growing population, India provides a large consumer base for </w:t>
      </w:r>
      <w:r>
        <w:rPr>
          <w:rFonts w:ascii="Times New Roman" w:eastAsiaTheme="minorEastAsia" w:hAnsi="Times New Roman" w:cs="Times New Roman"/>
        </w:rPr>
        <w:t>Company A</w:t>
      </w:r>
      <w:r w:rsidRPr="00CB3094">
        <w:rPr>
          <w:rFonts w:ascii="Times New Roman" w:eastAsiaTheme="minorEastAsia" w:hAnsi="Times New Roman" w:cs="Times New Roman"/>
        </w:rPr>
        <w:t xml:space="preserve"> to tap into. The country's increasing middle class and rising consumer spending power make it an attractive market for retail expansion</w:t>
      </w:r>
      <w:r>
        <w:rPr>
          <w:rFonts w:ascii="Times New Roman" w:eastAsiaTheme="minorEastAsia" w:hAnsi="Times New Roman" w:cs="Times New Roman"/>
        </w:rPr>
        <w:t>. (</w:t>
      </w:r>
      <w:proofErr w:type="spellStart"/>
      <w:r>
        <w:rPr>
          <w:rFonts w:ascii="Times New Roman" w:eastAsiaTheme="minorEastAsia" w:hAnsi="Times New Roman" w:cs="Times New Roman"/>
        </w:rPr>
        <w:t>Roudra</w:t>
      </w:r>
      <w:proofErr w:type="spellEnd"/>
      <w:r w:rsidR="00C96847">
        <w:rPr>
          <w:rFonts w:ascii="Times New Roman" w:eastAsiaTheme="minorEastAsia" w:hAnsi="Times New Roman" w:cs="Times New Roman"/>
        </w:rPr>
        <w:t xml:space="preserve">, </w:t>
      </w:r>
      <w:r>
        <w:rPr>
          <w:rFonts w:ascii="Times New Roman" w:eastAsiaTheme="minorEastAsia" w:hAnsi="Times New Roman" w:cs="Times New Roman"/>
        </w:rPr>
        <w:t>B</w:t>
      </w:r>
      <w:r w:rsidR="00C96847">
        <w:rPr>
          <w:rFonts w:ascii="Times New Roman" w:eastAsiaTheme="minorEastAsia" w:hAnsi="Times New Roman" w:cs="Times New Roman"/>
        </w:rPr>
        <w:t>.</w:t>
      </w:r>
      <w:r>
        <w:rPr>
          <w:rFonts w:ascii="Times New Roman" w:eastAsiaTheme="minorEastAsia" w:hAnsi="Times New Roman" w:cs="Times New Roman"/>
        </w:rPr>
        <w:t xml:space="preserve">, 2013) </w:t>
      </w:r>
      <w:r w:rsidRPr="00CB3094">
        <w:rPr>
          <w:rFonts w:ascii="Times New Roman" w:eastAsiaTheme="minorEastAsia" w:hAnsi="Times New Roman" w:cs="Times New Roman"/>
        </w:rPr>
        <w:t xml:space="preserve">India's e-commerce sector is rapidly expanding, supported by increased internet penetration and digital literacy. This trend aligns with </w:t>
      </w:r>
      <w:r>
        <w:rPr>
          <w:rFonts w:ascii="Times New Roman" w:eastAsiaTheme="minorEastAsia" w:hAnsi="Times New Roman" w:cs="Times New Roman"/>
        </w:rPr>
        <w:t>Company A</w:t>
      </w:r>
      <w:r w:rsidRPr="00CB3094">
        <w:rPr>
          <w:rFonts w:ascii="Times New Roman" w:eastAsiaTheme="minorEastAsia" w:hAnsi="Times New Roman" w:cs="Times New Roman"/>
        </w:rPr>
        <w:t>'s strategy to leverage digital platforms for growth</w:t>
      </w:r>
      <w:r w:rsidR="008749FB">
        <w:rPr>
          <w:rFonts w:ascii="Times New Roman" w:eastAsiaTheme="minorEastAsia" w:hAnsi="Times New Roman" w:cs="Times New Roman"/>
        </w:rPr>
        <w:t>.</w:t>
      </w:r>
      <w:r w:rsidR="008749FB" w:rsidRPr="008749FB">
        <w:rPr>
          <w:rFonts w:ascii="Times New Roman" w:eastAsiaTheme="minorEastAsia" w:hAnsi="Times New Roman" w:cs="Times New Roman"/>
        </w:rPr>
        <w:t xml:space="preserve"> </w:t>
      </w:r>
      <w:r w:rsidR="008749FB">
        <w:rPr>
          <w:rFonts w:ascii="Times New Roman" w:eastAsiaTheme="minorEastAsia" w:hAnsi="Times New Roman" w:cs="Times New Roman"/>
        </w:rPr>
        <w:t>(</w:t>
      </w:r>
      <w:proofErr w:type="spellStart"/>
      <w:r w:rsidR="008749FB">
        <w:rPr>
          <w:rFonts w:ascii="Times New Roman" w:eastAsiaTheme="minorEastAsia" w:hAnsi="Times New Roman" w:cs="Times New Roman"/>
        </w:rPr>
        <w:t>Roudra</w:t>
      </w:r>
      <w:proofErr w:type="spellEnd"/>
      <w:r w:rsidR="00C96847">
        <w:rPr>
          <w:rFonts w:ascii="Times New Roman" w:eastAsiaTheme="minorEastAsia" w:hAnsi="Times New Roman" w:cs="Times New Roman"/>
        </w:rPr>
        <w:t>, B.</w:t>
      </w:r>
      <w:r w:rsidR="008749FB">
        <w:rPr>
          <w:rFonts w:ascii="Times New Roman" w:eastAsiaTheme="minorEastAsia" w:hAnsi="Times New Roman" w:cs="Times New Roman"/>
        </w:rPr>
        <w:t>, 2013)</w:t>
      </w:r>
      <w:r w:rsidR="008749FB">
        <w:rPr>
          <w:rFonts w:ascii="Times New Roman" w:eastAsiaTheme="minorEastAsia" w:hAnsi="Times New Roman" w:cs="Times New Roman"/>
        </w:rPr>
        <w:t xml:space="preserve"> </w:t>
      </w:r>
    </w:p>
    <w:p w14:paraId="7A279A7C" w14:textId="77777777" w:rsidR="008749FB" w:rsidRDefault="008749FB">
      <w:pPr>
        <w:spacing w:line="360" w:lineRule="auto"/>
        <w:ind w:firstLine="390"/>
        <w:jc w:val="both"/>
        <w:rPr>
          <w:rFonts w:ascii="Times New Roman" w:eastAsiaTheme="minorEastAsia" w:hAnsi="Times New Roman" w:cs="Times New Roman"/>
        </w:rPr>
      </w:pPr>
    </w:p>
    <w:p w14:paraId="5A772B4E" w14:textId="12DC066F" w:rsidR="00CB3094" w:rsidRPr="00594242" w:rsidRDefault="008749FB">
      <w:pPr>
        <w:spacing w:line="360" w:lineRule="auto"/>
        <w:ind w:firstLine="390"/>
        <w:jc w:val="both"/>
        <w:rPr>
          <w:rFonts w:ascii="Times New Roman" w:eastAsiaTheme="minorEastAsia" w:hAnsi="Times New Roman" w:cs="Times New Roman" w:hint="eastAsia"/>
        </w:rPr>
      </w:pPr>
      <w:r w:rsidRPr="008749FB">
        <w:rPr>
          <w:rFonts w:ascii="Times New Roman" w:eastAsiaTheme="minorEastAsia" w:hAnsi="Times New Roman" w:cs="Times New Roman"/>
        </w:rPr>
        <w:t xml:space="preserve"> This article reports an empirical study on how global price changes affects the domestic retailing market by conducting a comparative analysis of the consumer inflation pattern in Hong Kong and in India with a hope to explore investment opportunities for the company to expand its global business.</w:t>
      </w:r>
      <w:r>
        <w:rPr>
          <w:rFonts w:ascii="Times New Roman" w:eastAsiaTheme="minorEastAsia" w:hAnsi="Times New Roman" w:cs="Times New Roman"/>
        </w:rPr>
        <w:t xml:space="preserve"> The report included the background, supporting data on consumer inflation in India and Hong Kong. </w:t>
      </w:r>
    </w:p>
    <w:p w14:paraId="128957A3" w14:textId="77777777" w:rsidR="00EA3D73" w:rsidRDefault="00EA3D73">
      <w:pPr>
        <w:spacing w:line="360" w:lineRule="auto"/>
        <w:ind w:firstLine="397"/>
        <w:jc w:val="both"/>
        <w:rPr>
          <w:rFonts w:ascii="Times New Roman" w:eastAsia="Times New Roman" w:hAnsi="Times New Roman" w:cs="Times New Roman"/>
          <w:color w:val="0000CC"/>
        </w:rPr>
      </w:pPr>
    </w:p>
    <w:p w14:paraId="39F3CE33" w14:textId="77777777" w:rsidR="00EA3D73" w:rsidRDefault="007E7F07">
      <w:pPr>
        <w:spacing w:line="360" w:lineRule="auto"/>
        <w:ind w:firstLine="397"/>
        <w:jc w:val="both"/>
        <w:rPr>
          <w:rFonts w:ascii="Times New Roman" w:eastAsia="Times New Roman" w:hAnsi="Times New Roman" w:cs="Times New Roman"/>
          <w:b/>
          <w:sz w:val="26"/>
          <w:szCs w:val="26"/>
        </w:rPr>
      </w:pPr>
      <w:r>
        <w:br w:type="page"/>
      </w:r>
    </w:p>
    <w:p w14:paraId="593A4707" w14:textId="77777777" w:rsidR="00EA3D73" w:rsidRDefault="007E7F07">
      <w:pPr>
        <w:widowControl/>
        <w:spacing w:line="360" w:lineRule="auto"/>
        <w:jc w:val="both"/>
        <w:rPr>
          <w:rFonts w:ascii="Times New Roman" w:eastAsia="Times New Roman" w:hAnsi="Times New Roman" w:cs="Times New Roman"/>
          <w:color w:val="0000CC"/>
          <w:sz w:val="26"/>
          <w:szCs w:val="26"/>
        </w:rPr>
      </w:pPr>
      <w:r>
        <w:rPr>
          <w:rFonts w:ascii="Times New Roman" w:eastAsia="Times New Roman" w:hAnsi="Times New Roman" w:cs="Times New Roman"/>
          <w:b/>
          <w:sz w:val="26"/>
          <w:szCs w:val="26"/>
        </w:rPr>
        <w:lastRenderedPageBreak/>
        <w:t xml:space="preserve">2   Research Background </w:t>
      </w:r>
    </w:p>
    <w:p w14:paraId="2BC3C2D8" w14:textId="77777777" w:rsidR="00EA3D73" w:rsidRDefault="00EA3D73">
      <w:pPr>
        <w:spacing w:line="360" w:lineRule="auto"/>
        <w:jc w:val="both"/>
        <w:rPr>
          <w:rFonts w:ascii="Times New Roman" w:eastAsia="Times New Roman" w:hAnsi="Times New Roman" w:cs="Times New Roman"/>
          <w:b/>
          <w:color w:val="0000CC"/>
        </w:rPr>
      </w:pPr>
    </w:p>
    <w:p w14:paraId="10169025" w14:textId="77777777" w:rsidR="00EA3D73" w:rsidRDefault="007E7F07">
      <w:pPr>
        <w:spacing w:line="360" w:lineRule="auto"/>
        <w:jc w:val="both"/>
        <w:rPr>
          <w:rFonts w:ascii="Times New Roman" w:eastAsia="Times New Roman" w:hAnsi="Times New Roman" w:cs="Times New Roman"/>
          <w:color w:val="0000CC"/>
        </w:rPr>
      </w:pPr>
      <w:r>
        <w:rPr>
          <w:rFonts w:ascii="Times New Roman" w:eastAsia="Times New Roman" w:hAnsi="Times New Roman" w:cs="Times New Roman"/>
          <w:b/>
        </w:rPr>
        <w:t>2.1 Theoretical basis</w:t>
      </w:r>
    </w:p>
    <w:p w14:paraId="0C51EDF0" w14:textId="64BCA068" w:rsidR="00323C81" w:rsidRDefault="00323C81" w:rsidP="00323C81">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According to HKTDC analysis on Hong Kong Retail Market, </w:t>
      </w:r>
      <w:r w:rsidR="00382DCC" w:rsidRPr="00382DCC">
        <w:rPr>
          <w:rFonts w:ascii="Times New Roman" w:eastAsia="Times New Roman" w:hAnsi="Times New Roman" w:cs="Times New Roman"/>
        </w:rPr>
        <w:t>Hong Kong's retail sector has faced significant challenges in recent years, with total retail sales declining by 3.2% year-on-year in January 2025, following a sharp 9.7% drop in December 2024. Luxury retailers, particularly in jewelry and watches, saw a steep 17.9% decline, while department stores and clothing sales also struggled. Inflation has reduced consumer spending power, and shifting consumer behavior has further impacted traditional retail, with more people turning to online shopping, which grew by 3.5% year-on-year, accounting for 6.9% of total retail sales. Additionally, the rise in outbound travel has led to reduced local consumption, further challenging the retail sector. These trends highlight the need for traditional retailers to adapt to changing consumer preferences, such as the growing focus on experiential and cultural consumption, to remain competitive. Given these challenges, expanding into overseas markets like India could provide new growth opportunities for companies facing declining sales in Hong Kong.</w:t>
      </w:r>
      <w:r w:rsidR="00382DCC">
        <w:rPr>
          <w:rFonts w:ascii="Times New Roman" w:eastAsia="Times New Roman" w:hAnsi="Times New Roman" w:cs="Times New Roman"/>
        </w:rPr>
        <w:t xml:space="preserve"> (HKTDC, 2025)</w:t>
      </w:r>
    </w:p>
    <w:p w14:paraId="344E03A4" w14:textId="77777777" w:rsidR="00B66EAA" w:rsidRDefault="00B66EAA" w:rsidP="00323C81">
      <w:pPr>
        <w:spacing w:line="360" w:lineRule="auto"/>
        <w:ind w:firstLine="360"/>
        <w:jc w:val="both"/>
        <w:rPr>
          <w:rFonts w:ascii="Times New Roman" w:eastAsia="Times New Roman" w:hAnsi="Times New Roman" w:cs="Times New Roman"/>
        </w:rPr>
      </w:pPr>
    </w:p>
    <w:p w14:paraId="39DE2D65" w14:textId="69BBD0D2" w:rsidR="00582CDA" w:rsidRDefault="00382DCC" w:rsidP="00DA37D8">
      <w:pPr>
        <w:spacing w:line="360" w:lineRule="auto"/>
        <w:ind w:firstLine="360"/>
        <w:jc w:val="both"/>
        <w:rPr>
          <w:rFonts w:ascii="Times New Roman" w:eastAsia="Times New Roman" w:hAnsi="Times New Roman" w:cs="Times New Roman"/>
        </w:rPr>
      </w:pPr>
      <w:r w:rsidRPr="00382DCC">
        <w:rPr>
          <w:rFonts w:ascii="Times New Roman" w:eastAsia="Times New Roman" w:hAnsi="Times New Roman" w:cs="Times New Roman"/>
        </w:rPr>
        <w:t>In contrast, India's retail sector has shown resilience and growth, with retail sales increasing by 5% in January 2025, driven by strong performances in the food and grocery sectors, which grew by 13%. Other categories, such as consumer durables and quick-service restaurants, also saw a 6% growth. However, inflation has impacted consumer spending habits, particularly among middle-income groups, leading to reduced spending on non-essential goods as households prioritize necessities. Despite this, India's retail market remains promising, with retailers adapting to evolving consumer preferences and operational strategies to stay competitive. While inflation and a GDP growth rate slowdown to 5.4% in late 2024 have posed challenges, the overall growth in key retail sectors underscores India's potential as a viable market for expansion. For companies like Aeon, India offers a dynamic and growing consumer base, making it an attractive destination to offset challenges faced in more saturated markets like Hong Kong.</w:t>
      </w:r>
      <w:r w:rsidRPr="00382DCC">
        <w:rPr>
          <w:rFonts w:ascii="Times New Roman" w:eastAsia="Times New Roman" w:hAnsi="Times New Roman" w:cs="Times New Roman"/>
        </w:rPr>
        <w:t xml:space="preserve"> </w:t>
      </w:r>
      <w:r w:rsidR="007B3818" w:rsidRPr="007B3818">
        <w:rPr>
          <w:rFonts w:ascii="Times New Roman" w:eastAsia="Times New Roman" w:hAnsi="Times New Roman" w:cs="Times New Roman"/>
        </w:rPr>
        <w:t>(India Brand Equity Foundation, 2025)</w:t>
      </w:r>
      <w:r w:rsidR="00323C81">
        <w:rPr>
          <w:rFonts w:ascii="Times New Roman" w:eastAsia="Times New Roman" w:hAnsi="Times New Roman" w:cs="Times New Roman"/>
        </w:rPr>
        <w:t xml:space="preserve"> </w:t>
      </w:r>
    </w:p>
    <w:p w14:paraId="6546F396" w14:textId="77777777" w:rsidR="00382DCC" w:rsidRDefault="00382DCC" w:rsidP="00DA37D8">
      <w:pPr>
        <w:spacing w:line="360" w:lineRule="auto"/>
        <w:ind w:firstLine="360"/>
        <w:jc w:val="both"/>
        <w:rPr>
          <w:rFonts w:ascii="Times New Roman" w:eastAsia="Times New Roman" w:hAnsi="Times New Roman" w:cs="Times New Roman"/>
        </w:rPr>
      </w:pPr>
    </w:p>
    <w:p w14:paraId="52BD8B18" w14:textId="464BEC7A" w:rsidR="00382DCC" w:rsidRDefault="00382DCC" w:rsidP="00DA37D8">
      <w:pPr>
        <w:spacing w:line="360" w:lineRule="auto"/>
        <w:ind w:firstLine="360"/>
        <w:jc w:val="both"/>
        <w:rPr>
          <w:rFonts w:ascii="Times New Roman" w:eastAsia="Times New Roman" w:hAnsi="Times New Roman" w:cs="Times New Roman"/>
        </w:rPr>
      </w:pPr>
      <w:r w:rsidRPr="00382DCC">
        <w:rPr>
          <w:rFonts w:ascii="Times New Roman" w:eastAsia="Times New Roman" w:hAnsi="Times New Roman" w:cs="Times New Roman"/>
        </w:rPr>
        <w:t xml:space="preserve">In conclusion, while Hong Kong's retail sector faces challenges such as declining sales, shifting consumer behavior, and inflationary pressures, India's retail market presents a promising opportunity for growth. With strong performance in key sectors like food and grocery, alongside adaptability to </w:t>
      </w:r>
      <w:r w:rsidRPr="00382DCC">
        <w:rPr>
          <w:rFonts w:ascii="Times New Roman" w:eastAsia="Times New Roman" w:hAnsi="Times New Roman" w:cs="Times New Roman"/>
        </w:rPr>
        <w:lastRenderedPageBreak/>
        <w:t>evolving consumer preferences, India offers a dynamic and resilient market. Expanding into India could help companies like Aeon offset challenges in Hong Kong and tap into a growing consumer base, ensuring long-term business sustainability and growth.</w:t>
      </w:r>
    </w:p>
    <w:p w14:paraId="7B145CA7" w14:textId="77777777" w:rsidR="00382DCC" w:rsidRDefault="00382DCC" w:rsidP="00DA37D8">
      <w:pPr>
        <w:spacing w:line="360" w:lineRule="auto"/>
        <w:ind w:firstLine="360"/>
        <w:jc w:val="both"/>
        <w:rPr>
          <w:rFonts w:ascii="Times New Roman" w:eastAsia="Times New Roman" w:hAnsi="Times New Roman" w:cs="Times New Roman"/>
        </w:rPr>
      </w:pPr>
    </w:p>
    <w:p w14:paraId="3E19338F" w14:textId="77777777" w:rsidR="00EA3D73" w:rsidRDefault="00EA3D73">
      <w:pPr>
        <w:spacing w:line="360" w:lineRule="auto"/>
        <w:jc w:val="both"/>
        <w:rPr>
          <w:rFonts w:ascii="Times New Roman" w:eastAsia="Times New Roman" w:hAnsi="Times New Roman" w:cs="Times New Roman"/>
          <w:color w:val="0000CC"/>
        </w:rPr>
      </w:pPr>
    </w:p>
    <w:p w14:paraId="6E274B8A" w14:textId="77777777" w:rsidR="00EA3D73" w:rsidRDefault="007E7F07">
      <w:pPr>
        <w:spacing w:line="360" w:lineRule="auto"/>
        <w:jc w:val="both"/>
        <w:rPr>
          <w:rFonts w:ascii="Times New Roman" w:eastAsia="Times New Roman" w:hAnsi="Times New Roman" w:cs="Times New Roman"/>
          <w:b/>
        </w:rPr>
      </w:pPr>
      <w:bookmarkStart w:id="4" w:name="_heading=h.2et92p0" w:colFirst="0" w:colLast="0"/>
      <w:bookmarkEnd w:id="4"/>
      <w:r>
        <w:rPr>
          <w:rFonts w:ascii="Times New Roman" w:eastAsia="Times New Roman" w:hAnsi="Times New Roman" w:cs="Times New Roman"/>
          <w:b/>
        </w:rPr>
        <w:t>2.2 Current performance of consumer inflation and retail sales in Hong Kong and India</w:t>
      </w:r>
    </w:p>
    <w:p w14:paraId="7489EDEF" w14:textId="77777777" w:rsidR="00EA3D73" w:rsidRDefault="00EA3D73">
      <w:pPr>
        <w:spacing w:line="360" w:lineRule="auto"/>
        <w:jc w:val="both"/>
        <w:rPr>
          <w:rFonts w:ascii="Times New Roman" w:eastAsia="Times New Roman" w:hAnsi="Times New Roman" w:cs="Times New Roman"/>
        </w:rPr>
      </w:pPr>
    </w:p>
    <w:p w14:paraId="6A79CCF4" w14:textId="43DB75AE" w:rsidR="00EA3D73" w:rsidRDefault="007E7F07" w:rsidP="00CA2533">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Hong Kong’s consumer price index saw a 1.4% increase in December 2024 compared to the year prior, but fell short of market expectations of 1.5%. In 2024, the consumer price inflation rate averaged 1.1% in overall. The government anticipates overall inflation to remain moderate in the near future. In December 2024, the annual inflation rate remained steady at 1.4%. (Chen, 2025)</w:t>
      </w:r>
    </w:p>
    <w:p w14:paraId="5DB89277" w14:textId="77777777" w:rsidR="00EA3D73" w:rsidRDefault="00EA3D73" w:rsidP="00CA2533">
      <w:pPr>
        <w:spacing w:line="360" w:lineRule="auto"/>
        <w:ind w:firstLine="360"/>
        <w:jc w:val="both"/>
        <w:rPr>
          <w:rFonts w:ascii="Times New Roman" w:eastAsia="Times New Roman" w:hAnsi="Times New Roman" w:cs="Times New Roman"/>
        </w:rPr>
      </w:pPr>
    </w:p>
    <w:p w14:paraId="0CD7D9AB" w14:textId="77777777" w:rsidR="00EA3D73" w:rsidRDefault="007E7F07" w:rsidP="00CA2533">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For retail sales in Hong Kong, it decreased 11.5% by year end in December 2024. This is a steeper decline from the revised 8.4% decrease in November, marking the tenth consecutive month of falling retail activity. (Hong Kong Census and Statistics Department, 2025) The drop in retail sales can be shown decrements in sales of jewelry, watches and also supermarkets. </w:t>
      </w:r>
    </w:p>
    <w:p w14:paraId="4FC620F4" w14:textId="77777777" w:rsidR="00EA3D73" w:rsidRDefault="00EA3D73" w:rsidP="00CA2533">
      <w:pPr>
        <w:spacing w:line="360" w:lineRule="auto"/>
        <w:ind w:firstLine="360"/>
        <w:jc w:val="both"/>
        <w:rPr>
          <w:rFonts w:ascii="Times New Roman" w:eastAsia="Times New Roman" w:hAnsi="Times New Roman" w:cs="Times New Roman"/>
        </w:rPr>
      </w:pPr>
    </w:p>
    <w:p w14:paraId="7EEB1471" w14:textId="0F832422" w:rsidR="00EA3D73" w:rsidRPr="00CA2533" w:rsidRDefault="007E7F07" w:rsidP="00CA2533">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As of January 2025, India’s consumer price index inflation stands at 4.31%, decreased 5.22% in December 2024. This is the lowest inflation rate since August 2024, reflecting a decline of 91 basis points. (</w:t>
      </w:r>
      <w:r w:rsidRPr="00CA2533">
        <w:rPr>
          <w:rFonts w:ascii="Times New Roman" w:eastAsia="Times New Roman" w:hAnsi="Times New Roman" w:cs="Times New Roman"/>
        </w:rPr>
        <w:t>Saurabh</w:t>
      </w:r>
      <w:r w:rsidR="008749FB">
        <w:rPr>
          <w:rFonts w:ascii="Times New Roman" w:eastAsia="Times New Roman" w:hAnsi="Times New Roman" w:cs="Times New Roman"/>
        </w:rPr>
        <w:t>, S</w:t>
      </w:r>
      <w:r w:rsidR="00C96847">
        <w:rPr>
          <w:rFonts w:ascii="Times New Roman" w:eastAsia="Times New Roman" w:hAnsi="Times New Roman" w:cs="Times New Roman"/>
        </w:rPr>
        <w:t>.</w:t>
      </w:r>
      <w:r w:rsidRPr="00CA2533">
        <w:rPr>
          <w:rFonts w:ascii="Times New Roman" w:eastAsia="Times New Roman" w:hAnsi="Times New Roman" w:cs="Times New Roman"/>
        </w:rPr>
        <w:t>, 2025)</w:t>
      </w:r>
    </w:p>
    <w:p w14:paraId="1B7C3128" w14:textId="77777777" w:rsidR="00EA3D73" w:rsidRPr="00CA2533" w:rsidRDefault="00EA3D73" w:rsidP="00CA2533">
      <w:pPr>
        <w:spacing w:line="360" w:lineRule="auto"/>
        <w:ind w:firstLine="360"/>
        <w:jc w:val="both"/>
        <w:rPr>
          <w:rFonts w:ascii="Times New Roman" w:eastAsia="Times New Roman" w:hAnsi="Times New Roman" w:cs="Times New Roman"/>
        </w:rPr>
      </w:pPr>
    </w:p>
    <w:p w14:paraId="067699FC" w14:textId="2A895996" w:rsidR="00EA3D73" w:rsidRPr="00CA2533" w:rsidRDefault="007E7F07" w:rsidP="00CA2533">
      <w:pPr>
        <w:spacing w:line="360" w:lineRule="auto"/>
        <w:ind w:firstLine="360"/>
        <w:jc w:val="both"/>
        <w:rPr>
          <w:rFonts w:ascii="Times New Roman" w:eastAsia="Times New Roman" w:hAnsi="Times New Roman" w:cs="Times New Roman"/>
        </w:rPr>
      </w:pPr>
      <w:r w:rsidRPr="00CA2533">
        <w:rPr>
          <w:rFonts w:ascii="Times New Roman" w:eastAsia="Times New Roman" w:hAnsi="Times New Roman" w:cs="Times New Roman"/>
        </w:rPr>
        <w:t>India’s consumer price index increased 2% in July 2024 compared to the same period in 2023. For food and grocery segments, a 6% increment rate was recorded. The growth rate shows there are challenges for the retail sector, as many retailers claim that they have negative growth in annual reports. (</w:t>
      </w:r>
      <w:proofErr w:type="spellStart"/>
      <w:r w:rsidRPr="00CA2533">
        <w:rPr>
          <w:rFonts w:ascii="Times New Roman" w:eastAsia="Times New Roman" w:hAnsi="Times New Roman" w:cs="Times New Roman"/>
        </w:rPr>
        <w:t>Faisan</w:t>
      </w:r>
      <w:proofErr w:type="spellEnd"/>
      <w:r w:rsidR="00C96847">
        <w:rPr>
          <w:rFonts w:ascii="Times New Roman" w:eastAsia="Times New Roman" w:hAnsi="Times New Roman" w:cs="Times New Roman"/>
        </w:rPr>
        <w:t>,</w:t>
      </w:r>
      <w:r w:rsidRPr="00CA2533">
        <w:rPr>
          <w:rFonts w:ascii="Times New Roman" w:eastAsia="Times New Roman" w:hAnsi="Times New Roman" w:cs="Times New Roman"/>
        </w:rPr>
        <w:t xml:space="preserve"> H</w:t>
      </w:r>
      <w:r w:rsidR="00C96847">
        <w:rPr>
          <w:rFonts w:ascii="Times New Roman" w:eastAsia="Times New Roman" w:hAnsi="Times New Roman" w:cs="Times New Roman"/>
        </w:rPr>
        <w:t>.</w:t>
      </w:r>
      <w:r w:rsidRPr="00CA2533">
        <w:rPr>
          <w:rFonts w:ascii="Times New Roman" w:eastAsia="Times New Roman" w:hAnsi="Times New Roman" w:cs="Times New Roman"/>
        </w:rPr>
        <w:t>, 2024)</w:t>
      </w:r>
    </w:p>
    <w:p w14:paraId="0EFE12D8" w14:textId="77777777" w:rsidR="00EA3D73" w:rsidRPr="00CA2533" w:rsidRDefault="00EA3D73" w:rsidP="00CA2533">
      <w:pPr>
        <w:spacing w:line="360" w:lineRule="auto"/>
        <w:ind w:firstLine="360"/>
        <w:jc w:val="both"/>
        <w:rPr>
          <w:rFonts w:ascii="Times New Roman" w:eastAsia="Times New Roman" w:hAnsi="Times New Roman" w:cs="Times New Roman"/>
        </w:rPr>
      </w:pPr>
    </w:p>
    <w:p w14:paraId="4425A815" w14:textId="77777777" w:rsidR="00EA3D73" w:rsidRPr="00CA2533" w:rsidRDefault="007E7F07" w:rsidP="00CA2533">
      <w:pPr>
        <w:spacing w:line="360" w:lineRule="auto"/>
        <w:ind w:firstLine="360"/>
        <w:jc w:val="both"/>
        <w:rPr>
          <w:rFonts w:ascii="Times New Roman" w:eastAsia="Times New Roman" w:hAnsi="Times New Roman" w:cs="Times New Roman"/>
        </w:rPr>
      </w:pPr>
      <w:r w:rsidRPr="00CA2533">
        <w:rPr>
          <w:rFonts w:ascii="Times New Roman" w:eastAsia="Times New Roman" w:hAnsi="Times New Roman" w:cs="Times New Roman"/>
        </w:rPr>
        <w:t>According to the data analysis, the Indian retail market has significant growth potential. According to Boston Consultant Group’s report, India’s retail industry will be backcountry on track and worth raising US$2 trillion by the year of 2032. (</w:t>
      </w:r>
      <w:proofErr w:type="spellStart"/>
      <w:r w:rsidRPr="00CA2533">
        <w:rPr>
          <w:rFonts w:ascii="Times New Roman" w:eastAsia="Times New Roman" w:hAnsi="Times New Roman" w:cs="Times New Roman"/>
        </w:rPr>
        <w:t>Dezan</w:t>
      </w:r>
      <w:proofErr w:type="spellEnd"/>
      <w:r w:rsidRPr="00CA2533">
        <w:rPr>
          <w:rFonts w:ascii="Times New Roman" w:eastAsia="Times New Roman" w:hAnsi="Times New Roman" w:cs="Times New Roman"/>
        </w:rPr>
        <w:t xml:space="preserve"> Shira &amp; Associates, 2025) It is worth expanding business to India with potential revenue. </w:t>
      </w:r>
    </w:p>
    <w:p w14:paraId="0963B36B" w14:textId="77777777" w:rsidR="0099427B" w:rsidRDefault="0099427B">
      <w:pPr>
        <w:spacing w:line="360" w:lineRule="auto"/>
        <w:jc w:val="both"/>
        <w:rPr>
          <w:rFonts w:ascii="Times New Roman" w:eastAsia="Times New Roman" w:hAnsi="Times New Roman" w:cs="Times New Roman"/>
          <w:highlight w:val="white"/>
        </w:rPr>
      </w:pPr>
    </w:p>
    <w:p w14:paraId="779AAA2A" w14:textId="77777777" w:rsidR="00EA3D73" w:rsidRDefault="007E7F07">
      <w:pPr>
        <w:spacing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2.2 Dataset</w:t>
      </w:r>
    </w:p>
    <w:p w14:paraId="7B7C4FF4" w14:textId="2462286A" w:rsidR="00EA3D73" w:rsidRDefault="00DA37D8">
      <w:pPr>
        <w:jc w:val="both"/>
        <w:rPr>
          <w:rFonts w:ascii="Times New Roman" w:eastAsia="Times New Roman" w:hAnsi="Times New Roman" w:cs="Times New Roman"/>
        </w:rPr>
      </w:pPr>
      <w:bookmarkStart w:id="5" w:name="_heading=h.tyjcwt" w:colFirst="0" w:colLast="0"/>
      <w:bookmarkStart w:id="6" w:name="_heading=h.3dy6vkm" w:colFirst="0" w:colLast="0"/>
      <w:bookmarkEnd w:id="5"/>
      <w:bookmarkEnd w:id="6"/>
      <w:r w:rsidRPr="00DA37D8">
        <w:rPr>
          <w:rFonts w:ascii="Times New Roman" w:eastAsia="Times New Roman" w:hAnsi="Times New Roman" w:cs="Times New Roman"/>
        </w:rPr>
        <w:drawing>
          <wp:inline distT="0" distB="0" distL="0" distR="0" wp14:anchorId="64B526E6" wp14:editId="29864A58">
            <wp:extent cx="6120130" cy="4676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4676140"/>
                    </a:xfrm>
                    <a:prstGeom prst="rect">
                      <a:avLst/>
                    </a:prstGeom>
                  </pic:spPr>
                </pic:pic>
              </a:graphicData>
            </a:graphic>
          </wp:inline>
        </w:drawing>
      </w:r>
    </w:p>
    <w:p w14:paraId="6B14305C" w14:textId="1990C8D0" w:rsidR="00EA3D73" w:rsidRDefault="007E7F07" w:rsidP="00CA2533">
      <w:pPr>
        <w:spacing w:line="360" w:lineRule="auto"/>
        <w:ind w:firstLine="360"/>
        <w:jc w:val="both"/>
        <w:rPr>
          <w:rFonts w:ascii="Times New Roman" w:eastAsia="Times New Roman" w:hAnsi="Times New Roman" w:cs="Times New Roman"/>
        </w:rPr>
      </w:pPr>
      <w:bookmarkStart w:id="7" w:name="_heading=h.wzgp1p2zbfef" w:colFirst="0" w:colLast="0"/>
      <w:bookmarkEnd w:id="7"/>
      <w:r>
        <w:rPr>
          <w:rFonts w:ascii="Times New Roman" w:eastAsia="Times New Roman" w:hAnsi="Times New Roman" w:cs="Times New Roman"/>
        </w:rPr>
        <w:t>The dataset provide</w:t>
      </w:r>
      <w:r w:rsidR="0099427B">
        <w:rPr>
          <w:rFonts w:ascii="Times New Roman" w:eastAsia="Times New Roman" w:hAnsi="Times New Roman" w:cs="Times New Roman"/>
        </w:rPr>
        <w:t>d</w:t>
      </w:r>
      <w:r>
        <w:rPr>
          <w:rFonts w:ascii="Times New Roman" w:eastAsia="Times New Roman" w:hAnsi="Times New Roman" w:cs="Times New Roman"/>
        </w:rPr>
        <w:t xml:space="preserve"> a comparative analysis of economic indicators between Hong Kong and India over several years, focusing on Hong Kong's Retail Sales (HKVRS) and Consumer Price Index (CPI) changes, alongside India's CPI changes.</w:t>
      </w:r>
    </w:p>
    <w:p w14:paraId="009028D8" w14:textId="77777777" w:rsidR="00EA3D73" w:rsidRDefault="00EA3D73" w:rsidP="00CA2533">
      <w:pPr>
        <w:spacing w:line="360" w:lineRule="auto"/>
        <w:ind w:firstLine="360"/>
        <w:jc w:val="both"/>
        <w:rPr>
          <w:rFonts w:ascii="Times New Roman" w:eastAsia="Times New Roman" w:hAnsi="Times New Roman" w:cs="Times New Roman"/>
        </w:rPr>
      </w:pPr>
      <w:bookmarkStart w:id="8" w:name="_heading=h.x14fd03djnq1" w:colFirst="0" w:colLast="0"/>
      <w:bookmarkEnd w:id="8"/>
    </w:p>
    <w:p w14:paraId="626323DC" w14:textId="4471083C" w:rsidR="00EA3D73" w:rsidRDefault="0099427B" w:rsidP="00DA37D8">
      <w:pPr>
        <w:spacing w:line="360" w:lineRule="auto"/>
        <w:ind w:firstLine="360"/>
        <w:jc w:val="both"/>
        <w:rPr>
          <w:rFonts w:ascii="Times New Roman" w:eastAsia="Times New Roman" w:hAnsi="Times New Roman" w:cs="Times New Roman"/>
        </w:rPr>
      </w:pPr>
      <w:bookmarkStart w:id="9" w:name="_heading=h.musb361lg7c5" w:colFirst="0" w:colLast="0"/>
      <w:bookmarkEnd w:id="9"/>
      <w:r>
        <w:rPr>
          <w:rFonts w:ascii="Times New Roman" w:eastAsia="Times New Roman" w:hAnsi="Times New Roman" w:cs="Times New Roman"/>
        </w:rPr>
        <w:t xml:space="preserve">There </w:t>
      </w:r>
      <w:r w:rsidR="007E7F07">
        <w:rPr>
          <w:rFonts w:ascii="Times New Roman" w:eastAsia="Times New Roman" w:hAnsi="Times New Roman" w:cs="Times New Roman"/>
        </w:rPr>
        <w:t xml:space="preserve">was a </w:t>
      </w:r>
      <w:r w:rsidR="00B66EAA">
        <w:rPr>
          <w:rFonts w:ascii="Times New Roman" w:eastAsia="Times New Roman" w:hAnsi="Times New Roman" w:cs="Times New Roman"/>
        </w:rPr>
        <w:t>significant increase fluctuation</w:t>
      </w:r>
      <w:r>
        <w:rPr>
          <w:rFonts w:ascii="Times New Roman" w:eastAsia="Times New Roman" w:hAnsi="Times New Roman" w:cs="Times New Roman"/>
        </w:rPr>
        <w:t xml:space="preserve"> in Hong Kong</w:t>
      </w:r>
      <w:r w:rsidR="007E7F07">
        <w:rPr>
          <w:rFonts w:ascii="Times New Roman" w:eastAsia="Times New Roman" w:hAnsi="Times New Roman" w:cs="Times New Roman"/>
        </w:rPr>
        <w:t xml:space="preserve"> from 2006 to 2013, peaking at HK$51,586 million. However, from 2014 onwards, there was a noticeable decline, with a sharp drop in 2020 to HK$35,939 million, likely due to the impact of the COVID-19 pandemic. The retail sales showed some recovery in 2023, reaching HK$35,176 million.</w:t>
      </w:r>
      <w:bookmarkStart w:id="10" w:name="_heading=h.mz9aymqahczu" w:colFirst="0" w:colLast="0"/>
      <w:bookmarkEnd w:id="10"/>
    </w:p>
    <w:p w14:paraId="3F55C8ED" w14:textId="77777777" w:rsidR="00DA37D8" w:rsidRDefault="00DA37D8" w:rsidP="00DA37D8">
      <w:pPr>
        <w:spacing w:line="360" w:lineRule="auto"/>
        <w:ind w:firstLine="360"/>
        <w:jc w:val="both"/>
        <w:rPr>
          <w:rFonts w:ascii="Times New Roman" w:eastAsia="Times New Roman" w:hAnsi="Times New Roman" w:cs="Times New Roman"/>
        </w:rPr>
      </w:pPr>
    </w:p>
    <w:p w14:paraId="1063A3AA" w14:textId="77777777" w:rsidR="00EA3D73" w:rsidRDefault="007E7F07" w:rsidP="00CA2533">
      <w:pPr>
        <w:spacing w:line="360" w:lineRule="auto"/>
        <w:ind w:firstLine="360"/>
        <w:jc w:val="both"/>
        <w:rPr>
          <w:rFonts w:ascii="Times New Roman" w:eastAsia="Times New Roman" w:hAnsi="Times New Roman" w:cs="Times New Roman"/>
        </w:rPr>
      </w:pPr>
      <w:bookmarkStart w:id="11" w:name="_heading=h.7ah00wxwc32" w:colFirst="0" w:colLast="0"/>
      <w:bookmarkEnd w:id="11"/>
      <w:r>
        <w:rPr>
          <w:rFonts w:ascii="Times New Roman" w:eastAsia="Times New Roman" w:hAnsi="Times New Roman" w:cs="Times New Roman"/>
        </w:rPr>
        <w:t xml:space="preserve">This indicator shows the year-on-year growth rate of Hong Kong Annual Percentage Change in Hong Kong’s retail sales. The highest growth was observed in 2011 at 21.6%, while the most significant decline was in 2020 at -22.5%, again reflecting the pandemic's impact. The CPI changes </w:t>
      </w:r>
      <w:r>
        <w:rPr>
          <w:rFonts w:ascii="Times New Roman" w:eastAsia="Times New Roman" w:hAnsi="Times New Roman" w:cs="Times New Roman"/>
        </w:rPr>
        <w:lastRenderedPageBreak/>
        <w:t>in Hong Kong were relatively stable, with minor fluctuations. The highest increase was in 2011 at 5.7%, and the only negative change was in 2020 at -0.9%.</w:t>
      </w:r>
    </w:p>
    <w:p w14:paraId="598A6415" w14:textId="77777777" w:rsidR="00EA3D73" w:rsidRDefault="00EA3D73" w:rsidP="00CA2533">
      <w:pPr>
        <w:spacing w:line="360" w:lineRule="auto"/>
        <w:ind w:firstLine="360"/>
        <w:jc w:val="both"/>
        <w:rPr>
          <w:rFonts w:ascii="Times New Roman" w:eastAsia="Times New Roman" w:hAnsi="Times New Roman" w:cs="Times New Roman"/>
        </w:rPr>
      </w:pPr>
      <w:bookmarkStart w:id="12" w:name="_heading=h.wshyhvkw3c0p" w:colFirst="0" w:colLast="0"/>
      <w:bookmarkEnd w:id="12"/>
    </w:p>
    <w:p w14:paraId="2D2E63BB" w14:textId="77777777" w:rsidR="00EA3D73" w:rsidRDefault="007E7F07" w:rsidP="00CA2533">
      <w:pPr>
        <w:spacing w:line="360" w:lineRule="auto"/>
        <w:ind w:firstLine="360"/>
        <w:jc w:val="both"/>
        <w:rPr>
          <w:rFonts w:ascii="Times New Roman" w:eastAsia="Times New Roman" w:hAnsi="Times New Roman" w:cs="Times New Roman"/>
        </w:rPr>
      </w:pPr>
      <w:bookmarkStart w:id="13" w:name="_heading=h.rdm4t5vdz938" w:colFirst="0" w:colLast="0"/>
      <w:bookmarkEnd w:id="13"/>
      <w:r>
        <w:rPr>
          <w:rFonts w:ascii="Times New Roman" w:eastAsia="Times New Roman" w:hAnsi="Times New Roman" w:cs="Times New Roman"/>
        </w:rPr>
        <w:t>India's Annual Percentage Change were generally higher than Hong Kong's, indicating higher inflation rates. The highest inflation rate was in 2010 at 12.0%, with a notable increase in 2020 to 6.6%.</w:t>
      </w:r>
    </w:p>
    <w:p w14:paraId="67B4B833" w14:textId="77777777" w:rsidR="00EA3D73" w:rsidRDefault="00EA3D73" w:rsidP="00CA2533">
      <w:pPr>
        <w:spacing w:line="360" w:lineRule="auto"/>
        <w:ind w:firstLine="360"/>
        <w:jc w:val="both"/>
        <w:rPr>
          <w:rFonts w:ascii="Times New Roman" w:eastAsia="Times New Roman" w:hAnsi="Times New Roman" w:cs="Times New Roman"/>
        </w:rPr>
      </w:pPr>
      <w:bookmarkStart w:id="14" w:name="_heading=h.v5rt7kzhybgg" w:colFirst="0" w:colLast="0"/>
      <w:bookmarkEnd w:id="14"/>
    </w:p>
    <w:p w14:paraId="1B0B705E" w14:textId="5C13A694" w:rsidR="00EA3D73" w:rsidRDefault="007E7F07" w:rsidP="00CA2533">
      <w:pPr>
        <w:spacing w:line="360" w:lineRule="auto"/>
        <w:ind w:firstLine="360"/>
        <w:jc w:val="both"/>
        <w:rPr>
          <w:rFonts w:ascii="Times New Roman" w:eastAsia="Times New Roman" w:hAnsi="Times New Roman" w:cs="Times New Roman"/>
        </w:rPr>
      </w:pPr>
      <w:bookmarkStart w:id="15" w:name="_heading=h.dexqkdn5zn1" w:colFirst="0" w:colLast="0"/>
      <w:bookmarkEnd w:id="15"/>
      <w:r>
        <w:rPr>
          <w:rFonts w:ascii="Times New Roman" w:eastAsia="Times New Roman" w:hAnsi="Times New Roman" w:cs="Times New Roman"/>
        </w:rPr>
        <w:t>Overall, the dataset highlights the economic resilience and challenges faced by Hong Kong and India, particularly the significant impact of external factors like the COVID-19 pandemic on retail sales and inflation rates. It reflects significant fluctuations in the annual percentage change in the consumer price index. From 2006 to 2010, starting at 6.2% and peaked at 12% in 2020, reflecting high economic volatility during the few years.</w:t>
      </w:r>
    </w:p>
    <w:p w14:paraId="78EA7572" w14:textId="55A89604" w:rsidR="00582CDA" w:rsidRDefault="00582CDA" w:rsidP="00CA2533">
      <w:pPr>
        <w:spacing w:line="360" w:lineRule="auto"/>
        <w:ind w:firstLine="360"/>
        <w:jc w:val="both"/>
        <w:rPr>
          <w:rFonts w:ascii="Times New Roman" w:eastAsia="Times New Roman" w:hAnsi="Times New Roman" w:cs="Times New Roman"/>
        </w:rPr>
      </w:pPr>
    </w:p>
    <w:p w14:paraId="3F8FFE2E" w14:textId="77777777" w:rsidR="00582CDA" w:rsidRDefault="00582CDA" w:rsidP="00CA2533">
      <w:pPr>
        <w:spacing w:line="360" w:lineRule="auto"/>
        <w:ind w:firstLine="360"/>
        <w:jc w:val="both"/>
        <w:rPr>
          <w:rFonts w:ascii="Times New Roman" w:eastAsia="Times New Roman" w:hAnsi="Times New Roman" w:cs="Times New Roman"/>
        </w:rPr>
      </w:pPr>
    </w:p>
    <w:p w14:paraId="20E298F2" w14:textId="77777777" w:rsidR="00EA3D73" w:rsidRDefault="007E7F07">
      <w:pPr>
        <w:jc w:val="both"/>
        <w:rPr>
          <w:rFonts w:ascii="Times New Roman" w:eastAsia="Times New Roman" w:hAnsi="Times New Roman" w:cs="Times New Roman"/>
          <w:b/>
        </w:rPr>
      </w:pPr>
      <w:bookmarkStart w:id="16" w:name="_heading=h.ynm1eoy8ulz3" w:colFirst="0" w:colLast="0"/>
      <w:bookmarkEnd w:id="16"/>
      <w:r>
        <w:br w:type="page"/>
      </w:r>
    </w:p>
    <w:p w14:paraId="30124ABD" w14:textId="77777777" w:rsidR="00EA3D73" w:rsidRDefault="007E7F07">
      <w:pPr>
        <w:jc w:val="both"/>
        <w:rPr>
          <w:rFonts w:ascii="Times New Roman" w:eastAsia="Times New Roman" w:hAnsi="Times New Roman" w:cs="Times New Roman"/>
          <w:b/>
        </w:rPr>
      </w:pPr>
      <w:r>
        <w:rPr>
          <w:rFonts w:ascii="Times New Roman" w:eastAsia="Times New Roman" w:hAnsi="Times New Roman" w:cs="Times New Roman"/>
          <w:b/>
          <w:sz w:val="26"/>
          <w:szCs w:val="26"/>
        </w:rPr>
        <w:lastRenderedPageBreak/>
        <w:t xml:space="preserve">3 </w:t>
      </w:r>
      <w:r>
        <w:rPr>
          <w:rFonts w:ascii="Times New Roman" w:eastAsia="Times New Roman" w:hAnsi="Times New Roman" w:cs="Times New Roman"/>
          <w:b/>
        </w:rPr>
        <w:t>Analysis and Discussion</w:t>
      </w:r>
    </w:p>
    <w:p w14:paraId="7CC7C8ED" w14:textId="77777777" w:rsidR="00582CDA" w:rsidRDefault="00582CDA" w:rsidP="00582CDA">
      <w:pPr>
        <w:spacing w:line="360" w:lineRule="auto"/>
        <w:ind w:firstLine="360"/>
        <w:jc w:val="both"/>
        <w:rPr>
          <w:rFonts w:ascii="Times New Roman" w:eastAsia="Times New Roman" w:hAnsi="Times New Roman" w:cs="Times New Roman"/>
          <w:color w:val="0000CC"/>
        </w:rPr>
      </w:pPr>
    </w:p>
    <w:p w14:paraId="7AC63BBA" w14:textId="59CD6A20" w:rsidR="00582CDA" w:rsidRPr="008F0BEE" w:rsidRDefault="008F0BEE" w:rsidP="00582CDA">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Based on the figures contained in Table 1, t</w:t>
      </w:r>
      <w:r w:rsidR="00582CDA" w:rsidRPr="008F0BEE">
        <w:rPr>
          <w:rFonts w:ascii="Times New Roman" w:eastAsia="Times New Roman" w:hAnsi="Times New Roman" w:cs="Times New Roman"/>
        </w:rPr>
        <w:t>he economic landscapes of Hong Kong and India have exhibited distinct trends in retail sales growth and consumer inflation over the period from 2006 to 2023, reflecting their unique structural characteristics and responses to global and domestic challenges. This report analyzes the annual percent changes in the value of retail sales (HKVRS) in Hong Kong and consumer price inflation (CPI) in both economies, drawing insights into their economic resilience, inflationary pressures, and recovery patterns.</w:t>
      </w:r>
    </w:p>
    <w:p w14:paraId="21EE59F0"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3CCE360B"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Hong Kong’s retail sector experienced pronounced volatility during the analyzed period. Retail sales growth (HKVRS) reached its peak in 2011 at 21.6%, followed by strong performances in 2010 (16.4%) and 2013 (17.7%). These periods of robust growth coincided with economic booms and heightened consumer confidence. However, the sector faced severe contractions during crises, most notably in 2020, when retail sales plummeted by 22.5%, likely due to the COVID-19 pandemic’s disruption of tourism and domestic consumption. A similar decline occurred in 2022 (-10.0%), potentially linked to geopolitical tensions and prolonged pandemic-related restrictions. By 2023, retail sales rebounded sharply with a 12.4% increase, signaling a post-pandemic recovery driven by revived consumer spending and eased restrictions.</w:t>
      </w:r>
    </w:p>
    <w:p w14:paraId="4DFC23AE"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5CF1A253"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Consumer inflation in Hong Kong (APCHKCCPI) remained relatively stable compared to global standards, fluctuating between -0.9% in 2020 and 5.7% in 2011. The deflationary period in 2020 (-0.9%) aligned with the retail sales collapse, reflecting reduced demand during the pandemic. Inflationary pressures were most acute in 2011 (5.7%), coinciding with strong retail growth, though no consistent correlation between retail sales and inflation is evident. Recent years (2021–2023) have seen inflation stabilize around 2–2.5%, indicating effective monetary policy and price control mechanisms in a mature economy.</w:t>
      </w:r>
    </w:p>
    <w:p w14:paraId="3CED3B5F"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75EB6330"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 xml:space="preserve">India’s consumer inflation (APCICPI) displayed greater volatility, with peaks of 10.9% in 2009 and 12.0% in 2010. These surges were likely driven by rising food and energy prices, supply chain inefficiencies, and currency depreciation. Despite gradual moderation, inflation remained elevated compared to Hong Kong, with rates averaging 6–7% in recent years (e.g., 6.7% in 2022 and 5.9% in 2023). Structural factors such as reliance on agricultural output, population-driven demand, and </w:t>
      </w:r>
      <w:r w:rsidRPr="008F0BEE">
        <w:rPr>
          <w:rFonts w:ascii="Times New Roman" w:eastAsia="Times New Roman" w:hAnsi="Times New Roman" w:cs="Times New Roman"/>
        </w:rPr>
        <w:lastRenderedPageBreak/>
        <w:t>periodic supply shocks contribute to India’s persistent inflationary pressures.</w:t>
      </w:r>
    </w:p>
    <w:p w14:paraId="62491EE6"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5A0CD655"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Hong Kong’s retail sector is highly sensitive to external shocks, such as pandemics and geopolitical events, but demonstrates rapid recovery capabilities, as seen in 2023. In contrast, India’s economy is more influenced by domestic inflationary pressures, which erode purchasing power and constrain retail growth. For instance, India’s inflation exceeded 10% during the 2009–2010 global financial crisis, while Hong Kong’s retail sales growth remained positive during the same period.</w:t>
      </w:r>
    </w:p>
    <w:p w14:paraId="39876AD3"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4B0DEF16"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Hong Kong’s inflation stability, even during economic downturns, underscores its role as a financial hub with robust monetary frameworks. India’s inflationary volatility reflects structural challenges, including dependency on monsoon-dependent agriculture and energy imports.</w:t>
      </w:r>
    </w:p>
    <w:p w14:paraId="709A0F02"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3CC39CE6" w14:textId="77777777" w:rsidR="00582CDA"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Hong Kong’s retail sector rebounded strongly in 2023 (12.4% growth), aided by its adaptability and integration with global markets. India, while showing moderated inflation (5.9% in 2023), continues to grapple with balancing price stability and growth, particularly in sectors vulnerable to supply chain disruptions.</w:t>
      </w:r>
    </w:p>
    <w:p w14:paraId="3766FB85" w14:textId="77777777" w:rsidR="00582CDA" w:rsidRPr="008F0BEE" w:rsidRDefault="00582CDA" w:rsidP="00582CDA">
      <w:pPr>
        <w:spacing w:line="360" w:lineRule="auto"/>
        <w:ind w:firstLine="360"/>
        <w:jc w:val="both"/>
        <w:rPr>
          <w:rFonts w:ascii="Times New Roman" w:eastAsia="Times New Roman" w:hAnsi="Times New Roman" w:cs="Times New Roman"/>
        </w:rPr>
      </w:pPr>
    </w:p>
    <w:p w14:paraId="48CA11CC" w14:textId="213FBAE9" w:rsidR="00EA3D73" w:rsidRPr="008F0BEE" w:rsidRDefault="00582CDA" w:rsidP="00582CDA">
      <w:pPr>
        <w:spacing w:line="360" w:lineRule="auto"/>
        <w:ind w:firstLine="360"/>
        <w:jc w:val="both"/>
        <w:rPr>
          <w:rFonts w:ascii="Times New Roman" w:eastAsia="Times New Roman" w:hAnsi="Times New Roman" w:cs="Times New Roman"/>
        </w:rPr>
      </w:pPr>
      <w:r w:rsidRPr="008F0BEE">
        <w:rPr>
          <w:rFonts w:ascii="Times New Roman" w:eastAsia="Times New Roman" w:hAnsi="Times New Roman" w:cs="Times New Roman"/>
        </w:rPr>
        <w:t>The comparative analysis reveals contrasting economic narratives. Hong Kong’s retail sector, though vulnerable to external shocks, benefits from monetary stability and swift recovery mechanisms. India faces persistent inflationary challenges rooted in structural inefficiencies, necessitating policy interventions to stabilize prices and sustain consumer spending. Both economies, however, exhibit resilience: Hong Kong through its adaptive retail landscape, and India through gradual inflation moderation despite global uncertainties. These insights highlight the importance of context-specific strategies to address retail and inflationary challenges in divergent economic environments.</w:t>
      </w:r>
    </w:p>
    <w:p w14:paraId="5151B80A" w14:textId="6D953442" w:rsidR="00EA3D73" w:rsidRDefault="00EA3D73">
      <w:pPr>
        <w:spacing w:line="360" w:lineRule="auto"/>
        <w:jc w:val="both"/>
        <w:rPr>
          <w:rFonts w:ascii="Times New Roman" w:eastAsia="Times New Roman" w:hAnsi="Times New Roman" w:cs="Times New Roman"/>
          <w:b/>
        </w:rPr>
      </w:pPr>
    </w:p>
    <w:p w14:paraId="1002B048" w14:textId="523167A3" w:rsidR="008F0BEE" w:rsidRDefault="008F0BEE">
      <w:pPr>
        <w:spacing w:line="360" w:lineRule="auto"/>
        <w:jc w:val="both"/>
        <w:rPr>
          <w:rFonts w:ascii="Times New Roman" w:eastAsia="Times New Roman" w:hAnsi="Times New Roman" w:cs="Times New Roman"/>
          <w:b/>
        </w:rPr>
      </w:pPr>
    </w:p>
    <w:p w14:paraId="4C61BBDE" w14:textId="5C7123D1" w:rsidR="008F0BEE" w:rsidRDefault="008F0BEE">
      <w:pPr>
        <w:spacing w:line="360" w:lineRule="auto"/>
        <w:jc w:val="both"/>
        <w:rPr>
          <w:rFonts w:ascii="Times New Roman" w:eastAsia="Times New Roman" w:hAnsi="Times New Roman" w:cs="Times New Roman"/>
          <w:b/>
        </w:rPr>
      </w:pPr>
    </w:p>
    <w:p w14:paraId="7B77DF8A" w14:textId="40C7B070" w:rsidR="008F0BEE" w:rsidRDefault="008F0BEE">
      <w:pPr>
        <w:spacing w:line="360" w:lineRule="auto"/>
        <w:jc w:val="both"/>
        <w:rPr>
          <w:rFonts w:ascii="Times New Roman" w:eastAsia="Times New Roman" w:hAnsi="Times New Roman" w:cs="Times New Roman"/>
          <w:b/>
        </w:rPr>
      </w:pPr>
    </w:p>
    <w:p w14:paraId="47C8838A" w14:textId="726B3094" w:rsidR="008F0BEE" w:rsidRDefault="008F0BEE">
      <w:pPr>
        <w:spacing w:line="360" w:lineRule="auto"/>
        <w:jc w:val="both"/>
        <w:rPr>
          <w:rFonts w:ascii="Times New Roman" w:eastAsia="Times New Roman" w:hAnsi="Times New Roman" w:cs="Times New Roman"/>
          <w:b/>
        </w:rPr>
      </w:pPr>
    </w:p>
    <w:p w14:paraId="153389BE" w14:textId="77777777" w:rsidR="008F0BEE" w:rsidRDefault="008F0BEE">
      <w:pPr>
        <w:spacing w:line="360" w:lineRule="auto"/>
        <w:jc w:val="both"/>
        <w:rPr>
          <w:rFonts w:ascii="Times New Roman" w:eastAsia="Times New Roman" w:hAnsi="Times New Roman" w:cs="Times New Roman"/>
          <w:b/>
        </w:rPr>
      </w:pPr>
    </w:p>
    <w:p w14:paraId="470E3392" w14:textId="77777777" w:rsidR="00EA3D73" w:rsidRDefault="007E7F07">
      <w:pPr>
        <w:spacing w:line="360" w:lineRule="auto"/>
        <w:jc w:val="both"/>
        <w:rPr>
          <w:rFonts w:ascii="Times New Roman" w:eastAsia="Times New Roman" w:hAnsi="Times New Roman" w:cs="Times New Roman"/>
        </w:rPr>
      </w:pPr>
      <w:bookmarkStart w:id="17" w:name="_heading=h.1t3h5sf" w:colFirst="0" w:colLast="0"/>
      <w:bookmarkEnd w:id="17"/>
      <w:r>
        <w:rPr>
          <w:rFonts w:ascii="Times New Roman" w:eastAsia="Times New Roman" w:hAnsi="Times New Roman" w:cs="Times New Roman"/>
          <w:b/>
        </w:rPr>
        <w:lastRenderedPageBreak/>
        <w:t>3.1 The pattern of consumer inflation and retail sales in Hong Kong</w:t>
      </w:r>
    </w:p>
    <w:p w14:paraId="06DD3D03" w14:textId="77777777" w:rsidR="00EA3D73" w:rsidRDefault="007E7F07">
      <w:pPr>
        <w:rPr>
          <w:rFonts w:ascii="Times New Roman" w:eastAsia="Times New Roman" w:hAnsi="Times New Roman" w:cs="Times New Roman"/>
        </w:rPr>
      </w:pPr>
      <w:bookmarkStart w:id="18" w:name="_heading=h.4d34og8" w:colFirst="0" w:colLast="0"/>
      <w:bookmarkEnd w:id="18"/>
      <w:r>
        <w:rPr>
          <w:rFonts w:ascii="Times New Roman" w:eastAsia="Times New Roman" w:hAnsi="Times New Roman" w:cs="Times New Roman"/>
        </w:rPr>
        <w:t>Figure 1 Time plot of retail sales values, annual percent change (%) in retail sales values, and CPI inflation rates in Hong Kong: 2006 to 2023</w:t>
      </w:r>
    </w:p>
    <w:p w14:paraId="707A4ED0" w14:textId="77777777" w:rsidR="00EA3D73" w:rsidRDefault="00EA3D73">
      <w:pPr>
        <w:spacing w:line="360" w:lineRule="auto"/>
        <w:jc w:val="both"/>
        <w:rPr>
          <w:rFonts w:ascii="Times New Roman" w:eastAsia="Times New Roman" w:hAnsi="Times New Roman" w:cs="Times New Roman"/>
          <w:color w:val="0000CC"/>
        </w:rPr>
      </w:pPr>
    </w:p>
    <w:p w14:paraId="5609EFD0" w14:textId="18C70D19" w:rsidR="00EA3D73" w:rsidRPr="00CA2533" w:rsidRDefault="007E7F07">
      <w:pPr>
        <w:spacing w:line="360" w:lineRule="auto"/>
        <w:jc w:val="both"/>
        <w:rPr>
          <w:rFonts w:ascii="Times New Roman" w:eastAsia="Times New Roman" w:hAnsi="Times New Roman" w:cs="Times New Roman"/>
          <w:color w:val="0000CC"/>
        </w:rPr>
      </w:pPr>
      <w:r>
        <w:rPr>
          <w:rFonts w:ascii="Times New Roman" w:eastAsia="Times New Roman" w:hAnsi="Times New Roman" w:cs="Times New Roman"/>
          <w:noProof/>
          <w:color w:val="0000CC"/>
        </w:rPr>
        <w:drawing>
          <wp:inline distT="114300" distB="114300" distL="114300" distR="114300" wp14:anchorId="6E5AD5C9" wp14:editId="2DC88505">
            <wp:extent cx="6119820" cy="3683000"/>
            <wp:effectExtent l="0" t="0" r="0" b="0"/>
            <wp:docPr id="82034038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119820" cy="3683000"/>
                    </a:xfrm>
                    <a:prstGeom prst="rect">
                      <a:avLst/>
                    </a:prstGeom>
                    <a:ln/>
                  </pic:spPr>
                </pic:pic>
              </a:graphicData>
            </a:graphic>
          </wp:inline>
        </w:drawing>
      </w:r>
    </w:p>
    <w:p w14:paraId="6569B211" w14:textId="5E1E7E72" w:rsidR="00EA3D73" w:rsidRDefault="007E7F07" w:rsidP="00CA34AF">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Retail sales grew steadily from 2006 to 2014, peaking at HK$52,273 million.  A decline began in 2015, with a sharp drop in 2020 due to the COVID-19 pandemic.  Recovery started in 2023, reaching HK$35,176 million.</w:t>
      </w:r>
      <w:r w:rsidR="00CA34AF">
        <w:rPr>
          <w:rFonts w:ascii="Times New Roman" w:eastAsia="Times New Roman" w:hAnsi="Times New Roman" w:cs="Times New Roman"/>
        </w:rPr>
        <w:t xml:space="preserve"> </w:t>
      </w:r>
      <w:r>
        <w:rPr>
          <w:rFonts w:ascii="Times New Roman" w:eastAsia="Times New Roman" w:hAnsi="Times New Roman" w:cs="Times New Roman"/>
        </w:rPr>
        <w:t>Hong Kong’s Annual percentage change in retail sales highest growth was in 2011 (21.6%), while the steepest decline was in 2020 (-22.5%).  Post-pandemic recovery is evident in 2023 with a 12.4% increase.</w:t>
      </w:r>
      <w:r w:rsidR="00CA34AF">
        <w:rPr>
          <w:rFonts w:ascii="Times New Roman" w:eastAsia="Times New Roman" w:hAnsi="Times New Roman" w:cs="Times New Roman"/>
        </w:rPr>
        <w:t xml:space="preserve"> </w:t>
      </w:r>
      <w:r>
        <w:rPr>
          <w:rFonts w:ascii="Times New Roman" w:eastAsia="Times New Roman" w:hAnsi="Times New Roman" w:cs="Times New Roman"/>
        </w:rPr>
        <w:t>Hong Kong’s Inflation rates were relatively stable, with the highest in 2011 (5.7%) and the only negative rate in 2020 (-0.9%).  Inflation remained moderate in recent years, hovering around 2-3%.</w:t>
      </w:r>
    </w:p>
    <w:p w14:paraId="46D8F88F" w14:textId="0CC459DF" w:rsidR="00CA34AF" w:rsidRDefault="00CA34AF" w:rsidP="00CA2533">
      <w:pPr>
        <w:spacing w:line="360" w:lineRule="auto"/>
        <w:ind w:firstLine="360"/>
        <w:jc w:val="both"/>
        <w:rPr>
          <w:rFonts w:ascii="Times New Roman" w:eastAsia="Times New Roman" w:hAnsi="Times New Roman" w:cs="Times New Roman"/>
        </w:rPr>
      </w:pPr>
    </w:p>
    <w:p w14:paraId="29E0017D" w14:textId="77777777"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The time plot of retail sales values, annual percent change in retail sales, and CPI inflation rates in Hong Kong from 2006 to 2023 provides valuable insights into retail market trends and economic conditions. Over this period, retail sales in Hong Kong experienced significant fluctuations, with notable peaks and troughs corresponding to broader economic events. For instance, the global financial crisis in 2008 and the COVID-19 pandemic in 2020 led to sharp declines in retail sales, as reflected in the annual percent change. However, the market demonstrated resilience, with recovery </w:t>
      </w:r>
      <w:r w:rsidRPr="00CA34AF">
        <w:rPr>
          <w:rFonts w:ascii="Times New Roman" w:eastAsia="Times New Roman" w:hAnsi="Times New Roman" w:cs="Times New Roman"/>
        </w:rPr>
        <w:lastRenderedPageBreak/>
        <w:t>phases following these downturns. The CPI inflation rate, which measures changes in the price level of a basket of consumer goods and services, also varied over the years, influencing consumer purchasing power and retail sales performance.</w:t>
      </w:r>
    </w:p>
    <w:p w14:paraId="11A5E66A"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2485275B" w14:textId="634819C7"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These findings can inform </w:t>
      </w:r>
      <w:r>
        <w:rPr>
          <w:rFonts w:ascii="Times New Roman" w:eastAsia="Times New Roman" w:hAnsi="Times New Roman" w:cs="Times New Roman"/>
        </w:rPr>
        <w:t>Company A</w:t>
      </w:r>
      <w:r w:rsidRPr="00CA34AF">
        <w:rPr>
          <w:rFonts w:ascii="Times New Roman" w:eastAsia="Times New Roman" w:hAnsi="Times New Roman" w:cs="Times New Roman"/>
        </w:rPr>
        <w:t xml:space="preserve">’s strategy for expanding into India by highlighting the importance of understanding economic cycles and consumer behavior in a new market. India’s retail sector, while distinct from Hong Kong’s, is similarly influenced by macroeconomic factors such as inflation and economic growth. The data underscores the need for </w:t>
      </w:r>
      <w:r>
        <w:rPr>
          <w:rFonts w:ascii="Times New Roman" w:eastAsia="Times New Roman" w:hAnsi="Times New Roman" w:cs="Times New Roman"/>
        </w:rPr>
        <w:t>Company A</w:t>
      </w:r>
      <w:r w:rsidRPr="00CA34AF">
        <w:rPr>
          <w:rFonts w:ascii="Times New Roman" w:eastAsia="Times New Roman" w:hAnsi="Times New Roman" w:cs="Times New Roman"/>
        </w:rPr>
        <w:t xml:space="preserve"> to adopt a flexible business model that can adapt to economic fluctuations, ensuring sustainability during downturns and scalability during growth phases. Additionally, the recovery patterns observed in Hong Kong suggest that investing in markets with strong fundamentals, like India, can yield long-term benefits despite short-term challenges.</w:t>
      </w:r>
    </w:p>
    <w:p w14:paraId="2343A667"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63B88445" w14:textId="03823A4A" w:rsid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India’s growing middle class, urbanization, and increasing disposable income align with the trends observed in Hong Kong’s retail recovery phases. By leveraging its expertise in managing retail operations across economic cycles, </w:t>
      </w:r>
      <w:r>
        <w:rPr>
          <w:rFonts w:ascii="Times New Roman" w:eastAsia="Times New Roman" w:hAnsi="Times New Roman" w:cs="Times New Roman"/>
        </w:rPr>
        <w:t>Company A</w:t>
      </w:r>
      <w:r w:rsidRPr="00CA34AF">
        <w:rPr>
          <w:rFonts w:ascii="Times New Roman" w:eastAsia="Times New Roman" w:hAnsi="Times New Roman" w:cs="Times New Roman"/>
        </w:rPr>
        <w:t xml:space="preserve"> can position itself to capitalize on India’s expanding consumer base. Furthermore, the correlation between inflation and retail sales in Hong Kong highlights the importance of pricing strategies in maintaining consumer demand. In India, where price sensitivity is a key consideration, </w:t>
      </w:r>
      <w:r>
        <w:rPr>
          <w:rFonts w:ascii="Times New Roman" w:eastAsia="Times New Roman" w:hAnsi="Times New Roman" w:cs="Times New Roman"/>
        </w:rPr>
        <w:t>Company A</w:t>
      </w:r>
      <w:r w:rsidRPr="00CA34AF">
        <w:rPr>
          <w:rFonts w:ascii="Times New Roman" w:eastAsia="Times New Roman" w:hAnsi="Times New Roman" w:cs="Times New Roman"/>
        </w:rPr>
        <w:t xml:space="preserve"> can focus on offering value-driven products and services to attract and retain customers. Overall, the insights from Hong Kong’s retail market dynamics provide a strategic foundation for Aeon’s successful entry and growth in India.</w:t>
      </w:r>
    </w:p>
    <w:p w14:paraId="22E12CA4" w14:textId="77777777" w:rsidR="00EA3D73" w:rsidRDefault="00EA3D73">
      <w:pPr>
        <w:spacing w:line="360" w:lineRule="auto"/>
        <w:jc w:val="both"/>
        <w:rPr>
          <w:rFonts w:ascii="Times New Roman" w:eastAsia="Times New Roman" w:hAnsi="Times New Roman" w:cs="Times New Roman"/>
        </w:rPr>
      </w:pPr>
    </w:p>
    <w:p w14:paraId="337A49B9" w14:textId="77777777" w:rsidR="00EA3D73" w:rsidRDefault="007E7F07">
      <w:pPr>
        <w:spacing w:line="360" w:lineRule="auto"/>
        <w:jc w:val="both"/>
        <w:rPr>
          <w:rFonts w:ascii="Times New Roman" w:eastAsia="Times New Roman" w:hAnsi="Times New Roman" w:cs="Times New Roman"/>
          <w:color w:val="0000CC"/>
        </w:rPr>
      </w:pPr>
      <w:r>
        <w:rPr>
          <w:rFonts w:ascii="Times New Roman" w:eastAsia="Times New Roman" w:hAnsi="Times New Roman" w:cs="Times New Roman"/>
          <w:b/>
        </w:rPr>
        <w:t xml:space="preserve">3.2 Comparative analysis </w:t>
      </w:r>
    </w:p>
    <w:p w14:paraId="756B163F" w14:textId="77777777" w:rsidR="00EA3D73" w:rsidRDefault="007E7F07">
      <w:pPr>
        <w:spacing w:line="360" w:lineRule="auto"/>
        <w:jc w:val="both"/>
        <w:rPr>
          <w:rFonts w:ascii="Times New Roman" w:eastAsia="Times New Roman" w:hAnsi="Times New Roman" w:cs="Times New Roman"/>
        </w:rPr>
      </w:pPr>
      <w:r>
        <w:rPr>
          <w:rFonts w:ascii="Times New Roman" w:eastAsia="Times New Roman" w:hAnsi="Times New Roman" w:cs="Times New Roman"/>
        </w:rPr>
        <w:t>3.2.1 Correlation analysis</w:t>
      </w:r>
    </w:p>
    <w:p w14:paraId="28415923" w14:textId="77777777" w:rsidR="00EA3D73" w:rsidRDefault="007E7F07">
      <w:pPr>
        <w:ind w:left="960" w:hanging="960"/>
        <w:jc w:val="both"/>
        <w:rPr>
          <w:rFonts w:ascii="Times New Roman" w:eastAsia="Times New Roman" w:hAnsi="Times New Roman" w:cs="Times New Roman"/>
        </w:rPr>
      </w:pPr>
      <w:bookmarkStart w:id="19" w:name="_heading=h.17dp8vu" w:colFirst="0" w:colLast="0"/>
      <w:bookmarkEnd w:id="19"/>
      <w:r>
        <w:rPr>
          <w:rFonts w:ascii="Times New Roman" w:eastAsia="Times New Roman" w:hAnsi="Times New Roman" w:cs="Times New Roman"/>
        </w:rPr>
        <w:t>Figure 3 Time plot of annual percent change (%) in retail sales values in Hong Kong, consumer inflation rates in Hong Kong and in India: 2006 to 2023</w:t>
      </w:r>
    </w:p>
    <w:p w14:paraId="6E055D11" w14:textId="77777777" w:rsidR="00EA3D73" w:rsidRDefault="007E7F07">
      <w:pPr>
        <w:jc w:val="both"/>
        <w:rPr>
          <w:rFonts w:ascii="Times New Roman" w:eastAsia="Times New Roman" w:hAnsi="Times New Roman" w:cs="Times New Roman"/>
          <w:color w:val="0000CC"/>
        </w:rPr>
      </w:pPr>
      <w:r>
        <w:rPr>
          <w:rFonts w:ascii="Times New Roman" w:eastAsia="Times New Roman" w:hAnsi="Times New Roman" w:cs="Times New Roman"/>
          <w:noProof/>
          <w:color w:val="0000CC"/>
        </w:rPr>
        <w:lastRenderedPageBreak/>
        <w:drawing>
          <wp:inline distT="114300" distB="114300" distL="114300" distR="114300" wp14:anchorId="00A3D42E" wp14:editId="280FA781">
            <wp:extent cx="6273066" cy="3776752"/>
            <wp:effectExtent l="0" t="0" r="0" b="0"/>
            <wp:docPr id="8203403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273066" cy="3776752"/>
                    </a:xfrm>
                    <a:prstGeom prst="rect">
                      <a:avLst/>
                    </a:prstGeom>
                    <a:ln/>
                  </pic:spPr>
                </pic:pic>
              </a:graphicData>
            </a:graphic>
          </wp:inline>
        </w:drawing>
      </w:r>
    </w:p>
    <w:p w14:paraId="5ED04EB5" w14:textId="77777777" w:rsidR="00EA3D73" w:rsidRDefault="00EA3D73">
      <w:pPr>
        <w:spacing w:line="360" w:lineRule="auto"/>
        <w:jc w:val="both"/>
        <w:rPr>
          <w:rFonts w:ascii="Times New Roman" w:eastAsia="Times New Roman" w:hAnsi="Times New Roman" w:cs="Times New Roman"/>
        </w:rPr>
      </w:pPr>
    </w:p>
    <w:p w14:paraId="1AB4A38A" w14:textId="1FB51984" w:rsidR="0099427B" w:rsidRDefault="007E7F07" w:rsidP="00CA34AF">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India’s consumer inflation rates experienced higher inflation rates compared to Hong Kong, peaking in 2010 (12.0%) and remaining above 5% in most years.  Inflation in India was consistently higher than in Hong Kong, reflecting different economic conditions and policy responses.</w:t>
      </w:r>
    </w:p>
    <w:p w14:paraId="01A0B140" w14:textId="0CBCA4FE" w:rsidR="00CA34AF" w:rsidRDefault="00CA34AF" w:rsidP="00CA34AF">
      <w:pPr>
        <w:spacing w:line="360" w:lineRule="auto"/>
        <w:ind w:firstLine="360"/>
        <w:jc w:val="both"/>
        <w:rPr>
          <w:rFonts w:ascii="Times New Roman" w:eastAsia="Times New Roman" w:hAnsi="Times New Roman" w:cs="Times New Roman"/>
        </w:rPr>
      </w:pPr>
    </w:p>
    <w:p w14:paraId="4D613844" w14:textId="7ED2C56C"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The graph depicting the annual percent change in retail sales values in Hong Kong alongside consumer inflation rates in Hong Kong and India from 2006 to 2022 reveals several key trends that can support </w:t>
      </w:r>
      <w:r>
        <w:rPr>
          <w:rFonts w:ascii="Times New Roman" w:eastAsia="Times New Roman" w:hAnsi="Times New Roman" w:cs="Times New Roman"/>
        </w:rPr>
        <w:t>Company</w:t>
      </w:r>
      <w:r w:rsidRPr="00CA34AF">
        <w:rPr>
          <w:rFonts w:ascii="Times New Roman" w:eastAsia="Times New Roman" w:hAnsi="Times New Roman" w:cs="Times New Roman"/>
        </w:rPr>
        <w:t>’s decision to expand into India. Over this period, retail sales in Hong Kong experienced significant fluctuations, with sharp declines during global economic crises such as the 2008 financial downturn and the 2020 COVID-19 pandemic. However, the market demonstrated resilience, with recovery phases following these downturns. This pattern highlights the importance of adaptability and strategic planning in navigating economic volatility, which is equally relevant for entering a dynamic market like India.</w:t>
      </w:r>
    </w:p>
    <w:p w14:paraId="25B86FBB"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2FA32968" w14:textId="1CC00252"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The consumer inflation rates in Hong Kong and India show some alignment, particularly during periods of global economic instability. For instance, both markets experienced inflationary pressures during the post-2008 recovery and the pandemic-induced economic disruptions. This suggests that </w:t>
      </w:r>
      <w:r>
        <w:rPr>
          <w:rFonts w:ascii="Times New Roman" w:eastAsia="Times New Roman" w:hAnsi="Times New Roman" w:cs="Times New Roman"/>
        </w:rPr>
        <w:lastRenderedPageBreak/>
        <w:t>Company A</w:t>
      </w:r>
      <w:r w:rsidRPr="00CA34AF">
        <w:rPr>
          <w:rFonts w:ascii="Times New Roman" w:eastAsia="Times New Roman" w:hAnsi="Times New Roman" w:cs="Times New Roman"/>
        </w:rPr>
        <w:t xml:space="preserve">’s experience in managing retail operations under inflationary conditions in Hong Kong can be applied to the Indian context. Understanding how inflation impacts consumer purchasing power and spending behavior will be crucial for </w:t>
      </w:r>
      <w:r>
        <w:rPr>
          <w:rFonts w:ascii="Times New Roman" w:eastAsia="Times New Roman" w:hAnsi="Times New Roman" w:cs="Times New Roman"/>
        </w:rPr>
        <w:t>Company A</w:t>
      </w:r>
      <w:r w:rsidRPr="00CA34AF">
        <w:rPr>
          <w:rFonts w:ascii="Times New Roman" w:eastAsia="Times New Roman" w:hAnsi="Times New Roman" w:cs="Times New Roman"/>
        </w:rPr>
        <w:t xml:space="preserve"> to develop effective pricing strategies and product offerings that cater to the price-sensitive Indian market.</w:t>
      </w:r>
    </w:p>
    <w:p w14:paraId="217857C5"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3C12555A" w14:textId="423FB04D" w:rsid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Furthermore, the graph indicates that India’s inflation rates have generally been higher and more volatile compared to Hong Kong’s. This underscores the need for </w:t>
      </w:r>
      <w:r>
        <w:rPr>
          <w:rFonts w:ascii="Times New Roman" w:eastAsia="Times New Roman" w:hAnsi="Times New Roman" w:cs="Times New Roman"/>
        </w:rPr>
        <w:t>Company A</w:t>
      </w:r>
      <w:r w:rsidRPr="00CA34AF">
        <w:rPr>
          <w:rFonts w:ascii="Times New Roman" w:eastAsia="Times New Roman" w:hAnsi="Times New Roman" w:cs="Times New Roman"/>
        </w:rPr>
        <w:t xml:space="preserve"> to adopt a flexible and localized approach when entering India, taking into account regional variations in inflation and consumer preferences. By leveraging its expertise in managing retail operations across economic cycles and inflationary environments, </w:t>
      </w:r>
      <w:r>
        <w:rPr>
          <w:rFonts w:ascii="Times New Roman" w:eastAsia="Times New Roman" w:hAnsi="Times New Roman" w:cs="Times New Roman"/>
        </w:rPr>
        <w:t>Company A</w:t>
      </w:r>
      <w:r w:rsidRPr="00CA34AF">
        <w:rPr>
          <w:rFonts w:ascii="Times New Roman" w:eastAsia="Times New Roman" w:hAnsi="Times New Roman" w:cs="Times New Roman"/>
        </w:rPr>
        <w:t xml:space="preserve"> can position itself to capitalize on India’s growing consumer base and rising disposable incomes. The insights from this graph reinforce the importance of strategic planning and adaptability, which are essential for </w:t>
      </w:r>
      <w:r>
        <w:rPr>
          <w:rFonts w:ascii="Times New Roman" w:eastAsia="Times New Roman" w:hAnsi="Times New Roman" w:cs="Times New Roman"/>
        </w:rPr>
        <w:t>Company A</w:t>
      </w:r>
      <w:r w:rsidRPr="00CA34AF">
        <w:rPr>
          <w:rFonts w:ascii="Times New Roman" w:eastAsia="Times New Roman" w:hAnsi="Times New Roman" w:cs="Times New Roman"/>
        </w:rPr>
        <w:t>’s successful expansion into the Indian retail market.</w:t>
      </w:r>
    </w:p>
    <w:p w14:paraId="10C63A3E" w14:textId="77777777" w:rsidR="00CA34AF" w:rsidRDefault="00CA34AF" w:rsidP="00CA34AF">
      <w:pPr>
        <w:spacing w:line="360" w:lineRule="auto"/>
        <w:ind w:firstLine="360"/>
        <w:jc w:val="both"/>
        <w:rPr>
          <w:rFonts w:ascii="Times New Roman" w:eastAsia="Times New Roman" w:hAnsi="Times New Roman" w:cs="Times New Roman"/>
        </w:rPr>
      </w:pPr>
    </w:p>
    <w:p w14:paraId="14EAA062" w14:textId="77777777" w:rsidR="00EA3D73" w:rsidRDefault="00EA3D73">
      <w:pPr>
        <w:jc w:val="both"/>
        <w:rPr>
          <w:rFonts w:ascii="Times New Roman" w:eastAsia="Times New Roman" w:hAnsi="Times New Roman" w:cs="Times New Roman"/>
        </w:rPr>
      </w:pPr>
      <w:bookmarkStart w:id="20" w:name="_heading=h.7qvkjs55a8mk" w:colFirst="0" w:colLast="0"/>
      <w:bookmarkEnd w:id="20"/>
    </w:p>
    <w:p w14:paraId="0A1D7BA8" w14:textId="5215A44F" w:rsidR="00EA3D73" w:rsidRDefault="007E7F07">
      <w:pPr>
        <w:jc w:val="both"/>
        <w:rPr>
          <w:rFonts w:ascii="Times New Roman" w:eastAsia="Times New Roman" w:hAnsi="Times New Roman" w:cs="Times New Roman"/>
        </w:rPr>
      </w:pPr>
      <w:bookmarkStart w:id="21" w:name="_heading=h.3rdcrjn" w:colFirst="0" w:colLast="0"/>
      <w:bookmarkEnd w:id="21"/>
      <w:r>
        <w:rPr>
          <w:rFonts w:ascii="Times New Roman" w:eastAsia="Times New Roman" w:hAnsi="Times New Roman" w:cs="Times New Roman"/>
        </w:rPr>
        <w:t>Table 2 The Pearson Correlation Matrix of annual percent change in retail sales values and consumer inflation rates in Hong Kong. and consumer inflation rates in India: 2006 to 2023</w:t>
      </w:r>
    </w:p>
    <w:p w14:paraId="3995E203" w14:textId="234D4225" w:rsidR="00EA3D73" w:rsidRDefault="00382DCC">
      <w:pPr>
        <w:spacing w:line="360" w:lineRule="auto"/>
        <w:jc w:val="both"/>
        <w:rPr>
          <w:rFonts w:ascii="Times New Roman" w:eastAsia="Times New Roman" w:hAnsi="Times New Roman" w:cs="Times New Roman"/>
          <w:color w:val="0000CC"/>
        </w:rPr>
      </w:pPr>
      <w:r>
        <w:rPr>
          <w:rFonts w:ascii="Times New Roman" w:eastAsia="Times New Roman" w:hAnsi="Times New Roman" w:cs="Times New Roman"/>
          <w:noProof/>
          <w:color w:val="0000CC"/>
        </w:rPr>
        <w:drawing>
          <wp:inline distT="0" distB="0" distL="0" distR="0" wp14:anchorId="4EF129B7" wp14:editId="1E795F46">
            <wp:extent cx="4982210" cy="11430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2210" cy="1143000"/>
                    </a:xfrm>
                    <a:prstGeom prst="rect">
                      <a:avLst/>
                    </a:prstGeom>
                    <a:noFill/>
                  </pic:spPr>
                </pic:pic>
              </a:graphicData>
            </a:graphic>
          </wp:inline>
        </w:drawing>
      </w:r>
    </w:p>
    <w:p w14:paraId="65EF37F1" w14:textId="77777777" w:rsidR="00382DCC" w:rsidRDefault="00382DCC">
      <w:pPr>
        <w:spacing w:line="360" w:lineRule="auto"/>
        <w:jc w:val="both"/>
        <w:rPr>
          <w:rFonts w:ascii="Times New Roman" w:eastAsia="Times New Roman" w:hAnsi="Times New Roman" w:cs="Times New Roman"/>
          <w:color w:val="0000CC"/>
        </w:rPr>
      </w:pPr>
    </w:p>
    <w:p w14:paraId="460C54F2" w14:textId="77777777" w:rsidR="00EA3D73" w:rsidRDefault="007E7F07">
      <w:pPr>
        <w:jc w:val="both"/>
        <w:rPr>
          <w:rFonts w:ascii="Times New Roman" w:eastAsia="Times New Roman" w:hAnsi="Times New Roman" w:cs="Times New Roman"/>
        </w:rPr>
      </w:pPr>
      <w:r>
        <w:rPr>
          <w:rFonts w:ascii="Times New Roman" w:eastAsia="Times New Roman" w:hAnsi="Times New Roman" w:cs="Times New Roman"/>
        </w:rPr>
        <w:t>Table 3 The Pearson Correlation matrix of annual percent change (%) in retail sales values in Hong Kong, consumer inflation rates in Hong Kong and in India: 2019 to 2023</w:t>
      </w:r>
    </w:p>
    <w:p w14:paraId="6223A92B" w14:textId="798B56D7" w:rsidR="00EA3D73" w:rsidRDefault="00382DCC">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06F5BCE" wp14:editId="66D0F672">
            <wp:extent cx="5020310" cy="11239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0310" cy="1123950"/>
                    </a:xfrm>
                    <a:prstGeom prst="rect">
                      <a:avLst/>
                    </a:prstGeom>
                    <a:noFill/>
                  </pic:spPr>
                </pic:pic>
              </a:graphicData>
            </a:graphic>
          </wp:inline>
        </w:drawing>
      </w:r>
    </w:p>
    <w:p w14:paraId="4E2BBC41" w14:textId="77777777" w:rsidR="00EA3D73" w:rsidRDefault="00EA3D73">
      <w:pPr>
        <w:spacing w:line="360" w:lineRule="auto"/>
        <w:jc w:val="both"/>
        <w:rPr>
          <w:rFonts w:ascii="Times New Roman" w:eastAsia="Times New Roman" w:hAnsi="Times New Roman" w:cs="Times New Roman"/>
        </w:rPr>
      </w:pPr>
    </w:p>
    <w:p w14:paraId="4D2F8705" w14:textId="6B0A8BEF"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The Pearson Correlation Matrix provides valuable insights into the relationships between the annual percent change in retail sales values in Hong Kong (APCHKRS), consumer inflation rates in Hong Kong (APCHKCPI), and consumer inflation rates in India (APCICPI) from 2006 to 2023. The </w:t>
      </w:r>
      <w:r w:rsidRPr="00CA34AF">
        <w:rPr>
          <w:rFonts w:ascii="Times New Roman" w:eastAsia="Times New Roman" w:hAnsi="Times New Roman" w:cs="Times New Roman"/>
        </w:rPr>
        <w:lastRenderedPageBreak/>
        <w:t xml:space="preserve">matrix reveals a moderate positive correlation between consumer inflation rates in Hong Kong and India (0.45), indicating that inflationary trends in these two markets share some degree of alignment. This suggests that </w:t>
      </w:r>
      <w:r>
        <w:rPr>
          <w:rFonts w:ascii="Times New Roman" w:eastAsia="Times New Roman" w:hAnsi="Times New Roman" w:cs="Times New Roman"/>
        </w:rPr>
        <w:t>Company A</w:t>
      </w:r>
      <w:r w:rsidRPr="00CA34AF">
        <w:rPr>
          <w:rFonts w:ascii="Times New Roman" w:eastAsia="Times New Roman" w:hAnsi="Times New Roman" w:cs="Times New Roman"/>
        </w:rPr>
        <w:t>’s experience in managing retail operations under varying inflation conditions in Hong Kong could be beneficial when entering the Indian market, where inflation dynamics may follow somewhat similar patterns.</w:t>
      </w:r>
    </w:p>
    <w:p w14:paraId="335B9EBD"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5CE57CEB" w14:textId="4B57CD81" w:rsidR="00CA34AF" w:rsidRPr="00CA34AF"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Additionally, the correlation between the annual percent change in retail sales in Hong Kong and consumer inflation rates in Hong Kong (0.36) highlights the impact of inflation on retail performance. This relationship underscores the importance of pricing strategies and cost management in maintaining retail sales growth, particularly in inflationary environments. Given the moderate correlation between inflation rates in Hong Kong and India, </w:t>
      </w:r>
      <w:r>
        <w:rPr>
          <w:rFonts w:ascii="Times New Roman" w:eastAsia="Times New Roman" w:hAnsi="Times New Roman" w:cs="Times New Roman"/>
        </w:rPr>
        <w:t>Company A</w:t>
      </w:r>
      <w:r w:rsidRPr="00CA34AF">
        <w:rPr>
          <w:rFonts w:ascii="Times New Roman" w:eastAsia="Times New Roman" w:hAnsi="Times New Roman" w:cs="Times New Roman"/>
        </w:rPr>
        <w:t xml:space="preserve"> can leverage its expertise in navigating inflationary pressures to develop effective pricing and operational strategies tailored to the Indian market.</w:t>
      </w:r>
    </w:p>
    <w:p w14:paraId="6AF62F6A" w14:textId="77777777" w:rsidR="00CA34AF" w:rsidRPr="00CA34AF" w:rsidRDefault="00CA34AF" w:rsidP="00CA34AF">
      <w:pPr>
        <w:spacing w:line="360" w:lineRule="auto"/>
        <w:ind w:firstLine="360"/>
        <w:jc w:val="both"/>
        <w:rPr>
          <w:rFonts w:ascii="Times New Roman" w:eastAsia="Times New Roman" w:hAnsi="Times New Roman" w:cs="Times New Roman"/>
        </w:rPr>
      </w:pPr>
    </w:p>
    <w:p w14:paraId="3C2D1BD0" w14:textId="28335B73" w:rsidR="00EA3D73" w:rsidRDefault="00CA34AF" w:rsidP="00CA34AF">
      <w:pPr>
        <w:spacing w:line="360" w:lineRule="auto"/>
        <w:ind w:firstLine="360"/>
        <w:jc w:val="both"/>
        <w:rPr>
          <w:rFonts w:ascii="Times New Roman" w:eastAsia="Times New Roman" w:hAnsi="Times New Roman" w:cs="Times New Roman"/>
        </w:rPr>
      </w:pPr>
      <w:r w:rsidRPr="00CA34AF">
        <w:rPr>
          <w:rFonts w:ascii="Times New Roman" w:eastAsia="Times New Roman" w:hAnsi="Times New Roman" w:cs="Times New Roman"/>
        </w:rPr>
        <w:t xml:space="preserve">Furthermore, the correlation between the annual percent change in retail sales in Hong Kong and consumer inflation rates in India (0.28) suggests a weaker but still notable relationship. This implies that while inflation in India may not directly dictate retail sales trends in Hong Kong, understanding India’s inflation trends can provide </w:t>
      </w:r>
      <w:r>
        <w:rPr>
          <w:rFonts w:ascii="Times New Roman" w:eastAsia="Times New Roman" w:hAnsi="Times New Roman" w:cs="Times New Roman"/>
        </w:rPr>
        <w:t>Company A</w:t>
      </w:r>
      <w:r w:rsidRPr="00CA34AF">
        <w:rPr>
          <w:rFonts w:ascii="Times New Roman" w:eastAsia="Times New Roman" w:hAnsi="Times New Roman" w:cs="Times New Roman"/>
        </w:rPr>
        <w:t xml:space="preserve"> with insights into consumer purchasing power and spending behavior in the Indian market. By analyzing these correlations, </w:t>
      </w:r>
      <w:r>
        <w:rPr>
          <w:rFonts w:ascii="Times New Roman" w:eastAsia="Times New Roman" w:hAnsi="Times New Roman" w:cs="Times New Roman"/>
        </w:rPr>
        <w:t xml:space="preserve">Company A </w:t>
      </w:r>
      <w:r w:rsidRPr="00CA34AF">
        <w:rPr>
          <w:rFonts w:ascii="Times New Roman" w:eastAsia="Times New Roman" w:hAnsi="Times New Roman" w:cs="Times New Roman"/>
        </w:rPr>
        <w:t>can better anticipate and respond to economic conditions in India, ensuring a more informed and strategic approach to its expansion. Overall, the findings from the correlation matrix support Aeon’s potential success in India by highlighting the importance of leveraging existing expertise in managing inflation-related challenges and adapting to local economic dynamics.</w:t>
      </w:r>
    </w:p>
    <w:p w14:paraId="2990C26C" w14:textId="77777777" w:rsidR="00EA3D73" w:rsidRDefault="00EA3D73">
      <w:pPr>
        <w:jc w:val="both"/>
        <w:rPr>
          <w:rFonts w:ascii="Times New Roman" w:eastAsia="Times New Roman" w:hAnsi="Times New Roman" w:cs="Times New Roman"/>
          <w:color w:val="0000CC"/>
        </w:rPr>
      </w:pPr>
    </w:p>
    <w:p w14:paraId="317F6421" w14:textId="77777777" w:rsidR="00EA3D73" w:rsidRDefault="007E7F07">
      <w:pPr>
        <w:spacing w:line="360" w:lineRule="auto"/>
        <w:jc w:val="both"/>
        <w:rPr>
          <w:rFonts w:ascii="Times New Roman" w:eastAsia="Times New Roman" w:hAnsi="Times New Roman" w:cs="Times New Roman"/>
          <w:u w:val="single"/>
        </w:rPr>
      </w:pPr>
      <w:r>
        <w:rPr>
          <w:rFonts w:ascii="Times New Roman" w:eastAsia="Times New Roman" w:hAnsi="Times New Roman" w:cs="Times New Roman"/>
        </w:rPr>
        <w:t>3.2.2 Similarities and differences in patterns and trends</w:t>
      </w:r>
    </w:p>
    <w:p w14:paraId="64EE4C09" w14:textId="77777777" w:rsidR="00243BD5" w:rsidRPr="00243BD5"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 xml:space="preserve">Both Hong Kong and India have demonstrated considerable economic growth over the past few decades, albeit with distinct characteristics. Hong Kong, as a global financial hub, has built its economy around finance, logistics, and trade-related activities, while India has emerged as one of the fastest-growing major economies, driven by a diverse mix of agriculture, manufacturing, and services. Both regions are experiencing significant urbanization, with metropolitan areas witnessing rapid population growth, infrastructure development, and expansion of services. This urbanization trend has fueled the growth of their service sectors, with India showing strong performance in areas such </w:t>
      </w:r>
      <w:r w:rsidRPr="00243BD5">
        <w:rPr>
          <w:rFonts w:ascii="Times New Roman" w:eastAsia="Times New Roman" w:hAnsi="Times New Roman" w:cs="Times New Roman"/>
        </w:rPr>
        <w:lastRenderedPageBreak/>
        <w:t>as IT and business services, mirroring Hong Kong’s focus on financial services. Additionally, both economies benefit from rich cultural diversity. Hong Kong blends Eastern and Western influences, while India is home to a multitude of languages, religions, and traditions. Despite differences in demographic trends, both regions have relatively young workforces, which contribute to their economic dynamism. The Indian community in Hong Kong, for instance, is well-integrated and plays a significant role in sectors like finance and IT, while India’s diverse population, despite challenges such as regional disparities and varying educational attainment levels, offers a vast talent pool for economic growth.</w:t>
      </w:r>
    </w:p>
    <w:p w14:paraId="24E7F4B9" w14:textId="77777777" w:rsidR="00243BD5" w:rsidRPr="00243BD5" w:rsidRDefault="00243BD5" w:rsidP="00243BD5">
      <w:pPr>
        <w:spacing w:line="360" w:lineRule="auto"/>
        <w:ind w:firstLine="360"/>
        <w:jc w:val="both"/>
        <w:rPr>
          <w:rFonts w:ascii="Times New Roman" w:eastAsia="Times New Roman" w:hAnsi="Times New Roman" w:cs="Times New Roman"/>
        </w:rPr>
      </w:pPr>
    </w:p>
    <w:p w14:paraId="4FBBD26E" w14:textId="43B57AF9" w:rsidR="00EA3D73"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However, there are notable differences between the two regions. Hong Kong operates under the "One Country, Two Systems" principle, granting it a unique semi-autonomous status under Chinese sovereignty, while India functions as a federal parliamentary democratic republic with a unified governance structure. Economically, Hong Kong is known for its free-market economy, minimal government intervention, and highly competitive business environment, whereas India’s economy is more regulated, with significant bureaucracy that can impact business operations. Socially, Hong Kong has faced challenges such as political protests and debates over freedoms and human rights, while India grapples with issues like poverty, caste discrimination, and religious tensions. Education systems also differ, with Hong Kong emphasizing international education and following a British-style system, while India’s education system is more diverse, with varying quality across states and a strong reliance on entrance examinations for higher education. These differences highlight the need for Aeon to adopt a tailored approach when expanding into India, leveraging similarities in economic and cultural dynamics while addressing the unique regulatory, social, and structural challenges of the Indian market.</w:t>
      </w:r>
    </w:p>
    <w:p w14:paraId="243B6D03" w14:textId="66461FB8" w:rsidR="00243BD5" w:rsidRDefault="00243BD5" w:rsidP="00243BD5">
      <w:pPr>
        <w:spacing w:line="360" w:lineRule="auto"/>
        <w:jc w:val="both"/>
        <w:rPr>
          <w:rFonts w:ascii="Times New Roman" w:eastAsia="Times New Roman" w:hAnsi="Times New Roman" w:cs="Times New Roman"/>
          <w:color w:val="0000CC"/>
        </w:rPr>
      </w:pPr>
    </w:p>
    <w:p w14:paraId="2B3BBD79" w14:textId="2DE08674" w:rsidR="00243BD5" w:rsidRDefault="00243BD5" w:rsidP="00243BD5">
      <w:pPr>
        <w:spacing w:line="360" w:lineRule="auto"/>
        <w:jc w:val="both"/>
        <w:rPr>
          <w:rFonts w:ascii="Times New Roman" w:eastAsia="Times New Roman" w:hAnsi="Times New Roman" w:cs="Times New Roman"/>
          <w:color w:val="0000CC"/>
        </w:rPr>
      </w:pPr>
    </w:p>
    <w:p w14:paraId="1992CC29" w14:textId="2FAF0754" w:rsidR="00243BD5" w:rsidRDefault="00243BD5" w:rsidP="00243BD5">
      <w:pPr>
        <w:spacing w:line="360" w:lineRule="auto"/>
        <w:jc w:val="both"/>
        <w:rPr>
          <w:rFonts w:ascii="Times New Roman" w:eastAsia="Times New Roman" w:hAnsi="Times New Roman" w:cs="Times New Roman"/>
          <w:color w:val="0000CC"/>
        </w:rPr>
      </w:pPr>
    </w:p>
    <w:p w14:paraId="68B8F176" w14:textId="1A1434CE" w:rsidR="00243BD5" w:rsidRDefault="00243BD5" w:rsidP="00243BD5">
      <w:pPr>
        <w:spacing w:line="360" w:lineRule="auto"/>
        <w:jc w:val="both"/>
        <w:rPr>
          <w:rFonts w:ascii="Times New Roman" w:eastAsia="Times New Roman" w:hAnsi="Times New Roman" w:cs="Times New Roman"/>
          <w:color w:val="0000CC"/>
        </w:rPr>
      </w:pPr>
    </w:p>
    <w:p w14:paraId="143A7CC2" w14:textId="22D0E19D" w:rsidR="00243BD5" w:rsidRDefault="00243BD5" w:rsidP="00243BD5">
      <w:pPr>
        <w:spacing w:line="360" w:lineRule="auto"/>
        <w:jc w:val="both"/>
        <w:rPr>
          <w:rFonts w:ascii="Times New Roman" w:eastAsia="Times New Roman" w:hAnsi="Times New Roman" w:cs="Times New Roman"/>
          <w:color w:val="0000CC"/>
        </w:rPr>
      </w:pPr>
    </w:p>
    <w:p w14:paraId="426C1449" w14:textId="4752FC9A" w:rsidR="00243BD5" w:rsidRDefault="00243BD5" w:rsidP="00243BD5">
      <w:pPr>
        <w:spacing w:line="360" w:lineRule="auto"/>
        <w:jc w:val="both"/>
        <w:rPr>
          <w:rFonts w:ascii="Times New Roman" w:eastAsia="Times New Roman" w:hAnsi="Times New Roman" w:cs="Times New Roman"/>
          <w:color w:val="0000CC"/>
        </w:rPr>
      </w:pPr>
    </w:p>
    <w:p w14:paraId="55B16FBE" w14:textId="1318B706" w:rsidR="00243BD5" w:rsidRDefault="00243BD5" w:rsidP="00243BD5">
      <w:pPr>
        <w:spacing w:line="360" w:lineRule="auto"/>
        <w:jc w:val="both"/>
        <w:rPr>
          <w:rFonts w:ascii="Times New Roman" w:eastAsia="Times New Roman" w:hAnsi="Times New Roman" w:cs="Times New Roman"/>
          <w:color w:val="0000CC"/>
        </w:rPr>
      </w:pPr>
    </w:p>
    <w:p w14:paraId="36322358" w14:textId="77777777" w:rsidR="00243BD5" w:rsidRDefault="00243BD5" w:rsidP="00243BD5">
      <w:pPr>
        <w:spacing w:line="360" w:lineRule="auto"/>
        <w:jc w:val="both"/>
        <w:rPr>
          <w:rFonts w:ascii="Times New Roman" w:eastAsia="Times New Roman" w:hAnsi="Times New Roman" w:cs="Times New Roman"/>
          <w:color w:val="0000CC"/>
        </w:rPr>
      </w:pPr>
    </w:p>
    <w:p w14:paraId="73849B27" w14:textId="77777777" w:rsidR="00EA3D73" w:rsidRDefault="007E7F07">
      <w:pPr>
        <w:jc w:val="both"/>
        <w:rPr>
          <w:rFonts w:ascii="Times New Roman" w:eastAsia="Times New Roman" w:hAnsi="Times New Roman" w:cs="Times New Roman"/>
        </w:rPr>
      </w:pPr>
      <w:r>
        <w:rPr>
          <w:rFonts w:ascii="Times New Roman" w:eastAsia="Times New Roman" w:hAnsi="Times New Roman" w:cs="Times New Roman"/>
        </w:rPr>
        <w:lastRenderedPageBreak/>
        <w:t>Table 4: Major summary statistics of annual percent change (%) in retail sales values in Hong Kong, consumer inflation rates in Hong Kong and in India: 2006 to 2023</w:t>
      </w:r>
    </w:p>
    <w:tbl>
      <w:tblPr>
        <w:tblStyle w:val="aff9"/>
        <w:tblW w:w="77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5"/>
        <w:gridCol w:w="1695"/>
        <w:gridCol w:w="1425"/>
        <w:gridCol w:w="1980"/>
      </w:tblGrid>
      <w:tr w:rsidR="00EA3D73" w14:paraId="49121755" w14:textId="77777777">
        <w:tc>
          <w:tcPr>
            <w:tcW w:w="2655" w:type="dxa"/>
            <w:vMerge w:val="restart"/>
            <w:shd w:val="clear" w:color="auto" w:fill="auto"/>
            <w:vAlign w:val="center"/>
          </w:tcPr>
          <w:p w14:paraId="4141152A"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Summary statistics</w:t>
            </w:r>
          </w:p>
        </w:tc>
        <w:tc>
          <w:tcPr>
            <w:tcW w:w="3120" w:type="dxa"/>
            <w:gridSpan w:val="2"/>
          </w:tcPr>
          <w:p w14:paraId="78D5B89B"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Hong Kong</w:t>
            </w:r>
          </w:p>
        </w:tc>
        <w:tc>
          <w:tcPr>
            <w:tcW w:w="1980" w:type="dxa"/>
            <w:shd w:val="clear" w:color="auto" w:fill="auto"/>
          </w:tcPr>
          <w:p w14:paraId="3A181609"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India</w:t>
            </w:r>
          </w:p>
        </w:tc>
      </w:tr>
      <w:tr w:rsidR="00EA3D73" w14:paraId="12E2141D" w14:textId="77777777">
        <w:tc>
          <w:tcPr>
            <w:tcW w:w="2655" w:type="dxa"/>
            <w:vMerge/>
            <w:shd w:val="clear" w:color="auto" w:fill="auto"/>
            <w:vAlign w:val="center"/>
          </w:tcPr>
          <w:p w14:paraId="5615FD55" w14:textId="77777777" w:rsidR="00EA3D73" w:rsidRDefault="00EA3D73">
            <w:pPr>
              <w:pBdr>
                <w:top w:val="nil"/>
                <w:left w:val="nil"/>
                <w:bottom w:val="nil"/>
                <w:right w:val="nil"/>
                <w:between w:val="nil"/>
              </w:pBdr>
              <w:spacing w:line="276" w:lineRule="auto"/>
              <w:rPr>
                <w:rFonts w:ascii="Times New Roman" w:eastAsia="Times New Roman" w:hAnsi="Times New Roman" w:cs="Times New Roman"/>
              </w:rPr>
            </w:pPr>
          </w:p>
        </w:tc>
        <w:tc>
          <w:tcPr>
            <w:tcW w:w="1695" w:type="dxa"/>
            <w:tcBorders>
              <w:bottom w:val="single" w:sz="4" w:space="0" w:color="000000"/>
            </w:tcBorders>
          </w:tcPr>
          <w:p w14:paraId="24A47D79"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ARCHKCPI</w:t>
            </w:r>
          </w:p>
        </w:tc>
        <w:tc>
          <w:tcPr>
            <w:tcW w:w="1425" w:type="dxa"/>
            <w:tcBorders>
              <w:bottom w:val="single" w:sz="4" w:space="0" w:color="000000"/>
            </w:tcBorders>
          </w:tcPr>
          <w:p w14:paraId="556E4B65"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ARCHKRS</w:t>
            </w:r>
          </w:p>
        </w:tc>
        <w:tc>
          <w:tcPr>
            <w:tcW w:w="1980" w:type="dxa"/>
            <w:tcBorders>
              <w:bottom w:val="single" w:sz="4" w:space="0" w:color="000000"/>
            </w:tcBorders>
            <w:shd w:val="clear" w:color="auto" w:fill="auto"/>
          </w:tcPr>
          <w:p w14:paraId="034F43A0"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APCICPI</w:t>
            </w:r>
          </w:p>
        </w:tc>
      </w:tr>
      <w:tr w:rsidR="00EA3D73" w14:paraId="0DDB9789" w14:textId="77777777">
        <w:tc>
          <w:tcPr>
            <w:tcW w:w="2655" w:type="dxa"/>
            <w:shd w:val="clear" w:color="auto" w:fill="auto"/>
          </w:tcPr>
          <w:p w14:paraId="062A5EDA"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Mean growth rate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22859229"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3.5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4F4E0"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2.6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3283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5</w:t>
            </w:r>
          </w:p>
        </w:tc>
      </w:tr>
      <w:tr w:rsidR="00EA3D73" w14:paraId="29782B1D" w14:textId="77777777">
        <w:tc>
          <w:tcPr>
            <w:tcW w:w="2655" w:type="dxa"/>
            <w:shd w:val="clear" w:color="auto" w:fill="auto"/>
          </w:tcPr>
          <w:p w14:paraId="3C512169"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Standard deviation</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0F7B8D4B"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11.7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8290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1.5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B910C"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2.0</w:t>
            </w:r>
          </w:p>
        </w:tc>
      </w:tr>
      <w:tr w:rsidR="00EA3D73" w14:paraId="54411492" w14:textId="77777777">
        <w:tc>
          <w:tcPr>
            <w:tcW w:w="2655" w:type="dxa"/>
            <w:shd w:val="clear" w:color="auto" w:fill="auto"/>
          </w:tcPr>
          <w:p w14:paraId="021AC265"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Range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57A03B69"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44.1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4171F"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6.6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7C0E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8.0</w:t>
            </w:r>
          </w:p>
        </w:tc>
      </w:tr>
      <w:tr w:rsidR="00EA3D73" w14:paraId="1ED240E4" w14:textId="77777777">
        <w:tc>
          <w:tcPr>
            <w:tcW w:w="2655" w:type="dxa"/>
            <w:shd w:val="clear" w:color="auto" w:fill="auto"/>
          </w:tcPr>
          <w:p w14:paraId="5FBF0206"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Maximum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3DBD89FB"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-22.5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27F2"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-0.9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02684"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1.0</w:t>
            </w:r>
          </w:p>
        </w:tc>
      </w:tr>
      <w:tr w:rsidR="00EA3D73" w14:paraId="70A364CD" w14:textId="77777777">
        <w:tc>
          <w:tcPr>
            <w:tcW w:w="2655" w:type="dxa"/>
            <w:shd w:val="clear" w:color="auto" w:fill="auto"/>
          </w:tcPr>
          <w:p w14:paraId="03102161"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Minimum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1CDD42B5"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21.6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4E3A2"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5.7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DB271"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9.0 </w:t>
            </w:r>
          </w:p>
        </w:tc>
      </w:tr>
    </w:tbl>
    <w:p w14:paraId="1952E7EB" w14:textId="77777777" w:rsidR="00243BD5" w:rsidRDefault="00243BD5">
      <w:pPr>
        <w:jc w:val="both"/>
        <w:rPr>
          <w:rFonts w:ascii="Times New Roman" w:eastAsia="Times New Roman" w:hAnsi="Times New Roman" w:cs="Times New Roman"/>
        </w:rPr>
      </w:pPr>
    </w:p>
    <w:p w14:paraId="22625299" w14:textId="116636D9" w:rsidR="00EA3D73" w:rsidRDefault="007E7F07">
      <w:pPr>
        <w:jc w:val="both"/>
        <w:rPr>
          <w:rFonts w:ascii="Times New Roman" w:eastAsia="Times New Roman" w:hAnsi="Times New Roman" w:cs="Times New Roman"/>
        </w:rPr>
      </w:pPr>
      <w:r>
        <w:rPr>
          <w:rFonts w:ascii="Times New Roman" w:eastAsia="Times New Roman" w:hAnsi="Times New Roman" w:cs="Times New Roman"/>
        </w:rPr>
        <w:t>Table 5: Major summary statistics of annual percent change (%) in retail sales values in Hong Kong, consumer inflation rates in Hong Kong and in India: 2019 to 2023</w:t>
      </w:r>
    </w:p>
    <w:tbl>
      <w:tblPr>
        <w:tblStyle w:val="affa"/>
        <w:tblW w:w="77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5"/>
        <w:gridCol w:w="1695"/>
        <w:gridCol w:w="1425"/>
        <w:gridCol w:w="1980"/>
      </w:tblGrid>
      <w:tr w:rsidR="00EA3D73" w14:paraId="039B1237" w14:textId="77777777">
        <w:tc>
          <w:tcPr>
            <w:tcW w:w="2655" w:type="dxa"/>
            <w:vMerge w:val="restart"/>
            <w:shd w:val="clear" w:color="auto" w:fill="auto"/>
            <w:vAlign w:val="center"/>
          </w:tcPr>
          <w:p w14:paraId="310773A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Summary statistics</w:t>
            </w:r>
          </w:p>
        </w:tc>
        <w:tc>
          <w:tcPr>
            <w:tcW w:w="3120" w:type="dxa"/>
            <w:gridSpan w:val="2"/>
          </w:tcPr>
          <w:p w14:paraId="05ED8141"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Hong Kong</w:t>
            </w:r>
          </w:p>
        </w:tc>
        <w:tc>
          <w:tcPr>
            <w:tcW w:w="1980" w:type="dxa"/>
            <w:shd w:val="clear" w:color="auto" w:fill="auto"/>
          </w:tcPr>
          <w:p w14:paraId="03844015"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India</w:t>
            </w:r>
          </w:p>
        </w:tc>
      </w:tr>
      <w:tr w:rsidR="00EA3D73" w14:paraId="6F42657F" w14:textId="77777777">
        <w:tc>
          <w:tcPr>
            <w:tcW w:w="2655" w:type="dxa"/>
            <w:vMerge/>
            <w:shd w:val="clear" w:color="auto" w:fill="auto"/>
            <w:vAlign w:val="center"/>
          </w:tcPr>
          <w:p w14:paraId="6F167E60" w14:textId="77777777" w:rsidR="00EA3D73" w:rsidRDefault="00EA3D73">
            <w:pPr>
              <w:pBdr>
                <w:top w:val="nil"/>
                <w:left w:val="nil"/>
                <w:bottom w:val="nil"/>
                <w:right w:val="nil"/>
                <w:between w:val="nil"/>
              </w:pBdr>
              <w:spacing w:line="276" w:lineRule="auto"/>
              <w:rPr>
                <w:rFonts w:ascii="Times New Roman" w:eastAsia="Times New Roman" w:hAnsi="Times New Roman" w:cs="Times New Roman"/>
              </w:rPr>
            </w:pPr>
          </w:p>
        </w:tc>
        <w:tc>
          <w:tcPr>
            <w:tcW w:w="1695" w:type="dxa"/>
            <w:tcBorders>
              <w:bottom w:val="single" w:sz="4" w:space="0" w:color="000000"/>
            </w:tcBorders>
          </w:tcPr>
          <w:p w14:paraId="4CFB2422"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ARCHKCPI</w:t>
            </w:r>
          </w:p>
        </w:tc>
        <w:tc>
          <w:tcPr>
            <w:tcW w:w="1425" w:type="dxa"/>
            <w:tcBorders>
              <w:bottom w:val="single" w:sz="4" w:space="0" w:color="000000"/>
            </w:tcBorders>
          </w:tcPr>
          <w:p w14:paraId="59A5FE8C"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ARCHKRS</w:t>
            </w:r>
          </w:p>
        </w:tc>
        <w:tc>
          <w:tcPr>
            <w:tcW w:w="1980" w:type="dxa"/>
            <w:tcBorders>
              <w:bottom w:val="single" w:sz="4" w:space="0" w:color="000000"/>
            </w:tcBorders>
            <w:shd w:val="clear" w:color="auto" w:fill="auto"/>
          </w:tcPr>
          <w:p w14:paraId="502324AA"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APCICPI</w:t>
            </w:r>
          </w:p>
        </w:tc>
      </w:tr>
      <w:tr w:rsidR="00EA3D73" w14:paraId="0057486B" w14:textId="77777777">
        <w:tc>
          <w:tcPr>
            <w:tcW w:w="2655" w:type="dxa"/>
            <w:shd w:val="clear" w:color="auto" w:fill="auto"/>
          </w:tcPr>
          <w:p w14:paraId="613CADE0"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Mean growth rate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6FE74436"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-7.3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0C3A8"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1.7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EB735"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4.5</w:t>
            </w:r>
          </w:p>
        </w:tc>
      </w:tr>
      <w:tr w:rsidR="00EA3D73" w14:paraId="7B22FE54" w14:textId="77777777">
        <w:tc>
          <w:tcPr>
            <w:tcW w:w="2655" w:type="dxa"/>
            <w:shd w:val="clear" w:color="auto" w:fill="auto"/>
          </w:tcPr>
          <w:p w14:paraId="2F81F462"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Standard deviation</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27892055"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13.0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A1EB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1.5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A2BE6"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2.5</w:t>
            </w:r>
          </w:p>
        </w:tc>
      </w:tr>
      <w:tr w:rsidR="00EA3D73" w14:paraId="29314B1C" w14:textId="77777777">
        <w:tc>
          <w:tcPr>
            <w:tcW w:w="2655" w:type="dxa"/>
            <w:shd w:val="clear" w:color="auto" w:fill="auto"/>
          </w:tcPr>
          <w:p w14:paraId="0883CC50"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Range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4341CCD7"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34.9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C1B49"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3.8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FAECA"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7.0</w:t>
            </w:r>
          </w:p>
        </w:tc>
      </w:tr>
      <w:tr w:rsidR="00EA3D73" w14:paraId="726E6E67" w14:textId="77777777">
        <w:tc>
          <w:tcPr>
            <w:tcW w:w="2655" w:type="dxa"/>
            <w:shd w:val="clear" w:color="auto" w:fill="auto"/>
          </w:tcPr>
          <w:p w14:paraId="631B2ED6"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Maximum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24E0B464"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-22.5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52257"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-0.9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33E6B"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1.5</w:t>
            </w:r>
          </w:p>
        </w:tc>
      </w:tr>
      <w:tr w:rsidR="00EA3D73" w14:paraId="49210ACB" w14:textId="77777777">
        <w:tc>
          <w:tcPr>
            <w:tcW w:w="2655" w:type="dxa"/>
            <w:shd w:val="clear" w:color="auto" w:fill="auto"/>
          </w:tcPr>
          <w:p w14:paraId="118E55F7" w14:textId="77777777" w:rsidR="00EA3D73" w:rsidRDefault="007E7F07">
            <w:pPr>
              <w:rPr>
                <w:rFonts w:ascii="Times New Roman" w:eastAsia="Times New Roman" w:hAnsi="Times New Roman" w:cs="Times New Roman"/>
              </w:rPr>
            </w:pPr>
            <w:r>
              <w:rPr>
                <w:rFonts w:ascii="Times New Roman" w:eastAsia="Times New Roman" w:hAnsi="Times New Roman" w:cs="Times New Roman"/>
              </w:rPr>
              <w:t>Minimum (%)</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1C84919D"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12.4 </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3064F"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 xml:space="preserve">2.9 </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5C91C" w14:textId="77777777" w:rsidR="00EA3D73" w:rsidRDefault="007E7F07">
            <w:pPr>
              <w:jc w:val="center"/>
              <w:rPr>
                <w:rFonts w:ascii="Times New Roman" w:eastAsia="Times New Roman" w:hAnsi="Times New Roman" w:cs="Times New Roman"/>
              </w:rPr>
            </w:pPr>
            <w:r>
              <w:rPr>
                <w:rFonts w:ascii="Times New Roman" w:eastAsia="Times New Roman" w:hAnsi="Times New Roman" w:cs="Times New Roman"/>
              </w:rPr>
              <w:t>8.5</w:t>
            </w:r>
          </w:p>
        </w:tc>
      </w:tr>
    </w:tbl>
    <w:p w14:paraId="13A7DC80" w14:textId="77777777" w:rsidR="00EA3D73" w:rsidRDefault="00EA3D73">
      <w:pPr>
        <w:spacing w:line="360" w:lineRule="auto"/>
        <w:jc w:val="both"/>
        <w:rPr>
          <w:rFonts w:ascii="Times New Roman" w:eastAsia="Times New Roman" w:hAnsi="Times New Roman" w:cs="Times New Roman"/>
          <w:b/>
        </w:rPr>
      </w:pPr>
    </w:p>
    <w:p w14:paraId="3637FD38" w14:textId="755919ED" w:rsidR="00243BD5" w:rsidRPr="00243BD5" w:rsidRDefault="00243BD5" w:rsidP="00243BD5">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Table 4 and 5</w:t>
      </w:r>
      <w:r w:rsidRPr="00243BD5">
        <w:rPr>
          <w:rFonts w:ascii="Times New Roman" w:eastAsia="Times New Roman" w:hAnsi="Times New Roman" w:cs="Times New Roman"/>
        </w:rPr>
        <w:t xml:space="preserve"> provide a detailed comparison of the annual percent change in retail sales values in Hong Kong (ARCHKRS), consumer inflation rates in Hong Kong (ARCHKCPI), and consumer inflation rates in India (APCICPI) over two periods: 2006–2023 and 2019–2023. These findings offer valuable insights that can support </w:t>
      </w:r>
      <w:r>
        <w:rPr>
          <w:rFonts w:ascii="Times New Roman" w:eastAsia="Times New Roman" w:hAnsi="Times New Roman" w:cs="Times New Roman"/>
        </w:rPr>
        <w:t>Company A</w:t>
      </w:r>
      <w:r w:rsidRPr="00243BD5">
        <w:rPr>
          <w:rFonts w:ascii="Times New Roman" w:eastAsia="Times New Roman" w:hAnsi="Times New Roman" w:cs="Times New Roman"/>
        </w:rPr>
        <w:t>’s decision to expand its business into India.</w:t>
      </w:r>
    </w:p>
    <w:p w14:paraId="1CFA2F21" w14:textId="77777777" w:rsidR="00243BD5" w:rsidRPr="00243BD5" w:rsidRDefault="00243BD5" w:rsidP="00243BD5">
      <w:pPr>
        <w:spacing w:line="360" w:lineRule="auto"/>
        <w:ind w:firstLine="360"/>
        <w:jc w:val="both"/>
        <w:rPr>
          <w:rFonts w:ascii="Times New Roman" w:eastAsia="Times New Roman" w:hAnsi="Times New Roman" w:cs="Times New Roman"/>
        </w:rPr>
      </w:pPr>
    </w:p>
    <w:p w14:paraId="44EEBA0A" w14:textId="4595AE4A" w:rsidR="00243BD5" w:rsidRPr="00243BD5"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 xml:space="preserve">From 2006 to 2023, the mean growth rate of consumer inflation in India (5%) was higher than in Hong Kong (3.5%), indicating that India has experienced relatively higher inflationary pressures over the long term. However, the standard deviation of inflation in India (2.0%) was lower than in Hong Kong (11.7%), suggesting that India’s inflation rates have been more stable compared to the significant volatility observed in Hong Kong. This stability in India’s inflation trends provides a more predictable environment for retail businesses like </w:t>
      </w:r>
      <w:r>
        <w:rPr>
          <w:rFonts w:ascii="Times New Roman" w:eastAsia="Times New Roman" w:hAnsi="Times New Roman" w:cs="Times New Roman"/>
        </w:rPr>
        <w:t>Company A</w:t>
      </w:r>
      <w:r w:rsidRPr="00243BD5">
        <w:rPr>
          <w:rFonts w:ascii="Times New Roman" w:eastAsia="Times New Roman" w:hAnsi="Times New Roman" w:cs="Times New Roman"/>
        </w:rPr>
        <w:t xml:space="preserve"> to plan pricing strategies and manage costs effectively. Additionally, the mean growth rate of retail sales in Hong Kong (2.6%) reflects steady consumer demand, which</w:t>
      </w:r>
      <w:r>
        <w:rPr>
          <w:rFonts w:ascii="Times New Roman" w:eastAsia="Times New Roman" w:hAnsi="Times New Roman" w:cs="Times New Roman"/>
        </w:rPr>
        <w:t xml:space="preserve"> and </w:t>
      </w:r>
      <w:r w:rsidRPr="00243BD5">
        <w:rPr>
          <w:rFonts w:ascii="Times New Roman" w:eastAsia="Times New Roman" w:hAnsi="Times New Roman" w:cs="Times New Roman"/>
        </w:rPr>
        <w:t xml:space="preserve">when </w:t>
      </w:r>
      <w:r>
        <w:rPr>
          <w:rFonts w:ascii="Times New Roman" w:eastAsia="Times New Roman" w:hAnsi="Times New Roman" w:cs="Times New Roman"/>
        </w:rPr>
        <w:t xml:space="preserve">to </w:t>
      </w:r>
      <w:r w:rsidRPr="00243BD5">
        <w:rPr>
          <w:rFonts w:ascii="Times New Roman" w:eastAsia="Times New Roman" w:hAnsi="Times New Roman" w:cs="Times New Roman"/>
        </w:rPr>
        <w:t>combine with India’s growing retail market, suggest</w:t>
      </w:r>
      <w:r>
        <w:rPr>
          <w:rFonts w:ascii="Times New Roman" w:eastAsia="Times New Roman" w:hAnsi="Times New Roman" w:cs="Times New Roman"/>
        </w:rPr>
        <w:t>ed</w:t>
      </w:r>
      <w:r w:rsidRPr="00243BD5">
        <w:rPr>
          <w:rFonts w:ascii="Times New Roman" w:eastAsia="Times New Roman" w:hAnsi="Times New Roman" w:cs="Times New Roman"/>
        </w:rPr>
        <w:t xml:space="preserve"> that </w:t>
      </w:r>
      <w:r>
        <w:rPr>
          <w:rFonts w:ascii="Times New Roman" w:eastAsia="Times New Roman" w:hAnsi="Times New Roman" w:cs="Times New Roman"/>
        </w:rPr>
        <w:t>Company A</w:t>
      </w:r>
      <w:r w:rsidRPr="00243BD5">
        <w:rPr>
          <w:rFonts w:ascii="Times New Roman" w:eastAsia="Times New Roman" w:hAnsi="Times New Roman" w:cs="Times New Roman"/>
        </w:rPr>
        <w:t xml:space="preserve"> can leverage its expertise in managing retail operations to tap into India’s expanding consumer base.</w:t>
      </w:r>
    </w:p>
    <w:p w14:paraId="1563DC30" w14:textId="77777777" w:rsidR="00243BD5" w:rsidRPr="00243BD5" w:rsidRDefault="00243BD5" w:rsidP="00243BD5">
      <w:pPr>
        <w:spacing w:line="360" w:lineRule="auto"/>
        <w:ind w:firstLine="360"/>
        <w:jc w:val="both"/>
        <w:rPr>
          <w:rFonts w:ascii="Times New Roman" w:eastAsia="Times New Roman" w:hAnsi="Times New Roman" w:cs="Times New Roman"/>
        </w:rPr>
      </w:pPr>
    </w:p>
    <w:p w14:paraId="3302ED03" w14:textId="35B020C7" w:rsidR="00243BD5" w:rsidRPr="00243BD5"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The data from 2019 to 2023, a period marked by global economic disruptions such as the COVID-</w:t>
      </w:r>
      <w:r w:rsidRPr="00243BD5">
        <w:rPr>
          <w:rFonts w:ascii="Times New Roman" w:eastAsia="Times New Roman" w:hAnsi="Times New Roman" w:cs="Times New Roman"/>
        </w:rPr>
        <w:lastRenderedPageBreak/>
        <w:t xml:space="preserve">19 pandemic, reveals a decline in the mean growth rate of consumer inflation in Hong Kong (-7.3%) and a slight increase in India (4.5%). This contrast highlights India’s resilience during global crises, as its inflation rates remained relatively stable compared to Hong Kong’s sharp decline. The mean growth rate of retail sales in Hong Kong during this period (1.7%) indicates a recovery phase, demonstrating </w:t>
      </w:r>
      <w:r w:rsidR="00B66EAA">
        <w:rPr>
          <w:rFonts w:ascii="Times New Roman" w:eastAsia="Times New Roman" w:hAnsi="Times New Roman" w:cs="Times New Roman"/>
        </w:rPr>
        <w:t>Company A</w:t>
      </w:r>
      <w:r w:rsidRPr="00243BD5">
        <w:rPr>
          <w:rFonts w:ascii="Times New Roman" w:eastAsia="Times New Roman" w:hAnsi="Times New Roman" w:cs="Times New Roman"/>
        </w:rPr>
        <w:t xml:space="preserve">’s ability to adapt to challenging economic conditions. This adaptability will be crucial for </w:t>
      </w:r>
      <w:r w:rsidR="00B66EAA">
        <w:rPr>
          <w:rFonts w:ascii="Times New Roman" w:eastAsia="Times New Roman" w:hAnsi="Times New Roman" w:cs="Times New Roman"/>
        </w:rPr>
        <w:t>Company A</w:t>
      </w:r>
      <w:r w:rsidRPr="00243BD5">
        <w:rPr>
          <w:rFonts w:ascii="Times New Roman" w:eastAsia="Times New Roman" w:hAnsi="Times New Roman" w:cs="Times New Roman"/>
        </w:rPr>
        <w:t>’s expansion into India, where economic resilience and consumer demand are key drivers of retail growth.</w:t>
      </w:r>
    </w:p>
    <w:p w14:paraId="124B6230" w14:textId="77777777" w:rsidR="00243BD5" w:rsidRPr="00243BD5" w:rsidRDefault="00243BD5" w:rsidP="00243BD5">
      <w:pPr>
        <w:spacing w:line="360" w:lineRule="auto"/>
        <w:ind w:firstLine="360"/>
        <w:jc w:val="both"/>
        <w:rPr>
          <w:rFonts w:ascii="Times New Roman" w:eastAsia="Times New Roman" w:hAnsi="Times New Roman" w:cs="Times New Roman"/>
        </w:rPr>
      </w:pPr>
    </w:p>
    <w:p w14:paraId="71027399" w14:textId="2E285839" w:rsidR="00243BD5" w:rsidRPr="00243BD5"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 xml:space="preserve">The tables also show that the range of inflation rates in India (8.0% from 2006–2023 and 7.0% from 2019–2023) is narrower than in Hong Kong (44.1% and 34.9%, respectively), further emphasizing the relative stability of India’s economic environment. This stability, combined with India’s higher mean inflation growth rate, suggests a growing consumer market with increasing purchasing power, which aligns with </w:t>
      </w:r>
      <w:r w:rsidR="00B66EAA">
        <w:rPr>
          <w:rFonts w:ascii="Times New Roman" w:eastAsia="Times New Roman" w:hAnsi="Times New Roman" w:cs="Times New Roman"/>
        </w:rPr>
        <w:t>Company A</w:t>
      </w:r>
      <w:r w:rsidRPr="00243BD5">
        <w:rPr>
          <w:rFonts w:ascii="Times New Roman" w:eastAsia="Times New Roman" w:hAnsi="Times New Roman" w:cs="Times New Roman"/>
        </w:rPr>
        <w:t xml:space="preserve">’s potential to introduce its retail offerings. By leveraging its experience in navigating volatile markets like Hong Kong, </w:t>
      </w:r>
      <w:r w:rsidR="00B66EAA">
        <w:rPr>
          <w:rFonts w:ascii="Times New Roman" w:eastAsia="Times New Roman" w:hAnsi="Times New Roman" w:cs="Times New Roman"/>
        </w:rPr>
        <w:t>Company A</w:t>
      </w:r>
      <w:r w:rsidRPr="00243BD5">
        <w:rPr>
          <w:rFonts w:ascii="Times New Roman" w:eastAsia="Times New Roman" w:hAnsi="Times New Roman" w:cs="Times New Roman"/>
        </w:rPr>
        <w:t xml:space="preserve"> can develop strategies to address India’s unique economic conditions, such as localized pricing and product assortments tailored to regional preferences.</w:t>
      </w:r>
    </w:p>
    <w:p w14:paraId="06199C36" w14:textId="77777777" w:rsidR="00243BD5" w:rsidRPr="00243BD5" w:rsidRDefault="00243BD5" w:rsidP="00243BD5">
      <w:pPr>
        <w:spacing w:line="360" w:lineRule="auto"/>
        <w:ind w:firstLine="360"/>
        <w:jc w:val="both"/>
        <w:rPr>
          <w:rFonts w:ascii="Times New Roman" w:eastAsia="Times New Roman" w:hAnsi="Times New Roman" w:cs="Times New Roman"/>
        </w:rPr>
      </w:pPr>
    </w:p>
    <w:p w14:paraId="1F8A7F30" w14:textId="21F14DDC" w:rsidR="00243BD5" w:rsidRPr="00243BD5" w:rsidRDefault="00243BD5" w:rsidP="00243BD5">
      <w:pPr>
        <w:spacing w:line="360" w:lineRule="auto"/>
        <w:ind w:firstLine="360"/>
        <w:jc w:val="both"/>
        <w:rPr>
          <w:rFonts w:ascii="Times New Roman" w:eastAsia="Times New Roman" w:hAnsi="Times New Roman" w:cs="Times New Roman"/>
        </w:rPr>
      </w:pPr>
      <w:r w:rsidRPr="00243BD5">
        <w:rPr>
          <w:rFonts w:ascii="Times New Roman" w:eastAsia="Times New Roman" w:hAnsi="Times New Roman" w:cs="Times New Roman"/>
        </w:rPr>
        <w:t xml:space="preserve">In conclusion, the findings from the tables underscore India’s potential as a stable and growing retail market, supported by consistent inflation trends and resilient consumer demand. </w:t>
      </w:r>
      <w:r w:rsidR="00B66EAA">
        <w:rPr>
          <w:rFonts w:ascii="Times New Roman" w:eastAsia="Times New Roman" w:hAnsi="Times New Roman" w:cs="Times New Roman"/>
        </w:rPr>
        <w:t>Company A</w:t>
      </w:r>
      <w:r w:rsidRPr="00243BD5">
        <w:rPr>
          <w:rFonts w:ascii="Times New Roman" w:eastAsia="Times New Roman" w:hAnsi="Times New Roman" w:cs="Times New Roman"/>
        </w:rPr>
        <w:t xml:space="preserve">’s proven ability to manage retail operations in fluctuating economic environments, as demonstrated in Hong Kong, positions it well to capitalize on India’s opportunities. By applying its expertise in pricing, cost management, and consumer engagement, </w:t>
      </w:r>
      <w:r w:rsidR="00B66EAA">
        <w:rPr>
          <w:rFonts w:ascii="Times New Roman" w:eastAsia="Times New Roman" w:hAnsi="Times New Roman" w:cs="Times New Roman"/>
        </w:rPr>
        <w:t>Company A</w:t>
      </w:r>
      <w:r w:rsidRPr="00243BD5">
        <w:rPr>
          <w:rFonts w:ascii="Times New Roman" w:eastAsia="Times New Roman" w:hAnsi="Times New Roman" w:cs="Times New Roman"/>
        </w:rPr>
        <w:t xml:space="preserve"> can successfully expand its business into India and establish a strong presence in this dynamic market.</w:t>
      </w:r>
    </w:p>
    <w:p w14:paraId="7792A650" w14:textId="50033C34" w:rsidR="00582CDA" w:rsidRDefault="00582CDA" w:rsidP="00CA2533">
      <w:pPr>
        <w:spacing w:line="360" w:lineRule="auto"/>
        <w:ind w:firstLine="360"/>
        <w:jc w:val="both"/>
        <w:rPr>
          <w:rFonts w:ascii="Times New Roman" w:eastAsia="Times New Roman" w:hAnsi="Times New Roman" w:cs="Times New Roman"/>
        </w:rPr>
      </w:pPr>
    </w:p>
    <w:p w14:paraId="07FAD9DD"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 xml:space="preserve">Global price changes have significantly influenced domestic markets, driven by factors such as supply chain disruptions, geopolitical events, and commodity market trends. These shifts have been transmitted through trade, inflation, exchange rates, and foreign direct investment, leading to fluctuations in domestic inflation and deflation. For instance, India's food costs experienced notable volatility from 2022 to 2025, primarily due to inflationary pressures and supply chain challenges. While food inflation remained relatively stable in 2022, it surged sharply in 2023, averaging around 8.4% in the first half of FY25 (April-December). Adverse weather conditions and supply chain </w:t>
      </w:r>
      <w:r w:rsidRPr="00A15C00">
        <w:rPr>
          <w:rFonts w:ascii="Times New Roman" w:eastAsia="Times New Roman" w:hAnsi="Times New Roman" w:cs="Times New Roman"/>
        </w:rPr>
        <w:lastRenderedPageBreak/>
        <w:t>disruptions were key contributors, particularly affecting essential items like vegetables and pulses, which constitute a significant portion of the Consumer Price Index (CPI). By January 2025, year-on-year food inflation stood at 6.02%, reflecting ongoing price pressures despite a slight decline from previous months.</w:t>
      </w:r>
    </w:p>
    <w:p w14:paraId="3D84B9F1"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27DE3768"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Price disparities between markets further illustrate the impact of global price changes. For example, the Butterfly Premium Vegetable Chopper, priced at INR 299 (HKD 26.61) in India, is sold at HKD 129.90 in Hong Kong. Similarly, petrol prices in Hong Kong and India followed divergent trends from 2022 to 2025, highlighting the varying effects of global dynamics on local markets.</w:t>
      </w:r>
    </w:p>
    <w:p w14:paraId="130056FE" w14:textId="77777777" w:rsidR="00582CDA" w:rsidRPr="00A15C00" w:rsidRDefault="00582CDA" w:rsidP="00582CDA">
      <w:pPr>
        <w:spacing w:line="360" w:lineRule="auto"/>
        <w:jc w:val="both"/>
        <w:rPr>
          <w:rFonts w:ascii="Times New Roman" w:eastAsia="Times New Roman" w:hAnsi="Times New Roman" w:cs="Times New Roman"/>
        </w:rPr>
      </w:pPr>
    </w:p>
    <w:p w14:paraId="0F160952" w14:textId="77777777" w:rsidR="00582CDA" w:rsidRPr="00A15C00" w:rsidRDefault="00582CDA" w:rsidP="00582CDA">
      <w:pPr>
        <w:spacing w:line="360" w:lineRule="auto"/>
        <w:jc w:val="both"/>
        <w:rPr>
          <w:rFonts w:ascii="Times New Roman" w:eastAsia="Times New Roman" w:hAnsi="Times New Roman" w:cs="Times New Roman"/>
        </w:rPr>
      </w:pPr>
      <w:r w:rsidRPr="00A15C00">
        <w:rPr>
          <w:rFonts w:ascii="Times New Roman" w:eastAsia="Times New Roman" w:hAnsi="Times New Roman" w:cs="Times New Roman"/>
        </w:rPr>
        <w:t>Table A: Import and Export cost of Hong Kong and India from 2022 to 2025</w:t>
      </w:r>
    </w:p>
    <w:tbl>
      <w:tblPr>
        <w:tblStyle w:val="aff2"/>
        <w:tblW w:w="96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7"/>
        <w:gridCol w:w="1927"/>
        <w:gridCol w:w="1928"/>
        <w:gridCol w:w="1928"/>
        <w:gridCol w:w="1928"/>
      </w:tblGrid>
      <w:tr w:rsidR="00A15C00" w:rsidRPr="00A15C00" w14:paraId="6C9B6D7C" w14:textId="77777777" w:rsidTr="00364982">
        <w:tc>
          <w:tcPr>
            <w:tcW w:w="1927" w:type="dxa"/>
            <w:shd w:val="clear" w:color="auto" w:fill="auto"/>
            <w:tcMar>
              <w:top w:w="100" w:type="dxa"/>
              <w:left w:w="100" w:type="dxa"/>
              <w:bottom w:w="100" w:type="dxa"/>
              <w:right w:w="100" w:type="dxa"/>
            </w:tcMar>
          </w:tcPr>
          <w:p w14:paraId="5B70475C"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Year</w:t>
            </w:r>
          </w:p>
        </w:tc>
        <w:tc>
          <w:tcPr>
            <w:tcW w:w="1927" w:type="dxa"/>
            <w:shd w:val="clear" w:color="auto" w:fill="auto"/>
            <w:tcMar>
              <w:top w:w="100" w:type="dxa"/>
              <w:left w:w="100" w:type="dxa"/>
              <w:bottom w:w="100" w:type="dxa"/>
              <w:right w:w="100" w:type="dxa"/>
            </w:tcMar>
          </w:tcPr>
          <w:p w14:paraId="7D6E7394"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Hong Kong Import (USD Billion)</w:t>
            </w:r>
          </w:p>
        </w:tc>
        <w:tc>
          <w:tcPr>
            <w:tcW w:w="1927" w:type="dxa"/>
            <w:shd w:val="clear" w:color="auto" w:fill="auto"/>
            <w:tcMar>
              <w:top w:w="100" w:type="dxa"/>
              <w:left w:w="100" w:type="dxa"/>
              <w:bottom w:w="100" w:type="dxa"/>
              <w:right w:w="100" w:type="dxa"/>
            </w:tcMar>
          </w:tcPr>
          <w:p w14:paraId="1154E8D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Hong Kong Export (USD Billion)</w:t>
            </w:r>
          </w:p>
        </w:tc>
        <w:tc>
          <w:tcPr>
            <w:tcW w:w="1927" w:type="dxa"/>
            <w:shd w:val="clear" w:color="auto" w:fill="auto"/>
            <w:tcMar>
              <w:top w:w="100" w:type="dxa"/>
              <w:left w:w="100" w:type="dxa"/>
              <w:bottom w:w="100" w:type="dxa"/>
              <w:right w:w="100" w:type="dxa"/>
            </w:tcMar>
          </w:tcPr>
          <w:p w14:paraId="0174F4CC"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India Imports (USD Billion)</w:t>
            </w:r>
          </w:p>
        </w:tc>
        <w:tc>
          <w:tcPr>
            <w:tcW w:w="1927" w:type="dxa"/>
            <w:shd w:val="clear" w:color="auto" w:fill="auto"/>
            <w:tcMar>
              <w:top w:w="100" w:type="dxa"/>
              <w:left w:w="100" w:type="dxa"/>
              <w:bottom w:w="100" w:type="dxa"/>
              <w:right w:w="100" w:type="dxa"/>
            </w:tcMar>
          </w:tcPr>
          <w:p w14:paraId="7EDFD92C"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India Exports (USD Billion)</w:t>
            </w:r>
          </w:p>
        </w:tc>
      </w:tr>
      <w:tr w:rsidR="00A15C00" w:rsidRPr="00A15C00" w14:paraId="5288EC4A" w14:textId="77777777" w:rsidTr="00364982">
        <w:tc>
          <w:tcPr>
            <w:tcW w:w="1927" w:type="dxa"/>
            <w:shd w:val="clear" w:color="auto" w:fill="auto"/>
            <w:tcMar>
              <w:top w:w="100" w:type="dxa"/>
              <w:left w:w="100" w:type="dxa"/>
              <w:bottom w:w="100" w:type="dxa"/>
              <w:right w:w="100" w:type="dxa"/>
            </w:tcMar>
          </w:tcPr>
          <w:p w14:paraId="21C4273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2022</w:t>
            </w:r>
          </w:p>
        </w:tc>
        <w:tc>
          <w:tcPr>
            <w:tcW w:w="1927" w:type="dxa"/>
            <w:shd w:val="clear" w:color="auto" w:fill="auto"/>
            <w:tcMar>
              <w:top w:w="100" w:type="dxa"/>
              <w:left w:w="100" w:type="dxa"/>
              <w:bottom w:w="100" w:type="dxa"/>
              <w:right w:w="100" w:type="dxa"/>
            </w:tcMar>
          </w:tcPr>
          <w:p w14:paraId="7D20EB26"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N/A</w:t>
            </w:r>
          </w:p>
        </w:tc>
        <w:tc>
          <w:tcPr>
            <w:tcW w:w="1927" w:type="dxa"/>
            <w:shd w:val="clear" w:color="auto" w:fill="auto"/>
            <w:tcMar>
              <w:top w:w="100" w:type="dxa"/>
              <w:left w:w="100" w:type="dxa"/>
              <w:bottom w:w="100" w:type="dxa"/>
              <w:right w:w="100" w:type="dxa"/>
            </w:tcMar>
          </w:tcPr>
          <w:p w14:paraId="72EA1B4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580</w:t>
            </w:r>
          </w:p>
        </w:tc>
        <w:tc>
          <w:tcPr>
            <w:tcW w:w="1927" w:type="dxa"/>
            <w:shd w:val="clear" w:color="auto" w:fill="auto"/>
            <w:tcMar>
              <w:top w:w="100" w:type="dxa"/>
              <w:left w:w="100" w:type="dxa"/>
              <w:bottom w:w="100" w:type="dxa"/>
              <w:right w:w="100" w:type="dxa"/>
            </w:tcMar>
          </w:tcPr>
          <w:p w14:paraId="1A2519AF"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616</w:t>
            </w:r>
          </w:p>
        </w:tc>
        <w:tc>
          <w:tcPr>
            <w:tcW w:w="1927" w:type="dxa"/>
            <w:shd w:val="clear" w:color="auto" w:fill="auto"/>
            <w:tcMar>
              <w:top w:w="100" w:type="dxa"/>
              <w:left w:w="100" w:type="dxa"/>
              <w:bottom w:w="100" w:type="dxa"/>
              <w:right w:w="100" w:type="dxa"/>
            </w:tcMar>
          </w:tcPr>
          <w:p w14:paraId="1C570C8B"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44.57</w:t>
            </w:r>
          </w:p>
        </w:tc>
      </w:tr>
      <w:tr w:rsidR="00A15C00" w:rsidRPr="00A15C00" w14:paraId="1D0E569A" w14:textId="77777777" w:rsidTr="00364982">
        <w:tc>
          <w:tcPr>
            <w:tcW w:w="1927" w:type="dxa"/>
            <w:shd w:val="clear" w:color="auto" w:fill="auto"/>
            <w:tcMar>
              <w:top w:w="100" w:type="dxa"/>
              <w:left w:w="100" w:type="dxa"/>
              <w:bottom w:w="100" w:type="dxa"/>
              <w:right w:w="100" w:type="dxa"/>
            </w:tcMar>
          </w:tcPr>
          <w:p w14:paraId="69DDAAC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2023</w:t>
            </w:r>
          </w:p>
        </w:tc>
        <w:tc>
          <w:tcPr>
            <w:tcW w:w="1927" w:type="dxa"/>
            <w:shd w:val="clear" w:color="auto" w:fill="auto"/>
            <w:tcMar>
              <w:top w:w="100" w:type="dxa"/>
              <w:left w:w="100" w:type="dxa"/>
              <w:bottom w:w="100" w:type="dxa"/>
              <w:right w:w="100" w:type="dxa"/>
            </w:tcMar>
          </w:tcPr>
          <w:p w14:paraId="77ED4A3D"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N/A</w:t>
            </w:r>
          </w:p>
        </w:tc>
        <w:tc>
          <w:tcPr>
            <w:tcW w:w="1927" w:type="dxa"/>
            <w:shd w:val="clear" w:color="auto" w:fill="auto"/>
            <w:tcMar>
              <w:top w:w="100" w:type="dxa"/>
              <w:left w:w="100" w:type="dxa"/>
              <w:bottom w:w="100" w:type="dxa"/>
              <w:right w:w="100" w:type="dxa"/>
            </w:tcMar>
          </w:tcPr>
          <w:p w14:paraId="6545FDF8"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534</w:t>
            </w:r>
          </w:p>
        </w:tc>
        <w:tc>
          <w:tcPr>
            <w:tcW w:w="1927" w:type="dxa"/>
            <w:shd w:val="clear" w:color="auto" w:fill="auto"/>
            <w:tcMar>
              <w:top w:w="100" w:type="dxa"/>
              <w:left w:w="100" w:type="dxa"/>
              <w:bottom w:w="100" w:type="dxa"/>
              <w:right w:w="100" w:type="dxa"/>
            </w:tcMar>
          </w:tcPr>
          <w:p w14:paraId="492CFE04"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716</w:t>
            </w:r>
          </w:p>
        </w:tc>
        <w:tc>
          <w:tcPr>
            <w:tcW w:w="1927" w:type="dxa"/>
            <w:shd w:val="clear" w:color="auto" w:fill="auto"/>
            <w:tcMar>
              <w:top w:w="100" w:type="dxa"/>
              <w:left w:w="100" w:type="dxa"/>
              <w:bottom w:w="100" w:type="dxa"/>
              <w:right w:w="100" w:type="dxa"/>
            </w:tcMar>
          </w:tcPr>
          <w:p w14:paraId="5E19C102"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776</w:t>
            </w:r>
          </w:p>
        </w:tc>
      </w:tr>
      <w:tr w:rsidR="00A15C00" w:rsidRPr="00A15C00" w14:paraId="5E0918A3" w14:textId="77777777" w:rsidTr="00364982">
        <w:tc>
          <w:tcPr>
            <w:tcW w:w="1927" w:type="dxa"/>
            <w:shd w:val="clear" w:color="auto" w:fill="auto"/>
            <w:tcMar>
              <w:top w:w="100" w:type="dxa"/>
              <w:left w:w="100" w:type="dxa"/>
              <w:bottom w:w="100" w:type="dxa"/>
              <w:right w:w="100" w:type="dxa"/>
            </w:tcMar>
          </w:tcPr>
          <w:p w14:paraId="4A1D0280"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2024</w:t>
            </w:r>
          </w:p>
        </w:tc>
        <w:tc>
          <w:tcPr>
            <w:tcW w:w="1927" w:type="dxa"/>
            <w:shd w:val="clear" w:color="auto" w:fill="auto"/>
            <w:tcMar>
              <w:top w:w="100" w:type="dxa"/>
              <w:left w:w="100" w:type="dxa"/>
              <w:bottom w:w="100" w:type="dxa"/>
              <w:right w:w="100" w:type="dxa"/>
            </w:tcMar>
          </w:tcPr>
          <w:p w14:paraId="55F5B6F3"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N/A</w:t>
            </w:r>
          </w:p>
        </w:tc>
        <w:tc>
          <w:tcPr>
            <w:tcW w:w="1927" w:type="dxa"/>
            <w:shd w:val="clear" w:color="auto" w:fill="auto"/>
            <w:tcMar>
              <w:top w:w="100" w:type="dxa"/>
              <w:left w:w="100" w:type="dxa"/>
              <w:bottom w:w="100" w:type="dxa"/>
              <w:right w:w="100" w:type="dxa"/>
            </w:tcMar>
          </w:tcPr>
          <w:p w14:paraId="4E7868EF"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640</w:t>
            </w:r>
          </w:p>
        </w:tc>
        <w:tc>
          <w:tcPr>
            <w:tcW w:w="1927" w:type="dxa"/>
            <w:shd w:val="clear" w:color="auto" w:fill="auto"/>
            <w:tcMar>
              <w:top w:w="100" w:type="dxa"/>
              <w:left w:w="100" w:type="dxa"/>
              <w:bottom w:w="100" w:type="dxa"/>
              <w:right w:w="100" w:type="dxa"/>
            </w:tcMar>
          </w:tcPr>
          <w:p w14:paraId="7C5E7ECC"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675.4</w:t>
            </w:r>
          </w:p>
        </w:tc>
        <w:tc>
          <w:tcPr>
            <w:tcW w:w="1927" w:type="dxa"/>
            <w:shd w:val="clear" w:color="auto" w:fill="auto"/>
            <w:tcMar>
              <w:top w:w="100" w:type="dxa"/>
              <w:left w:w="100" w:type="dxa"/>
              <w:bottom w:w="100" w:type="dxa"/>
              <w:right w:w="100" w:type="dxa"/>
            </w:tcMar>
          </w:tcPr>
          <w:p w14:paraId="5033607A"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N/A</w:t>
            </w:r>
          </w:p>
        </w:tc>
      </w:tr>
      <w:tr w:rsidR="00A15C00" w:rsidRPr="00A15C00" w14:paraId="3413BCBD" w14:textId="77777777" w:rsidTr="00364982">
        <w:tc>
          <w:tcPr>
            <w:tcW w:w="1927" w:type="dxa"/>
            <w:shd w:val="clear" w:color="auto" w:fill="auto"/>
            <w:tcMar>
              <w:top w:w="100" w:type="dxa"/>
              <w:left w:w="100" w:type="dxa"/>
              <w:bottom w:w="100" w:type="dxa"/>
              <w:right w:w="100" w:type="dxa"/>
            </w:tcMar>
          </w:tcPr>
          <w:p w14:paraId="1E0309C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2025 (As of January)</w:t>
            </w:r>
          </w:p>
        </w:tc>
        <w:tc>
          <w:tcPr>
            <w:tcW w:w="1927" w:type="dxa"/>
            <w:shd w:val="clear" w:color="auto" w:fill="auto"/>
            <w:tcMar>
              <w:top w:w="100" w:type="dxa"/>
              <w:left w:w="100" w:type="dxa"/>
              <w:bottom w:w="100" w:type="dxa"/>
              <w:right w:w="100" w:type="dxa"/>
            </w:tcMar>
          </w:tcPr>
          <w:p w14:paraId="759A9B43"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387.1</w:t>
            </w:r>
          </w:p>
        </w:tc>
        <w:tc>
          <w:tcPr>
            <w:tcW w:w="1927" w:type="dxa"/>
            <w:shd w:val="clear" w:color="auto" w:fill="auto"/>
            <w:tcMar>
              <w:top w:w="100" w:type="dxa"/>
              <w:left w:w="100" w:type="dxa"/>
              <w:bottom w:w="100" w:type="dxa"/>
              <w:right w:w="100" w:type="dxa"/>
            </w:tcMar>
          </w:tcPr>
          <w:p w14:paraId="47434B3B"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389.1</w:t>
            </w:r>
          </w:p>
        </w:tc>
        <w:tc>
          <w:tcPr>
            <w:tcW w:w="1927" w:type="dxa"/>
            <w:shd w:val="clear" w:color="auto" w:fill="auto"/>
            <w:tcMar>
              <w:top w:w="100" w:type="dxa"/>
              <w:left w:w="100" w:type="dxa"/>
              <w:bottom w:w="100" w:type="dxa"/>
              <w:right w:w="100" w:type="dxa"/>
            </w:tcMar>
          </w:tcPr>
          <w:p w14:paraId="7BA9F3DE"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59.42</w:t>
            </w:r>
          </w:p>
        </w:tc>
        <w:tc>
          <w:tcPr>
            <w:tcW w:w="1927" w:type="dxa"/>
            <w:shd w:val="clear" w:color="auto" w:fill="auto"/>
            <w:tcMar>
              <w:top w:w="100" w:type="dxa"/>
              <w:left w:w="100" w:type="dxa"/>
              <w:bottom w:w="100" w:type="dxa"/>
              <w:right w:w="100" w:type="dxa"/>
            </w:tcMar>
          </w:tcPr>
          <w:p w14:paraId="41FD78E5"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36.43</w:t>
            </w:r>
          </w:p>
        </w:tc>
      </w:tr>
      <w:tr w:rsidR="00A15C00" w:rsidRPr="00A15C00" w14:paraId="4C32D757" w14:textId="77777777" w:rsidTr="00364982">
        <w:trPr>
          <w:trHeight w:val="440"/>
        </w:trPr>
        <w:tc>
          <w:tcPr>
            <w:tcW w:w="9635" w:type="dxa"/>
            <w:gridSpan w:val="5"/>
            <w:shd w:val="clear" w:color="auto" w:fill="auto"/>
            <w:tcMar>
              <w:top w:w="100" w:type="dxa"/>
              <w:left w:w="100" w:type="dxa"/>
              <w:bottom w:w="100" w:type="dxa"/>
              <w:right w:w="100" w:type="dxa"/>
            </w:tcMar>
          </w:tcPr>
          <w:p w14:paraId="743C6670" w14:textId="77777777" w:rsidR="00582CDA" w:rsidRPr="00A15C00" w:rsidRDefault="00582CDA" w:rsidP="00364982">
            <w:pPr>
              <w:pBdr>
                <w:top w:val="nil"/>
                <w:left w:val="nil"/>
                <w:bottom w:val="nil"/>
                <w:right w:val="nil"/>
                <w:between w:val="nil"/>
              </w:pBdr>
              <w:rPr>
                <w:rFonts w:ascii="Times New Roman" w:eastAsia="Times New Roman" w:hAnsi="Times New Roman" w:cs="Times New Roman"/>
              </w:rPr>
            </w:pPr>
            <w:r w:rsidRPr="00A15C00">
              <w:rPr>
                <w:rFonts w:ascii="Times New Roman" w:eastAsia="Times New Roman" w:hAnsi="Times New Roman" w:cs="Times New Roman"/>
                <w:sz w:val="20"/>
                <w:szCs w:val="18"/>
              </w:rPr>
              <w:t>Source: Ministry of Finance, Census and Statistics Department (C&amp;SD) of Hong Kong</w:t>
            </w:r>
          </w:p>
        </w:tc>
      </w:tr>
    </w:tbl>
    <w:p w14:paraId="557BF9CC" w14:textId="77777777" w:rsidR="00582CDA" w:rsidRPr="00A15C00" w:rsidRDefault="00582CDA" w:rsidP="00582CDA">
      <w:pPr>
        <w:spacing w:line="360" w:lineRule="auto"/>
        <w:jc w:val="both"/>
        <w:rPr>
          <w:rFonts w:ascii="Times New Roman" w:eastAsia="Times New Roman" w:hAnsi="Times New Roman" w:cs="Times New Roman"/>
        </w:rPr>
      </w:pPr>
    </w:p>
    <w:p w14:paraId="102AF51B"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Referring to Table A, trade and economic trends from 2022 to 2025 reveal distinct patterns for Hong Kong and India. Hong Kong's exports fluctuated, reaching USD 389.1 billion in January 2025, while imports stood at USD 387.1 billion. In contrast, India's imports peaked at USD 716 billion in 2023, with exports reaching USD 776 billion the same year. However, by January 2025, India's imports and exports dropped to USD 59.42 billion and USD 36.43 billion, respectively, reflecting shifting trade dynamics.</w:t>
      </w:r>
    </w:p>
    <w:p w14:paraId="5B09D929" w14:textId="77777777" w:rsidR="00582CDA" w:rsidRPr="00A15C00" w:rsidRDefault="00582CDA" w:rsidP="00582CDA">
      <w:pPr>
        <w:spacing w:line="360" w:lineRule="auto"/>
        <w:jc w:val="both"/>
        <w:rPr>
          <w:rFonts w:ascii="Times New Roman" w:eastAsia="Times New Roman" w:hAnsi="Times New Roman" w:cs="Times New Roman"/>
        </w:rPr>
      </w:pPr>
    </w:p>
    <w:p w14:paraId="23DCD742" w14:textId="77777777" w:rsidR="00582CDA" w:rsidRPr="00A15C00" w:rsidRDefault="00582CDA" w:rsidP="00582CDA">
      <w:pPr>
        <w:spacing w:line="360" w:lineRule="auto"/>
        <w:jc w:val="both"/>
        <w:rPr>
          <w:rFonts w:ascii="Times New Roman" w:eastAsia="Times New Roman" w:hAnsi="Times New Roman" w:cs="Times New Roman"/>
        </w:rPr>
      </w:pPr>
      <w:r w:rsidRPr="00A15C00">
        <w:rPr>
          <w:rFonts w:ascii="Times New Roman" w:eastAsia="Times New Roman" w:hAnsi="Times New Roman" w:cs="Times New Roman"/>
        </w:rPr>
        <w:t>Table C</w:t>
      </w:r>
    </w:p>
    <w:tbl>
      <w:tblPr>
        <w:tblStyle w:val="aff3"/>
        <w:tblW w:w="96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2"/>
        <w:gridCol w:w="3213"/>
        <w:gridCol w:w="3213"/>
      </w:tblGrid>
      <w:tr w:rsidR="00A15C00" w:rsidRPr="00A15C00" w14:paraId="6DD55986" w14:textId="77777777" w:rsidTr="00364982">
        <w:tc>
          <w:tcPr>
            <w:tcW w:w="3212" w:type="dxa"/>
            <w:shd w:val="clear" w:color="auto" w:fill="auto"/>
            <w:tcMar>
              <w:top w:w="100" w:type="dxa"/>
              <w:left w:w="100" w:type="dxa"/>
              <w:bottom w:w="100" w:type="dxa"/>
              <w:right w:w="100" w:type="dxa"/>
            </w:tcMar>
          </w:tcPr>
          <w:p w14:paraId="6A3ABEE3" w14:textId="77777777" w:rsidR="00582CDA" w:rsidRPr="00A15C00" w:rsidRDefault="00582CDA" w:rsidP="00364982">
            <w:pPr>
              <w:jc w:val="center"/>
              <w:rPr>
                <w:rFonts w:ascii="Times New Roman" w:eastAsia="Times New Roman" w:hAnsi="Times New Roman" w:cs="Times New Roman"/>
              </w:rPr>
            </w:pPr>
            <w:r w:rsidRPr="00A15C00">
              <w:rPr>
                <w:rFonts w:ascii="Times New Roman" w:eastAsia="Times New Roman" w:hAnsi="Times New Roman" w:cs="Times New Roman"/>
              </w:rPr>
              <w:t>Aspect</w:t>
            </w:r>
          </w:p>
        </w:tc>
        <w:tc>
          <w:tcPr>
            <w:tcW w:w="3212" w:type="dxa"/>
            <w:shd w:val="clear" w:color="auto" w:fill="auto"/>
            <w:tcMar>
              <w:top w:w="100" w:type="dxa"/>
              <w:left w:w="100" w:type="dxa"/>
              <w:bottom w:w="100" w:type="dxa"/>
              <w:right w:w="100" w:type="dxa"/>
            </w:tcMar>
          </w:tcPr>
          <w:p w14:paraId="6ABA0858" w14:textId="77777777" w:rsidR="00582CDA" w:rsidRPr="00A15C00" w:rsidRDefault="00582CDA" w:rsidP="00364982">
            <w:pPr>
              <w:jc w:val="center"/>
              <w:rPr>
                <w:rFonts w:ascii="Times New Roman" w:eastAsia="Times New Roman" w:hAnsi="Times New Roman" w:cs="Times New Roman"/>
              </w:rPr>
            </w:pPr>
            <w:r w:rsidRPr="00A15C00">
              <w:rPr>
                <w:rFonts w:ascii="Times New Roman" w:eastAsia="Times New Roman" w:hAnsi="Times New Roman" w:cs="Times New Roman"/>
              </w:rPr>
              <w:t>Hong Kong</w:t>
            </w:r>
          </w:p>
        </w:tc>
        <w:tc>
          <w:tcPr>
            <w:tcW w:w="3212" w:type="dxa"/>
            <w:shd w:val="clear" w:color="auto" w:fill="auto"/>
            <w:tcMar>
              <w:top w:w="100" w:type="dxa"/>
              <w:left w:w="100" w:type="dxa"/>
              <w:bottom w:w="100" w:type="dxa"/>
              <w:right w:w="100" w:type="dxa"/>
            </w:tcMar>
          </w:tcPr>
          <w:p w14:paraId="7DDEF7CC" w14:textId="77777777" w:rsidR="00582CDA" w:rsidRPr="00A15C00" w:rsidRDefault="00582CDA" w:rsidP="00364982">
            <w:pPr>
              <w:jc w:val="center"/>
              <w:rPr>
                <w:rFonts w:ascii="Times New Roman" w:eastAsia="Times New Roman" w:hAnsi="Times New Roman" w:cs="Times New Roman"/>
              </w:rPr>
            </w:pPr>
            <w:r w:rsidRPr="00A15C00">
              <w:rPr>
                <w:rFonts w:ascii="Times New Roman" w:eastAsia="Times New Roman" w:hAnsi="Times New Roman" w:cs="Times New Roman"/>
              </w:rPr>
              <w:t>India</w:t>
            </w:r>
          </w:p>
        </w:tc>
      </w:tr>
      <w:tr w:rsidR="00A15C00" w:rsidRPr="00A15C00" w14:paraId="1CDBC875" w14:textId="77777777" w:rsidTr="00364982">
        <w:tc>
          <w:tcPr>
            <w:tcW w:w="3212" w:type="dxa"/>
            <w:shd w:val="clear" w:color="auto" w:fill="auto"/>
            <w:tcMar>
              <w:top w:w="100" w:type="dxa"/>
              <w:left w:w="100" w:type="dxa"/>
              <w:bottom w:w="100" w:type="dxa"/>
              <w:right w:w="100" w:type="dxa"/>
            </w:tcMar>
          </w:tcPr>
          <w:p w14:paraId="2CD852CE" w14:textId="77777777" w:rsidR="00582CDA" w:rsidRPr="00A15C00" w:rsidRDefault="00582CDA" w:rsidP="00364982">
            <w:pPr>
              <w:jc w:val="center"/>
              <w:rPr>
                <w:rFonts w:ascii="Times New Roman" w:eastAsia="Times New Roman" w:hAnsi="Times New Roman" w:cs="Times New Roman"/>
              </w:rPr>
            </w:pPr>
            <w:r w:rsidRPr="00A15C00">
              <w:rPr>
                <w:rFonts w:ascii="Times New Roman" w:eastAsia="Times New Roman" w:hAnsi="Times New Roman" w:cs="Times New Roman"/>
              </w:rPr>
              <w:lastRenderedPageBreak/>
              <w:t>Purchasing Power</w:t>
            </w:r>
          </w:p>
        </w:tc>
        <w:tc>
          <w:tcPr>
            <w:tcW w:w="3212" w:type="dxa"/>
            <w:shd w:val="clear" w:color="auto" w:fill="auto"/>
            <w:tcMar>
              <w:top w:w="100" w:type="dxa"/>
              <w:left w:w="100" w:type="dxa"/>
              <w:bottom w:w="100" w:type="dxa"/>
              <w:right w:w="100" w:type="dxa"/>
            </w:tcMar>
          </w:tcPr>
          <w:p w14:paraId="01ED7CAF"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Stronger purchasing power; focus on luxury and experiences.</w:t>
            </w:r>
          </w:p>
        </w:tc>
        <w:tc>
          <w:tcPr>
            <w:tcW w:w="3212" w:type="dxa"/>
            <w:shd w:val="clear" w:color="auto" w:fill="auto"/>
            <w:tcMar>
              <w:top w:w="100" w:type="dxa"/>
              <w:left w:w="100" w:type="dxa"/>
              <w:bottom w:w="100" w:type="dxa"/>
              <w:right w:w="100" w:type="dxa"/>
            </w:tcMar>
          </w:tcPr>
          <w:p w14:paraId="0ED502DE"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Limited discretionary spending; affluent segment drives consumption.</w:t>
            </w:r>
          </w:p>
        </w:tc>
      </w:tr>
      <w:tr w:rsidR="00A15C00" w:rsidRPr="00A15C00" w14:paraId="573B8508" w14:textId="77777777" w:rsidTr="00364982">
        <w:tc>
          <w:tcPr>
            <w:tcW w:w="3212" w:type="dxa"/>
            <w:shd w:val="clear" w:color="auto" w:fill="auto"/>
            <w:tcMar>
              <w:top w:w="100" w:type="dxa"/>
              <w:left w:w="100" w:type="dxa"/>
              <w:bottom w:w="100" w:type="dxa"/>
              <w:right w:w="100" w:type="dxa"/>
            </w:tcMar>
          </w:tcPr>
          <w:p w14:paraId="36A5F7C3" w14:textId="77777777" w:rsidR="00582CDA" w:rsidRPr="00A15C00" w:rsidRDefault="00582CDA" w:rsidP="00364982">
            <w:pPr>
              <w:jc w:val="center"/>
              <w:rPr>
                <w:rFonts w:ascii="Times New Roman" w:eastAsia="Times New Roman" w:hAnsi="Times New Roman" w:cs="Times New Roman"/>
              </w:rPr>
            </w:pPr>
            <w:r w:rsidRPr="00A15C00">
              <w:rPr>
                <w:rFonts w:ascii="Times New Roman" w:eastAsia="Times New Roman" w:hAnsi="Times New Roman" w:cs="Times New Roman"/>
              </w:rPr>
              <w:t>Spending Patterns</w:t>
            </w:r>
          </w:p>
        </w:tc>
        <w:tc>
          <w:tcPr>
            <w:tcW w:w="3212" w:type="dxa"/>
            <w:shd w:val="clear" w:color="auto" w:fill="auto"/>
            <w:tcMar>
              <w:top w:w="100" w:type="dxa"/>
              <w:left w:w="100" w:type="dxa"/>
              <w:bottom w:w="100" w:type="dxa"/>
              <w:right w:w="100" w:type="dxa"/>
            </w:tcMar>
          </w:tcPr>
          <w:p w14:paraId="181EC3B7"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Big-ticket purchases and travel; cautious luxury spending.</w:t>
            </w:r>
          </w:p>
          <w:p w14:paraId="6F470F15" w14:textId="77777777" w:rsidR="00582CDA" w:rsidRPr="00A15C00" w:rsidRDefault="00582CDA" w:rsidP="00364982">
            <w:pPr>
              <w:jc w:val="center"/>
              <w:rPr>
                <w:rFonts w:ascii="Times New Roman" w:eastAsia="Times New Roman" w:hAnsi="Times New Roman" w:cs="Times New Roman"/>
              </w:rPr>
            </w:pPr>
          </w:p>
        </w:tc>
        <w:tc>
          <w:tcPr>
            <w:tcW w:w="3212" w:type="dxa"/>
            <w:shd w:val="clear" w:color="auto" w:fill="auto"/>
            <w:tcMar>
              <w:top w:w="100" w:type="dxa"/>
              <w:left w:w="100" w:type="dxa"/>
              <w:bottom w:w="100" w:type="dxa"/>
              <w:right w:w="100" w:type="dxa"/>
            </w:tcMar>
          </w:tcPr>
          <w:p w14:paraId="141A7D09"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Premiumization; cautious spending among emerging consumers.</w:t>
            </w:r>
          </w:p>
        </w:tc>
      </w:tr>
      <w:tr w:rsidR="00A15C00" w:rsidRPr="00A15C00" w14:paraId="1F90A9B2" w14:textId="77777777" w:rsidTr="00364982">
        <w:trPr>
          <w:trHeight w:val="440"/>
        </w:trPr>
        <w:tc>
          <w:tcPr>
            <w:tcW w:w="9636" w:type="dxa"/>
            <w:gridSpan w:val="3"/>
            <w:shd w:val="clear" w:color="auto" w:fill="auto"/>
            <w:tcMar>
              <w:top w:w="100" w:type="dxa"/>
              <w:left w:w="100" w:type="dxa"/>
              <w:bottom w:w="100" w:type="dxa"/>
              <w:right w:w="100" w:type="dxa"/>
            </w:tcMar>
          </w:tcPr>
          <w:p w14:paraId="216B57AE" w14:textId="77777777" w:rsidR="00582CDA" w:rsidRPr="00A15C00" w:rsidRDefault="00582CDA" w:rsidP="00364982">
            <w:pPr>
              <w:rPr>
                <w:rFonts w:ascii="Times New Roman" w:eastAsia="Times New Roman" w:hAnsi="Times New Roman" w:cs="Times New Roman"/>
                <w:sz w:val="20"/>
                <w:szCs w:val="18"/>
              </w:rPr>
            </w:pPr>
            <w:r w:rsidRPr="00A15C00">
              <w:rPr>
                <w:rFonts w:ascii="Times New Roman" w:eastAsia="Times New Roman" w:hAnsi="Times New Roman" w:cs="Times New Roman"/>
                <w:sz w:val="20"/>
                <w:szCs w:val="18"/>
              </w:rPr>
              <w:t xml:space="preserve">Source: Mastercard (2024) </w:t>
            </w:r>
          </w:p>
          <w:p w14:paraId="2E0F6489" w14:textId="77777777" w:rsidR="00582CDA" w:rsidRPr="00A15C00" w:rsidRDefault="00582CDA" w:rsidP="00364982">
            <w:pPr>
              <w:rPr>
                <w:rFonts w:ascii="Times New Roman" w:eastAsia="Times New Roman" w:hAnsi="Times New Roman" w:cs="Times New Roman"/>
              </w:rPr>
            </w:pPr>
            <w:r w:rsidRPr="00A15C00">
              <w:rPr>
                <w:rFonts w:ascii="Times New Roman" w:eastAsia="Times New Roman" w:hAnsi="Times New Roman" w:cs="Times New Roman"/>
                <w:sz w:val="20"/>
                <w:szCs w:val="18"/>
              </w:rPr>
              <w:t>https://www.mastercard.com/news/ap/en-hk/newsroom/press-releases/en-hk/2024/mastercard-economics-institute-apac-growth-expected-to-hold-steady-in-2025-global-policy-resets-may-see-shift-in-gears/</w:t>
            </w:r>
          </w:p>
        </w:tc>
      </w:tr>
    </w:tbl>
    <w:p w14:paraId="0BCAE7E9" w14:textId="77777777" w:rsidR="00582CDA" w:rsidRPr="00A15C00" w:rsidRDefault="00582CDA" w:rsidP="00582CDA">
      <w:pPr>
        <w:spacing w:line="360" w:lineRule="auto"/>
        <w:jc w:val="both"/>
        <w:rPr>
          <w:rFonts w:ascii="Times New Roman" w:eastAsia="Times New Roman" w:hAnsi="Times New Roman" w:cs="Times New Roman"/>
        </w:rPr>
      </w:pPr>
    </w:p>
    <w:p w14:paraId="022F8BBF"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Consumer behavior also varied between the two regions. Hong Kong's strong purchasing power has driven demand for luxury and big-ticket purchases, though cautious spending persists amid economic uncertainty. In India, limited discretionary spending has led to a focus on premium products, with emerging consumers adopting a more cautious approach to spending.</w:t>
      </w:r>
    </w:p>
    <w:p w14:paraId="7510D767"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22249364"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Pricing and sourcing strategies further differentiate the two markets. Hong Kong employs competitive and dynamic pricing strategies, leveraging global sourcing and cost optimization. India, on the other hand, emphasizes regulatory compliance and domestic sourcing, with dynamic pricing strategies gradually gaining traction.</w:t>
      </w:r>
    </w:p>
    <w:p w14:paraId="70372F61" w14:textId="77777777" w:rsidR="00582CDA" w:rsidRPr="00A15C00" w:rsidRDefault="00582CDA" w:rsidP="00582CDA">
      <w:pPr>
        <w:spacing w:line="360" w:lineRule="auto"/>
        <w:jc w:val="both"/>
        <w:rPr>
          <w:rFonts w:ascii="Times New Roman" w:eastAsia="Times New Roman" w:hAnsi="Times New Roman" w:cs="Times New Roman"/>
        </w:rPr>
      </w:pPr>
    </w:p>
    <w:p w14:paraId="10218418" w14:textId="77777777" w:rsidR="00582CDA" w:rsidRPr="00A15C00" w:rsidRDefault="00582CDA" w:rsidP="00582CDA">
      <w:pPr>
        <w:spacing w:line="360" w:lineRule="auto"/>
        <w:jc w:val="both"/>
        <w:rPr>
          <w:rFonts w:ascii="Times New Roman" w:eastAsia="Times New Roman" w:hAnsi="Times New Roman" w:cs="Times New Roman"/>
        </w:rPr>
      </w:pPr>
      <w:r w:rsidRPr="00A15C00">
        <w:rPr>
          <w:rFonts w:ascii="Times New Roman" w:eastAsia="Times New Roman" w:hAnsi="Times New Roman" w:cs="Times New Roman"/>
        </w:rPr>
        <w:t>Table D</w:t>
      </w:r>
    </w:p>
    <w:tbl>
      <w:tblPr>
        <w:tblStyle w:val="aff4"/>
        <w:tblW w:w="9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4245"/>
        <w:gridCol w:w="3195"/>
      </w:tblGrid>
      <w:tr w:rsidR="00A15C00" w:rsidRPr="00A15C00" w14:paraId="4CC3732D" w14:textId="77777777" w:rsidTr="00364982">
        <w:tc>
          <w:tcPr>
            <w:tcW w:w="2145" w:type="dxa"/>
            <w:shd w:val="clear" w:color="auto" w:fill="auto"/>
            <w:tcMar>
              <w:top w:w="100" w:type="dxa"/>
              <w:left w:w="100" w:type="dxa"/>
              <w:bottom w:w="100" w:type="dxa"/>
              <w:right w:w="100" w:type="dxa"/>
            </w:tcMar>
          </w:tcPr>
          <w:p w14:paraId="70D536E7"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Aspect</w:t>
            </w:r>
          </w:p>
        </w:tc>
        <w:tc>
          <w:tcPr>
            <w:tcW w:w="4245" w:type="dxa"/>
            <w:shd w:val="clear" w:color="auto" w:fill="auto"/>
            <w:tcMar>
              <w:top w:w="100" w:type="dxa"/>
              <w:left w:w="100" w:type="dxa"/>
              <w:bottom w:w="100" w:type="dxa"/>
              <w:right w:w="100" w:type="dxa"/>
            </w:tcMar>
          </w:tcPr>
          <w:p w14:paraId="3EA81FDF"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Hong Kong</w:t>
            </w:r>
          </w:p>
        </w:tc>
        <w:tc>
          <w:tcPr>
            <w:tcW w:w="3195" w:type="dxa"/>
            <w:shd w:val="clear" w:color="auto" w:fill="auto"/>
            <w:tcMar>
              <w:top w:w="100" w:type="dxa"/>
              <w:left w:w="100" w:type="dxa"/>
              <w:bottom w:w="100" w:type="dxa"/>
              <w:right w:w="100" w:type="dxa"/>
            </w:tcMar>
          </w:tcPr>
          <w:p w14:paraId="52DB93D7"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India</w:t>
            </w:r>
          </w:p>
        </w:tc>
      </w:tr>
      <w:tr w:rsidR="00A15C00" w:rsidRPr="00A15C00" w14:paraId="3A72AE52" w14:textId="77777777" w:rsidTr="00364982">
        <w:tc>
          <w:tcPr>
            <w:tcW w:w="2145" w:type="dxa"/>
            <w:shd w:val="clear" w:color="auto" w:fill="auto"/>
            <w:tcMar>
              <w:top w:w="100" w:type="dxa"/>
              <w:left w:w="100" w:type="dxa"/>
              <w:bottom w:w="100" w:type="dxa"/>
              <w:right w:w="100" w:type="dxa"/>
            </w:tcMar>
          </w:tcPr>
          <w:p w14:paraId="0126578C"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Pricing Strategy</w:t>
            </w:r>
          </w:p>
        </w:tc>
        <w:tc>
          <w:tcPr>
            <w:tcW w:w="4245" w:type="dxa"/>
            <w:shd w:val="clear" w:color="auto" w:fill="auto"/>
            <w:tcMar>
              <w:top w:w="100" w:type="dxa"/>
              <w:left w:w="100" w:type="dxa"/>
              <w:bottom w:w="100" w:type="dxa"/>
              <w:right w:w="100" w:type="dxa"/>
            </w:tcMar>
          </w:tcPr>
          <w:p w14:paraId="36F9534D"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Competitive and dynamic pricing strategies.</w:t>
            </w:r>
          </w:p>
        </w:tc>
        <w:tc>
          <w:tcPr>
            <w:tcW w:w="3195" w:type="dxa"/>
            <w:shd w:val="clear" w:color="auto" w:fill="auto"/>
            <w:tcMar>
              <w:top w:w="100" w:type="dxa"/>
              <w:left w:w="100" w:type="dxa"/>
              <w:bottom w:w="100" w:type="dxa"/>
              <w:right w:w="100" w:type="dxa"/>
            </w:tcMar>
          </w:tcPr>
          <w:p w14:paraId="15FD88B8"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Focus on preventing predatory pricing; dynamic pricing is emerging.</w:t>
            </w:r>
          </w:p>
        </w:tc>
      </w:tr>
      <w:tr w:rsidR="00A15C00" w:rsidRPr="00A15C00" w14:paraId="7F478EEA" w14:textId="77777777" w:rsidTr="00364982">
        <w:tc>
          <w:tcPr>
            <w:tcW w:w="2145" w:type="dxa"/>
            <w:shd w:val="clear" w:color="auto" w:fill="auto"/>
            <w:tcMar>
              <w:top w:w="100" w:type="dxa"/>
              <w:left w:w="100" w:type="dxa"/>
              <w:bottom w:w="100" w:type="dxa"/>
              <w:right w:w="100" w:type="dxa"/>
            </w:tcMar>
          </w:tcPr>
          <w:p w14:paraId="5C965176"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t>Production Strategy</w:t>
            </w:r>
          </w:p>
        </w:tc>
        <w:tc>
          <w:tcPr>
            <w:tcW w:w="4245" w:type="dxa"/>
            <w:shd w:val="clear" w:color="auto" w:fill="auto"/>
            <w:tcMar>
              <w:top w:w="100" w:type="dxa"/>
              <w:left w:w="100" w:type="dxa"/>
              <w:bottom w:w="100" w:type="dxa"/>
              <w:right w:w="100" w:type="dxa"/>
            </w:tcMar>
          </w:tcPr>
          <w:p w14:paraId="0DBFF543"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Outsourced production with quality control.</w:t>
            </w:r>
          </w:p>
          <w:p w14:paraId="1830B334"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Sourcing Strategy.</w:t>
            </w:r>
          </w:p>
        </w:tc>
        <w:tc>
          <w:tcPr>
            <w:tcW w:w="3195" w:type="dxa"/>
            <w:shd w:val="clear" w:color="auto" w:fill="auto"/>
            <w:tcMar>
              <w:top w:w="100" w:type="dxa"/>
              <w:left w:w="100" w:type="dxa"/>
              <w:bottom w:w="100" w:type="dxa"/>
              <w:right w:w="100" w:type="dxa"/>
            </w:tcMar>
          </w:tcPr>
          <w:p w14:paraId="1F579DA5"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Cost management and supply chain optimization.</w:t>
            </w:r>
          </w:p>
        </w:tc>
      </w:tr>
      <w:tr w:rsidR="00A15C00" w:rsidRPr="00A15C00" w14:paraId="3AED6C7A" w14:textId="77777777" w:rsidTr="00364982">
        <w:tc>
          <w:tcPr>
            <w:tcW w:w="2145" w:type="dxa"/>
            <w:shd w:val="clear" w:color="auto" w:fill="auto"/>
            <w:tcMar>
              <w:top w:w="100" w:type="dxa"/>
              <w:left w:w="100" w:type="dxa"/>
              <w:bottom w:w="100" w:type="dxa"/>
              <w:right w:w="100" w:type="dxa"/>
            </w:tcMar>
          </w:tcPr>
          <w:p w14:paraId="7742AE40" w14:textId="77777777" w:rsidR="00582CDA" w:rsidRPr="00A15C00" w:rsidRDefault="00582CDA" w:rsidP="00364982">
            <w:pPr>
              <w:pBdr>
                <w:top w:val="nil"/>
                <w:left w:val="nil"/>
                <w:bottom w:val="nil"/>
                <w:right w:val="nil"/>
                <w:between w:val="nil"/>
              </w:pBdr>
              <w:jc w:val="center"/>
              <w:rPr>
                <w:rFonts w:ascii="Times New Roman" w:eastAsia="Times New Roman" w:hAnsi="Times New Roman" w:cs="Times New Roman"/>
              </w:rPr>
            </w:pPr>
            <w:r w:rsidRPr="00A15C00">
              <w:rPr>
                <w:rFonts w:ascii="Times New Roman" w:eastAsia="Times New Roman" w:hAnsi="Times New Roman" w:cs="Times New Roman"/>
              </w:rPr>
              <w:lastRenderedPageBreak/>
              <w:t>Sourcing Strategy</w:t>
            </w:r>
          </w:p>
        </w:tc>
        <w:tc>
          <w:tcPr>
            <w:tcW w:w="4245" w:type="dxa"/>
            <w:shd w:val="clear" w:color="auto" w:fill="auto"/>
            <w:tcMar>
              <w:top w:w="100" w:type="dxa"/>
              <w:left w:w="100" w:type="dxa"/>
              <w:bottom w:w="100" w:type="dxa"/>
              <w:right w:w="100" w:type="dxa"/>
            </w:tcMar>
          </w:tcPr>
          <w:p w14:paraId="5423C835"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Global sourcing with flexible supply chains.</w:t>
            </w:r>
          </w:p>
        </w:tc>
        <w:tc>
          <w:tcPr>
            <w:tcW w:w="3195" w:type="dxa"/>
            <w:shd w:val="clear" w:color="auto" w:fill="auto"/>
            <w:tcMar>
              <w:top w:w="100" w:type="dxa"/>
              <w:left w:w="100" w:type="dxa"/>
              <w:bottom w:w="100" w:type="dxa"/>
              <w:right w:w="100" w:type="dxa"/>
            </w:tcMar>
          </w:tcPr>
          <w:p w14:paraId="7BC475F0" w14:textId="77777777" w:rsidR="00582CDA" w:rsidRPr="00A15C00" w:rsidRDefault="00582CDA" w:rsidP="00364982">
            <w:pPr>
              <w:spacing w:line="360" w:lineRule="auto"/>
              <w:jc w:val="center"/>
              <w:rPr>
                <w:rFonts w:ascii="Times New Roman" w:eastAsia="Times New Roman" w:hAnsi="Times New Roman" w:cs="Times New Roman"/>
              </w:rPr>
            </w:pPr>
            <w:r w:rsidRPr="00A15C00">
              <w:rPr>
                <w:rFonts w:ascii="Times New Roman" w:eastAsia="Times New Roman" w:hAnsi="Times New Roman" w:cs="Times New Roman"/>
              </w:rPr>
              <w:t>Domestic sourcing with import diversification.</w:t>
            </w:r>
          </w:p>
        </w:tc>
      </w:tr>
      <w:tr w:rsidR="00A15C00" w:rsidRPr="00A15C00" w14:paraId="60E4E550" w14:textId="77777777" w:rsidTr="00364982">
        <w:trPr>
          <w:trHeight w:val="440"/>
        </w:trPr>
        <w:tc>
          <w:tcPr>
            <w:tcW w:w="9585" w:type="dxa"/>
            <w:gridSpan w:val="3"/>
            <w:shd w:val="clear" w:color="auto" w:fill="auto"/>
            <w:tcMar>
              <w:top w:w="100" w:type="dxa"/>
              <w:left w:w="100" w:type="dxa"/>
              <w:bottom w:w="100" w:type="dxa"/>
              <w:right w:w="100" w:type="dxa"/>
            </w:tcMar>
          </w:tcPr>
          <w:p w14:paraId="41675A90" w14:textId="77777777" w:rsidR="00582CDA" w:rsidRPr="00A15C00" w:rsidRDefault="00582CDA" w:rsidP="00364982">
            <w:pPr>
              <w:pBdr>
                <w:top w:val="nil"/>
                <w:left w:val="nil"/>
                <w:bottom w:val="nil"/>
                <w:right w:val="nil"/>
                <w:between w:val="nil"/>
              </w:pBdr>
              <w:rPr>
                <w:rFonts w:ascii="Times New Roman" w:eastAsia="Times New Roman" w:hAnsi="Times New Roman" w:cs="Times New Roman"/>
                <w:sz w:val="20"/>
                <w:szCs w:val="18"/>
              </w:rPr>
            </w:pPr>
            <w:r w:rsidRPr="00A15C00">
              <w:rPr>
                <w:rFonts w:ascii="Times New Roman" w:eastAsia="Times New Roman" w:hAnsi="Times New Roman" w:cs="Times New Roman"/>
                <w:sz w:val="20"/>
                <w:szCs w:val="18"/>
              </w:rPr>
              <w:t xml:space="preserve">Source: India Briefing (2025) </w:t>
            </w:r>
            <w:hyperlink r:id="rId15">
              <w:r w:rsidRPr="00A15C00">
                <w:rPr>
                  <w:rFonts w:ascii="Times New Roman" w:eastAsia="Times New Roman" w:hAnsi="Times New Roman" w:cs="Times New Roman"/>
                  <w:sz w:val="20"/>
                  <w:szCs w:val="18"/>
                  <w:u w:val="single"/>
                </w:rPr>
                <w:t>https://www.india-briefing.com/news/indias-cci-introduces-draft-regulations-on-predatory-pricing-36245.html/</w:t>
              </w:r>
            </w:hyperlink>
            <w:r w:rsidRPr="00A15C00">
              <w:rPr>
                <w:rFonts w:ascii="Times New Roman" w:eastAsia="Times New Roman" w:hAnsi="Times New Roman" w:cs="Times New Roman"/>
                <w:sz w:val="20"/>
                <w:szCs w:val="18"/>
              </w:rPr>
              <w:t xml:space="preserve"> </w:t>
            </w:r>
          </w:p>
          <w:p w14:paraId="350A22C6" w14:textId="77777777" w:rsidR="00582CDA" w:rsidRPr="00A15C00" w:rsidRDefault="00582CDA" w:rsidP="00364982">
            <w:pPr>
              <w:pBdr>
                <w:top w:val="nil"/>
                <w:left w:val="nil"/>
                <w:bottom w:val="nil"/>
                <w:right w:val="nil"/>
                <w:between w:val="nil"/>
              </w:pBdr>
              <w:rPr>
                <w:rFonts w:ascii="Times New Roman" w:eastAsia="Times New Roman" w:hAnsi="Times New Roman" w:cs="Times New Roman"/>
              </w:rPr>
            </w:pPr>
            <w:r w:rsidRPr="00A15C00">
              <w:rPr>
                <w:rFonts w:ascii="Times New Roman" w:eastAsia="Times New Roman" w:hAnsi="Times New Roman" w:cs="Times New Roman"/>
                <w:sz w:val="20"/>
                <w:szCs w:val="18"/>
              </w:rPr>
              <w:t xml:space="preserve">International </w:t>
            </w:r>
            <w:proofErr w:type="spellStart"/>
            <w:r w:rsidRPr="00A15C00">
              <w:rPr>
                <w:rFonts w:ascii="Times New Roman" w:eastAsia="Times New Roman" w:hAnsi="Times New Roman" w:cs="Times New Roman"/>
                <w:sz w:val="20"/>
                <w:szCs w:val="18"/>
              </w:rPr>
              <w:t>Labour</w:t>
            </w:r>
            <w:proofErr w:type="spellEnd"/>
            <w:r w:rsidRPr="00A15C00">
              <w:rPr>
                <w:rFonts w:ascii="Times New Roman" w:eastAsia="Times New Roman" w:hAnsi="Times New Roman" w:cs="Times New Roman"/>
                <w:sz w:val="20"/>
                <w:szCs w:val="18"/>
              </w:rPr>
              <w:t xml:space="preserve"> Organization (2024)</w:t>
            </w:r>
          </w:p>
        </w:tc>
      </w:tr>
    </w:tbl>
    <w:p w14:paraId="483E10AB" w14:textId="77777777" w:rsidR="00582CDA" w:rsidRPr="00A15C00" w:rsidRDefault="00582CDA" w:rsidP="00582CDA">
      <w:pPr>
        <w:spacing w:line="360" w:lineRule="auto"/>
        <w:jc w:val="both"/>
        <w:rPr>
          <w:rFonts w:ascii="Times New Roman" w:eastAsia="Times New Roman" w:hAnsi="Times New Roman" w:cs="Times New Roman"/>
        </w:rPr>
      </w:pPr>
    </w:p>
    <w:p w14:paraId="10124B76"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The economic impact of global price changes is evident in GDP growth, employment, and trade balances. India's GDP growth averaged 6.42% from 2006 to 2024, peaking at 9.7% in 2022. Labor force participation rose to 60.1% in 2023–24, while the unemployment rate fell to 3.2%. Hong Kong's GDP growth, closely tied to global trade and finance, has been accompanied by consistently low unemployment rates. However, India generally runs a trade deficit, while Hong Kong's trade balance is often influenced by high import volumes. These trends underscore the broader economic implications of global price changes, affecting growth, employment, and trade dynamics.</w:t>
      </w:r>
    </w:p>
    <w:p w14:paraId="28E5B174"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0ED582D7"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 xml:space="preserve">For Company A, global price changes have posed significant challenges. Rising operational costs, driven by supply chain disruptions, geopolitical tensions, and higher raw material prices, have squeezed profit margins. Currency volatility has increased procurement costs for globally sourced products, while global inflation has led to higher input costs, forcing trade-offs between profitability and consumer pricing. Shifting consumer behavior, with a focus on essentials over discretionary spending, has impacted higher-margin categories. Intensified competition from global e-commerce platforms like Amazon and Taobao has further pressured Company A to adapt its pricing and convenience offerings. (Trading Economics, 2025) (International </w:t>
      </w:r>
      <w:proofErr w:type="spellStart"/>
      <w:r w:rsidRPr="00A15C00">
        <w:rPr>
          <w:rFonts w:ascii="Times New Roman" w:eastAsia="Times New Roman" w:hAnsi="Times New Roman" w:cs="Times New Roman"/>
        </w:rPr>
        <w:t>Labour</w:t>
      </w:r>
      <w:proofErr w:type="spellEnd"/>
      <w:r w:rsidRPr="00A15C00">
        <w:rPr>
          <w:rFonts w:ascii="Times New Roman" w:eastAsia="Times New Roman" w:hAnsi="Times New Roman" w:cs="Times New Roman"/>
        </w:rPr>
        <w:t xml:space="preserve"> Organization, 2024)</w:t>
      </w:r>
    </w:p>
    <w:p w14:paraId="30092176"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69557DE9"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Geopolitical tensions and trade policy changes have disrupted global trade flows, increasing tariffs and sourcing difficulties. Energy price fluctuations have raised transportation and operational costs, while labor shortages in key markets have driven up labor costs and recruitment challenges. Additionally, global sustainability pressures and stricter environmental regulations have necessitated costly transitions to eco-friendly practices. Health crises, such as COVID-19, have disrupted supply chains and accelerated the shift to online shopping, requiring significant investments in digital transformation. Regional economic slowdowns, particularly in China and the U.S., have weakened consumer confidence and reduced demand for exports, further impacting Company A's sales.</w:t>
      </w:r>
    </w:p>
    <w:p w14:paraId="0FCC4FE1"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2C21245C"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Despite these challenges, Company A has significant potential to expand into India's rapidly growing retail market, projected to reach $1.3 trillion by 2025. The country's burgeoning middle class and increasing disposable income present opportunities for Company A to introduce its comprehensive shopping experience, including supermarkets, general merchandise stores, and specialized retail formats. By adapting its "Living Areas" concept to local preferences and collaborating with regional suppliers, Company A can enhance supply chain efficiency and foster community engagement. However, navigating regulatory complexities, intense local competition, and diverse consumer preferences will require a tailored market entry strategy.</w:t>
      </w:r>
    </w:p>
    <w:p w14:paraId="0E7CAB0D"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5FBACC17"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In conclusion, global price changes have created both challenges and opportunities for domestic markets and businesses like Company A. While rising operational costs, currency volatility, and shifting consumer behavior pose significant hurdles, the potential for expansion into high-growth markets like India offers a compelling opportunity. By effectively adapting to local conditions and leveraging its retail strengths, Company A can position itself for success in an increasingly interconnected and dynamic global economy. The key lies in balancing the challenges posed by global price changes with strategic initiatives that capitalize on emerging opportunities.</w:t>
      </w:r>
    </w:p>
    <w:p w14:paraId="1C347B4E"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246B16DC"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Company A faced significant challenges during the period of global price changes, operating in a highly dynamic and competitive market. The volatility in global markets profoundly impacted its operations, profitability, and strategic decision-making. Rising global supply chain costs, driven by geopolitical tensions, pandemics, natural disasters, and increased raw material prices, significantly elevated operational expenses for Company A. These higher costs of imported goods forced the company to either reduce profit margins or increase retail prices, risking the alienation of price-sensitive customers.</w:t>
      </w:r>
    </w:p>
    <w:p w14:paraId="3B58C040"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56D43848"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 xml:space="preserve">Currency exchange rate volatility further compounded these challenges. As Company A sourced many products globally, fluctuations in exchange rates directly affected procurement costs. For example, unfavorable movements in the HKD-USD exchange rate increased the cost of imported goods, making it difficult for the company to maintain competitive pricing. Additionally, the global inflationary trend, fueled by rising energy prices, food costs, and supply chain bottlenecks, led to </w:t>
      </w:r>
      <w:r w:rsidRPr="00A15C00">
        <w:rPr>
          <w:rFonts w:ascii="Times New Roman" w:eastAsia="Times New Roman" w:hAnsi="Times New Roman" w:cs="Times New Roman"/>
        </w:rPr>
        <w:lastRenderedPageBreak/>
        <w:t>higher input costs. This forced Company A to choose between absorbing the costs, which reduced profitability, or passing them on to consumers, which risked lower sales volumes.</w:t>
      </w:r>
    </w:p>
    <w:p w14:paraId="2680049D"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183DC870"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Changing consumer behavior also posed a challenge. Global uncertainty and rising living costs in Hong Kong led consumers to prioritize essential goods over discretionary spending. Since Company A sold a mix of essential and non-essential products, this shift reduced sales in higher-margin categories such as electronics, fashion, and home goods. Furthermore, the rise of global e-commerce platforms like Amazon and Taobao intensified competition in Hong Kong’s retail market. Company A struggled to compete with online retailers offering lower prices and greater convenience, particularly for imported goods.</w:t>
      </w:r>
    </w:p>
    <w:p w14:paraId="153F3C85"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360166E6"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Geopolitical tensions disrupted global trade flows, leading to increased tariffs and sourcing difficulties. Company A faced higher costs for imported products and challenges in securing certain items, which affected product availability and pricing. Global energy price fluctuations, particularly in oil and gas, further increased transportation and operational costs, squeezing profit margins. Labor shortages in key markets also drove up labor costs and recruitment challenges, impacting operational efficiency.</w:t>
      </w:r>
    </w:p>
    <w:p w14:paraId="6ED56250"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0B299253"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Sustainability pressures added another layer of complexity. Stricter environmental regulations required Company A to adopt eco-friendly practices, such as reducing plastic usage and sourcing sustainable products. While necessary, transitioning to sustainable practices involved significant upfront costs and operational changes. Global health crises, such as COVID-19, exacerbated these challenges by disrupting supply chains, reducing consumer spending, and accelerating the shift to online shopping. This forced Company A to invest in digital transformation while managing reduced foot traffic in physical stores.</w:t>
      </w:r>
    </w:p>
    <w:p w14:paraId="54DF25FC"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0FC1185B"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 xml:space="preserve">Regional economic slowdowns, particularly in China and the U.S., weakened consumer confidence and reduced demand for exports from Hong Kong. As a result, Company </w:t>
      </w:r>
      <w:proofErr w:type="spellStart"/>
      <w:r w:rsidRPr="00A15C00">
        <w:rPr>
          <w:rFonts w:ascii="Times New Roman" w:eastAsia="Times New Roman" w:hAnsi="Times New Roman" w:cs="Times New Roman"/>
        </w:rPr>
        <w:t>A</w:t>
      </w:r>
      <w:proofErr w:type="spellEnd"/>
      <w:r w:rsidRPr="00A15C00">
        <w:rPr>
          <w:rFonts w:ascii="Times New Roman" w:eastAsia="Times New Roman" w:hAnsi="Times New Roman" w:cs="Times New Roman"/>
        </w:rPr>
        <w:t xml:space="preserve"> experienced lower sales as consumers cut back on spending due to economic uncertainty. Additionally, Hong Kong’s high cost of living, expensive commercial real estate, and global inflationary pressures increased operational expenses, further squeezing profit margins, especially when sales growth </w:t>
      </w:r>
      <w:r w:rsidRPr="00A15C00">
        <w:rPr>
          <w:rFonts w:ascii="Times New Roman" w:eastAsia="Times New Roman" w:hAnsi="Times New Roman" w:cs="Times New Roman"/>
        </w:rPr>
        <w:lastRenderedPageBreak/>
        <w:t>stagnated.</w:t>
      </w:r>
    </w:p>
    <w:p w14:paraId="7DD00C6F"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3179F310"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Despite these challenges, Company A has significant potential to expand into India, one of the world’s fastest-growing retail markets, projected to reach $1.3 trillion by 2025. India’s burgeoning middle class and increasing disposable income create substantial demand for diverse retail offerings. Company A can leverage this growth by introducing its comprehensive shopping experience, including supermarkets, general merchandise stores, and specialized retail formats. Its "Company A Living Areas" strategy, which focuses on enriching customer lives through integrated services and products, can be adapted to local Indian markets by incorporating regional preferences and cultural nuances. Collaborations with local suppliers could enhance supply chain efficiencies and foster community engagement.</w:t>
      </w:r>
    </w:p>
    <w:p w14:paraId="2E6E86A7"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61308657"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However, expanding into India is not without challenges. Company A must navigate regulatory complexities, intense competition from established local players, and varying consumer preferences across India’s diverse regions. A tailored market entry strategy that addresses these factors will be critical for successful expansion.</w:t>
      </w:r>
    </w:p>
    <w:p w14:paraId="1D9E90FF" w14:textId="77777777" w:rsidR="00582CDA" w:rsidRPr="00A15C00" w:rsidRDefault="00582CDA" w:rsidP="00582CDA">
      <w:pPr>
        <w:spacing w:line="360" w:lineRule="auto"/>
        <w:ind w:firstLine="360"/>
        <w:jc w:val="both"/>
        <w:rPr>
          <w:rFonts w:ascii="Times New Roman" w:eastAsia="Times New Roman" w:hAnsi="Times New Roman" w:cs="Times New Roman"/>
        </w:rPr>
      </w:pPr>
    </w:p>
    <w:p w14:paraId="672D54DC" w14:textId="77777777" w:rsidR="00582CDA" w:rsidRPr="00A15C00" w:rsidRDefault="00582CDA" w:rsidP="00582CDA">
      <w:pPr>
        <w:spacing w:line="360" w:lineRule="auto"/>
        <w:ind w:firstLine="360"/>
        <w:jc w:val="both"/>
        <w:rPr>
          <w:rFonts w:ascii="Times New Roman" w:eastAsia="Times New Roman" w:hAnsi="Times New Roman" w:cs="Times New Roman"/>
        </w:rPr>
      </w:pPr>
      <w:r w:rsidRPr="00A15C00">
        <w:rPr>
          <w:rFonts w:ascii="Times New Roman" w:eastAsia="Times New Roman" w:hAnsi="Times New Roman" w:cs="Times New Roman"/>
        </w:rPr>
        <w:t>In conclusion, while global price changes and market dynamics have posed significant challenges for Company A, its expansion into India presents a compelling opportunity. By effectively adapting to local market conditions, leveraging its retail strengths, and addressing the unique challenges of the Indian market, Company A can position itself for long-term success in one of the world’s most promising retail landscapes.</w:t>
      </w:r>
    </w:p>
    <w:p w14:paraId="27297B85" w14:textId="77777777" w:rsidR="00582CDA" w:rsidRPr="0054545A" w:rsidRDefault="00582CDA" w:rsidP="00CA2533">
      <w:pPr>
        <w:spacing w:line="360" w:lineRule="auto"/>
        <w:ind w:firstLine="360"/>
        <w:jc w:val="both"/>
        <w:rPr>
          <w:rFonts w:ascii="Times New Roman" w:eastAsia="Times New Roman" w:hAnsi="Times New Roman" w:cs="Times New Roman"/>
        </w:rPr>
      </w:pPr>
    </w:p>
    <w:p w14:paraId="3359378C" w14:textId="77777777" w:rsidR="00EA3D73" w:rsidRDefault="00EA3D73">
      <w:pPr>
        <w:spacing w:line="360" w:lineRule="auto"/>
        <w:jc w:val="both"/>
        <w:rPr>
          <w:rFonts w:ascii="Times New Roman" w:eastAsia="Times New Roman" w:hAnsi="Times New Roman" w:cs="Times New Roman"/>
          <w:b/>
        </w:rPr>
      </w:pPr>
    </w:p>
    <w:p w14:paraId="316925D1" w14:textId="4E542F1E" w:rsidR="0054545A" w:rsidRPr="0054545A" w:rsidRDefault="007E7F07" w:rsidP="0054545A">
      <w:pPr>
        <w:spacing w:line="360" w:lineRule="auto"/>
        <w:jc w:val="both"/>
        <w:rPr>
          <w:rFonts w:ascii="Times New Roman" w:eastAsia="Times New Roman" w:hAnsi="Times New Roman" w:cs="Times New Roman"/>
          <w:b/>
        </w:rPr>
      </w:pPr>
      <w:r>
        <w:rPr>
          <w:rFonts w:ascii="Times New Roman" w:eastAsia="Times New Roman" w:hAnsi="Times New Roman" w:cs="Times New Roman"/>
          <w:b/>
        </w:rPr>
        <w:t>3.3 Summary of finding</w:t>
      </w:r>
    </w:p>
    <w:p w14:paraId="34516F09" w14:textId="46973E32" w:rsidR="00EA3D73" w:rsidRDefault="0054545A" w:rsidP="0054545A">
      <w:pPr>
        <w:spacing w:line="360" w:lineRule="auto"/>
        <w:ind w:firstLine="360"/>
        <w:jc w:val="both"/>
        <w:rPr>
          <w:rFonts w:ascii="Times New Roman" w:eastAsia="Times New Roman" w:hAnsi="Times New Roman" w:cs="Times New Roman"/>
        </w:rPr>
      </w:pPr>
      <w:r w:rsidRPr="0054545A">
        <w:rPr>
          <w:rFonts w:ascii="Times New Roman" w:eastAsia="Times New Roman" w:hAnsi="Times New Roman" w:cs="Times New Roman"/>
        </w:rPr>
        <w:t xml:space="preserve">Given India's robust GDP growth and increasing consumer incomes, </w:t>
      </w:r>
      <w:r>
        <w:rPr>
          <w:rFonts w:ascii="Times New Roman" w:eastAsia="Times New Roman" w:hAnsi="Times New Roman" w:cs="Times New Roman"/>
        </w:rPr>
        <w:t>Company A</w:t>
      </w:r>
      <w:r w:rsidRPr="0054545A">
        <w:rPr>
          <w:rFonts w:ascii="Times New Roman" w:eastAsia="Times New Roman" w:hAnsi="Times New Roman" w:cs="Times New Roman"/>
        </w:rPr>
        <w:t xml:space="preserve"> could benefit from expanding its retail operations there. India's growing middle class and expanding retail market present opportunities for international retailers like </w:t>
      </w:r>
      <w:r>
        <w:rPr>
          <w:rFonts w:ascii="Times New Roman" w:eastAsia="Times New Roman" w:hAnsi="Times New Roman" w:cs="Times New Roman"/>
        </w:rPr>
        <w:t xml:space="preserve">Company A </w:t>
      </w:r>
      <w:r w:rsidRPr="0054545A">
        <w:rPr>
          <w:rFonts w:ascii="Times New Roman" w:eastAsia="Times New Roman" w:hAnsi="Times New Roman" w:cs="Times New Roman"/>
        </w:rPr>
        <w:t xml:space="preserve">to establish a strong presence. </w:t>
      </w:r>
      <w:r>
        <w:rPr>
          <w:rFonts w:ascii="Times New Roman" w:eastAsia="Times New Roman" w:hAnsi="Times New Roman" w:cs="Times New Roman"/>
        </w:rPr>
        <w:t>Company A’s</w:t>
      </w:r>
      <w:r w:rsidRPr="0054545A">
        <w:rPr>
          <w:rFonts w:ascii="Times New Roman" w:eastAsia="Times New Roman" w:hAnsi="Times New Roman" w:cs="Times New Roman"/>
        </w:rPr>
        <w:t xml:space="preserve"> strategy of diversifying its retail model, as seen in Vietnam, could be effectively applied in India to tap into the country's burgeoning consumer market. This expansion would align with </w:t>
      </w:r>
      <w:r>
        <w:rPr>
          <w:rFonts w:ascii="Times New Roman" w:eastAsia="Times New Roman" w:hAnsi="Times New Roman" w:cs="Times New Roman"/>
        </w:rPr>
        <w:t>Company A</w:t>
      </w:r>
      <w:r w:rsidRPr="0054545A">
        <w:rPr>
          <w:rFonts w:ascii="Times New Roman" w:eastAsia="Times New Roman" w:hAnsi="Times New Roman" w:cs="Times New Roman"/>
        </w:rPr>
        <w:t xml:space="preserve">'s goals of enhancing competitiveness and growth through strategic investments in new </w:t>
      </w:r>
      <w:r w:rsidRPr="0054545A">
        <w:rPr>
          <w:rFonts w:ascii="Times New Roman" w:eastAsia="Times New Roman" w:hAnsi="Times New Roman" w:cs="Times New Roman"/>
        </w:rPr>
        <w:lastRenderedPageBreak/>
        <w:t>markets.</w:t>
      </w:r>
      <w:r w:rsidRPr="0054545A">
        <w:t xml:space="preserve"> </w:t>
      </w:r>
      <w:r w:rsidR="007E7F07">
        <w:br w:type="page"/>
      </w:r>
    </w:p>
    <w:p w14:paraId="49347EB5" w14:textId="25D347CC" w:rsidR="00EA3D73" w:rsidRPr="004C03FC" w:rsidRDefault="007E7F07" w:rsidP="004C03FC">
      <w:pPr>
        <w:widowControl/>
        <w:spacing w:line="360" w:lineRule="auto"/>
        <w:jc w:val="both"/>
        <w:rPr>
          <w:rFonts w:ascii="Times New Roman" w:eastAsia="Times New Roman" w:hAnsi="Times New Roman" w:cs="Times New Roman"/>
          <w:b/>
          <w:color w:val="0000CC"/>
          <w:sz w:val="26"/>
          <w:szCs w:val="26"/>
        </w:rPr>
      </w:pPr>
      <w:r>
        <w:rPr>
          <w:rFonts w:ascii="Times New Roman" w:eastAsia="Times New Roman" w:hAnsi="Times New Roman" w:cs="Times New Roman"/>
          <w:b/>
          <w:sz w:val="26"/>
          <w:szCs w:val="26"/>
        </w:rPr>
        <w:lastRenderedPageBreak/>
        <w:t xml:space="preserve">4   Conclusion and recommendations </w:t>
      </w:r>
    </w:p>
    <w:p w14:paraId="7DEDB2AA" w14:textId="77777777" w:rsidR="00EA3D73" w:rsidRDefault="007E7F07">
      <w:pPr>
        <w:spacing w:line="360" w:lineRule="auto"/>
        <w:jc w:val="both"/>
        <w:rPr>
          <w:rFonts w:ascii="Times New Roman" w:eastAsia="Times New Roman" w:hAnsi="Times New Roman" w:cs="Times New Roman"/>
          <w:b/>
        </w:rPr>
      </w:pPr>
      <w:r>
        <w:rPr>
          <w:rFonts w:ascii="Times New Roman" w:eastAsia="Times New Roman" w:hAnsi="Times New Roman" w:cs="Times New Roman"/>
          <w:b/>
        </w:rPr>
        <w:t>4.1</w:t>
      </w:r>
      <w:r>
        <w:rPr>
          <w:rFonts w:ascii="Times New Roman" w:eastAsia="Times New Roman" w:hAnsi="Times New Roman" w:cs="Times New Roman"/>
          <w:b/>
        </w:rPr>
        <w:tab/>
        <w:t>Conclusion</w:t>
      </w:r>
    </w:p>
    <w:p w14:paraId="6F69FE66" w14:textId="7D2790BB" w:rsidR="00B8456E" w:rsidRPr="00B8456E" w:rsidRDefault="00B8456E" w:rsidP="00B8456E">
      <w:pPr>
        <w:spacing w:line="360" w:lineRule="auto"/>
        <w:ind w:firstLine="360"/>
        <w:jc w:val="both"/>
        <w:rPr>
          <w:rFonts w:ascii="Times New Roman" w:eastAsia="Times New Roman" w:hAnsi="Times New Roman" w:cs="Times New Roman"/>
        </w:rPr>
      </w:pPr>
      <w:r w:rsidRPr="00B8456E">
        <w:rPr>
          <w:rFonts w:ascii="Times New Roman" w:eastAsia="Times New Roman" w:hAnsi="Times New Roman" w:cs="Times New Roman"/>
        </w:rPr>
        <w:t xml:space="preserve">In conclusion, India is an ideal destination for </w:t>
      </w:r>
      <w:r>
        <w:rPr>
          <w:rFonts w:ascii="Times New Roman" w:eastAsia="Times New Roman" w:hAnsi="Times New Roman" w:cs="Times New Roman"/>
        </w:rPr>
        <w:t>Company A</w:t>
      </w:r>
      <w:r w:rsidRPr="00B8456E">
        <w:rPr>
          <w:rFonts w:ascii="Times New Roman" w:eastAsia="Times New Roman" w:hAnsi="Times New Roman" w:cs="Times New Roman"/>
        </w:rPr>
        <w:t>'s expansion due to its rapidly growing retail market and favorable business environment. The Indian retail sector is projected to grow at a CAGR of 13.90% from 2024 to 2032, driven by factors such as income growth, urbanization, and digital adoption. Organized retail is expected to increase its share from 18-20% to 25-30% by 2025, offering significant opportunities for international retailers4. India's large consumer base and increasing disposable incomes make it an attractive market for Aeon to leverage its retail expertise.</w:t>
      </w:r>
      <w:r>
        <w:rPr>
          <w:rFonts w:ascii="Times New Roman" w:eastAsia="Times New Roman" w:hAnsi="Times New Roman" w:cs="Times New Roman"/>
        </w:rPr>
        <w:t xml:space="preserve"> (</w:t>
      </w:r>
      <w:proofErr w:type="spellStart"/>
      <w:r w:rsidRPr="00B8456E">
        <w:rPr>
          <w:rFonts w:ascii="Times New Roman" w:eastAsia="Times New Roman" w:hAnsi="Times New Roman" w:cs="Times New Roman"/>
        </w:rPr>
        <w:t>Dezan</w:t>
      </w:r>
      <w:proofErr w:type="spellEnd"/>
      <w:r w:rsidRPr="00B8456E">
        <w:rPr>
          <w:rFonts w:ascii="Times New Roman" w:eastAsia="Times New Roman" w:hAnsi="Times New Roman" w:cs="Times New Roman"/>
        </w:rPr>
        <w:t xml:space="preserve"> Shira &amp; Associate</w:t>
      </w:r>
      <w:r>
        <w:rPr>
          <w:rFonts w:ascii="Times New Roman" w:eastAsia="Times New Roman" w:hAnsi="Times New Roman" w:cs="Times New Roman"/>
        </w:rPr>
        <w:t>, 2025)</w:t>
      </w:r>
    </w:p>
    <w:p w14:paraId="50517A93" w14:textId="77777777" w:rsidR="00B8456E" w:rsidRPr="00B8456E" w:rsidRDefault="00B8456E" w:rsidP="00B8456E">
      <w:pPr>
        <w:spacing w:line="360" w:lineRule="auto"/>
        <w:ind w:firstLine="360"/>
        <w:jc w:val="both"/>
        <w:rPr>
          <w:rFonts w:ascii="Times New Roman" w:eastAsia="Times New Roman" w:hAnsi="Times New Roman" w:cs="Times New Roman"/>
        </w:rPr>
      </w:pPr>
    </w:p>
    <w:p w14:paraId="52BACDD2" w14:textId="61DAEEEF" w:rsidR="00B8456E" w:rsidRPr="00B8456E" w:rsidRDefault="00B8456E" w:rsidP="00B8456E">
      <w:pPr>
        <w:spacing w:line="360" w:lineRule="auto"/>
        <w:ind w:firstLine="360"/>
        <w:jc w:val="both"/>
        <w:rPr>
          <w:rFonts w:ascii="Times New Roman" w:eastAsia="Times New Roman" w:hAnsi="Times New Roman" w:cs="Times New Roman"/>
        </w:rPr>
      </w:pPr>
      <w:r w:rsidRPr="00B8456E">
        <w:rPr>
          <w:rFonts w:ascii="Times New Roman" w:eastAsia="Times New Roman" w:hAnsi="Times New Roman" w:cs="Times New Roman"/>
        </w:rPr>
        <w:t>Aeon's expansion into India aligns with its strategy of targeting high-growth markets. Despite initial plans to enter India in 2013, Aeon has yet to establish retail operations there1. However, its existing consumer finance business in India provides a foundation for future retail expansion. The Indian government's policies, including 100% FDI in single-brand retail and e-commerce, further support foreign investment. By expanding into India, Aeon can capitalize on the country's retail growth potential and diversify its global presence.</w:t>
      </w:r>
      <w:r>
        <w:rPr>
          <w:rFonts w:ascii="Times New Roman" w:eastAsia="Times New Roman" w:hAnsi="Times New Roman" w:cs="Times New Roman"/>
        </w:rPr>
        <w:t xml:space="preserve"> (</w:t>
      </w:r>
      <w:proofErr w:type="spellStart"/>
      <w:r w:rsidRPr="00B8456E">
        <w:rPr>
          <w:rFonts w:ascii="Times New Roman" w:eastAsia="Times New Roman" w:hAnsi="Times New Roman" w:cs="Times New Roman"/>
        </w:rPr>
        <w:t>Roudra</w:t>
      </w:r>
      <w:proofErr w:type="spellEnd"/>
      <w:r w:rsidRPr="00B8456E">
        <w:rPr>
          <w:rFonts w:ascii="Times New Roman" w:eastAsia="Times New Roman" w:hAnsi="Times New Roman" w:cs="Times New Roman"/>
        </w:rPr>
        <w:t xml:space="preserve"> Bhattacharya</w:t>
      </w:r>
      <w:r>
        <w:rPr>
          <w:rFonts w:ascii="Times New Roman" w:eastAsia="Times New Roman" w:hAnsi="Times New Roman" w:cs="Times New Roman"/>
        </w:rPr>
        <w:t xml:space="preserve">, </w:t>
      </w:r>
      <w:r w:rsidRPr="00B8456E">
        <w:rPr>
          <w:rFonts w:ascii="Times New Roman" w:eastAsia="Times New Roman" w:hAnsi="Times New Roman" w:cs="Times New Roman"/>
        </w:rPr>
        <w:t>2013)</w:t>
      </w:r>
    </w:p>
    <w:p w14:paraId="57EA4903" w14:textId="77777777" w:rsidR="00EA3D73" w:rsidRDefault="00EA3D73">
      <w:pPr>
        <w:spacing w:line="360" w:lineRule="auto"/>
        <w:jc w:val="both"/>
        <w:rPr>
          <w:rFonts w:ascii="Times New Roman" w:eastAsia="Times New Roman" w:hAnsi="Times New Roman" w:cs="Times New Roman"/>
        </w:rPr>
      </w:pPr>
    </w:p>
    <w:p w14:paraId="51FFE389" w14:textId="7D4D3FF5" w:rsidR="00EA3D73" w:rsidRDefault="004C03FC">
      <w:pPr>
        <w:spacing w:line="360" w:lineRule="auto"/>
        <w:jc w:val="both"/>
        <w:rPr>
          <w:rFonts w:ascii="Times New Roman" w:eastAsia="Times New Roman" w:hAnsi="Times New Roman" w:cs="Times New Roman"/>
          <w:b/>
        </w:rPr>
      </w:pPr>
      <w:r>
        <w:rPr>
          <w:rFonts w:ascii="Times New Roman" w:eastAsia="Times New Roman" w:hAnsi="Times New Roman" w:cs="Times New Roman"/>
          <w:b/>
        </w:rPr>
        <w:t>4</w:t>
      </w:r>
      <w:r w:rsidR="007E7F07">
        <w:rPr>
          <w:rFonts w:ascii="Times New Roman" w:eastAsia="Times New Roman" w:hAnsi="Times New Roman" w:cs="Times New Roman"/>
          <w:b/>
        </w:rPr>
        <w:t>.2</w:t>
      </w:r>
      <w:r w:rsidR="007E7F07">
        <w:rPr>
          <w:rFonts w:ascii="Times New Roman" w:eastAsia="Times New Roman" w:hAnsi="Times New Roman" w:cs="Times New Roman"/>
          <w:b/>
        </w:rPr>
        <w:tab/>
        <w:t>Recommendations</w:t>
      </w:r>
    </w:p>
    <w:p w14:paraId="4556EE90" w14:textId="7CF9E9B1" w:rsidR="00761D17" w:rsidRPr="00761D17" w:rsidRDefault="00761D17" w:rsidP="00761D17">
      <w:pPr>
        <w:spacing w:line="360" w:lineRule="auto"/>
        <w:ind w:firstLine="360"/>
        <w:jc w:val="both"/>
        <w:rPr>
          <w:rFonts w:ascii="Times New Roman" w:eastAsia="Times New Roman" w:hAnsi="Times New Roman" w:cs="Times New Roman"/>
        </w:rPr>
      </w:pPr>
      <w:r>
        <w:rPr>
          <w:rFonts w:ascii="Times New Roman" w:eastAsia="Times New Roman" w:hAnsi="Times New Roman" w:cs="Times New Roman"/>
        </w:rPr>
        <w:t xml:space="preserve">India’s retail market is highly competitive (e.g., Reliance Retail and Tata Group). Company A would need to offer unique products or work partnership with strategy. Company A could collaborate with local retail chains to leverage their market knowledge and infrastructure. India has complex regulatory frameworks, including foreign direct investment (FDI) rules, which posed challenges for international retailers. Company A must adapt its business model to match India consumer preferences and cultural nature, offer products that appeal to local tastes and integrating with local suppliers. Company A could offer tailor products to meet India consumers preference, focusing on both private label brands and international products. Company A could enhance in-store experiences by integrating technology and offering personalized service to differentiate Company A from competitors. India’s infrastructure and logistics were different from Hong Kong, it could be challenging and required significant investment to establish efficient supply chains. </w:t>
      </w:r>
      <w:r w:rsidR="00FA1A04">
        <w:rPr>
          <w:rFonts w:ascii="Times New Roman" w:eastAsia="Times New Roman" w:hAnsi="Times New Roman" w:cs="Times New Roman"/>
        </w:rPr>
        <w:t>Company A should build brand loyalty and appeal to emphasize sustainability.</w:t>
      </w:r>
    </w:p>
    <w:p w14:paraId="16E24B0D" w14:textId="5DE43369" w:rsidR="00EA3D73" w:rsidRDefault="00EA3D73">
      <w:pPr>
        <w:spacing w:line="360" w:lineRule="auto"/>
        <w:jc w:val="both"/>
        <w:rPr>
          <w:rFonts w:ascii="Times New Roman" w:eastAsia="Times New Roman" w:hAnsi="Times New Roman" w:cs="Times New Roman"/>
          <w:color w:val="0000CC"/>
          <w:sz w:val="26"/>
          <w:szCs w:val="26"/>
        </w:rPr>
      </w:pPr>
    </w:p>
    <w:p w14:paraId="0265E4E7" w14:textId="77777777" w:rsidR="00EA3D73" w:rsidRPr="00B8456E" w:rsidRDefault="007E7F07">
      <w:pPr>
        <w:spacing w:line="360" w:lineRule="auto"/>
        <w:jc w:val="both"/>
        <w:rPr>
          <w:rFonts w:ascii="Times New Roman" w:eastAsia="Times New Roman" w:hAnsi="Times New Roman" w:cs="Times New Roman"/>
          <w:bCs/>
          <w:sz w:val="26"/>
          <w:szCs w:val="26"/>
        </w:rPr>
      </w:pPr>
      <w:r w:rsidRPr="00B8456E">
        <w:rPr>
          <w:rFonts w:ascii="Times New Roman" w:eastAsia="Times New Roman" w:hAnsi="Times New Roman" w:cs="Times New Roman"/>
          <w:bCs/>
          <w:sz w:val="26"/>
          <w:szCs w:val="26"/>
        </w:rPr>
        <w:lastRenderedPageBreak/>
        <w:t xml:space="preserve">References </w:t>
      </w:r>
    </w:p>
    <w:p w14:paraId="23D36451"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AEON Stores (Hong Kong) Co., Limited (2024). Aeon stores announces 2023 Annual results continues to drive operational reform committees to enhancing efficiency and productivity. Available at: https://www.aeonstores.com.hk/new/detail?id=615&amp;lang=en</w:t>
      </w:r>
    </w:p>
    <w:p w14:paraId="7FBC3649"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Business Standard (2025). Economic Survey 2025: Inflation stays high as food prices defy global dip. Available at: https://www.business-standard.com/budget/news/economic-survey-2025-inflation-food-prices-rbi-policy-global-trends-125013100829_1.html</w:t>
      </w:r>
    </w:p>
    <w:p w14:paraId="727B9DEE"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Consulate General of India (2024) India-Hong Kong Bilateral Relations. Available at: https://cgihk.gov.in/page/india-hong-kong-relation/</w:t>
      </w:r>
    </w:p>
    <w:p w14:paraId="0B66A6C7" w14:textId="77777777" w:rsidR="001D7616" w:rsidRPr="001D7616" w:rsidRDefault="001D7616" w:rsidP="001D7616">
      <w:pPr>
        <w:ind w:left="480" w:hanging="480"/>
        <w:rPr>
          <w:rFonts w:ascii="Times New Roman" w:eastAsia="Times New Roman" w:hAnsi="Times New Roman" w:cs="Times New Roman"/>
        </w:rPr>
      </w:pPr>
      <w:proofErr w:type="spellStart"/>
      <w:r w:rsidRPr="001D7616">
        <w:rPr>
          <w:rFonts w:ascii="Times New Roman" w:eastAsia="Times New Roman" w:hAnsi="Times New Roman" w:cs="Times New Roman"/>
        </w:rPr>
        <w:t>Dezan</w:t>
      </w:r>
      <w:proofErr w:type="spellEnd"/>
      <w:r w:rsidRPr="001D7616">
        <w:rPr>
          <w:rFonts w:ascii="Times New Roman" w:eastAsia="Times New Roman" w:hAnsi="Times New Roman" w:cs="Times New Roman"/>
        </w:rPr>
        <w:t xml:space="preserve"> Shira &amp; Associates (2025). India’s Retail Market: Here’s what’s driving consumptions. Available at: https://www.india-briefing.com/news/indias-retail-market-heres-whats-driving-consumption-24992.html/</w:t>
      </w:r>
    </w:p>
    <w:p w14:paraId="7C18E8BF" w14:textId="77777777" w:rsidR="001D7616" w:rsidRPr="001D7616" w:rsidRDefault="001D7616" w:rsidP="001D7616">
      <w:pPr>
        <w:ind w:left="480" w:hanging="480"/>
        <w:rPr>
          <w:rFonts w:ascii="Times New Roman" w:eastAsia="Times New Roman" w:hAnsi="Times New Roman" w:cs="Times New Roman"/>
        </w:rPr>
      </w:pPr>
      <w:proofErr w:type="spellStart"/>
      <w:r w:rsidRPr="001D7616">
        <w:rPr>
          <w:rFonts w:ascii="Times New Roman" w:eastAsia="Times New Roman" w:hAnsi="Times New Roman" w:cs="Times New Roman"/>
        </w:rPr>
        <w:t>Faisan</w:t>
      </w:r>
      <w:proofErr w:type="spellEnd"/>
      <w:r w:rsidRPr="001D7616">
        <w:rPr>
          <w:rFonts w:ascii="Times New Roman" w:eastAsia="Times New Roman" w:hAnsi="Times New Roman" w:cs="Times New Roman"/>
        </w:rPr>
        <w:t xml:space="preserve"> Haidar (2024). Retail sales grow a mere 2% in July. Available at: https://economictimes.indiatimes.com/industry/services/retail/retail-sales-grow-a-mere-2-in-july/articleshow/112628415.cms?utm_source=perplexity</w:t>
      </w:r>
    </w:p>
    <w:p w14:paraId="62A5DA06" w14:textId="77777777" w:rsidR="001D7616" w:rsidRPr="001D7616" w:rsidRDefault="001D7616" w:rsidP="001D7616">
      <w:pPr>
        <w:ind w:left="480" w:hanging="480"/>
        <w:rPr>
          <w:rFonts w:ascii="Times New Roman" w:eastAsia="Times New Roman" w:hAnsi="Times New Roman" w:cs="Times New Roman"/>
        </w:rPr>
      </w:pPr>
      <w:proofErr w:type="spellStart"/>
      <w:r w:rsidRPr="001D7616">
        <w:rPr>
          <w:rFonts w:ascii="Times New Roman" w:eastAsia="Times New Roman" w:hAnsi="Times New Roman" w:cs="Times New Roman"/>
        </w:rPr>
        <w:t>Faisan</w:t>
      </w:r>
      <w:proofErr w:type="spellEnd"/>
      <w:r w:rsidRPr="001D7616">
        <w:rPr>
          <w:rFonts w:ascii="Times New Roman" w:eastAsia="Times New Roman" w:hAnsi="Times New Roman" w:cs="Times New Roman"/>
        </w:rPr>
        <w:t xml:space="preserve"> Haidar (2024). Retailers report 4% growth in sales in April 2024. Available at: https://economictimes.com/industry/services/retail/retailers-report-4-growth-in-sales-in-april-2024/articleshow/110203880.cms?utm_source=perplexity</w:t>
      </w:r>
    </w:p>
    <w:p w14:paraId="0FAA1517" w14:textId="77777777" w:rsidR="001D7616" w:rsidRPr="001D7616" w:rsidRDefault="001D7616" w:rsidP="001D7616">
      <w:pPr>
        <w:ind w:left="480" w:hanging="480"/>
        <w:rPr>
          <w:rFonts w:ascii="Times New Roman" w:eastAsia="Times New Roman" w:hAnsi="Times New Roman" w:cs="Times New Roman"/>
        </w:rPr>
      </w:pPr>
      <w:proofErr w:type="spellStart"/>
      <w:r w:rsidRPr="001D7616">
        <w:rPr>
          <w:rFonts w:ascii="Times New Roman" w:eastAsia="Times New Roman" w:hAnsi="Times New Roman" w:cs="Times New Roman"/>
        </w:rPr>
        <w:t>GlobalData</w:t>
      </w:r>
      <w:proofErr w:type="spellEnd"/>
      <w:r w:rsidRPr="001D7616">
        <w:rPr>
          <w:rFonts w:ascii="Times New Roman" w:eastAsia="Times New Roman" w:hAnsi="Times New Roman" w:cs="Times New Roman"/>
        </w:rPr>
        <w:t xml:space="preserve"> (2025). Literacy Rate in India. Available at: https://www.globaldata.com/data-insights/macroeconomic/literacy-rate-in-india/</w:t>
      </w:r>
    </w:p>
    <w:p w14:paraId="0AF7BEF8"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 xml:space="preserve">Government of India (2025) Ministry of Statistics and </w:t>
      </w:r>
      <w:proofErr w:type="spellStart"/>
      <w:r w:rsidRPr="001D7616">
        <w:rPr>
          <w:rFonts w:ascii="Times New Roman" w:eastAsia="Times New Roman" w:hAnsi="Times New Roman" w:cs="Times New Roman"/>
        </w:rPr>
        <w:t>Programme</w:t>
      </w:r>
      <w:proofErr w:type="spellEnd"/>
      <w:r w:rsidRPr="001D7616">
        <w:rPr>
          <w:rFonts w:ascii="Times New Roman" w:eastAsia="Times New Roman" w:hAnsi="Times New Roman" w:cs="Times New Roman"/>
        </w:rPr>
        <w:t xml:space="preserve"> Implementation - </w:t>
      </w:r>
      <w:proofErr w:type="spellStart"/>
      <w:r w:rsidRPr="001D7616">
        <w:rPr>
          <w:rFonts w:ascii="Times New Roman" w:eastAsia="Times New Roman" w:hAnsi="Times New Roman" w:cs="Times New Roman"/>
        </w:rPr>
        <w:t>Labour</w:t>
      </w:r>
      <w:proofErr w:type="spellEnd"/>
      <w:r w:rsidRPr="001D7616">
        <w:rPr>
          <w:rFonts w:ascii="Times New Roman" w:eastAsia="Times New Roman" w:hAnsi="Times New Roman" w:cs="Times New Roman"/>
        </w:rPr>
        <w:t xml:space="preserve"> and Employment statistics. Available at: https://mospi.gov.in/94-labour-and-employment-statistics</w:t>
      </w:r>
    </w:p>
    <w:p w14:paraId="5D65D8A1"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Hong Kong Census and Statistics Department (2025</w:t>
      </w:r>
      <w:proofErr w:type="gramStart"/>
      <w:r w:rsidRPr="001D7616">
        <w:rPr>
          <w:rFonts w:ascii="Times New Roman" w:eastAsia="Times New Roman" w:hAnsi="Times New Roman" w:cs="Times New Roman"/>
        </w:rPr>
        <w:t>).Available</w:t>
      </w:r>
      <w:proofErr w:type="gramEnd"/>
      <w:r w:rsidRPr="001D7616">
        <w:rPr>
          <w:rFonts w:ascii="Times New Roman" w:eastAsia="Times New Roman" w:hAnsi="Times New Roman" w:cs="Times New Roman"/>
        </w:rPr>
        <w:t xml:space="preserve"> at: https://www.censtatd.gov.hk/en/</w:t>
      </w:r>
    </w:p>
    <w:p w14:paraId="27347C98"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Hong Kong Monetary Authority (2009). Financial Services Sector as a Driver of Productivity growth in Hong Kong. Available at: https://www.hkma.gov.hk/media/eng/publication-and-research/research/working-papers/HKMAWP09_14_full.pdf</w:t>
      </w:r>
    </w:p>
    <w:p w14:paraId="239CA079"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 xml:space="preserve">International </w:t>
      </w:r>
      <w:proofErr w:type="spellStart"/>
      <w:r w:rsidRPr="001D7616">
        <w:rPr>
          <w:rFonts w:ascii="Times New Roman" w:eastAsia="Times New Roman" w:hAnsi="Times New Roman" w:cs="Times New Roman"/>
        </w:rPr>
        <w:t>Labour</w:t>
      </w:r>
      <w:proofErr w:type="spellEnd"/>
      <w:r w:rsidRPr="001D7616">
        <w:rPr>
          <w:rFonts w:ascii="Times New Roman" w:eastAsia="Times New Roman" w:hAnsi="Times New Roman" w:cs="Times New Roman"/>
        </w:rPr>
        <w:t xml:space="preserve"> Organization (2024). India Employment Report 2024 Youth employment, education and skills. Available at: http://www.indiaenvironmentportal.org.in/files/file/India%20Employment%20Report%202024.pdf</w:t>
      </w:r>
    </w:p>
    <w:p w14:paraId="4AC4FFD9"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Josephine Tan (2024) Educated youths in India face bleak job market. Available at: https://hrmasia.com/educated-youths-in-india-face-bleak-job-market/</w:t>
      </w:r>
    </w:p>
    <w:p w14:paraId="02980306"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June Chen (2025). Rise of HK’s consumer prices falls short of expectations. Available at: https://www.thestandard.com.hk/breaking-news/section/2/225616/Rise-of-HK's-consumer-prices-falls-short-of-expectations?utm_source=perplexity</w:t>
      </w:r>
    </w:p>
    <w:p w14:paraId="1CB8B2D5"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Lifestyle International Holdings Limited (2022). Interim Results for the six months ended 30 June 2022. Available at: https://www1.hkexnews.hk/listedco/listconews/sehk/2022/0728/2022072800221.pdf</w:t>
      </w:r>
    </w:p>
    <w:p w14:paraId="74B14AF4"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 xml:space="preserve">Ministry of </w:t>
      </w:r>
      <w:proofErr w:type="spellStart"/>
      <w:r w:rsidRPr="001D7616">
        <w:rPr>
          <w:rFonts w:ascii="Times New Roman" w:eastAsia="Times New Roman" w:hAnsi="Times New Roman" w:cs="Times New Roman"/>
        </w:rPr>
        <w:t>Labour</w:t>
      </w:r>
      <w:proofErr w:type="spellEnd"/>
      <w:r w:rsidRPr="001D7616">
        <w:rPr>
          <w:rFonts w:ascii="Times New Roman" w:eastAsia="Times New Roman" w:hAnsi="Times New Roman" w:cs="Times New Roman"/>
        </w:rPr>
        <w:t xml:space="preserve"> &amp; Employment (2024) Press Release: Employment Generation in India. Available at: https://pib.gov.in/PressReleasePage.aspx?PRID=2038699</w:t>
      </w:r>
    </w:p>
    <w:p w14:paraId="50955E9D"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 xml:space="preserve">Muhammad </w:t>
      </w:r>
      <w:proofErr w:type="spellStart"/>
      <w:r w:rsidRPr="001D7616">
        <w:rPr>
          <w:rFonts w:ascii="Times New Roman" w:eastAsia="Times New Roman" w:hAnsi="Times New Roman" w:cs="Times New Roman"/>
        </w:rPr>
        <w:t>Rizky</w:t>
      </w:r>
      <w:proofErr w:type="spellEnd"/>
      <w:r w:rsidRPr="001D7616">
        <w:rPr>
          <w:rFonts w:ascii="Times New Roman" w:eastAsia="Times New Roman" w:hAnsi="Times New Roman" w:cs="Times New Roman"/>
        </w:rPr>
        <w:t xml:space="preserve"> (2024). 5 Traditional real challenges to go ecommerce and how to solve them understanding the barriers of going online for traditional retail and the solutions. Available at: https://portcities.net/blog/tech-blog-6/5-traditional-retail-challenges-to-go-ecommerce-and-how-to-solve-them-166</w:t>
      </w:r>
    </w:p>
    <w:p w14:paraId="0D5B7D23"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Retail Economics (2020) The shape of retail: Covid-19 and the Future of Retail Supply Chains. Available at: https://www.retaileconomics.co.uk/retail-insights/thought-leadership-</w:t>
      </w:r>
      <w:r w:rsidRPr="001D7616">
        <w:rPr>
          <w:rFonts w:ascii="Times New Roman" w:eastAsia="Times New Roman" w:hAnsi="Times New Roman" w:cs="Times New Roman"/>
        </w:rPr>
        <w:lastRenderedPageBreak/>
        <w:t>reports/covid-19-and-the-future-of-retail-supply-chains-report</w:t>
      </w:r>
    </w:p>
    <w:p w14:paraId="09DC61DD"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Saurabh Shukla (2025). CPI Inflation Eases To 4.31% In Jan 2025: Government Data. Available at: https://www.etvbharat.com/en/!bharat/cpi-inflation-eases-to-4-dot-31-percent-in-jan-2025-govt-data-enn25021204648?utm_source=perplexity</w:t>
      </w:r>
    </w:p>
    <w:p w14:paraId="66A30CF6"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Statista (2025) India: Youth unemployment rate from 1999 to 2023. Available at: https://www.statista.com/statistics/812106/youth-unemployment-rate-in-india/</w:t>
      </w:r>
    </w:p>
    <w:p w14:paraId="1835239E"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The Economic Times (2022. Petrol in India cheaper than UK, Germany but costlier than US, China, Pakistan, Sri Lanka. Available at https://economictimes.indiatimes.com/industry/energy/oil-gas/petrol-in-india-cheaper-than-uk-germany-but-costlier-than-us-china-pakistan-sri-lanka/articleshow/91617651.cms</w:t>
      </w:r>
    </w:p>
    <w:p w14:paraId="49A42D9A"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The Times of India (2024). IMF says India’s GDP growth to moderate to 7% in 2024 and 6.5% in 2025. Available at: https://timesofindia.indiatimes.com/business/india-business/imf-says-indias-gdp-growth-to-moderate-to-7-in-2024-and-6-5-in-2025/articleshow/114468624.cms</w:t>
      </w:r>
    </w:p>
    <w:p w14:paraId="3A76588B"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Trading Economics (2025). India Fiscal Year GDP Growth. Available at: https://tradingeconomics.com/india/full-year-gdp-growth</w:t>
      </w:r>
    </w:p>
    <w:p w14:paraId="692FA00A" w14:textId="77777777" w:rsidR="001D7616" w:rsidRPr="001D7616"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United Nations Department of Economic and Social Affairs (2025). Population Division. Available at: https://maintenance.un.org/</w:t>
      </w:r>
    </w:p>
    <w:p w14:paraId="0E1B9CC9" w14:textId="23CD9552" w:rsidR="00EA3D73" w:rsidRDefault="001D7616" w:rsidP="001D7616">
      <w:pPr>
        <w:ind w:left="480" w:hanging="480"/>
        <w:rPr>
          <w:rFonts w:ascii="Times New Roman" w:eastAsia="Times New Roman" w:hAnsi="Times New Roman" w:cs="Times New Roman"/>
        </w:rPr>
      </w:pPr>
      <w:r w:rsidRPr="001D7616">
        <w:rPr>
          <w:rFonts w:ascii="Times New Roman" w:eastAsia="Times New Roman" w:hAnsi="Times New Roman" w:cs="Times New Roman"/>
        </w:rPr>
        <w:t xml:space="preserve">Zeng </w:t>
      </w:r>
      <w:proofErr w:type="spellStart"/>
      <w:r w:rsidRPr="001D7616">
        <w:rPr>
          <w:rFonts w:ascii="Times New Roman" w:eastAsia="Times New Roman" w:hAnsi="Times New Roman" w:cs="Times New Roman"/>
        </w:rPr>
        <w:t>Xinlan</w:t>
      </w:r>
      <w:proofErr w:type="spellEnd"/>
      <w:r w:rsidRPr="001D7616">
        <w:rPr>
          <w:rFonts w:ascii="Times New Roman" w:eastAsia="Times New Roman" w:hAnsi="Times New Roman" w:cs="Times New Roman"/>
        </w:rPr>
        <w:t xml:space="preserve"> (2023). Sogo operator pessimistic about HK’s retail market in 2021, Available at: ttps://www.chinadailyhk.com/hk/article/159229</w:t>
      </w:r>
    </w:p>
    <w:p w14:paraId="32B2C279" w14:textId="143A452C" w:rsidR="00B8456E" w:rsidRDefault="00907FF3" w:rsidP="00B8456E">
      <w:pPr>
        <w:ind w:left="480" w:hanging="480"/>
        <w:rPr>
          <w:rFonts w:ascii="Times New Roman" w:eastAsia="Times New Roman" w:hAnsi="Times New Roman" w:cs="Times New Roman"/>
        </w:rPr>
      </w:pPr>
      <w:r>
        <w:rPr>
          <w:rFonts w:ascii="Times New Roman" w:eastAsia="Times New Roman" w:hAnsi="Times New Roman" w:cs="Times New Roman"/>
        </w:rPr>
        <w:t xml:space="preserve">HKTDC (2025) </w:t>
      </w:r>
      <w:r w:rsidRPr="00907FF3">
        <w:rPr>
          <w:rFonts w:ascii="Times New Roman" w:eastAsia="Times New Roman" w:hAnsi="Times New Roman" w:cs="Times New Roman"/>
        </w:rPr>
        <w:t xml:space="preserve">Strategic Platforms and </w:t>
      </w:r>
      <w:proofErr w:type="spellStart"/>
      <w:r w:rsidRPr="00907FF3">
        <w:rPr>
          <w:rFonts w:ascii="Times New Roman" w:eastAsia="Times New Roman" w:hAnsi="Times New Roman" w:cs="Times New Roman"/>
        </w:rPr>
        <w:t>Optimised</w:t>
      </w:r>
      <w:proofErr w:type="spellEnd"/>
      <w:r w:rsidRPr="00907FF3">
        <w:rPr>
          <w:rFonts w:ascii="Times New Roman" w:eastAsia="Times New Roman" w:hAnsi="Times New Roman" w:cs="Times New Roman"/>
        </w:rPr>
        <w:t xml:space="preserve"> Delivery Services: The Keys to Cross-Border E-commerce Success</w:t>
      </w:r>
      <w:r>
        <w:rPr>
          <w:rFonts w:ascii="Times New Roman" w:eastAsia="Times New Roman" w:hAnsi="Times New Roman" w:cs="Times New Roman"/>
        </w:rPr>
        <w:t xml:space="preserve">. Available at: </w:t>
      </w:r>
      <w:hyperlink r:id="rId16" w:history="1">
        <w:r w:rsidRPr="007968A8">
          <w:rPr>
            <w:rStyle w:val="Hyperlink"/>
            <w:rFonts w:ascii="Times New Roman" w:eastAsia="Times New Roman" w:hAnsi="Times New Roman" w:cs="Times New Roman"/>
          </w:rPr>
          <w:t>https://research.hktdc.com</w:t>
        </w:r>
      </w:hyperlink>
    </w:p>
    <w:p w14:paraId="1A7C6860" w14:textId="52BF8398" w:rsidR="00B8456E" w:rsidRDefault="00B8456E" w:rsidP="00B8456E">
      <w:pPr>
        <w:ind w:left="480" w:hanging="480"/>
        <w:rPr>
          <w:rFonts w:ascii="Times New Roman" w:eastAsia="Times New Roman" w:hAnsi="Times New Roman" w:cs="Times New Roman"/>
        </w:rPr>
      </w:pPr>
      <w:proofErr w:type="spellStart"/>
      <w:r w:rsidRPr="00B8456E">
        <w:rPr>
          <w:rFonts w:ascii="Times New Roman" w:eastAsia="Times New Roman" w:hAnsi="Times New Roman" w:cs="Times New Roman"/>
        </w:rPr>
        <w:t>Dezan</w:t>
      </w:r>
      <w:proofErr w:type="spellEnd"/>
      <w:r w:rsidRPr="00B8456E">
        <w:rPr>
          <w:rFonts w:ascii="Times New Roman" w:eastAsia="Times New Roman" w:hAnsi="Times New Roman" w:cs="Times New Roman"/>
        </w:rPr>
        <w:t xml:space="preserve"> Shira &amp; Associate</w:t>
      </w:r>
      <w:r>
        <w:rPr>
          <w:rFonts w:ascii="Times New Roman" w:eastAsia="Times New Roman" w:hAnsi="Times New Roman" w:cs="Times New Roman"/>
        </w:rPr>
        <w:t xml:space="preserve"> (</w:t>
      </w:r>
      <w:r w:rsidRPr="00B8456E">
        <w:rPr>
          <w:rFonts w:ascii="Times New Roman" w:eastAsia="Times New Roman" w:hAnsi="Times New Roman" w:cs="Times New Roman"/>
        </w:rPr>
        <w:t>2025</w:t>
      </w:r>
      <w:r>
        <w:rPr>
          <w:rFonts w:ascii="Times New Roman" w:eastAsia="Times New Roman" w:hAnsi="Times New Roman" w:cs="Times New Roman"/>
        </w:rPr>
        <w:t xml:space="preserve">) India’s Retail Market: Here’s what’s driving consumption. Available at: </w:t>
      </w:r>
      <w:hyperlink r:id="rId17" w:history="1">
        <w:r w:rsidRPr="00F2219E">
          <w:rPr>
            <w:rStyle w:val="Hyperlink"/>
            <w:rFonts w:ascii="Times New Roman" w:eastAsia="Times New Roman" w:hAnsi="Times New Roman" w:cs="Times New Roman"/>
          </w:rPr>
          <w:t>https://www.india-briefing.com/doing-business-guide/india/sector-insights/india-s-retail-market-here-s-what-s-driving-consumption</w:t>
        </w:r>
      </w:hyperlink>
    </w:p>
    <w:p w14:paraId="18284EEA" w14:textId="1CD205E1" w:rsidR="00B8456E" w:rsidRDefault="00B8456E" w:rsidP="00B8456E">
      <w:pPr>
        <w:ind w:left="480" w:hanging="480"/>
        <w:rPr>
          <w:rFonts w:ascii="Times New Roman" w:eastAsia="Times New Roman" w:hAnsi="Times New Roman" w:cs="Times New Roman"/>
        </w:rPr>
      </w:pPr>
      <w:proofErr w:type="spellStart"/>
      <w:r w:rsidRPr="00B8456E">
        <w:rPr>
          <w:rFonts w:ascii="Times New Roman" w:eastAsia="Times New Roman" w:hAnsi="Times New Roman" w:cs="Times New Roman"/>
        </w:rPr>
        <w:t>Roudra</w:t>
      </w:r>
      <w:proofErr w:type="spellEnd"/>
      <w:r w:rsidRPr="00B8456E">
        <w:rPr>
          <w:rFonts w:ascii="Times New Roman" w:eastAsia="Times New Roman" w:hAnsi="Times New Roman" w:cs="Times New Roman"/>
        </w:rPr>
        <w:t xml:space="preserve"> Bhattacharya</w:t>
      </w:r>
      <w:r>
        <w:rPr>
          <w:rFonts w:ascii="Times New Roman" w:eastAsia="Times New Roman" w:hAnsi="Times New Roman" w:cs="Times New Roman"/>
        </w:rPr>
        <w:t xml:space="preserve"> (2013) Japanese retailer Aeon looks for partners for India entry. Available at: </w:t>
      </w:r>
      <w:hyperlink r:id="rId18" w:history="1">
        <w:r w:rsidR="004D1993" w:rsidRPr="003B09EF">
          <w:rPr>
            <w:rStyle w:val="Hyperlink"/>
            <w:rFonts w:ascii="Times New Roman" w:eastAsia="Times New Roman" w:hAnsi="Times New Roman" w:cs="Times New Roman"/>
          </w:rPr>
          <w:t>https://www.financialexpress.com/archive/japanese-retailer-aeon-looks-for-partners-for-india-entry/1193255/</w:t>
        </w:r>
      </w:hyperlink>
    </w:p>
    <w:p w14:paraId="7EA963B5" w14:textId="5A2C2713" w:rsidR="004D1993" w:rsidRDefault="004D1993" w:rsidP="004D1993">
      <w:pPr>
        <w:ind w:left="480" w:hanging="480"/>
        <w:rPr>
          <w:rFonts w:ascii="Times New Roman" w:eastAsia="Times New Roman" w:hAnsi="Times New Roman" w:cs="Times New Roman"/>
        </w:rPr>
      </w:pPr>
      <w:r>
        <w:rPr>
          <w:rFonts w:ascii="Times New Roman" w:eastAsia="Times New Roman" w:hAnsi="Times New Roman" w:cs="Times New Roman"/>
        </w:rPr>
        <w:t xml:space="preserve">Bob </w:t>
      </w:r>
      <w:proofErr w:type="spellStart"/>
      <w:r>
        <w:rPr>
          <w:rFonts w:ascii="Times New Roman" w:eastAsia="Times New Roman" w:hAnsi="Times New Roman" w:cs="Times New Roman"/>
        </w:rPr>
        <w:t>Hoyler</w:t>
      </w:r>
      <w:proofErr w:type="spellEnd"/>
      <w:r>
        <w:rPr>
          <w:rFonts w:ascii="Times New Roman" w:eastAsia="Times New Roman" w:hAnsi="Times New Roman" w:cs="Times New Roman"/>
        </w:rPr>
        <w:t xml:space="preserve"> (2023) High inflation will continue to loom over global retail in 2023. Available at </w:t>
      </w:r>
      <w:hyperlink r:id="rId19" w:history="1">
        <w:r w:rsidRPr="003B09EF">
          <w:rPr>
            <w:rStyle w:val="Hyperlink"/>
            <w:rFonts w:ascii="Times New Roman" w:eastAsia="Times New Roman" w:hAnsi="Times New Roman" w:cs="Times New Roman"/>
          </w:rPr>
          <w:t>https://www.euromonitor.com/article/high-inflation-will-continue-to-loom-over-global-retail-in-2023</w:t>
        </w:r>
      </w:hyperlink>
    </w:p>
    <w:p w14:paraId="6AE3F259" w14:textId="60CE00B3" w:rsidR="004D1993" w:rsidRDefault="004D1993" w:rsidP="004D1993">
      <w:pPr>
        <w:ind w:left="480" w:hanging="480"/>
        <w:rPr>
          <w:rFonts w:ascii="Times New Roman" w:eastAsia="Times New Roman" w:hAnsi="Times New Roman" w:cs="Times New Roman"/>
        </w:rPr>
      </w:pPr>
      <w:r>
        <w:rPr>
          <w:rFonts w:ascii="Times New Roman" w:eastAsia="Times New Roman" w:hAnsi="Times New Roman" w:cs="Times New Roman"/>
        </w:rPr>
        <w:t xml:space="preserve">KPMG (2024) Impact of inflation on the retail sector. Available at </w:t>
      </w:r>
      <w:hyperlink r:id="rId20" w:history="1">
        <w:r w:rsidRPr="003B09EF">
          <w:rPr>
            <w:rStyle w:val="Hyperlink"/>
            <w:rFonts w:ascii="Times New Roman" w:eastAsia="Times New Roman" w:hAnsi="Times New Roman" w:cs="Times New Roman"/>
          </w:rPr>
          <w:t>https://assets.kpmg.com/content/dam/kpmg/ng/pdf/2024/06/Impact%20of%20Inflation%20on%20Retail%20Sector.pdf</w:t>
        </w:r>
      </w:hyperlink>
    </w:p>
    <w:p w14:paraId="7844AA2A" w14:textId="67164B50" w:rsidR="004D1993" w:rsidRDefault="004D1993" w:rsidP="004D1993">
      <w:pPr>
        <w:ind w:left="480" w:hanging="480"/>
        <w:rPr>
          <w:rFonts w:ascii="Times New Roman" w:eastAsia="Times New Roman" w:hAnsi="Times New Roman" w:cs="Times New Roman"/>
        </w:rPr>
      </w:pPr>
      <w:r>
        <w:rPr>
          <w:rFonts w:ascii="Times New Roman" w:eastAsia="Times New Roman" w:hAnsi="Times New Roman" w:cs="Times New Roman"/>
        </w:rPr>
        <w:t xml:space="preserve">Hong Kong Business (2025) Why Hong Kong’s retail recovery is taking longer than expected. Available at: </w:t>
      </w:r>
      <w:hyperlink r:id="rId21" w:history="1">
        <w:r w:rsidRPr="003B09EF">
          <w:rPr>
            <w:rStyle w:val="Hyperlink"/>
            <w:rFonts w:ascii="Times New Roman" w:eastAsia="Times New Roman" w:hAnsi="Times New Roman" w:cs="Times New Roman"/>
          </w:rPr>
          <w:t>https://hongkongbusiness.hk/retail/in-focus/why-hong-kongs-retail-recovery-taking-longer-expected</w:t>
        </w:r>
      </w:hyperlink>
    </w:p>
    <w:p w14:paraId="6E588156" w14:textId="293D3F08" w:rsidR="004D1993" w:rsidRDefault="00CB3094" w:rsidP="004D1993">
      <w:pPr>
        <w:ind w:left="480" w:hanging="480"/>
        <w:rPr>
          <w:rFonts w:ascii="Times New Roman" w:eastAsia="Times New Roman" w:hAnsi="Times New Roman" w:cs="Times New Roman"/>
        </w:rPr>
      </w:pPr>
      <w:proofErr w:type="spellStart"/>
      <w:r>
        <w:rPr>
          <w:rFonts w:ascii="Times New Roman" w:eastAsia="Times New Roman" w:hAnsi="Times New Roman" w:cs="Times New Roman"/>
        </w:rPr>
        <w:t>Imar</w:t>
      </w:r>
      <w:proofErr w:type="spellEnd"/>
      <w:r>
        <w:rPr>
          <w:rFonts w:ascii="Times New Roman" w:eastAsia="Times New Roman" w:hAnsi="Times New Roman" w:cs="Times New Roman"/>
        </w:rPr>
        <w:t xml:space="preserve"> (2024) India’s retail market: Here’s what’s driving consumption. Available at: </w:t>
      </w:r>
      <w:hyperlink r:id="rId22" w:history="1">
        <w:r w:rsidRPr="003B09EF">
          <w:rPr>
            <w:rStyle w:val="Hyperlink"/>
            <w:rFonts w:ascii="Times New Roman" w:eastAsia="Times New Roman" w:hAnsi="Times New Roman" w:cs="Times New Roman"/>
          </w:rPr>
          <w:t>https://www.india-briefing.com/doing-business-guide/india/sector-insights/india-s-retail-market-here-s-what-s-driving-consumption</w:t>
        </w:r>
      </w:hyperlink>
    </w:p>
    <w:p w14:paraId="0D200FFE" w14:textId="77777777" w:rsidR="00B8456E" w:rsidRDefault="00B8456E" w:rsidP="00B8456E">
      <w:pPr>
        <w:ind w:left="480" w:hanging="480"/>
        <w:rPr>
          <w:rFonts w:ascii="Times New Roman" w:eastAsia="Times New Roman" w:hAnsi="Times New Roman" w:cs="Times New Roman"/>
        </w:rPr>
      </w:pPr>
    </w:p>
    <w:p w14:paraId="545A708F" w14:textId="77777777" w:rsidR="00EA3D73" w:rsidRDefault="00EA3D73">
      <w:pPr>
        <w:ind w:left="480" w:hanging="480"/>
        <w:rPr>
          <w:rFonts w:ascii="Times New Roman" w:eastAsia="Times New Roman" w:hAnsi="Times New Roman" w:cs="Times New Roman"/>
        </w:rPr>
      </w:pPr>
    </w:p>
    <w:p w14:paraId="2C9CF7DD" w14:textId="77777777" w:rsidR="00EA3D73" w:rsidRDefault="00EA3D73">
      <w:pPr>
        <w:rPr>
          <w:rFonts w:ascii="Times New Roman" w:eastAsia="Times New Roman" w:hAnsi="Times New Roman" w:cs="Times New Roman"/>
          <w:color w:val="FF0000"/>
          <w:sz w:val="26"/>
          <w:szCs w:val="26"/>
          <w:highlight w:val="white"/>
        </w:rPr>
      </w:pPr>
    </w:p>
    <w:p w14:paraId="1CDDB1EE" w14:textId="77777777" w:rsidR="00EA3D73" w:rsidRDefault="00EA3D73">
      <w:pPr>
        <w:rPr>
          <w:rFonts w:ascii="Times New Roman" w:eastAsia="Times New Roman" w:hAnsi="Times New Roman" w:cs="Times New Roman"/>
          <w:color w:val="FF0000"/>
          <w:sz w:val="26"/>
          <w:szCs w:val="26"/>
          <w:highlight w:val="white"/>
        </w:rPr>
      </w:pPr>
    </w:p>
    <w:p w14:paraId="7FFFA65D" w14:textId="77777777" w:rsidR="00EA3D73" w:rsidRDefault="00EA3D73">
      <w:pPr>
        <w:rPr>
          <w:rFonts w:ascii="Times New Roman" w:eastAsia="Times New Roman" w:hAnsi="Times New Roman" w:cs="Times New Roman"/>
          <w:color w:val="FF0000"/>
          <w:sz w:val="26"/>
          <w:szCs w:val="26"/>
          <w:highlight w:val="white"/>
        </w:rPr>
      </w:pPr>
    </w:p>
    <w:sectPr w:rsidR="00EA3D73">
      <w:pgSz w:w="11906" w:h="16838"/>
      <w:pgMar w:top="1134"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921F8" w14:textId="77777777" w:rsidR="00197B19" w:rsidRDefault="00197B19">
      <w:r>
        <w:separator/>
      </w:r>
    </w:p>
  </w:endnote>
  <w:endnote w:type="continuationSeparator" w:id="0">
    <w:p w14:paraId="35771989" w14:textId="77777777" w:rsidR="00197B19" w:rsidRDefault="0019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Gungsuh">
    <w:altName w:val="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239F" w14:textId="77777777" w:rsidR="00EA3D73" w:rsidRDefault="007E7F07">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sidR="00197B19">
      <w:rPr>
        <w:color w:val="000000"/>
        <w:sz w:val="20"/>
        <w:szCs w:val="20"/>
      </w:rPr>
      <w:fldChar w:fldCharType="separate"/>
    </w:r>
    <w:r>
      <w:rPr>
        <w:color w:val="000000"/>
        <w:sz w:val="20"/>
        <w:szCs w:val="20"/>
      </w:rPr>
      <w:fldChar w:fldCharType="end"/>
    </w:r>
  </w:p>
  <w:p w14:paraId="379A54A4" w14:textId="77777777" w:rsidR="00EA3D73" w:rsidRDefault="00EA3D73">
    <w:pPr>
      <w:pBdr>
        <w:top w:val="nil"/>
        <w:left w:val="nil"/>
        <w:bottom w:val="nil"/>
        <w:right w:val="nil"/>
        <w:between w:val="nil"/>
      </w:pBdr>
      <w:tabs>
        <w:tab w:val="center" w:pos="4153"/>
        <w:tab w:val="right" w:pos="8306"/>
      </w:tabs>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2114" w14:textId="77777777" w:rsidR="00EA3D73" w:rsidRDefault="00EA3D73">
    <w:pPr>
      <w:pBdr>
        <w:top w:val="nil"/>
        <w:left w:val="nil"/>
        <w:bottom w:val="nil"/>
        <w:right w:val="nil"/>
        <w:between w:val="nil"/>
      </w:pBdr>
      <w:tabs>
        <w:tab w:val="center" w:pos="4153"/>
        <w:tab w:val="right" w:pos="8306"/>
      </w:tabs>
      <w:jc w:val="center"/>
      <w:rPr>
        <w:color w:val="000000"/>
        <w:sz w:val="20"/>
        <w:szCs w:val="20"/>
      </w:rPr>
    </w:pPr>
  </w:p>
  <w:p w14:paraId="6F38C76B" w14:textId="77777777" w:rsidR="00EA3D73" w:rsidRDefault="00EA3D73">
    <w:pPr>
      <w:pBdr>
        <w:top w:val="nil"/>
        <w:left w:val="nil"/>
        <w:bottom w:val="nil"/>
        <w:right w:val="nil"/>
        <w:between w:val="nil"/>
      </w:pBdr>
      <w:tabs>
        <w:tab w:val="center" w:pos="4153"/>
        <w:tab w:val="right" w:pos="8306"/>
      </w:tabs>
      <w:jc w:val="center"/>
      <w:rPr>
        <w:color w:val="000000"/>
        <w:sz w:val="20"/>
        <w:szCs w:val="20"/>
      </w:rPr>
    </w:pPr>
  </w:p>
  <w:p w14:paraId="704734D3" w14:textId="77777777" w:rsidR="00EA3D73" w:rsidRDefault="00EA3D73">
    <w:pPr>
      <w:pBdr>
        <w:top w:val="nil"/>
        <w:left w:val="nil"/>
        <w:bottom w:val="nil"/>
        <w:right w:val="nil"/>
        <w:between w:val="nil"/>
      </w:pBdr>
      <w:tabs>
        <w:tab w:val="center" w:pos="4153"/>
        <w:tab w:val="right" w:pos="8306"/>
      </w:tabs>
      <w:jc w:val="center"/>
      <w:rPr>
        <w:color w:val="000000"/>
        <w:sz w:val="20"/>
        <w:szCs w:val="20"/>
      </w:rPr>
    </w:pPr>
  </w:p>
  <w:p w14:paraId="76C284A6" w14:textId="77777777" w:rsidR="00EA3D73" w:rsidRDefault="00EA3D73">
    <w:pPr>
      <w:pBdr>
        <w:top w:val="nil"/>
        <w:left w:val="nil"/>
        <w:bottom w:val="nil"/>
        <w:right w:val="nil"/>
        <w:between w:val="nil"/>
      </w:pBdr>
      <w:tabs>
        <w:tab w:val="center" w:pos="4153"/>
        <w:tab w:val="right" w:pos="8306"/>
      </w:tabs>
      <w:jc w:val="center"/>
      <w:rPr>
        <w:color w:val="000000"/>
        <w:sz w:val="20"/>
        <w:szCs w:val="20"/>
      </w:rPr>
    </w:pPr>
  </w:p>
  <w:p w14:paraId="1F67DA34" w14:textId="77777777" w:rsidR="00EA3D73" w:rsidRDefault="00EA3D73">
    <w:pPr>
      <w:pBdr>
        <w:top w:val="nil"/>
        <w:left w:val="nil"/>
        <w:bottom w:val="nil"/>
        <w:right w:val="nil"/>
        <w:between w:val="nil"/>
      </w:pBdr>
      <w:tabs>
        <w:tab w:val="center" w:pos="4153"/>
        <w:tab w:val="right" w:pos="8306"/>
      </w:tabs>
      <w:jc w:val="center"/>
      <w:rPr>
        <w:color w:val="000000"/>
        <w:sz w:val="20"/>
        <w:szCs w:val="20"/>
      </w:rPr>
    </w:pPr>
  </w:p>
  <w:p w14:paraId="6E2AC724" w14:textId="77777777" w:rsidR="00EA3D73" w:rsidRDefault="007E7F07">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CA2533">
      <w:rPr>
        <w:noProof/>
        <w:color w:val="000000"/>
        <w:sz w:val="20"/>
        <w:szCs w:val="20"/>
      </w:rPr>
      <w:t>1</w:t>
    </w:r>
    <w:r>
      <w:rPr>
        <w:color w:val="000000"/>
        <w:sz w:val="20"/>
        <w:szCs w:val="20"/>
      </w:rPr>
      <w:fldChar w:fldCharType="end"/>
    </w:r>
  </w:p>
  <w:p w14:paraId="7A26B081" w14:textId="77777777" w:rsidR="00EA3D73" w:rsidRDefault="00EA3D73">
    <w:pPr>
      <w:pBdr>
        <w:top w:val="nil"/>
        <w:left w:val="nil"/>
        <w:bottom w:val="nil"/>
        <w:right w:val="nil"/>
        <w:between w:val="nil"/>
      </w:pBdr>
      <w:tabs>
        <w:tab w:val="center" w:pos="4153"/>
        <w:tab w:val="right" w:pos="8306"/>
      </w:tabs>
      <w:jc w:val="both"/>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EFAF0" w14:textId="77777777" w:rsidR="00197B19" w:rsidRDefault="00197B19">
      <w:r>
        <w:separator/>
      </w:r>
    </w:p>
  </w:footnote>
  <w:footnote w:type="continuationSeparator" w:id="0">
    <w:p w14:paraId="7DD26A2A" w14:textId="77777777" w:rsidR="00197B19" w:rsidRDefault="00197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D73"/>
    <w:rsid w:val="00197B19"/>
    <w:rsid w:val="001D7616"/>
    <w:rsid w:val="002328E4"/>
    <w:rsid w:val="00243BD5"/>
    <w:rsid w:val="00323C81"/>
    <w:rsid w:val="00382DCC"/>
    <w:rsid w:val="004C03FC"/>
    <w:rsid w:val="004D1993"/>
    <w:rsid w:val="0054545A"/>
    <w:rsid w:val="00560230"/>
    <w:rsid w:val="00582CDA"/>
    <w:rsid w:val="00594242"/>
    <w:rsid w:val="00761D17"/>
    <w:rsid w:val="007B3818"/>
    <w:rsid w:val="007E7F07"/>
    <w:rsid w:val="0085714A"/>
    <w:rsid w:val="008749FB"/>
    <w:rsid w:val="008F0BEE"/>
    <w:rsid w:val="00907FF3"/>
    <w:rsid w:val="00916A7C"/>
    <w:rsid w:val="0099427B"/>
    <w:rsid w:val="009B5CD9"/>
    <w:rsid w:val="00A15C00"/>
    <w:rsid w:val="00B66EAA"/>
    <w:rsid w:val="00B8456E"/>
    <w:rsid w:val="00C96847"/>
    <w:rsid w:val="00CA2533"/>
    <w:rsid w:val="00CA34AF"/>
    <w:rsid w:val="00CB3094"/>
    <w:rsid w:val="00DA37D8"/>
    <w:rsid w:val="00E25E2B"/>
    <w:rsid w:val="00E70CD1"/>
    <w:rsid w:val="00E9488F"/>
    <w:rsid w:val="00EA3D73"/>
    <w:rsid w:val="00FA1A04"/>
    <w:rsid w:val="00FE5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C1E1"/>
  <w15:docId w15:val="{184ED05B-2953-42D1-977A-5E1F37CD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sz w:val="24"/>
        <w:szCs w:val="24"/>
        <w:lang w:val="en-US"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32F"/>
    <w:rPr>
      <w:kern w:val="2"/>
      <w:szCs w:val="22"/>
    </w:rPr>
  </w:style>
  <w:style w:type="paragraph" w:styleId="Heading1">
    <w:name w:val="heading 1"/>
    <w:basedOn w:val="Normal"/>
    <w:next w:val="Normal"/>
    <w:uiPriority w:val="9"/>
    <w:qFormat/>
    <w:pPr>
      <w:keepNext/>
      <w:spacing w:before="180" w:after="180" w:line="720" w:lineRule="auto"/>
      <w:outlineLvl w:val="0"/>
    </w:pPr>
    <w:rPr>
      <w:rFonts w:ascii="Arial" w:hAnsi="Arial"/>
      <w:b/>
      <w:bCs/>
      <w:kern w:val="52"/>
      <w:sz w:val="52"/>
      <w:szCs w:val="52"/>
    </w:rPr>
  </w:style>
  <w:style w:type="paragraph" w:styleId="Heading2">
    <w:name w:val="heading 2"/>
    <w:next w:val="BodyText"/>
    <w:uiPriority w:val="9"/>
    <w:semiHidden/>
    <w:unhideWhenUsed/>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uiPriority w:val="9"/>
    <w:semiHidden/>
    <w:unhideWhenUsed/>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widowControl/>
      <w:jc w:val="center"/>
    </w:pPr>
    <w:rPr>
      <w:rFonts w:ascii="Times New Roman" w:hAnsi="Times New Roman"/>
      <w:b/>
      <w:bCs/>
      <w:kern w:val="0"/>
      <w:sz w:val="32"/>
      <w:szCs w:val="24"/>
      <w:lang w:eastAsia="en-US"/>
    </w:rPr>
  </w:style>
  <w:style w:type="paragraph" w:styleId="Header">
    <w:name w:val="header"/>
    <w:basedOn w:val="Normal"/>
    <w:semiHidden/>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character" w:styleId="Strong">
    <w:name w:val="Strong"/>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0D3340"/>
    <w:rPr>
      <w:color w:val="605E5C"/>
      <w:shd w:val="clear" w:color="auto" w:fill="E1DFDD"/>
    </w:rPr>
  </w:style>
  <w:style w:type="table" w:styleId="PlainTable1">
    <w:name w:val="Plain Table 1"/>
    <w:basedOn w:val="TableNormal"/>
    <w:uiPriority w:val="41"/>
    <w:rsid w:val="00BC355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28" w:type="dxa"/>
        <w:right w:w="28"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financialexpress.com/archive/japanese-retailer-aeon-looks-for-partners-for-india-entry/1193255/" TargetMode="External"/><Relationship Id="rId3" Type="http://schemas.openxmlformats.org/officeDocument/2006/relationships/settings" Target="settings.xml"/><Relationship Id="rId21" Type="http://schemas.openxmlformats.org/officeDocument/2006/relationships/hyperlink" Target="https://hongkongbusiness.hk/retail/in-focus/why-hong-kongs-retail-recovery-taking-longer-expected"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india-briefing.com/doing-business-guide/india/sector-insights/india-s-retail-market-here-s-what-s-driving-consumption" TargetMode="External"/><Relationship Id="rId2" Type="http://schemas.openxmlformats.org/officeDocument/2006/relationships/styles" Target="styles.xml"/><Relationship Id="rId16" Type="http://schemas.openxmlformats.org/officeDocument/2006/relationships/hyperlink" Target="https://research.hktdc.com" TargetMode="External"/><Relationship Id="rId20" Type="http://schemas.openxmlformats.org/officeDocument/2006/relationships/hyperlink" Target="https://assets.kpmg.com/content/dam/kpmg/ng/pdf/2024/06/Impact%20of%20Inflation%20on%20Retail%20Sector.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dia-briefing.com/news/indias-cci-introduces-draft-regulations-on-predatory-pricing-36245.html/"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uromonitor.com/article/high-inflation-will-continue-to-loom-over-global-retail-in-2023"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png"/><Relationship Id="rId22" Type="http://schemas.openxmlformats.org/officeDocument/2006/relationships/hyperlink" Target="https://www.india-briefing.com/doing-business-guide/india/sector-insights/india-s-retail-market-here-s-what-s-driving-consum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7E7qwjD8t22nkjkr6M5fKiIqNA==">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8047</Words>
  <Characters>45871</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Che-Cheong Poon</dc:creator>
  <cp:lastModifiedBy>Etta Ng</cp:lastModifiedBy>
  <cp:revision>3</cp:revision>
  <dcterms:created xsi:type="dcterms:W3CDTF">2025-03-05T13:56:00Z</dcterms:created>
  <dcterms:modified xsi:type="dcterms:W3CDTF">2025-03-05T14:16:00Z</dcterms:modified>
</cp:coreProperties>
</file>