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3109DD" wp14:paraId="6FBD2B93" wp14:textId="69A599B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ECEY4001           2517331                 Word count 1,080.</w:t>
      </w:r>
    </w:p>
    <w:p xmlns:wp14="http://schemas.microsoft.com/office/word/2010/wordml" w:rsidP="383109DD" wp14:paraId="471636FF" wp14:textId="175A7B6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83109DD" wp14:paraId="0C1B826E" wp14:textId="65136CD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32"/>
          <w:szCs w:val="32"/>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32"/>
          <w:szCs w:val="32"/>
          <w:u w:val="single"/>
          <w:lang w:val="en-GB"/>
        </w:rPr>
        <w:t>Holistic Child Development: A Critical Exploration</w:t>
      </w:r>
    </w:p>
    <w:p xmlns:wp14="http://schemas.microsoft.com/office/word/2010/wordml" w:rsidP="383109DD" wp14:paraId="395D4879" wp14:textId="2C2FC15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Introduction</w:t>
      </w:r>
    </w:p>
    <w:p xmlns:wp14="http://schemas.microsoft.com/office/word/2010/wordml" w:rsidP="383109DD" wp14:paraId="5399B7A7" wp14:textId="3EB69E3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Holistic child development encompasses the physical, cognitive, emotional, social, and moral dimensions of growth. It rejects fragmented approaches, instead recognising that children’s needs are interconnected and must be addressed in balance. Maslow’s hierarchy of needs (1943; 1954) remains a foundational framework, but contemporary scholarship questions its linearity and cultural universality (Gladden, 2020). By critically examining Maslow alongside Piaget, Erikson, and Bronfenbrenner, this essay explores how holistic development can be understood and applied in modern educational contexts.</w:t>
      </w:r>
    </w:p>
    <w:p xmlns:wp14="http://schemas.microsoft.com/office/word/2010/wordml" w:rsidP="383109DD" wp14:paraId="02FDFCBF" wp14:textId="1AADC5A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Maslow’s Hierarchy of Needs and Child Development</w:t>
      </w:r>
    </w:p>
    <w:p xmlns:wp14="http://schemas.microsoft.com/office/word/2010/wordml" w:rsidP="383109DD" wp14:paraId="47395311" wp14:textId="0A6AC5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Maslow’s model proposes that human motivation is structured in ascending levels: physiological, safety, love and belonging, esteem, and self‑actualisation. In child development, this suggests that unmet basic needs hinder higher‑order learning. For example, hunger or fatigue can undermine concentration and emotional regulation (Main and Whatman, 2023). However, critical analysis reveals limitations. Maslow’s hierarchy assumes a universal progression, yet children often pursue creativity or belonging even when basic needs are insecure (Else, 2025). Moreover, cultural contexts may prioritise collective identity over individual self‑actualisation. Thus, while Maslow provides a useful heuristic, holistic development requires flexibility beyond rigid hierarchies.</w:t>
      </w:r>
    </w:p>
    <w:p xmlns:wp14="http://schemas.microsoft.com/office/word/2010/wordml" w:rsidP="383109DD" wp14:paraId="36D6602C" wp14:textId="63FBC84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Piaget: Cognitive Developmen</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t</w:t>
      </w:r>
    </w:p>
    <w:p xmlns:wp14="http://schemas.microsoft.com/office/word/2010/wordml" w:rsidP="383109DD" wp14:paraId="74D369BA" wp14:textId="744E7B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Piaget (1952) emphasised stages of cognitive growth, from sensorimotor exploration to formal operational reasoning. His theory highlights the importance of active engagement and age‑appropriate learning. In practice, Piaget’s model complements Maslow: once basic needs are met, children can construct knowledge through play and problem‑solving.</w:t>
      </w:r>
    </w:p>
    <w:p xmlns:wp14="http://schemas.microsoft.com/office/word/2010/wordml" w:rsidP="383109DD" wp14:paraId="12553DD4" wp14:textId="742492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However, Piaget’s stage theory has been challenged for underestimating variability. Contemporary research shows that children’s cognitive abilities are influenced by social and cultural contexts, not just maturation (Gladden, 2020). Holistic development therefore requires integrating Piaget’s cognitive insights with Maslow’s motivational framework and Bronfenbrenner’s ecological perspective.</w:t>
      </w:r>
    </w:p>
    <w:p xmlns:wp14="http://schemas.microsoft.com/office/word/2010/wordml" w:rsidP="383109DD" wp14:paraId="0FA30FBA" wp14:textId="6F8B07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Erikson: Psychosocial Development</w:t>
      </w:r>
    </w:p>
    <w:p xmlns:wp14="http://schemas.microsoft.com/office/word/2010/wordml" w:rsidP="383109DD" wp14:paraId="699C0672" wp14:textId="3EF81A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Erikson (1963) proposed eight psychosocial stages, each involving a developmental crisis (e.g., trust vs. mistrust, autonomy vs. shame). His model underscores the role of relationships and identity formation. For young children, resolving early crises builds resilience and confidence, aligning with Maslow’s belonging and esteem needs.</w:t>
      </w:r>
    </w:p>
    <w:p xmlns:wp14="http://schemas.microsoft.com/office/word/2010/wordml" w:rsidP="383109DD" wp14:paraId="1E8CE149" wp14:textId="5ADED1D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However, Erikson’s stages, while valuable, may oversimplify complex identity processes. Modern scholarship highlights intersectionality, cultural diversity, and trauma as factors shaping psychosocial development (Main and Whatman, 2023). Thus, Erikson’s model must be applied with sensitivity to individual and contextual differences.</w:t>
      </w:r>
    </w:p>
    <w:p xmlns:wp14="http://schemas.microsoft.com/office/word/2010/wordml" w:rsidP="383109DD" wp14:paraId="67010905" wp14:textId="12A2BD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Bronfenbrenner: Ecological Systems Theory</w:t>
      </w:r>
    </w:p>
    <w:p xmlns:wp14="http://schemas.microsoft.com/office/word/2010/wordml" w:rsidP="383109DD" wp14:paraId="64C63821" wp14:textId="76DC8CC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Bronfenbrenner (1979) situates child development within nested systems: microsystem (family, school), mesosystem (interactions between settings), exosystem (indirect influences), and macrosystem (culture, policy). This ecological approach expands Maslow’s individual focus to include systemic factors.</w:t>
      </w:r>
    </w:p>
    <w:p xmlns:wp14="http://schemas.microsoft.com/office/word/2010/wordml" w:rsidP="383109DD" wp14:paraId="03B5C23B" wp14:textId="2A49CC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However, recent research emphasises the impact of digital environments and globalisation on children’s development (Else, 2025). For example, online communities can provide belonging but also expose children to risks. Bronfenbrenner’s model highlights that holistic development requires not only meeting needs but also shaping supportive environments across multiple systems.</w:t>
      </w:r>
    </w:p>
    <w:p xmlns:wp14="http://schemas.microsoft.com/office/word/2010/wordml" w:rsidP="383109DD" wp14:paraId="1B97873C" wp14:textId="091789B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Critical Analysis of Theories</w:t>
      </w:r>
    </w:p>
    <w:p xmlns:wp14="http://schemas.microsoft.com/office/word/2010/wordml" w:rsidP="383109DD" wp14:paraId="52B464ED" wp14:textId="241C5254">
      <w:pPr>
        <w:pStyle w:val="ListParagraph"/>
        <w:numPr>
          <w:ilvl w:val="0"/>
          <w:numId w:val="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Maslow’s strengths</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lie in highlighting the foundational role of basic needs. However, critics argue his hierarchy is culturally biased and overly linear (Gladden, 2020).</w:t>
      </w:r>
    </w:p>
    <w:p xmlns:wp14="http://schemas.microsoft.com/office/word/2010/wordml" w:rsidP="383109DD" wp14:paraId="1C077FA2" wp14:textId="1D9514C4">
      <w:pPr>
        <w:pStyle w:val="ListParagraph"/>
        <w:numPr>
          <w:ilvl w:val="0"/>
          <w:numId w:val="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Piaget’s contribution</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is cognitive structure, but his stage theory neglects social and emotional dimensions.</w:t>
      </w:r>
    </w:p>
    <w:p xmlns:wp14="http://schemas.microsoft.com/office/word/2010/wordml" w:rsidP="383109DD" wp14:paraId="77AA8E0B" wp14:textId="16648824">
      <w:pPr>
        <w:pStyle w:val="ListParagraph"/>
        <w:numPr>
          <w:ilvl w:val="0"/>
          <w:numId w:val="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Erikson’s model</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integrates identity and relationships but requires adaptation to diverse contexts.</w:t>
      </w:r>
    </w:p>
    <w:p xmlns:wp14="http://schemas.microsoft.com/office/word/2010/wordml" w:rsidP="383109DD" wp14:paraId="24205FC7" wp14:textId="3558651B">
      <w:pPr>
        <w:pStyle w:val="ListParagraph"/>
        <w:numPr>
          <w:ilvl w:val="0"/>
          <w:numId w:val="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Bronfenbrenner’s ecological theory</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provides systemic breadth, though it can be complex to operationalise in practice.</w:t>
      </w:r>
    </w:p>
    <w:p xmlns:wp14="http://schemas.microsoft.com/office/word/2010/wordml" w:rsidP="383109DD" wp14:paraId="0714EDAA" wp14:textId="4BE7EA3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Together, these theories illustrate that holistic development cannot be captured by a single framework. A critical synthesis is necessary: Maslow explains motivation, Piaget cognitive processes, Erikson psychosocial identity, and Bronfenbrenner systemic influences.</w:t>
      </w:r>
    </w:p>
    <w:p xmlns:wp14="http://schemas.microsoft.com/office/word/2010/wordml" w:rsidP="383109DD" wp14:paraId="6080D9FC" wp14:textId="6935943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Holistic Development in Practice</w:t>
      </w:r>
    </w:p>
    <w:p xmlns:wp14="http://schemas.microsoft.com/office/word/2010/wordml" w:rsidP="383109DD" wp14:paraId="3FFBD3F9" wp14:textId="3E94300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Meeting Basic Needs</w:t>
      </w:r>
    </w:p>
    <w:p xmlns:wp14="http://schemas.microsoft.com/office/word/2010/wordml" w:rsidP="383109DD" wp14:paraId="256DBC70" wp14:textId="33E7EB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Educational settings must prioritise children’s physiological and emotional security.</w:t>
      </w:r>
    </w:p>
    <w:p xmlns:wp14="http://schemas.microsoft.com/office/word/2010/wordml" w:rsidP="383109DD" wp14:paraId="02F738B6" wp14:textId="6821CCC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Initiatives such as free school meals and safe learning environments directly support Maslow’s lower tiers (Main and Whatman, 2023).</w:t>
      </w:r>
    </w:p>
    <w:p xmlns:wp14="http://schemas.microsoft.com/office/word/2010/wordml" w:rsidP="383109DD" wp14:paraId="63E4B65C" wp14:textId="4A4C4AA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Promoting Cognitive Growth</w:t>
      </w:r>
    </w:p>
    <w:p xmlns:wp14="http://schemas.microsoft.com/office/word/2010/wordml" w:rsidP="383109DD" wp14:paraId="351D54FA" wp14:textId="7E11BC6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Piaget’s emphasis on active learning remains relevant. Play‑based curricula encourage exploration and problem‑solving, fostering both cognitive and emotional development.</w:t>
      </w:r>
    </w:p>
    <w:p xmlns:wp14="http://schemas.microsoft.com/office/word/2010/wordml" w:rsidP="383109DD" wp14:paraId="67568750" wp14:textId="759558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Supporting Identity and Belonging</w:t>
      </w:r>
    </w:p>
    <w:p xmlns:wp14="http://schemas.microsoft.com/office/word/2010/wordml" w:rsidP="383109DD" wp14:paraId="2940DA6E" wp14:textId="37EFE5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Erikson’s stages highlight the importance of trust, autonomy, and belonging. Practitioners can nurture these through inclusive practices, positive relationships, and recognition of diversity.</w:t>
      </w:r>
    </w:p>
    <w:p xmlns:wp14="http://schemas.microsoft.com/office/word/2010/wordml" w:rsidP="383109DD" wp14:paraId="3E7F7B0B" wp14:textId="608C228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Addressing Systemic Influences</w:t>
      </w:r>
    </w:p>
    <w:p xmlns:wp14="http://schemas.microsoft.com/office/word/2010/wordml" w:rsidP="383109DD" wp14:paraId="747618A7" wp14:textId="4EB23EF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Bronfenbrenner’s ecological model reminds educators to consider family, community, and policy contexts. Trauma‑informed approaches, however, recognise how external stressors affect children’s capacity to learn (Else, 2025).</w:t>
      </w:r>
    </w:p>
    <w:p xmlns:wp14="http://schemas.microsoft.com/office/word/2010/wordml" w:rsidP="383109DD" wp14:paraId="008F5D5E" wp14:textId="3FE5F20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Contemporary Perspectives</w:t>
      </w:r>
    </w:p>
    <w:p xmlns:wp14="http://schemas.microsoft.com/office/word/2010/wordml" w:rsidP="383109DD" wp14:paraId="5FE48862" wp14:textId="1F4F0D6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Recent scholarship emphasises </w:t>
      </w: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holistic education</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as essential for preparing children for complex futures. Gladden (2020) argues that Maslow’s hierarchy remains relevant but must be reframed to include digital competence and global citizenship. Main and Whatman (2023) stress the need for integrated approaches that address both needs and systemic inequalities. Else (2025) highlights the importance of resilience, belonging, and creativity in thriving children.</w:t>
      </w:r>
    </w:p>
    <w:p xmlns:wp14="http://schemas.microsoft.com/office/word/2010/wordml" w:rsidP="383109DD" wp14:paraId="1E790494" wp14:textId="57D3AE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However, these perspectives also show that holistic development is not static but evolves with societal changes. Theories must be applied flexibly, recognising diversity and complexity.</w:t>
      </w:r>
    </w:p>
    <w:p xmlns:wp14="http://schemas.microsoft.com/office/word/2010/wordml" w:rsidP="383109DD" wp14:paraId="2CDE6D7C" wp14:textId="40378D4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Conclusion</w:t>
      </w:r>
    </w:p>
    <w:p xmlns:wp14="http://schemas.microsoft.com/office/word/2010/wordml" w:rsidP="383109DD" wp14:paraId="1C077406" wp14:textId="7F19AB6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Holistic child development requires integrating multiple theoretical perspectives. Maslow’s hierarchy provides a motivational foundation, but its limitations necessitate supplementation with Piaget’s cognitive stages, Erikson’s psychosocial crises, and Bronfenbrenner’s ecological systems. Contemporary research after 2015 confirms that holistic provision must address both individual needs and systemic contexts.</w:t>
      </w:r>
    </w:p>
    <w:p xmlns:wp14="http://schemas.microsoft.com/office/word/2010/wordml" w:rsidP="383109DD" wp14:paraId="6CB846EF" wp14:textId="1AA7FB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Ultimately, holistic development is best understood as a dynamic, multi‑layered process. Children thrive when their basic needs are met, their identities supported, their cognitive abilities nurtured, and their environments enriched. Critical synthesis of classic and modern theories ensures that education and care remain responsive to the diverse realities of childhood in the 21st century.</w:t>
      </w:r>
    </w:p>
    <w:p xmlns:wp14="http://schemas.microsoft.com/office/word/2010/wordml" w:rsidP="383109DD" wp14:paraId="5828E850" wp14:textId="45AEA9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383109DD" w:rsidR="484A782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383109DD" w:rsidR="484A7827">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 xml:space="preserve"> Bibliography</w:t>
      </w:r>
    </w:p>
    <w:p xmlns:wp14="http://schemas.microsoft.com/office/word/2010/wordml" w:rsidP="383109DD" wp14:paraId="617ACF88" wp14:textId="24E798D2">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Else, M. (2025).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How Maslow’s Hierarchy Helps Children Thrive: Insights for Educators and Practitioners</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Unlocking Children.</w:t>
      </w:r>
    </w:p>
    <w:p xmlns:wp14="http://schemas.microsoft.com/office/word/2010/wordml" w:rsidP="383109DD" wp14:paraId="5B3993EC" wp14:textId="11A54517">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Gladden, M. (2020).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Maslow’s Hierarchy and Child Development in Education</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Unlocking Children.</w:t>
      </w:r>
    </w:p>
    <w:p xmlns:wp14="http://schemas.microsoft.com/office/word/2010/wordml" w:rsidP="383109DD" wp14:paraId="7EB775AF" wp14:textId="10DD28D4">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Main, S. and Whatman, S. (2023).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Meeting Children’s Needs in Education: A Holistic Approach</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Unlocking Children.</w:t>
      </w:r>
    </w:p>
    <w:p xmlns:wp14="http://schemas.microsoft.com/office/word/2010/wordml" w:rsidP="383109DD" wp14:paraId="14ADBBA6" wp14:textId="5DB2E6F9">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Maslow, A.H. (1943). ‘A Theory of Human Motivation’,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Psychological Review</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50(4), pp. 370–396.</w:t>
      </w:r>
    </w:p>
    <w:p xmlns:wp14="http://schemas.microsoft.com/office/word/2010/wordml" w:rsidP="383109DD" wp14:paraId="390A4895" wp14:textId="3A9E1DFB">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Maslow, A.H. (1954).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Motivation and Personality</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New York: Harper &amp; Row.</w:t>
      </w:r>
    </w:p>
    <w:p xmlns:wp14="http://schemas.microsoft.com/office/word/2010/wordml" w:rsidP="383109DD" wp14:paraId="7A68E7F8" wp14:textId="520DC487">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Piaget, J. (1952).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The Language and Thought of the Child</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London: Routledge &amp; Kegan Paul.</w:t>
      </w:r>
    </w:p>
    <w:p xmlns:wp14="http://schemas.microsoft.com/office/word/2010/wordml" w:rsidP="383109DD" wp14:paraId="2EDCD3EA" wp14:textId="44BB304F">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Erikson, E.H. (1963).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Childhood and Society</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2nd ed. New York: Norton.</w:t>
      </w:r>
    </w:p>
    <w:p xmlns:wp14="http://schemas.microsoft.com/office/word/2010/wordml" w:rsidP="383109DD" wp14:paraId="28117999" wp14:textId="58EC4056">
      <w:pPr>
        <w:pStyle w:val="ListParagraph"/>
        <w:numPr>
          <w:ilvl w:val="0"/>
          <w:numId w:val="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xml:space="preserve">Bronfenbrenner, U. (1979). </w:t>
      </w:r>
      <w:r w:rsidRPr="383109DD" w:rsidR="484A7827">
        <w:rPr>
          <w:rFonts w:ascii="Aptos" w:hAnsi="Aptos" w:eastAsia="Aptos" w:cs="Aptos"/>
          <w:b w:val="0"/>
          <w:bCs w:val="0"/>
          <w:i w:val="1"/>
          <w:iCs w:val="1"/>
          <w:caps w:val="0"/>
          <w:smallCaps w:val="0"/>
          <w:noProof w:val="0"/>
          <w:color w:val="000000" w:themeColor="text1" w:themeTint="FF" w:themeShade="FF"/>
          <w:sz w:val="28"/>
          <w:szCs w:val="28"/>
          <w:lang w:val="en-GB"/>
        </w:rPr>
        <w:t>The Ecology of Human Development: Experiments by Nature and Design</w:t>
      </w:r>
      <w:r w:rsidRPr="383109DD" w:rsidR="484A7827">
        <w:rPr>
          <w:rFonts w:ascii="Aptos" w:hAnsi="Aptos" w:eastAsia="Aptos" w:cs="Aptos"/>
          <w:b w:val="0"/>
          <w:bCs w:val="0"/>
          <w:i w:val="0"/>
          <w:iCs w:val="0"/>
          <w:caps w:val="0"/>
          <w:smallCaps w:val="0"/>
          <w:noProof w:val="0"/>
          <w:color w:val="000000" w:themeColor="text1" w:themeTint="FF" w:themeShade="FF"/>
          <w:sz w:val="28"/>
          <w:szCs w:val="28"/>
          <w:lang w:val="en-GB"/>
        </w:rPr>
        <w:t>. Cambridge, MA: Harvard University Press.</w:t>
      </w:r>
    </w:p>
    <w:p xmlns:wp14="http://schemas.microsoft.com/office/word/2010/wordml" w:rsidP="383109DD" wp14:paraId="14FA9AFE" wp14:textId="40FA911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383109DD" wp14:paraId="4DDB524F" wp14:textId="54DA817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383109DD" wp14:paraId="55CADC20" wp14:textId="288DB12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383109DD" wp14:paraId="2BF69933" wp14:textId="7E4B21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83109DD" wp14:paraId="7FEAC8FE" wp14:textId="159150E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83109DD" wp14:paraId="205358BE" wp14:textId="7835550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83109DD" wp14:paraId="514A9536" wp14:textId="0F5DC34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83109DD" wp14:paraId="42044F3D" wp14:textId="5C44A02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7CA085F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91c9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d7a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E5F006"/>
    <w:rsid w:val="23E5F006"/>
    <w:rsid w:val="383109DD"/>
    <w:rsid w:val="484A7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6D93"/>
  <w15:chartTrackingRefBased/>
  <w15:docId w15:val="{DB9CED62-1774-4D12-B07F-FAB7CB9C29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83109D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21efb1eec8647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2025-11-29T19:43:52.8563027Z</dcterms:created>
  <dcterms:modified xsi:type="dcterms:W3CDTF">2025-11-29T19:54:47.6420236Z</dcterms:modified>
  <dc:creator>Janine Morgan (2517331)</dc:creator>
  <lastModifiedBy>Janine Morgan (2517331)</lastModifiedBy>
</coreProperties>
</file>