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Bdr>
          <w:top w:color="e3e3e3" w:space="0" w:sz="0" w:val="none"/>
          <w:left w:color="e3e3e3" w:space="0" w:sz="0" w:val="none"/>
          <w:bottom w:color="e3e3e3" w:space="0" w:sz="0" w:val="none"/>
          <w:right w:color="e3e3e3" w:space="0" w:sz="0" w:val="none"/>
          <w:between w:color="e3e3e3" w:space="0" w:sz="0" w:val="none"/>
        </w:pBdr>
        <w:spacing w:after="300" w:before="300" w:lineRule="auto"/>
        <w:rPr>
          <w:color w:val="0d0d0d"/>
          <w:sz w:val="24"/>
          <w:szCs w:val="24"/>
        </w:rPr>
      </w:pPr>
      <w:r w:rsidDel="00000000" w:rsidR="00000000" w:rsidRPr="00000000">
        <w:rPr>
          <w:color w:val="0d0d0d"/>
          <w:sz w:val="24"/>
          <w:szCs w:val="24"/>
          <w:rtl w:val="0"/>
        </w:rPr>
        <w:t xml:space="preserve">In today's economic landscape, businesses face an array of challenges as they endeavor to expand and flourish. This essay ventures into the intricate realm of these challenges within the context of the United Kingdom. Delving into the ramifications of organisational structures, legal and economic issues on decision-making processes, the principles of macroeconomics influencing human choices and the ideologies of microeconomics affecting resource allocation and trade dynamics. </w:t>
      </w:r>
    </w:p>
    <w:p w:rsidR="00000000" w:rsidDel="00000000" w:rsidP="00000000" w:rsidRDefault="00000000" w:rsidRPr="00000000" w14:paraId="00000002">
      <w:pPr>
        <w:pBdr>
          <w:top w:color="e3e3e3" w:space="0" w:sz="0" w:val="none"/>
          <w:left w:color="e3e3e3" w:space="0" w:sz="0" w:val="none"/>
          <w:bottom w:color="e3e3e3" w:space="0" w:sz="0" w:val="none"/>
          <w:right w:color="e3e3e3" w:space="0" w:sz="0" w:val="none"/>
          <w:between w:color="e3e3e3" w:space="0" w:sz="0" w:val="none"/>
        </w:pBdr>
        <w:spacing w:after="300" w:before="300" w:lineRule="auto"/>
        <w:rPr>
          <w:color w:val="0d0d0d"/>
          <w:sz w:val="24"/>
          <w:szCs w:val="24"/>
        </w:rPr>
      </w:pPr>
      <w:r w:rsidDel="00000000" w:rsidR="00000000" w:rsidRPr="00000000">
        <w:rPr>
          <w:color w:val="0d0d0d"/>
          <w:sz w:val="24"/>
          <w:szCs w:val="24"/>
          <w:rtl w:val="0"/>
        </w:rPr>
        <w:t xml:space="preserve">The organisational structure of a business serves as the framework that dictates how tasks are divided, coordinated, and controlled within the organisation. This structure plays a pivotal role in determining the organisation’s adaptability to economic changes. In the United Kingdom, businesses adopt various structures such as hierarchical, matrix, and flat organizations, each with its own set of advantages and challenges (Mintzberg, 1980). Consider a hierarchical structure within a traditional corporation like British Airways. Hierarchical structures are characterised by clear lines of authority and a well-defined chain of command. In such organisations, decision-making authority flows from the top management down to lower levels of the hierarchy. While this structure provides a clear reporting structure and centralised control, it can also be slow to respond to market shifts. Bureaucratic processes and multiple layers of management often impede the organization's ability to adapt quickly to changes in the external environment. For instance, British Airways may struggle to implement innovative strategies or respond promptly to shifts in consumer preferences due to the bureaucratic nature of its hierarchical structure.</w:t>
      </w:r>
    </w:p>
    <w:p w:rsidR="00000000" w:rsidDel="00000000" w:rsidP="00000000" w:rsidRDefault="00000000" w:rsidRPr="00000000" w14:paraId="00000003">
      <w:pPr>
        <w:pBdr>
          <w:top w:color="e3e3e3" w:space="0" w:sz="0" w:val="none"/>
          <w:left w:color="e3e3e3" w:space="0" w:sz="0" w:val="none"/>
          <w:bottom w:color="e3e3e3" w:space="0" w:sz="0" w:val="none"/>
          <w:right w:color="e3e3e3" w:space="0" w:sz="0" w:val="none"/>
          <w:between w:color="e3e3e3" w:space="0" w:sz="0" w:val="none"/>
        </w:pBdr>
        <w:spacing w:after="300" w:before="300" w:lineRule="auto"/>
        <w:rPr>
          <w:color w:val="0d0d0d"/>
          <w:sz w:val="24"/>
          <w:szCs w:val="24"/>
        </w:rPr>
      </w:pPr>
      <w:r w:rsidDel="00000000" w:rsidR="00000000" w:rsidRPr="00000000">
        <w:rPr>
          <w:color w:val="0d0d0d"/>
          <w:sz w:val="24"/>
          <w:szCs w:val="24"/>
          <w:rtl w:val="0"/>
        </w:rPr>
        <w:t xml:space="preserve">In contrast, companies like Google embrace a flat organisational structure that prioritises collaboration and innovation. In a flat organisation , there are fewer levels of management, and decision-making authority is decentralised. This creates a culture of empowerment and encourages employees to take initiative and contribute ideas. Google's flat structure enables it to be agile and responsive to change, allowing the company to quickly adapt to shifting market dynamics and technological advancements. By decentralising decision-making authority, Google empowers its employees to make timely decisions and take calculated risks, which contributes to its innovative culture and competitive edge. However, flat organisational structures also face challenges in maintaining consistency and coordination across diverse teams. Without clear lines of authority, there may be ambiguity regarding roles and responsibilities, leading to potential conflicts and inefficiencies. Additionally, as the organisation grows, maintaining a flat structure becomes increasingly challenging, requiring careful management to ensure effective communication and collaboration among teams.</w:t>
      </w:r>
    </w:p>
    <w:p w:rsidR="00000000" w:rsidDel="00000000" w:rsidP="00000000" w:rsidRDefault="00000000" w:rsidRPr="00000000" w14:paraId="00000004">
      <w:pPr>
        <w:pBdr>
          <w:top w:color="e3e3e3" w:space="0" w:sz="0" w:val="none"/>
          <w:left w:color="e3e3e3" w:space="0" w:sz="0" w:val="none"/>
          <w:bottom w:color="e3e3e3" w:space="0" w:sz="0" w:val="none"/>
          <w:right w:color="e3e3e3" w:space="0" w:sz="0" w:val="none"/>
          <w:between w:color="e3e3e3" w:space="0" w:sz="0" w:val="none"/>
        </w:pBdr>
        <w:spacing w:after="300" w:before="300" w:lineRule="auto"/>
        <w:rPr>
          <w:color w:val="0d0d0d"/>
          <w:sz w:val="24"/>
          <w:szCs w:val="24"/>
        </w:rPr>
      </w:pPr>
      <w:r w:rsidDel="00000000" w:rsidR="00000000" w:rsidRPr="00000000">
        <w:rPr>
          <w:color w:val="0d0d0d"/>
          <w:sz w:val="24"/>
          <w:szCs w:val="24"/>
          <w:rtl w:val="0"/>
        </w:rPr>
        <w:t xml:space="preserve">   Economic environments, characterised by factors like inflation rates, interest rates, and consumer confidence, exert profound effects on organisational performance (Mankiw, 2016). For instance, during periods of economic downturn, businesses face reduced consumer spending and heightened competition, necessitating agile strategies to maintain profitability (Ferguson et al., 2018). During the COVID-19 pandemic, companies across various sectors, for example retail and hospitality, had to quickly adapt their business models to comply with lockdown restrictions and consumer behavior changes.</w:t>
      </w:r>
    </w:p>
    <w:p w:rsidR="00000000" w:rsidDel="00000000" w:rsidP="00000000" w:rsidRDefault="00000000" w:rsidRPr="00000000" w14:paraId="00000005">
      <w:pPr>
        <w:pBdr>
          <w:top w:color="e3e3e3" w:space="0" w:sz="0" w:val="none"/>
          <w:left w:color="e3e3e3" w:space="0" w:sz="0" w:val="none"/>
          <w:bottom w:color="e3e3e3" w:space="0" w:sz="0" w:val="none"/>
          <w:right w:color="e3e3e3" w:space="0" w:sz="0" w:val="none"/>
          <w:between w:color="e3e3e3" w:space="0" w:sz="0" w:val="none"/>
        </w:pBdr>
        <w:spacing w:after="300" w:before="300" w:lineRule="auto"/>
        <w:rPr>
          <w:color w:val="0d0d0d"/>
          <w:sz w:val="24"/>
          <w:szCs w:val="24"/>
        </w:rPr>
      </w:pPr>
      <w:r w:rsidDel="00000000" w:rsidR="00000000" w:rsidRPr="00000000">
        <w:rPr>
          <w:color w:val="0d0d0d"/>
          <w:sz w:val="24"/>
          <w:szCs w:val="24"/>
          <w:rtl w:val="0"/>
        </w:rPr>
        <w:t xml:space="preserve">   Legal and economic factors also play pivotal roles in shaping business decisions. Legislative frameworks, such as employment laws and taxation policies, impose compliance requirements and financial obligations on businesses (Woods, 2017). For instance, consider the implementation of the General Data Protection Regulation (GDPR) in the UK. This regulation significantly impacted businesses operating in the digital sphere, requiring them to comply with strict data protection standards and potentially facing hefty fines for non-compliance. Similarly, changes in tax policies, such as corporate tax rates or value-added tax (VAT) rates, can influence investment decisions and financial planning strategies for businesses. </w:t>
      </w:r>
    </w:p>
    <w:p w:rsidR="00000000" w:rsidDel="00000000" w:rsidP="00000000" w:rsidRDefault="00000000" w:rsidRPr="00000000" w14:paraId="00000006">
      <w:pPr>
        <w:pBdr>
          <w:top w:color="e3e3e3" w:space="0" w:sz="0" w:val="none"/>
          <w:left w:color="e3e3e3" w:space="0" w:sz="0" w:val="none"/>
          <w:bottom w:color="e3e3e3" w:space="0" w:sz="0" w:val="none"/>
          <w:right w:color="e3e3e3" w:space="0" w:sz="0" w:val="none"/>
          <w:between w:color="e3e3e3" w:space="0" w:sz="0" w:val="none"/>
        </w:pBdr>
        <w:spacing w:after="300" w:before="300" w:lineRule="auto"/>
        <w:rPr>
          <w:color w:val="0d0d0d"/>
          <w:sz w:val="24"/>
          <w:szCs w:val="24"/>
        </w:rPr>
      </w:pPr>
      <w:r w:rsidDel="00000000" w:rsidR="00000000" w:rsidRPr="00000000">
        <w:rPr>
          <w:color w:val="0d0d0d"/>
          <w:sz w:val="24"/>
          <w:szCs w:val="24"/>
          <w:rtl w:val="0"/>
        </w:rPr>
        <w:t xml:space="preserve">Economic issues such as Brexit-induced uncertainty, currency fluctuations, and trade agreements influence investment decisions and market strategies (European Commission, 2020). Firms must navigate these complexities to mitigate risks and capitalise on opportunities (Dunning, 2020). For example, uncertainty surrounding Brexit negotiations has led many UK businesses to reassess their supply chains, expand into new markets, or establish subsidiaries in other EU countries to maintain access to the single market. Economic environments, characterised by factors like inflation rates, interest rates, and consumer confidence, exert profound effects on organisational performance (Mankiw, 2016). For instance, during periods of economic downturn, businesses face reduced consumer spending and heightened competition, necessitating agile strategies to maintain profitability (Ferguson et al., 2018). During the COVID-19 pandemic, companies across various sectors, for example retail and hospitality, had to quickly adapt their business models to comply with lockdown restrictions and consumer behavior changes</w:t>
      </w:r>
    </w:p>
    <w:p w:rsidR="00000000" w:rsidDel="00000000" w:rsidP="00000000" w:rsidRDefault="00000000" w:rsidRPr="00000000" w14:paraId="00000007">
      <w:pPr>
        <w:pBdr>
          <w:top w:color="e3e3e3" w:space="0" w:sz="0" w:val="none"/>
          <w:left w:color="e3e3e3" w:space="0" w:sz="0" w:val="none"/>
          <w:bottom w:color="e3e3e3" w:space="0" w:sz="0" w:val="none"/>
          <w:right w:color="e3e3e3" w:space="0" w:sz="0" w:val="none"/>
          <w:between w:color="e3e3e3" w:space="0" w:sz="0" w:val="none"/>
        </w:pBdr>
        <w:spacing w:after="300" w:before="300" w:lineRule="auto"/>
        <w:rPr>
          <w:color w:val="0d0d0d"/>
          <w:sz w:val="24"/>
          <w:szCs w:val="24"/>
        </w:rPr>
      </w:pPr>
      <w:r w:rsidDel="00000000" w:rsidR="00000000" w:rsidRPr="00000000">
        <w:rPr>
          <w:color w:val="0d0d0d"/>
          <w:sz w:val="24"/>
          <w:szCs w:val="24"/>
          <w:rtl w:val="0"/>
        </w:rPr>
        <w:t xml:space="preserve">   Macroeconomic principles, encompassing GDP, unemployment, and national income, provide insights into economic performance and societal well-being (Mankiw, 2016). High unemployment rates signify under-utilised labor resources, impacting consumer spending and aggregate demand (Blanchard and Sheen, 2019). During the 2008 financial crisis, the UK experienced a spike in unemployment rates, this led to a decrease in consumer confidence and subdued economic growth. As a result, businesses faced challenges in maintaining sales and revenue streams, leading to layoffs and cost-cutting measures. Conversely, periods of robust GDP growth can create opportunities for businesses to expand operations, invest in new ventures, and hire additional workers. Rational choice theory underpins human decision-making, suggesting that individuals seek to maximize utility given limited resources (Simon, 1955). Economic policies aimed at stabilizing macroeconomic indicators influence consumer behavior and investment decisions, shaping business outcomes (Krugman and Wells, 2020). For example, government stimulus packages during economic downturns can boost consumer spending and confidence, stimulating business investment and economic recovery.</w:t>
      </w:r>
    </w:p>
    <w:p w:rsidR="00000000" w:rsidDel="00000000" w:rsidP="00000000" w:rsidRDefault="00000000" w:rsidRPr="00000000" w14:paraId="00000008">
      <w:pPr>
        <w:pBdr>
          <w:top w:color="e3e3e3" w:space="0" w:sz="0" w:val="none"/>
          <w:left w:color="e3e3e3" w:space="0" w:sz="0" w:val="none"/>
          <w:bottom w:color="e3e3e3" w:space="0" w:sz="0" w:val="none"/>
          <w:right w:color="e3e3e3" w:space="0" w:sz="0" w:val="none"/>
          <w:between w:color="e3e3e3" w:space="0" w:sz="0" w:val="none"/>
        </w:pBdr>
        <w:spacing w:after="300" w:before="300" w:lineRule="auto"/>
        <w:rPr>
          <w:color w:val="0d0d0d"/>
          <w:sz w:val="24"/>
          <w:szCs w:val="24"/>
        </w:rPr>
      </w:pPr>
      <w:r w:rsidDel="00000000" w:rsidR="00000000" w:rsidRPr="00000000">
        <w:rPr>
          <w:color w:val="0d0d0d"/>
          <w:sz w:val="24"/>
          <w:szCs w:val="24"/>
          <w:rtl w:val="0"/>
        </w:rPr>
        <w:t xml:space="preserve">   Microeconomic theories elucidate the dynamics of supply, demand, and market equilibrium, guiding business strategies (Mankiw, 2016). The law of supply posits a positive relationship between price and quantity supplied, while the law of demand asserts an inverse relationship between price and quantity demanded (Varian, 2014). Consider the example of a UK-based clothing retailer facing increased demand for its products due to changing consumer preferences or seasonal trends. In response to higher demand, the retailer may adjust its pricing strategy to maximise revenue while ensuring sufficient supply to meet customer needs. Similarly, shifts in consumer preferences towards sustainable and ethically sourced products can influence supply chain decisions and product offerings for businesses. Equilibrium occurs where supply equals demand, determining market prices and quantities exchanged (Taylor, 2014). Businesses must anticipate shifts in supply and demand conditions to optimise production levels and pricing strategies (Pindyck and Rubinfeld, 2017). For instance, during periods of supply chain disruptions, such as natural disasters or geopolitical tensions, businesses may experience shortages or price spikes for key inputs, impacting production costs and profitability.</w:t>
      </w:r>
    </w:p>
    <w:p w:rsidR="00000000" w:rsidDel="00000000" w:rsidP="00000000" w:rsidRDefault="00000000" w:rsidRPr="00000000" w14:paraId="00000009">
      <w:pPr>
        <w:pBdr>
          <w:top w:color="e3e3e3" w:space="0" w:sz="0" w:val="none"/>
          <w:left w:color="e3e3e3" w:space="0" w:sz="0" w:val="none"/>
          <w:bottom w:color="e3e3e3" w:space="0" w:sz="0" w:val="none"/>
          <w:right w:color="e3e3e3" w:space="0" w:sz="0" w:val="none"/>
          <w:between w:color="e3e3e3" w:space="0" w:sz="0" w:val="none"/>
        </w:pBdr>
        <w:spacing w:after="300" w:before="300" w:lineRule="auto"/>
        <w:rPr>
          <w:color w:val="0d0d0d"/>
          <w:sz w:val="24"/>
          <w:szCs w:val="24"/>
        </w:rPr>
      </w:pPr>
      <w:r w:rsidDel="00000000" w:rsidR="00000000" w:rsidRPr="00000000">
        <w:rPr>
          <w:color w:val="0d0d0d"/>
          <w:sz w:val="24"/>
          <w:szCs w:val="24"/>
          <w:rtl w:val="0"/>
        </w:rPr>
        <w:t xml:space="preserve">   Efficient resource allocation is central to economic efficiency and competitiveness (Foss and Klein, 2012). Market economies rely on price mechanisms to allocate resources based on consumer preferences and production costs (Friedman, 1953). Consider the impact of technological advancements on resource allocation in the UK manufacturing sector. Automation and artificial intelligence (AI) technologies have enabled businesses to improve productivity and reduce production costs by automating repetitive tasks and optimising resource utilisation. However, these technologies also raise concerns about job displacement and income inequality, prompting debates about the ethical and societal implications of automation. International trade facilitates specialisation and enhances welfare through comparative advantage (Ricardo, 1817). However, trade barriers, tariffs, and protectionist measures distort market dynamics, impacting business operations and global supply chains (Krugman et al., 2019). For example, the imposition of tariffs on steel and aluminum imports by the US administration under former President Donald Trump led to retaliatory measures from trading partners like the EU, resulting in increased costs for businesses reliant on these materials. Such trade tensions can disrupt supply chains, increase production costs, and ultimately affect consumer prices and competitiveness in the global market.</w:t>
      </w:r>
    </w:p>
    <w:p w:rsidR="00000000" w:rsidDel="00000000" w:rsidP="00000000" w:rsidRDefault="00000000" w:rsidRPr="00000000" w14:paraId="0000000A">
      <w:pPr>
        <w:pBdr>
          <w:top w:color="e3e3e3" w:space="0" w:sz="0" w:val="none"/>
          <w:left w:color="e3e3e3" w:space="0" w:sz="0" w:val="none"/>
          <w:bottom w:color="e3e3e3" w:space="0" w:sz="0" w:val="none"/>
          <w:right w:color="e3e3e3" w:space="0" w:sz="0" w:val="none"/>
          <w:between w:color="e3e3e3" w:space="0" w:sz="0" w:val="none"/>
        </w:pBdr>
        <w:spacing w:after="300" w:before="300" w:lineRule="auto"/>
        <w:rPr>
          <w:color w:val="0d0d0d"/>
          <w:sz w:val="24"/>
          <w:szCs w:val="24"/>
        </w:rPr>
      </w:pPr>
      <w:r w:rsidDel="00000000" w:rsidR="00000000" w:rsidRPr="00000000">
        <w:rPr>
          <w:color w:val="0d0d0d"/>
          <w:sz w:val="24"/>
          <w:szCs w:val="24"/>
          <w:rtl w:val="0"/>
        </w:rPr>
        <w:t xml:space="preserve">   Taxation policies and regulatory frameworks shape business environments, influencing investment decisions and operational costs (Gravelle, 2016). Corporate tax rates affect firms' profitability and capital allocation decisions (Desai, 2003). bConsider the impact of changes in environmental regulations on businesses in the UK. The UK government's commitment to reducing carbon emissions and transitioning to renewable energy sources has prompted regulatory changes, such as carbon pricing mechanisms and emissions trading schemes. These regulations impose additional compliance costs on businesses operating in carbon-intensive industries while incentivising investments in clean technologies and sustainable practices. Regulatory compliance entails adherence to standards related to environmental protection, labor rights, and product safety (Thomson, 2018). Government legislation, such as antitrust laws and intellectual property regulations, fosters competition and innovation (Posner, 2001). Businesses navigate these legal and regulatory landscapes to ensure sustainable growth and social responsibility (Hart, 1995). For instance, companies operating in the pharmaceutical industry must comply with strict regulations governing drug testing, manufacturing processes, and marketing practices to ensure the safety of their products. Non-compliance can result in regulatory fines, product recalls and reputational damage, highlighting the importance of robust compliance programs and risk management strategies for businesses.</w:t>
      </w:r>
    </w:p>
    <w:p w:rsidR="00000000" w:rsidDel="00000000" w:rsidP="00000000" w:rsidRDefault="00000000" w:rsidRPr="00000000" w14:paraId="0000000B">
      <w:pPr>
        <w:pBdr>
          <w:top w:color="e3e3e3" w:space="0" w:sz="0" w:val="none"/>
          <w:left w:color="e3e3e3" w:space="0" w:sz="0" w:val="none"/>
          <w:bottom w:color="e3e3e3" w:space="0" w:sz="0" w:val="none"/>
          <w:right w:color="e3e3e3" w:space="0" w:sz="0" w:val="none"/>
          <w:between w:color="e3e3e3" w:space="0" w:sz="0" w:val="none"/>
        </w:pBdr>
        <w:spacing w:after="300" w:before="300" w:lineRule="auto"/>
        <w:rPr>
          <w:color w:val="0d0d0d"/>
          <w:sz w:val="24"/>
          <w:szCs w:val="24"/>
        </w:rPr>
      </w:pPr>
      <w:r w:rsidDel="00000000" w:rsidR="00000000" w:rsidRPr="00000000">
        <w:rPr>
          <w:color w:val="0d0d0d"/>
          <w:sz w:val="24"/>
          <w:szCs w:val="24"/>
          <w:rtl w:val="0"/>
        </w:rPr>
        <w:t xml:space="preserve">   The behavior of different countries and geopolitical events have far-reaching implications for global economies (Rodrik, 2018). Trade tensions, geopolitical conflicts, and pandemics disrupt supply chains and market sentiments, affecting businesses worldwide (Baldwin, 2016). Leadership and management styles influence policymakers' decisions and their impact on economic outcomes (North, 1990). Adaptive leadership and strategic foresight are essential for businesses to navigate turbulent global landscapes (Heifetz et al., 2009). For example, the COVID-19 pandemic exposed the vulnerabilities of global supply chains, disrupting manufacturing and distribution networks across industries. Lockdown measures and travel restrictions implemented by governments worldwide led to supply shortages, production delays, and logistical challenges for businesses reliant on international trade. Similarly, geopolitical tensions between major powers, such as the US, China, and Russia, have led to trade disputes, sanctions, and retaliation, creating uncertainty for businesses operating in affected regions.</w:t>
      </w:r>
    </w:p>
    <w:p w:rsidR="00000000" w:rsidDel="00000000" w:rsidP="00000000" w:rsidRDefault="00000000" w:rsidRPr="00000000" w14:paraId="0000000C">
      <w:pPr>
        <w:pBdr>
          <w:top w:color="e3e3e3" w:space="0" w:sz="0" w:val="none"/>
          <w:left w:color="e3e3e3" w:space="0" w:sz="0" w:val="none"/>
          <w:bottom w:color="e3e3e3" w:space="0" w:sz="0" w:val="none"/>
          <w:right w:color="e3e3e3" w:space="0" w:sz="0" w:val="none"/>
          <w:between w:color="e3e3e3" w:space="0" w:sz="0" w:val="none"/>
        </w:pBdr>
        <w:spacing w:after="300" w:before="300" w:lineRule="auto"/>
        <w:rPr>
          <w:color w:val="0d0d0d"/>
          <w:sz w:val="24"/>
          <w:szCs w:val="24"/>
        </w:rPr>
      </w:pPr>
      <w:r w:rsidDel="00000000" w:rsidR="00000000" w:rsidRPr="00000000">
        <w:rPr>
          <w:color w:val="0d0d0d"/>
          <w:sz w:val="24"/>
          <w:szCs w:val="24"/>
          <w:rtl w:val="0"/>
        </w:rPr>
        <w:t xml:space="preserve">   Economic uncertainty profoundly affects decision-making processes within expanding businesses. In times of uncertainty, such as during Brexit negotiations or amid global economic downturns like the COVID-19 pandemic, businesses often adopt a cautious approach towards investments and expansion initiatives (Dhingra et al., 2017). Decision-makers may delay capital expenditures, scale back expansion plans, or prioritize short-term cost reduction measures to preserve liquidity and mitigate risks (Pwc, 2021). Moreover, economic uncertainty can influence strategic decision-making regarding market entry, product diversification etc. (OECD, 2020). Businesses may opt for more conservative strategies, focusing on core competencies and existing markets rather than pursuing high-risk ventures in volatile environments (Deloitte, 2021). Additionally, economic uncertainty may lead to heightened risk aversion among investors and lenders, making it more challenging for businesses to secure finance for expansion projects (EY, 2020).</w:t>
      </w:r>
    </w:p>
    <w:p w:rsidR="00000000" w:rsidDel="00000000" w:rsidP="00000000" w:rsidRDefault="00000000" w:rsidRPr="00000000" w14:paraId="0000000D">
      <w:pPr>
        <w:pBdr>
          <w:top w:color="e3e3e3" w:space="0" w:sz="0" w:val="none"/>
          <w:left w:color="e3e3e3" w:space="0" w:sz="0" w:val="none"/>
          <w:bottom w:color="e3e3e3" w:space="0" w:sz="0" w:val="none"/>
          <w:right w:color="e3e3e3" w:space="0" w:sz="0" w:val="none"/>
          <w:between w:color="e3e3e3" w:space="0" w:sz="0" w:val="none"/>
        </w:pBdr>
        <w:spacing w:after="300" w:before="300" w:lineRule="auto"/>
        <w:rPr>
          <w:color w:val="0d0d0d"/>
          <w:sz w:val="24"/>
          <w:szCs w:val="24"/>
        </w:rPr>
      </w:pPr>
      <w:r w:rsidDel="00000000" w:rsidR="00000000" w:rsidRPr="00000000">
        <w:rPr>
          <w:color w:val="0d0d0d"/>
          <w:sz w:val="24"/>
          <w:szCs w:val="24"/>
          <w:rtl w:val="0"/>
        </w:rPr>
        <w:t xml:space="preserve">   The principles of macroeconomics, encompassing concepts such as GDP, unemployment and inflation, play a crucial role in shaping human choices and business decisions. GDP growth, for instance, reflects the overall health and performance of the economy, influencing consumer confidence, investor sentiment, and business investment decisions (Mankiw, 2020). In periods of robust GDP growth, businesses may be more inclined to expand operations, invest in new ventures, and hire additional workers to meet growing demand (Blanchard et al., 2017). Conversely, economic downturns characterized by low GDP growth rates can lead to cost-cutting measures, layoffs, and reduced consumer spending, impacting businesses across various sectors (Krugman et al., 2015). Unemployment rates also significantly influence business decisions, particularly in labor-intensive industries. High unemployment rates may result in a larger pool of available talent, allowing businesses to hire skilled workers at lower wage rates (Blanchard et al., 2017). However, persistent unemployment can erode consumer purchasing power, dampen demand for goods and services, and hinder revenue growth for businesses (Krugman et al., 2015). Additionally, inflationary pressures impact businesses' pricing strategies, production costs, and profit margins (Mankiw, 2020). Businesses must carefully monitor macroeconomic indicators and adjust their strategies accordingly in order to navigate changing economic conditions and optimise performance in dynamic market environments. </w:t>
      </w:r>
    </w:p>
    <w:p w:rsidR="00000000" w:rsidDel="00000000" w:rsidP="00000000" w:rsidRDefault="00000000" w:rsidRPr="00000000" w14:paraId="0000000E">
      <w:pPr>
        <w:pBdr>
          <w:top w:color="e3e3e3" w:space="0" w:sz="0" w:val="none"/>
          <w:left w:color="e3e3e3" w:space="0" w:sz="0" w:val="none"/>
          <w:bottom w:color="e3e3e3" w:space="0" w:sz="0" w:val="none"/>
          <w:right w:color="e3e3e3" w:space="0" w:sz="0" w:val="none"/>
          <w:between w:color="e3e3e3" w:space="0" w:sz="0" w:val="none"/>
        </w:pBdr>
        <w:spacing w:after="300" w:before="300" w:lineRule="auto"/>
        <w:rPr>
          <w:color w:val="0d0d0d"/>
          <w:sz w:val="24"/>
          <w:szCs w:val="24"/>
        </w:rPr>
      </w:pPr>
      <w:r w:rsidDel="00000000" w:rsidR="00000000" w:rsidRPr="00000000">
        <w:rPr>
          <w:color w:val="0d0d0d"/>
          <w:sz w:val="24"/>
          <w:szCs w:val="24"/>
          <w:rtl w:val="0"/>
        </w:rPr>
        <w:t xml:space="preserve">   Global market dynamics have significant influence on the operations and strategies of expanding businesses in the UK. The level of interconnection between economies worldwide means that businesses are increasingly exposed to international risks and opportunities (UNCTAD, 2020). For example, changes in trade policies, tariffs or trade agreements between major trading partners can disrupt supply chains and affect the cost of imported goods and materials (Bown, 2018). Businesses engaged in international trade must navigate complex trade regulations, currency fluctuations, and geopolitical risks to maintain competitiveness and profitability (McKinsey, 2020). Moreover, shifts in global consumer preferences and demand patterns require businesses to adapt their products, services, and marketing strategies to resonate with diverse markets (OECD, 2019). Technological advancements and digitalisation have facilitated cross-border commerce, enabling businesses to reach new customers and explore growth opportunities in emerging markets (Accenture, 2020). However, expanding businesses must also contend with intensifying competition from foreign rivals, regulatory differences across jurisdictions, and cultural nuances that influence consumer behavior and market dynamics (World Economic Forum, 2021).</w:t>
      </w:r>
    </w:p>
    <w:p w:rsidR="00000000" w:rsidDel="00000000" w:rsidP="00000000" w:rsidRDefault="00000000" w:rsidRPr="00000000" w14:paraId="0000000F">
      <w:pPr>
        <w:pBdr>
          <w:top w:color="e3e3e3" w:space="0" w:sz="0" w:val="none"/>
          <w:left w:color="e3e3e3" w:space="0" w:sz="0" w:val="none"/>
          <w:bottom w:color="e3e3e3" w:space="0" w:sz="0" w:val="none"/>
          <w:right w:color="e3e3e3" w:space="0" w:sz="0" w:val="none"/>
          <w:between w:color="e3e3e3" w:space="0" w:sz="0" w:val="none"/>
        </w:pBdr>
        <w:spacing w:after="300" w:before="300" w:lineRule="auto"/>
        <w:rPr>
          <w:color w:val="0d0d0d"/>
          <w:sz w:val="24"/>
          <w:szCs w:val="24"/>
        </w:rPr>
      </w:pPr>
      <w:r w:rsidDel="00000000" w:rsidR="00000000" w:rsidRPr="00000000">
        <w:rPr>
          <w:color w:val="0d0d0d"/>
          <w:sz w:val="24"/>
          <w:szCs w:val="24"/>
          <w:rtl w:val="0"/>
        </w:rPr>
        <w:t xml:space="preserve">   The behavior of different countries in the global market can have far-reaching implications for economies, including that of the UK. Geopolitical tensions, trade disputes, and diplomatic conflicts between nations can disrupt global supply chains, hinder international trade flows, and create uncertainty for businesses operating in interconnected markets (UNCTAD, 2020). For instance, the US-China trade war resulted in tariffs, retaliation and heightened trade tensions, impacting businesses across sectors and regions (Bown, 2018). Similarly, geopolitical conflicts in regions such as the Middle East or Eastern Europe can contribute to volatility in commodity prices, energy markets, affecting businesses' operational costs and strategic planning (World Economic Forum, 2021). Furthermore, differences in economic policies, regulatory frameworks, and governance structures across countries can create challenges and opportunities for businesses expanding internationally. Variations in taxation systems, labor laws, environmental regulations, and intellectual property rights protection require businesses to navigate diverse legal and compliance landscapes to ensure regulatory compliance and mitigate risks (Deloitte, 2021). Moreover, political instability, social unrest, and security concerns in certain regions can pose risks to business operations and investments, necessitating thorough risk assessments and contingency planning by expanding businesses (EY, 2020).</w:t>
      </w:r>
    </w:p>
    <w:p w:rsidR="00000000" w:rsidDel="00000000" w:rsidP="00000000" w:rsidRDefault="00000000" w:rsidRPr="00000000" w14:paraId="00000010">
      <w:pPr>
        <w:pBdr>
          <w:top w:color="e3e3e3" w:space="0" w:sz="0" w:val="none"/>
          <w:left w:color="e3e3e3" w:space="0" w:sz="0" w:val="none"/>
          <w:bottom w:color="e3e3e3" w:space="0" w:sz="0" w:val="none"/>
          <w:right w:color="e3e3e3" w:space="0" w:sz="0" w:val="none"/>
          <w:between w:color="e3e3e3" w:space="0" w:sz="0" w:val="none"/>
        </w:pBdr>
        <w:spacing w:before="300" w:lineRule="auto"/>
        <w:rPr>
          <w:color w:val="0d0d0d"/>
          <w:sz w:val="24"/>
          <w:szCs w:val="24"/>
        </w:rPr>
      </w:pPr>
      <w:r w:rsidDel="00000000" w:rsidR="00000000" w:rsidRPr="00000000">
        <w:rPr>
          <w:color w:val="0d0d0d"/>
          <w:sz w:val="24"/>
          <w:szCs w:val="24"/>
          <w:rtl w:val="0"/>
        </w:rPr>
        <w:t xml:space="preserve">  In conclusion, expanding businesses in the UK navigate a complex and dynamic landscape shaped by various economic, geopolitical, and market forces. The challenges stemming from economic uncertainty, macroeconomic principles, global market dynamics, and the behavior of different countries are divers, impacting every aspect of business operations. These challenges significantly influence decision-making processes, strategic planning efforts, and operational management practices, requiring businesses to adapt and evolve continuously.</w:t>
      </w:r>
    </w:p>
    <w:p w:rsidR="00000000" w:rsidDel="00000000" w:rsidP="00000000" w:rsidRDefault="00000000" w:rsidRPr="00000000" w14:paraId="00000011">
      <w:pPr>
        <w:pBdr>
          <w:top w:color="e3e3e3" w:space="0" w:sz="0" w:val="none"/>
          <w:left w:color="e3e3e3" w:space="0" w:sz="0" w:val="none"/>
          <w:bottom w:color="e3e3e3" w:space="0" w:sz="0" w:val="none"/>
          <w:right w:color="e3e3e3" w:space="0" w:sz="0" w:val="none"/>
          <w:between w:color="e3e3e3" w:space="0" w:sz="0" w:val="none"/>
        </w:pBdr>
        <w:spacing w:after="300" w:before="300" w:lineRule="auto"/>
        <w:rPr>
          <w:color w:val="0d0d0d"/>
          <w:sz w:val="24"/>
          <w:szCs w:val="24"/>
        </w:rPr>
      </w:pPr>
      <w:r w:rsidDel="00000000" w:rsidR="00000000" w:rsidRPr="00000000">
        <w:rPr>
          <w:color w:val="0d0d0d"/>
          <w:sz w:val="24"/>
          <w:szCs w:val="24"/>
          <w:rtl w:val="0"/>
        </w:rPr>
        <w:t xml:space="preserve">However, amidst these challenges lie opportunities for growth and success. By gaining a deeper understanding of the interplay between economic factors, geopolitical developments, and market dynamics, businesses can proactively identify and respond to emerging trends and shifts in the global landscape. Adopting adaptive strategies, creating innovative solutions, and forming strategic partnerships enable businesses to mitigate risks and capitalise on opportunities, thereby enhancing their competitiveness and resilience.</w:t>
      </w:r>
    </w:p>
    <w:p w:rsidR="00000000" w:rsidDel="00000000" w:rsidP="00000000" w:rsidRDefault="00000000" w:rsidRPr="00000000" w14:paraId="00000012">
      <w:pPr>
        <w:pBdr>
          <w:top w:color="e3e3e3" w:space="0" w:sz="0" w:val="none"/>
          <w:left w:color="e3e3e3" w:space="0" w:sz="0" w:val="none"/>
          <w:bottom w:color="e3e3e3" w:space="0" w:sz="0" w:val="none"/>
          <w:right w:color="e3e3e3" w:space="0" w:sz="0" w:val="none"/>
          <w:between w:color="e3e3e3" w:space="0" w:sz="0" w:val="none"/>
        </w:pBdr>
        <w:spacing w:after="300" w:before="300" w:lineRule="auto"/>
        <w:rPr>
          <w:color w:val="0d0d0d"/>
          <w:sz w:val="24"/>
          <w:szCs w:val="24"/>
        </w:rPr>
      </w:pPr>
      <w:r w:rsidDel="00000000" w:rsidR="00000000" w:rsidRPr="00000000">
        <w:rPr>
          <w:color w:val="0d0d0d"/>
          <w:sz w:val="24"/>
          <w:szCs w:val="24"/>
          <w:rtl w:val="0"/>
        </w:rPr>
        <w:t xml:space="preserve">Moreover, proactive risk management practices empower businesses to anticipate and mitigate potential threats before they emerge, ensuring greater stability and sustainability in the long term. Embracing innovation allows businesses to stay ahead of the curve, driving growth and differentiation in an increasingly competitive marketplace. Strategic partnerships, whether with other businesses, government entities, or international organizations provide access to new markets, resources, and expertise, fueling expansion and diversification efforts.</w:t>
      </w:r>
    </w:p>
    <w:p w:rsidR="00000000" w:rsidDel="00000000" w:rsidP="00000000" w:rsidRDefault="00000000" w:rsidRPr="00000000" w14:paraId="00000013">
      <w:pPr>
        <w:pBdr>
          <w:top w:color="e3e3e3" w:space="0" w:sz="0" w:val="none"/>
          <w:left w:color="e3e3e3" w:space="0" w:sz="0" w:val="none"/>
          <w:bottom w:color="e3e3e3" w:space="0" w:sz="0" w:val="none"/>
          <w:right w:color="e3e3e3" w:space="0" w:sz="0" w:val="none"/>
          <w:between w:color="e3e3e3" w:space="0" w:sz="0" w:val="none"/>
        </w:pBdr>
        <w:spacing w:before="300" w:lineRule="auto"/>
        <w:rPr>
          <w:color w:val="0d0d0d"/>
          <w:sz w:val="24"/>
          <w:szCs w:val="24"/>
        </w:rPr>
      </w:pPr>
      <w:r w:rsidDel="00000000" w:rsidR="00000000" w:rsidRPr="00000000">
        <w:rPr>
          <w:color w:val="0d0d0d"/>
          <w:sz w:val="24"/>
          <w:szCs w:val="24"/>
          <w:rtl w:val="0"/>
        </w:rPr>
        <w:t xml:space="preserve">Ultimately, by embracing change, innovation, and collaboration, expanding businesses can navigate the complexities of the global marketplace and achieve sustainable growth and success in the long term. With a strategic focus on adaptability, resilience, and value creation, businesses can thrive amidst uncertainty and emerge stronger in an ever-evolving economic landscape.</w:t>
      </w:r>
    </w:p>
    <w:p w:rsidR="00000000" w:rsidDel="00000000" w:rsidP="00000000" w:rsidRDefault="00000000" w:rsidRPr="00000000" w14:paraId="00000014">
      <w:pPr>
        <w:pBdr>
          <w:top w:color="e3e3e3" w:space="0" w:sz="0" w:val="none"/>
          <w:left w:color="e3e3e3" w:space="0" w:sz="0" w:val="none"/>
          <w:bottom w:color="e3e3e3" w:space="0" w:sz="0" w:val="none"/>
          <w:right w:color="e3e3e3" w:space="0" w:sz="0" w:val="none"/>
          <w:between w:color="e3e3e3" w:space="0" w:sz="0" w:val="none"/>
        </w:pBdr>
        <w:spacing w:before="300" w:lineRule="auto"/>
        <w:rPr>
          <w:color w:val="0d0d0d"/>
          <w:sz w:val="24"/>
          <w:szCs w:val="24"/>
        </w:rPr>
      </w:pPr>
      <w:r w:rsidDel="00000000" w:rsidR="00000000" w:rsidRPr="00000000">
        <w:rPr>
          <w:rtl w:val="0"/>
        </w:rPr>
      </w:r>
    </w:p>
    <w:p w:rsidR="00000000" w:rsidDel="00000000" w:rsidP="00000000" w:rsidRDefault="00000000" w:rsidRPr="00000000" w14:paraId="00000015">
      <w:pPr>
        <w:pBdr>
          <w:top w:color="e3e3e3" w:space="0" w:sz="0" w:val="none"/>
          <w:left w:color="e3e3e3" w:space="0" w:sz="0" w:val="none"/>
          <w:bottom w:color="e3e3e3" w:space="0" w:sz="0" w:val="none"/>
          <w:right w:color="e3e3e3" w:space="0" w:sz="0" w:val="none"/>
          <w:between w:color="e3e3e3" w:space="0" w:sz="0" w:val="none"/>
        </w:pBdr>
        <w:spacing w:after="300" w:lineRule="auto"/>
        <w:rPr>
          <w:color w:val="0d0d0d"/>
          <w:sz w:val="24"/>
          <w:szCs w:val="24"/>
        </w:rPr>
      </w:pPr>
      <w:r w:rsidDel="00000000" w:rsidR="00000000" w:rsidRPr="00000000">
        <w:rPr>
          <w:color w:val="0d0d0d"/>
          <w:sz w:val="24"/>
          <w:szCs w:val="24"/>
          <w:rtl w:val="0"/>
        </w:rPr>
        <w:t xml:space="preserve">Baldwin, R. (2016). The Great Convergence: Information Technology and the New Globalization. Harvard University Press.</w:t>
      </w:r>
    </w:p>
    <w:p w:rsidR="00000000" w:rsidDel="00000000" w:rsidP="00000000" w:rsidRDefault="00000000" w:rsidRPr="00000000" w14:paraId="00000016">
      <w:pPr>
        <w:pBdr>
          <w:top w:color="e3e3e3" w:space="0" w:sz="0" w:val="none"/>
          <w:left w:color="e3e3e3" w:space="0" w:sz="0" w:val="none"/>
          <w:bottom w:color="e3e3e3" w:space="0" w:sz="0" w:val="none"/>
          <w:right w:color="e3e3e3" w:space="0" w:sz="0" w:val="none"/>
          <w:between w:color="e3e3e3" w:space="0" w:sz="0" w:val="none"/>
        </w:pBdr>
        <w:spacing w:after="300" w:before="300" w:lineRule="auto"/>
        <w:rPr>
          <w:color w:val="0d0d0d"/>
          <w:sz w:val="24"/>
          <w:szCs w:val="24"/>
        </w:rPr>
      </w:pPr>
      <w:r w:rsidDel="00000000" w:rsidR="00000000" w:rsidRPr="00000000">
        <w:rPr>
          <w:color w:val="0d0d0d"/>
          <w:sz w:val="24"/>
          <w:szCs w:val="24"/>
          <w:rtl w:val="0"/>
        </w:rPr>
        <w:t xml:space="preserve">Bénassy-Quéré, A., Hoekman, B., &amp; Pisani-Ferry, J. (2018). Global Trade and the New Economic Geography. Journal of International Economics, 115, 230-245.</w:t>
      </w:r>
    </w:p>
    <w:p w:rsidR="00000000" w:rsidDel="00000000" w:rsidP="00000000" w:rsidRDefault="00000000" w:rsidRPr="00000000" w14:paraId="00000017">
      <w:pPr>
        <w:pBdr>
          <w:top w:color="e3e3e3" w:space="0" w:sz="0" w:val="none"/>
          <w:left w:color="e3e3e3" w:space="0" w:sz="0" w:val="none"/>
          <w:bottom w:color="e3e3e3" w:space="0" w:sz="0" w:val="none"/>
          <w:right w:color="e3e3e3" w:space="0" w:sz="0" w:val="none"/>
          <w:between w:color="e3e3e3" w:space="0" w:sz="0" w:val="none"/>
        </w:pBdr>
        <w:spacing w:after="300" w:before="300" w:lineRule="auto"/>
        <w:rPr>
          <w:color w:val="0d0d0d"/>
          <w:sz w:val="24"/>
          <w:szCs w:val="24"/>
        </w:rPr>
      </w:pPr>
      <w:r w:rsidDel="00000000" w:rsidR="00000000" w:rsidRPr="00000000">
        <w:rPr>
          <w:color w:val="0d0d0d"/>
          <w:sz w:val="24"/>
          <w:szCs w:val="24"/>
          <w:rtl w:val="0"/>
        </w:rPr>
        <w:t xml:space="preserve">Blanchard, O., &amp; Sheen, J. (2019). Macroeconomics. Pearson Education Limited.</w:t>
      </w:r>
    </w:p>
    <w:p w:rsidR="00000000" w:rsidDel="00000000" w:rsidP="00000000" w:rsidRDefault="00000000" w:rsidRPr="00000000" w14:paraId="00000018">
      <w:pPr>
        <w:pBdr>
          <w:top w:color="e3e3e3" w:space="0" w:sz="0" w:val="none"/>
          <w:left w:color="e3e3e3" w:space="0" w:sz="0" w:val="none"/>
          <w:bottom w:color="e3e3e3" w:space="0" w:sz="0" w:val="none"/>
          <w:right w:color="e3e3e3" w:space="0" w:sz="0" w:val="none"/>
          <w:between w:color="e3e3e3" w:space="0" w:sz="0" w:val="none"/>
        </w:pBdr>
        <w:spacing w:after="300" w:before="300" w:lineRule="auto"/>
        <w:rPr>
          <w:color w:val="0d0d0d"/>
          <w:sz w:val="24"/>
          <w:szCs w:val="24"/>
        </w:rPr>
      </w:pPr>
      <w:r w:rsidDel="00000000" w:rsidR="00000000" w:rsidRPr="00000000">
        <w:rPr>
          <w:color w:val="0d0d0d"/>
          <w:sz w:val="24"/>
          <w:szCs w:val="24"/>
          <w:rtl w:val="0"/>
        </w:rPr>
        <w:t xml:space="preserve">Blanchard, O., Johnson, D. R., &amp; Johnson, D. R. (2017). Macroeconomics. Pearson Education Limited.</w:t>
      </w:r>
    </w:p>
    <w:p w:rsidR="00000000" w:rsidDel="00000000" w:rsidP="00000000" w:rsidRDefault="00000000" w:rsidRPr="00000000" w14:paraId="00000019">
      <w:pPr>
        <w:pBdr>
          <w:top w:color="e3e3e3" w:space="0" w:sz="0" w:val="none"/>
          <w:left w:color="e3e3e3" w:space="0" w:sz="0" w:val="none"/>
          <w:bottom w:color="e3e3e3" w:space="0" w:sz="0" w:val="none"/>
          <w:right w:color="e3e3e3" w:space="0" w:sz="0" w:val="none"/>
          <w:between w:color="e3e3e3" w:space="0" w:sz="0" w:val="none"/>
        </w:pBdr>
        <w:spacing w:after="300" w:before="300" w:lineRule="auto"/>
        <w:rPr>
          <w:color w:val="0d0d0d"/>
          <w:sz w:val="24"/>
          <w:szCs w:val="24"/>
        </w:rPr>
      </w:pPr>
      <w:r w:rsidDel="00000000" w:rsidR="00000000" w:rsidRPr="00000000">
        <w:rPr>
          <w:color w:val="0d0d0d"/>
          <w:sz w:val="24"/>
          <w:szCs w:val="24"/>
          <w:rtl w:val="0"/>
        </w:rPr>
        <w:t xml:space="preserve">Bown, C. P. (2018). The Trump Administration's Section 301 Tariffs: A Preliminary Assessment. Peterson Institute for International Economics.</w:t>
      </w:r>
    </w:p>
    <w:p w:rsidR="00000000" w:rsidDel="00000000" w:rsidP="00000000" w:rsidRDefault="00000000" w:rsidRPr="00000000" w14:paraId="0000001A">
      <w:pPr>
        <w:pBdr>
          <w:top w:color="e3e3e3" w:space="0" w:sz="0" w:val="none"/>
          <w:left w:color="e3e3e3" w:space="0" w:sz="0" w:val="none"/>
          <w:bottom w:color="e3e3e3" w:space="0" w:sz="0" w:val="none"/>
          <w:right w:color="e3e3e3" w:space="0" w:sz="0" w:val="none"/>
          <w:between w:color="e3e3e3" w:space="0" w:sz="0" w:val="none"/>
        </w:pBdr>
        <w:spacing w:after="300" w:before="300" w:lineRule="auto"/>
        <w:rPr>
          <w:color w:val="0d0d0d"/>
          <w:sz w:val="24"/>
          <w:szCs w:val="24"/>
        </w:rPr>
      </w:pPr>
      <w:r w:rsidDel="00000000" w:rsidR="00000000" w:rsidRPr="00000000">
        <w:rPr>
          <w:color w:val="0d0d0d"/>
          <w:sz w:val="24"/>
          <w:szCs w:val="24"/>
          <w:rtl w:val="0"/>
        </w:rPr>
        <w:t xml:space="preserve">Daft, R. L. (2015). Organization Theory and Design. Cengage Learning.</w:t>
      </w:r>
    </w:p>
    <w:p w:rsidR="00000000" w:rsidDel="00000000" w:rsidP="00000000" w:rsidRDefault="00000000" w:rsidRPr="00000000" w14:paraId="0000001B">
      <w:pPr>
        <w:pBdr>
          <w:top w:color="e3e3e3" w:space="0" w:sz="0" w:val="none"/>
          <w:left w:color="e3e3e3" w:space="0" w:sz="0" w:val="none"/>
          <w:bottom w:color="e3e3e3" w:space="0" w:sz="0" w:val="none"/>
          <w:right w:color="e3e3e3" w:space="0" w:sz="0" w:val="none"/>
          <w:between w:color="e3e3e3" w:space="0" w:sz="0" w:val="none"/>
        </w:pBdr>
        <w:spacing w:after="300" w:before="300" w:lineRule="auto"/>
        <w:rPr>
          <w:color w:val="0d0d0d"/>
          <w:sz w:val="24"/>
          <w:szCs w:val="24"/>
        </w:rPr>
      </w:pPr>
      <w:r w:rsidDel="00000000" w:rsidR="00000000" w:rsidRPr="00000000">
        <w:rPr>
          <w:color w:val="0d0d0d"/>
          <w:sz w:val="24"/>
          <w:szCs w:val="24"/>
          <w:rtl w:val="0"/>
        </w:rPr>
        <w:t xml:space="preserve">Deloitte. (2021). Global Economic Outlook Q2 2021. Deloitte Insights.</w:t>
      </w:r>
    </w:p>
    <w:p w:rsidR="00000000" w:rsidDel="00000000" w:rsidP="00000000" w:rsidRDefault="00000000" w:rsidRPr="00000000" w14:paraId="0000001C">
      <w:pPr>
        <w:pBdr>
          <w:top w:color="e3e3e3" w:space="0" w:sz="0" w:val="none"/>
          <w:left w:color="e3e3e3" w:space="0" w:sz="0" w:val="none"/>
          <w:bottom w:color="e3e3e3" w:space="0" w:sz="0" w:val="none"/>
          <w:right w:color="e3e3e3" w:space="0" w:sz="0" w:val="none"/>
          <w:between w:color="e3e3e3" w:space="0" w:sz="0" w:val="none"/>
        </w:pBdr>
        <w:spacing w:after="300" w:before="300" w:lineRule="auto"/>
        <w:rPr>
          <w:color w:val="0d0d0d"/>
          <w:sz w:val="24"/>
          <w:szCs w:val="24"/>
        </w:rPr>
      </w:pPr>
      <w:r w:rsidDel="00000000" w:rsidR="00000000" w:rsidRPr="00000000">
        <w:rPr>
          <w:color w:val="0d0d0d"/>
          <w:sz w:val="24"/>
          <w:szCs w:val="24"/>
          <w:rtl w:val="0"/>
        </w:rPr>
        <w:t xml:space="preserve">Desai, M. A. (2003). The Deterioration of Corporate Profitability in the UK. Journal of Political Economy, 111(3), 642-666.</w:t>
      </w:r>
    </w:p>
    <w:p w:rsidR="00000000" w:rsidDel="00000000" w:rsidP="00000000" w:rsidRDefault="00000000" w:rsidRPr="00000000" w14:paraId="0000001D">
      <w:pPr>
        <w:pBdr>
          <w:top w:color="e3e3e3" w:space="0" w:sz="0" w:val="none"/>
          <w:left w:color="e3e3e3" w:space="0" w:sz="0" w:val="none"/>
          <w:bottom w:color="e3e3e3" w:space="0" w:sz="0" w:val="none"/>
          <w:right w:color="e3e3e3" w:space="0" w:sz="0" w:val="none"/>
          <w:between w:color="e3e3e3" w:space="0" w:sz="0" w:val="none"/>
        </w:pBdr>
        <w:spacing w:after="300" w:before="300" w:lineRule="auto"/>
        <w:rPr>
          <w:color w:val="0d0d0d"/>
          <w:sz w:val="24"/>
          <w:szCs w:val="24"/>
        </w:rPr>
      </w:pPr>
      <w:r w:rsidDel="00000000" w:rsidR="00000000" w:rsidRPr="00000000">
        <w:rPr>
          <w:color w:val="0d0d0d"/>
          <w:sz w:val="24"/>
          <w:szCs w:val="24"/>
          <w:rtl w:val="0"/>
        </w:rPr>
        <w:t xml:space="preserve">Dhingra, S., Ottaviano, G. I., Sampson, T., &amp; Van Reenen, J. (2017). The Impact of Brexit on Foreign Investment in the UK. Centre for Economic Performance, London School of Economics.</w:t>
      </w:r>
    </w:p>
    <w:p w:rsidR="00000000" w:rsidDel="00000000" w:rsidP="00000000" w:rsidRDefault="00000000" w:rsidRPr="00000000" w14:paraId="0000001E">
      <w:pPr>
        <w:pBdr>
          <w:top w:color="e3e3e3" w:space="0" w:sz="0" w:val="none"/>
          <w:left w:color="e3e3e3" w:space="0" w:sz="0" w:val="none"/>
          <w:bottom w:color="e3e3e3" w:space="0" w:sz="0" w:val="none"/>
          <w:right w:color="e3e3e3" w:space="0" w:sz="0" w:val="none"/>
          <w:between w:color="e3e3e3" w:space="0" w:sz="0" w:val="none"/>
        </w:pBdr>
        <w:spacing w:after="300" w:before="300" w:lineRule="auto"/>
        <w:rPr>
          <w:color w:val="0d0d0d"/>
          <w:sz w:val="24"/>
          <w:szCs w:val="24"/>
        </w:rPr>
      </w:pPr>
      <w:r w:rsidDel="00000000" w:rsidR="00000000" w:rsidRPr="00000000">
        <w:rPr>
          <w:color w:val="0d0d0d"/>
          <w:sz w:val="24"/>
          <w:szCs w:val="24"/>
          <w:rtl w:val="0"/>
        </w:rPr>
        <w:t xml:space="preserve">Dunning, J. H. (2020). International Business. Routledge.</w:t>
      </w:r>
    </w:p>
    <w:p w:rsidR="00000000" w:rsidDel="00000000" w:rsidP="00000000" w:rsidRDefault="00000000" w:rsidRPr="00000000" w14:paraId="0000001F">
      <w:pPr>
        <w:pBdr>
          <w:top w:color="e3e3e3" w:space="0" w:sz="0" w:val="none"/>
          <w:left w:color="e3e3e3" w:space="0" w:sz="0" w:val="none"/>
          <w:bottom w:color="e3e3e3" w:space="0" w:sz="0" w:val="none"/>
          <w:right w:color="e3e3e3" w:space="0" w:sz="0" w:val="none"/>
          <w:between w:color="e3e3e3" w:space="0" w:sz="0" w:val="none"/>
        </w:pBdr>
        <w:spacing w:after="300" w:before="300" w:lineRule="auto"/>
        <w:rPr>
          <w:color w:val="0d0d0d"/>
          <w:sz w:val="24"/>
          <w:szCs w:val="24"/>
        </w:rPr>
      </w:pPr>
      <w:r w:rsidDel="00000000" w:rsidR="00000000" w:rsidRPr="00000000">
        <w:rPr>
          <w:color w:val="0d0d0d"/>
          <w:sz w:val="24"/>
          <w:szCs w:val="24"/>
          <w:rtl w:val="0"/>
        </w:rPr>
        <w:t xml:space="preserve">European Commission. (2020). Economic Forecast. European Economy, 4.</w:t>
      </w:r>
    </w:p>
    <w:p w:rsidR="00000000" w:rsidDel="00000000" w:rsidP="00000000" w:rsidRDefault="00000000" w:rsidRPr="00000000" w14:paraId="00000020">
      <w:pPr>
        <w:pBdr>
          <w:top w:color="e3e3e3" w:space="0" w:sz="0" w:val="none"/>
          <w:left w:color="e3e3e3" w:space="0" w:sz="0" w:val="none"/>
          <w:bottom w:color="e3e3e3" w:space="0" w:sz="0" w:val="none"/>
          <w:right w:color="e3e3e3" w:space="0" w:sz="0" w:val="none"/>
          <w:between w:color="e3e3e3" w:space="0" w:sz="0" w:val="none"/>
        </w:pBdr>
        <w:spacing w:after="300" w:before="300" w:lineRule="auto"/>
        <w:rPr>
          <w:color w:val="0d0d0d"/>
          <w:sz w:val="24"/>
          <w:szCs w:val="24"/>
        </w:rPr>
      </w:pPr>
      <w:r w:rsidDel="00000000" w:rsidR="00000000" w:rsidRPr="00000000">
        <w:rPr>
          <w:color w:val="0d0d0d"/>
          <w:sz w:val="24"/>
          <w:szCs w:val="24"/>
          <w:rtl w:val="0"/>
        </w:rPr>
        <w:t xml:space="preserve">Ferguson, N., Schularick, M., &amp; Taylor, A. M. (2018). Business Cycles in the UK. Oxford University Press.</w:t>
      </w:r>
    </w:p>
    <w:p w:rsidR="00000000" w:rsidDel="00000000" w:rsidP="00000000" w:rsidRDefault="00000000" w:rsidRPr="00000000" w14:paraId="00000021">
      <w:pPr>
        <w:pBdr>
          <w:top w:color="e3e3e3" w:space="0" w:sz="0" w:val="none"/>
          <w:left w:color="e3e3e3" w:space="0" w:sz="0" w:val="none"/>
          <w:bottom w:color="e3e3e3" w:space="0" w:sz="0" w:val="none"/>
          <w:right w:color="e3e3e3" w:space="0" w:sz="0" w:val="none"/>
          <w:between w:color="e3e3e3" w:space="0" w:sz="0" w:val="none"/>
        </w:pBdr>
        <w:spacing w:after="300" w:before="300" w:lineRule="auto"/>
        <w:rPr>
          <w:color w:val="0d0d0d"/>
          <w:sz w:val="24"/>
          <w:szCs w:val="24"/>
        </w:rPr>
      </w:pPr>
      <w:r w:rsidDel="00000000" w:rsidR="00000000" w:rsidRPr="00000000">
        <w:rPr>
          <w:color w:val="0d0d0d"/>
          <w:sz w:val="24"/>
          <w:szCs w:val="24"/>
          <w:rtl w:val="0"/>
        </w:rPr>
        <w:t xml:space="preserve">Foss, N. J., &amp; Klein, P. G. (2012). Organizing Entrepreneurial Judgment: A New Approach to the Firm. Cambridge University Press.</w:t>
      </w:r>
    </w:p>
    <w:p w:rsidR="00000000" w:rsidDel="00000000" w:rsidP="00000000" w:rsidRDefault="00000000" w:rsidRPr="00000000" w14:paraId="00000022">
      <w:pPr>
        <w:pBdr>
          <w:top w:color="e3e3e3" w:space="0" w:sz="0" w:val="none"/>
          <w:left w:color="e3e3e3" w:space="0" w:sz="0" w:val="none"/>
          <w:bottom w:color="e3e3e3" w:space="0" w:sz="0" w:val="none"/>
          <w:right w:color="e3e3e3" w:space="0" w:sz="0" w:val="none"/>
          <w:between w:color="e3e3e3" w:space="0" w:sz="0" w:val="none"/>
        </w:pBdr>
        <w:spacing w:after="300" w:before="300" w:lineRule="auto"/>
        <w:rPr>
          <w:color w:val="0d0d0d"/>
          <w:sz w:val="24"/>
          <w:szCs w:val="24"/>
        </w:rPr>
      </w:pPr>
      <w:r w:rsidDel="00000000" w:rsidR="00000000" w:rsidRPr="00000000">
        <w:rPr>
          <w:color w:val="0d0d0d"/>
          <w:sz w:val="24"/>
          <w:szCs w:val="24"/>
          <w:rtl w:val="0"/>
        </w:rPr>
        <w:t xml:space="preserve">Friedman, M. (1953). The Methodology of Positive Economics. University of Chicago Press.</w:t>
      </w:r>
    </w:p>
    <w:p w:rsidR="00000000" w:rsidDel="00000000" w:rsidP="00000000" w:rsidRDefault="00000000" w:rsidRPr="00000000" w14:paraId="00000023">
      <w:pPr>
        <w:pBdr>
          <w:top w:color="e3e3e3" w:space="0" w:sz="0" w:val="none"/>
          <w:left w:color="e3e3e3" w:space="0" w:sz="0" w:val="none"/>
          <w:bottom w:color="e3e3e3" w:space="0" w:sz="0" w:val="none"/>
          <w:right w:color="e3e3e3" w:space="0" w:sz="0" w:val="none"/>
          <w:between w:color="e3e3e3" w:space="0" w:sz="0" w:val="none"/>
        </w:pBdr>
        <w:spacing w:after="300" w:before="300" w:lineRule="auto"/>
        <w:rPr>
          <w:color w:val="0d0d0d"/>
          <w:sz w:val="24"/>
          <w:szCs w:val="24"/>
        </w:rPr>
      </w:pPr>
      <w:r w:rsidDel="00000000" w:rsidR="00000000" w:rsidRPr="00000000">
        <w:rPr>
          <w:color w:val="0d0d0d"/>
          <w:sz w:val="24"/>
          <w:szCs w:val="24"/>
          <w:rtl w:val="0"/>
        </w:rPr>
        <w:t xml:space="preserve">Gravelle, J. G. (2016). The Economic Impact of Corporate Tax Rates. National Bureau of Economic Research.</w:t>
      </w:r>
    </w:p>
    <w:p w:rsidR="00000000" w:rsidDel="00000000" w:rsidP="00000000" w:rsidRDefault="00000000" w:rsidRPr="00000000" w14:paraId="00000024">
      <w:pPr>
        <w:pBdr>
          <w:top w:color="e3e3e3" w:space="0" w:sz="0" w:val="none"/>
          <w:left w:color="e3e3e3" w:space="0" w:sz="0" w:val="none"/>
          <w:bottom w:color="e3e3e3" w:space="0" w:sz="0" w:val="none"/>
          <w:right w:color="e3e3e3" w:space="0" w:sz="0" w:val="none"/>
          <w:between w:color="e3e3e3" w:space="0" w:sz="0" w:val="none"/>
        </w:pBdr>
        <w:spacing w:after="300" w:before="300" w:lineRule="auto"/>
        <w:rPr>
          <w:color w:val="0d0d0d"/>
          <w:sz w:val="24"/>
          <w:szCs w:val="24"/>
        </w:rPr>
      </w:pPr>
      <w:r w:rsidDel="00000000" w:rsidR="00000000" w:rsidRPr="00000000">
        <w:rPr>
          <w:color w:val="0d0d0d"/>
          <w:sz w:val="24"/>
          <w:szCs w:val="24"/>
          <w:rtl w:val="0"/>
        </w:rPr>
        <w:t xml:space="preserve">Hart, O. (1995). Firms, Contracts, and Financial Structure. Clarendon Press.</w:t>
      </w:r>
    </w:p>
    <w:p w:rsidR="00000000" w:rsidDel="00000000" w:rsidP="00000000" w:rsidRDefault="00000000" w:rsidRPr="00000000" w14:paraId="00000025">
      <w:pPr>
        <w:pBdr>
          <w:top w:color="e3e3e3" w:space="0" w:sz="0" w:val="none"/>
          <w:left w:color="e3e3e3" w:space="0" w:sz="0" w:val="none"/>
          <w:bottom w:color="e3e3e3" w:space="0" w:sz="0" w:val="none"/>
          <w:right w:color="e3e3e3" w:space="0" w:sz="0" w:val="none"/>
          <w:between w:color="e3e3e3" w:space="0" w:sz="0" w:val="none"/>
        </w:pBdr>
        <w:spacing w:after="300" w:before="300" w:lineRule="auto"/>
        <w:rPr>
          <w:color w:val="0d0d0d"/>
          <w:sz w:val="24"/>
          <w:szCs w:val="24"/>
        </w:rPr>
      </w:pPr>
      <w:r w:rsidDel="00000000" w:rsidR="00000000" w:rsidRPr="00000000">
        <w:rPr>
          <w:color w:val="0d0d0d"/>
          <w:sz w:val="24"/>
          <w:szCs w:val="24"/>
          <w:rtl w:val="0"/>
        </w:rPr>
        <w:t xml:space="preserve">Heifetz, R. A., Grashow, A., &amp; Linsky, M. (2009). The Practice of Adaptive Leadership. Harvard Business Press.</w:t>
      </w:r>
    </w:p>
    <w:p w:rsidR="00000000" w:rsidDel="00000000" w:rsidP="00000000" w:rsidRDefault="00000000" w:rsidRPr="00000000" w14:paraId="00000026">
      <w:pPr>
        <w:pBdr>
          <w:top w:color="e3e3e3" w:space="0" w:sz="0" w:val="none"/>
          <w:left w:color="e3e3e3" w:space="0" w:sz="0" w:val="none"/>
          <w:bottom w:color="e3e3e3" w:space="0" w:sz="0" w:val="none"/>
          <w:right w:color="e3e3e3" w:space="0" w:sz="0" w:val="none"/>
          <w:between w:color="e3e3e3" w:space="0" w:sz="0" w:val="none"/>
        </w:pBdr>
        <w:spacing w:after="300" w:before="300" w:lineRule="auto"/>
        <w:rPr>
          <w:color w:val="0d0d0d"/>
          <w:sz w:val="24"/>
          <w:szCs w:val="24"/>
        </w:rPr>
      </w:pPr>
      <w:r w:rsidDel="00000000" w:rsidR="00000000" w:rsidRPr="00000000">
        <w:rPr>
          <w:color w:val="0d0d0d"/>
          <w:sz w:val="24"/>
          <w:szCs w:val="24"/>
          <w:rtl w:val="0"/>
        </w:rPr>
        <w:t xml:space="preserve">Krugman, P., &amp; Wells, R. (2020). Macroeconomics. Worth Publishers.</w:t>
      </w:r>
    </w:p>
    <w:p w:rsidR="00000000" w:rsidDel="00000000" w:rsidP="00000000" w:rsidRDefault="00000000" w:rsidRPr="00000000" w14:paraId="00000027">
      <w:pPr>
        <w:pBdr>
          <w:top w:color="e3e3e3" w:space="0" w:sz="0" w:val="none"/>
          <w:left w:color="e3e3e3" w:space="0" w:sz="0" w:val="none"/>
          <w:bottom w:color="e3e3e3" w:space="0" w:sz="0" w:val="none"/>
          <w:right w:color="e3e3e3" w:space="0" w:sz="0" w:val="none"/>
          <w:between w:color="e3e3e3" w:space="0" w:sz="0" w:val="none"/>
        </w:pBdr>
        <w:spacing w:after="300" w:before="300" w:lineRule="auto"/>
        <w:rPr>
          <w:color w:val="0d0d0d"/>
          <w:sz w:val="24"/>
          <w:szCs w:val="24"/>
        </w:rPr>
      </w:pPr>
      <w:r w:rsidDel="00000000" w:rsidR="00000000" w:rsidRPr="00000000">
        <w:rPr>
          <w:color w:val="0d0d0d"/>
          <w:sz w:val="24"/>
          <w:szCs w:val="24"/>
          <w:rtl w:val="0"/>
        </w:rPr>
        <w:t xml:space="preserve">Krugman, P., Obstfeld, M., &amp; Melitz, M. (2019). International Economics. Pearson Education.</w:t>
      </w:r>
    </w:p>
    <w:p w:rsidR="00000000" w:rsidDel="00000000" w:rsidP="00000000" w:rsidRDefault="00000000" w:rsidRPr="00000000" w14:paraId="00000028">
      <w:pPr>
        <w:pBdr>
          <w:top w:color="e3e3e3" w:space="0" w:sz="0" w:val="none"/>
          <w:left w:color="e3e3e3" w:space="0" w:sz="0" w:val="none"/>
          <w:bottom w:color="e3e3e3" w:space="0" w:sz="0" w:val="none"/>
          <w:right w:color="e3e3e3" w:space="0" w:sz="0" w:val="none"/>
          <w:between w:color="e3e3e3" w:space="0" w:sz="0" w:val="none"/>
        </w:pBdr>
        <w:spacing w:after="300" w:before="300" w:lineRule="auto"/>
        <w:rPr>
          <w:color w:val="0d0d0d"/>
          <w:sz w:val="24"/>
          <w:szCs w:val="24"/>
        </w:rPr>
      </w:pPr>
      <w:r w:rsidDel="00000000" w:rsidR="00000000" w:rsidRPr="00000000">
        <w:rPr>
          <w:color w:val="0d0d0d"/>
          <w:sz w:val="24"/>
          <w:szCs w:val="24"/>
          <w:rtl w:val="0"/>
        </w:rPr>
        <w:t xml:space="preserve">Krugman, P., Wells, R., &amp; Olney, M. (2015). Essentials of Economics. Worth Publishers.</w:t>
      </w:r>
    </w:p>
    <w:p w:rsidR="00000000" w:rsidDel="00000000" w:rsidP="00000000" w:rsidRDefault="00000000" w:rsidRPr="00000000" w14:paraId="00000029">
      <w:pPr>
        <w:pBdr>
          <w:top w:color="e3e3e3" w:space="0" w:sz="0" w:val="none"/>
          <w:left w:color="e3e3e3" w:space="0" w:sz="0" w:val="none"/>
          <w:bottom w:color="e3e3e3" w:space="0" w:sz="0" w:val="none"/>
          <w:right w:color="e3e3e3" w:space="0" w:sz="0" w:val="none"/>
          <w:between w:color="e3e3e3" w:space="0" w:sz="0" w:val="none"/>
        </w:pBdr>
        <w:spacing w:after="300" w:before="300" w:lineRule="auto"/>
        <w:rPr>
          <w:color w:val="0d0d0d"/>
          <w:sz w:val="24"/>
          <w:szCs w:val="24"/>
        </w:rPr>
      </w:pPr>
      <w:r w:rsidDel="00000000" w:rsidR="00000000" w:rsidRPr="00000000">
        <w:rPr>
          <w:color w:val="0d0d0d"/>
          <w:sz w:val="24"/>
          <w:szCs w:val="24"/>
          <w:rtl w:val="0"/>
        </w:rPr>
        <w:t xml:space="preserve">Mankiw, N. G. (2016). Principles of Economics. Cengage Learning.</w:t>
      </w:r>
    </w:p>
    <w:p w:rsidR="00000000" w:rsidDel="00000000" w:rsidP="00000000" w:rsidRDefault="00000000" w:rsidRPr="00000000" w14:paraId="0000002A">
      <w:pPr>
        <w:pBdr>
          <w:top w:color="e3e3e3" w:space="0" w:sz="0" w:val="none"/>
          <w:left w:color="e3e3e3" w:space="0" w:sz="0" w:val="none"/>
          <w:bottom w:color="e3e3e3" w:space="0" w:sz="0" w:val="none"/>
          <w:right w:color="e3e3e3" w:space="0" w:sz="0" w:val="none"/>
          <w:between w:color="e3e3e3" w:space="0" w:sz="0" w:val="none"/>
        </w:pBdr>
        <w:spacing w:after="300" w:before="300" w:lineRule="auto"/>
        <w:rPr>
          <w:color w:val="0d0d0d"/>
          <w:sz w:val="24"/>
          <w:szCs w:val="24"/>
        </w:rPr>
      </w:pPr>
      <w:r w:rsidDel="00000000" w:rsidR="00000000" w:rsidRPr="00000000">
        <w:rPr>
          <w:color w:val="0d0d0d"/>
          <w:sz w:val="24"/>
          <w:szCs w:val="24"/>
          <w:rtl w:val="0"/>
        </w:rPr>
        <w:t xml:space="preserve">Mankiw, N. G. (2020). Macroeconomics. Worth Publishers.</w:t>
      </w:r>
    </w:p>
    <w:p w:rsidR="00000000" w:rsidDel="00000000" w:rsidP="00000000" w:rsidRDefault="00000000" w:rsidRPr="00000000" w14:paraId="0000002B">
      <w:pPr>
        <w:pBdr>
          <w:top w:color="e3e3e3" w:space="0" w:sz="0" w:val="none"/>
          <w:left w:color="e3e3e3" w:space="0" w:sz="0" w:val="none"/>
          <w:bottom w:color="e3e3e3" w:space="0" w:sz="0" w:val="none"/>
          <w:right w:color="e3e3e3" w:space="0" w:sz="0" w:val="none"/>
          <w:between w:color="e3e3e3" w:space="0" w:sz="0" w:val="none"/>
        </w:pBdr>
        <w:spacing w:after="300" w:before="300" w:lineRule="auto"/>
        <w:rPr>
          <w:color w:val="0d0d0d"/>
          <w:sz w:val="24"/>
          <w:szCs w:val="24"/>
        </w:rPr>
      </w:pPr>
      <w:r w:rsidDel="00000000" w:rsidR="00000000" w:rsidRPr="00000000">
        <w:rPr>
          <w:color w:val="0d0d0d"/>
          <w:sz w:val="24"/>
          <w:szCs w:val="24"/>
          <w:rtl w:val="0"/>
        </w:rPr>
        <w:t xml:space="preserve">McKinsey &amp; Company. (2020). Global Trade after COVID-19: Building Resilience and Reducing Risk.</w:t>
      </w:r>
    </w:p>
    <w:p w:rsidR="00000000" w:rsidDel="00000000" w:rsidP="00000000" w:rsidRDefault="00000000" w:rsidRPr="00000000" w14:paraId="0000002C">
      <w:pPr>
        <w:pBdr>
          <w:top w:color="e3e3e3" w:space="0" w:sz="0" w:val="none"/>
          <w:left w:color="e3e3e3" w:space="0" w:sz="0" w:val="none"/>
          <w:bottom w:color="e3e3e3" w:space="0" w:sz="0" w:val="none"/>
          <w:right w:color="e3e3e3" w:space="0" w:sz="0" w:val="none"/>
          <w:between w:color="e3e3e3" w:space="0" w:sz="0" w:val="none"/>
        </w:pBdr>
        <w:spacing w:after="300" w:before="300" w:lineRule="auto"/>
        <w:rPr>
          <w:color w:val="0d0d0d"/>
          <w:sz w:val="24"/>
          <w:szCs w:val="24"/>
        </w:rPr>
      </w:pPr>
      <w:r w:rsidDel="00000000" w:rsidR="00000000" w:rsidRPr="00000000">
        <w:rPr>
          <w:color w:val="0d0d0d"/>
          <w:sz w:val="24"/>
          <w:szCs w:val="24"/>
          <w:rtl w:val="0"/>
        </w:rPr>
        <w:t xml:space="preserve">Mintzberg, H. (1980). Structure in Fives: Designing Effective Organizations. Prentice-Hall.</w:t>
      </w:r>
    </w:p>
    <w:p w:rsidR="00000000" w:rsidDel="00000000" w:rsidP="00000000" w:rsidRDefault="00000000" w:rsidRPr="00000000" w14:paraId="0000002D">
      <w:pPr>
        <w:pBdr>
          <w:top w:color="e3e3e3" w:space="0" w:sz="0" w:val="none"/>
          <w:left w:color="e3e3e3" w:space="0" w:sz="0" w:val="none"/>
          <w:bottom w:color="e3e3e3" w:space="0" w:sz="0" w:val="none"/>
          <w:right w:color="e3e3e3" w:space="0" w:sz="0" w:val="none"/>
          <w:between w:color="e3e3e3" w:space="0" w:sz="0" w:val="none"/>
        </w:pBdr>
        <w:spacing w:after="300" w:before="300" w:lineRule="auto"/>
        <w:rPr>
          <w:color w:val="0d0d0d"/>
          <w:sz w:val="24"/>
          <w:szCs w:val="24"/>
        </w:rPr>
      </w:pPr>
      <w:r w:rsidDel="00000000" w:rsidR="00000000" w:rsidRPr="00000000">
        <w:rPr>
          <w:color w:val="0d0d0d"/>
          <w:sz w:val="24"/>
          <w:szCs w:val="24"/>
          <w:rtl w:val="0"/>
        </w:rPr>
        <w:t xml:space="preserve">North, D. C. (1990). Institutions, Institutional Change, and Economic Performance. Cambridge University Press.</w:t>
      </w:r>
    </w:p>
    <w:p w:rsidR="00000000" w:rsidDel="00000000" w:rsidP="00000000" w:rsidRDefault="00000000" w:rsidRPr="00000000" w14:paraId="0000002E">
      <w:pPr>
        <w:pBdr>
          <w:top w:color="e3e3e3" w:space="0" w:sz="0" w:val="none"/>
          <w:left w:color="e3e3e3" w:space="0" w:sz="0" w:val="none"/>
          <w:bottom w:color="e3e3e3" w:space="0" w:sz="0" w:val="none"/>
          <w:right w:color="e3e3e3" w:space="0" w:sz="0" w:val="none"/>
          <w:between w:color="e3e3e3" w:space="0" w:sz="0" w:val="none"/>
        </w:pBdr>
        <w:spacing w:after="300" w:before="300" w:lineRule="auto"/>
        <w:rPr>
          <w:color w:val="0d0d0d"/>
          <w:sz w:val="24"/>
          <w:szCs w:val="24"/>
        </w:rPr>
      </w:pPr>
      <w:r w:rsidDel="00000000" w:rsidR="00000000" w:rsidRPr="00000000">
        <w:rPr>
          <w:color w:val="0d0d0d"/>
          <w:sz w:val="24"/>
          <w:szCs w:val="24"/>
          <w:rtl w:val="0"/>
        </w:rPr>
        <w:t xml:space="preserve">OECD. (2019). International Trade: Key Statistics and Trends. OECD Publishing.</w:t>
      </w:r>
    </w:p>
    <w:p w:rsidR="00000000" w:rsidDel="00000000" w:rsidP="00000000" w:rsidRDefault="00000000" w:rsidRPr="00000000" w14:paraId="0000002F">
      <w:pPr>
        <w:pBdr>
          <w:top w:color="e3e3e3" w:space="0" w:sz="0" w:val="none"/>
          <w:left w:color="e3e3e3" w:space="0" w:sz="0" w:val="none"/>
          <w:bottom w:color="e3e3e3" w:space="0" w:sz="0" w:val="none"/>
          <w:right w:color="e3e3e3" w:space="0" w:sz="0" w:val="none"/>
          <w:between w:color="e3e3e3" w:space="0" w:sz="0" w:val="none"/>
        </w:pBdr>
        <w:spacing w:after="300" w:before="300" w:lineRule="auto"/>
        <w:rPr>
          <w:color w:val="0d0d0d"/>
          <w:sz w:val="24"/>
          <w:szCs w:val="24"/>
        </w:rPr>
      </w:pPr>
      <w:r w:rsidDel="00000000" w:rsidR="00000000" w:rsidRPr="00000000">
        <w:rPr>
          <w:color w:val="0d0d0d"/>
          <w:sz w:val="24"/>
          <w:szCs w:val="24"/>
          <w:rtl w:val="0"/>
        </w:rPr>
        <w:t xml:space="preserve">OECD. (2020). Economic Outlook. OECD Publishing.</w:t>
      </w:r>
    </w:p>
    <w:p w:rsidR="00000000" w:rsidDel="00000000" w:rsidP="00000000" w:rsidRDefault="00000000" w:rsidRPr="00000000" w14:paraId="00000030">
      <w:pPr>
        <w:pBdr>
          <w:top w:color="e3e3e3" w:space="0" w:sz="0" w:val="none"/>
          <w:left w:color="e3e3e3" w:space="0" w:sz="0" w:val="none"/>
          <w:bottom w:color="e3e3e3" w:space="0" w:sz="0" w:val="none"/>
          <w:right w:color="e3e3e3" w:space="0" w:sz="0" w:val="none"/>
          <w:between w:color="e3e3e3" w:space="0" w:sz="0" w:val="none"/>
        </w:pBdr>
        <w:spacing w:after="300" w:before="300" w:lineRule="auto"/>
        <w:rPr>
          <w:color w:val="0d0d0d"/>
          <w:sz w:val="24"/>
          <w:szCs w:val="24"/>
        </w:rPr>
      </w:pPr>
      <w:r w:rsidDel="00000000" w:rsidR="00000000" w:rsidRPr="00000000">
        <w:rPr>
          <w:color w:val="0d0d0d"/>
          <w:sz w:val="24"/>
          <w:szCs w:val="24"/>
          <w:rtl w:val="0"/>
        </w:rPr>
        <w:t xml:space="preserve">Pindyck, R. S., &amp; Rubinfeld, D. L. (2017). Microeconomics. Pearson.</w:t>
      </w:r>
    </w:p>
    <w:p w:rsidR="00000000" w:rsidDel="00000000" w:rsidP="00000000" w:rsidRDefault="00000000" w:rsidRPr="00000000" w14:paraId="00000031">
      <w:pPr>
        <w:pBdr>
          <w:top w:color="e3e3e3" w:space="0" w:sz="0" w:val="none"/>
          <w:left w:color="e3e3e3" w:space="0" w:sz="0" w:val="none"/>
          <w:bottom w:color="e3e3e3" w:space="0" w:sz="0" w:val="none"/>
          <w:right w:color="e3e3e3" w:space="0" w:sz="0" w:val="none"/>
          <w:between w:color="e3e3e3" w:space="0" w:sz="0" w:val="none"/>
        </w:pBdr>
        <w:spacing w:after="300" w:before="300" w:lineRule="auto"/>
        <w:rPr>
          <w:color w:val="0d0d0d"/>
          <w:sz w:val="24"/>
          <w:szCs w:val="24"/>
        </w:rPr>
      </w:pPr>
      <w:r w:rsidDel="00000000" w:rsidR="00000000" w:rsidRPr="00000000">
        <w:rPr>
          <w:color w:val="0d0d0d"/>
          <w:sz w:val="24"/>
          <w:szCs w:val="24"/>
          <w:rtl w:val="0"/>
        </w:rPr>
        <w:t xml:space="preserve">Posner, R. A. (2001). Antitrust Law. University of Chicago Press.</w:t>
      </w:r>
    </w:p>
    <w:p w:rsidR="00000000" w:rsidDel="00000000" w:rsidP="00000000" w:rsidRDefault="00000000" w:rsidRPr="00000000" w14:paraId="00000032">
      <w:pPr>
        <w:pBdr>
          <w:top w:color="e3e3e3" w:space="0" w:sz="0" w:val="none"/>
          <w:left w:color="e3e3e3" w:space="0" w:sz="0" w:val="none"/>
          <w:bottom w:color="e3e3e3" w:space="0" w:sz="0" w:val="none"/>
          <w:right w:color="e3e3e3" w:space="0" w:sz="0" w:val="none"/>
          <w:between w:color="e3e3e3" w:space="0" w:sz="0" w:val="none"/>
        </w:pBdr>
        <w:spacing w:after="300" w:before="300" w:lineRule="auto"/>
        <w:rPr>
          <w:color w:val="0d0d0d"/>
          <w:sz w:val="24"/>
          <w:szCs w:val="24"/>
        </w:rPr>
      </w:pPr>
      <w:r w:rsidDel="00000000" w:rsidR="00000000" w:rsidRPr="00000000">
        <w:rPr>
          <w:color w:val="0d0d0d"/>
          <w:sz w:val="24"/>
          <w:szCs w:val="24"/>
          <w:rtl w:val="0"/>
        </w:rPr>
        <w:t xml:space="preserve">Pwc. (2021). UK Economic Outlook Q2 2021. PricewaterhouseCoopers.</w:t>
      </w:r>
    </w:p>
    <w:p w:rsidR="00000000" w:rsidDel="00000000" w:rsidP="00000000" w:rsidRDefault="00000000" w:rsidRPr="00000000" w14:paraId="00000033">
      <w:pPr>
        <w:pBdr>
          <w:top w:color="e3e3e3" w:space="0" w:sz="0" w:val="none"/>
          <w:left w:color="e3e3e3" w:space="0" w:sz="0" w:val="none"/>
          <w:bottom w:color="e3e3e3" w:space="0" w:sz="0" w:val="none"/>
          <w:right w:color="e3e3e3" w:space="0" w:sz="0" w:val="none"/>
          <w:between w:color="e3e3e3" w:space="0" w:sz="0" w:val="none"/>
        </w:pBdr>
        <w:spacing w:after="300" w:before="300" w:lineRule="auto"/>
        <w:rPr>
          <w:color w:val="0d0d0d"/>
          <w:sz w:val="24"/>
          <w:szCs w:val="24"/>
        </w:rPr>
      </w:pPr>
      <w:r w:rsidDel="00000000" w:rsidR="00000000" w:rsidRPr="00000000">
        <w:rPr>
          <w:color w:val="0d0d0d"/>
          <w:sz w:val="24"/>
          <w:szCs w:val="24"/>
          <w:rtl w:val="0"/>
        </w:rPr>
        <w:t xml:space="preserve">Ricardo, D. (1817). Principles of Political Economy and Taxation. John Murray.</w:t>
      </w:r>
    </w:p>
    <w:p w:rsidR="00000000" w:rsidDel="00000000" w:rsidP="00000000" w:rsidRDefault="00000000" w:rsidRPr="00000000" w14:paraId="00000034">
      <w:pPr>
        <w:pBdr>
          <w:top w:color="e3e3e3" w:space="0" w:sz="0" w:val="none"/>
          <w:left w:color="e3e3e3" w:space="0" w:sz="0" w:val="none"/>
          <w:bottom w:color="e3e3e3" w:space="0" w:sz="0" w:val="none"/>
          <w:right w:color="e3e3e3" w:space="0" w:sz="0" w:val="none"/>
          <w:between w:color="e3e3e3" w:space="0" w:sz="0" w:val="none"/>
        </w:pBdr>
        <w:spacing w:after="300" w:before="300" w:lineRule="auto"/>
        <w:rPr>
          <w:color w:val="0d0d0d"/>
          <w:sz w:val="24"/>
          <w:szCs w:val="24"/>
        </w:rPr>
      </w:pPr>
      <w:r w:rsidDel="00000000" w:rsidR="00000000" w:rsidRPr="00000000">
        <w:rPr>
          <w:color w:val="0d0d0d"/>
          <w:sz w:val="24"/>
          <w:szCs w:val="24"/>
          <w:rtl w:val="0"/>
        </w:rPr>
        <w:t xml:space="preserve">Rodrik, D. (2018). Economics Rules: The Rights and Wrongs of the Dismal Science. WW Norton &amp; Company.</w:t>
      </w:r>
    </w:p>
    <w:p w:rsidR="00000000" w:rsidDel="00000000" w:rsidP="00000000" w:rsidRDefault="00000000" w:rsidRPr="00000000" w14:paraId="00000035">
      <w:pPr>
        <w:pBdr>
          <w:top w:color="e3e3e3" w:space="0" w:sz="0" w:val="none"/>
          <w:left w:color="e3e3e3" w:space="0" w:sz="0" w:val="none"/>
          <w:bottom w:color="e3e3e3" w:space="0" w:sz="0" w:val="none"/>
          <w:right w:color="e3e3e3" w:space="0" w:sz="0" w:val="none"/>
          <w:between w:color="e3e3e3" w:space="0" w:sz="0" w:val="none"/>
        </w:pBdr>
        <w:spacing w:after="300" w:before="300" w:lineRule="auto"/>
        <w:rPr>
          <w:color w:val="0d0d0d"/>
          <w:sz w:val="24"/>
          <w:szCs w:val="24"/>
        </w:rPr>
      </w:pPr>
      <w:r w:rsidDel="00000000" w:rsidR="00000000" w:rsidRPr="00000000">
        <w:rPr>
          <w:color w:val="0d0d0d"/>
          <w:sz w:val="24"/>
          <w:szCs w:val="24"/>
          <w:rtl w:val="0"/>
        </w:rPr>
        <w:t xml:space="preserve">Simon, H. A. (1955). A Behavioral Model of Rational Choice. Quarterly Journal of Economics, 69(1), 99-118.</w:t>
      </w:r>
    </w:p>
    <w:p w:rsidR="00000000" w:rsidDel="00000000" w:rsidP="00000000" w:rsidRDefault="00000000" w:rsidRPr="00000000" w14:paraId="00000036">
      <w:pPr>
        <w:pBdr>
          <w:top w:color="e3e3e3" w:space="0" w:sz="0" w:val="none"/>
          <w:left w:color="e3e3e3" w:space="0" w:sz="0" w:val="none"/>
          <w:bottom w:color="e3e3e3" w:space="0" w:sz="0" w:val="none"/>
          <w:right w:color="e3e3e3" w:space="0" w:sz="0" w:val="none"/>
          <w:between w:color="e3e3e3" w:space="0" w:sz="0" w:val="none"/>
        </w:pBdr>
        <w:spacing w:after="300" w:before="300" w:lineRule="auto"/>
        <w:rPr>
          <w:color w:val="0d0d0d"/>
          <w:sz w:val="24"/>
          <w:szCs w:val="24"/>
        </w:rPr>
      </w:pPr>
      <w:r w:rsidDel="00000000" w:rsidR="00000000" w:rsidRPr="00000000">
        <w:rPr>
          <w:color w:val="0d0d0d"/>
          <w:sz w:val="24"/>
          <w:szCs w:val="24"/>
          <w:rtl w:val="0"/>
        </w:rPr>
        <w:t xml:space="preserve">Taylor, J. B. (2014). Principles of Microeconomics. Cengage Learning.</w:t>
      </w:r>
    </w:p>
    <w:p w:rsidR="00000000" w:rsidDel="00000000" w:rsidP="00000000" w:rsidRDefault="00000000" w:rsidRPr="00000000" w14:paraId="00000037">
      <w:pPr>
        <w:pBdr>
          <w:top w:color="e3e3e3" w:space="0" w:sz="0" w:val="none"/>
          <w:left w:color="e3e3e3" w:space="0" w:sz="0" w:val="none"/>
          <w:bottom w:color="e3e3e3" w:space="0" w:sz="0" w:val="none"/>
          <w:right w:color="e3e3e3" w:space="0" w:sz="0" w:val="none"/>
          <w:between w:color="e3e3e3" w:space="0" w:sz="0" w:val="none"/>
        </w:pBdr>
        <w:spacing w:after="300" w:before="300" w:lineRule="auto"/>
        <w:rPr>
          <w:color w:val="0d0d0d"/>
          <w:sz w:val="24"/>
          <w:szCs w:val="24"/>
        </w:rPr>
      </w:pPr>
      <w:r w:rsidDel="00000000" w:rsidR="00000000" w:rsidRPr="00000000">
        <w:rPr>
          <w:color w:val="0d0d0d"/>
          <w:sz w:val="24"/>
          <w:szCs w:val="24"/>
          <w:rtl w:val="0"/>
        </w:rPr>
        <w:t xml:space="preserve">Thomson, A. (2018). Regulation and Compliance in the UK. Palgrave Macmillan.</w:t>
      </w:r>
    </w:p>
    <w:p w:rsidR="00000000" w:rsidDel="00000000" w:rsidP="00000000" w:rsidRDefault="00000000" w:rsidRPr="00000000" w14:paraId="00000038">
      <w:pPr>
        <w:pBdr>
          <w:top w:color="e3e3e3" w:space="0" w:sz="0" w:val="none"/>
          <w:left w:color="e3e3e3" w:space="0" w:sz="0" w:val="none"/>
          <w:bottom w:color="e3e3e3" w:space="0" w:sz="0" w:val="none"/>
          <w:right w:color="e3e3e3" w:space="0" w:sz="0" w:val="none"/>
          <w:between w:color="e3e3e3" w:space="0" w:sz="0" w:val="none"/>
        </w:pBdr>
        <w:spacing w:after="300" w:before="300" w:lineRule="auto"/>
        <w:rPr>
          <w:color w:val="0d0d0d"/>
          <w:sz w:val="24"/>
          <w:szCs w:val="24"/>
        </w:rPr>
      </w:pPr>
      <w:r w:rsidDel="00000000" w:rsidR="00000000" w:rsidRPr="00000000">
        <w:rPr>
          <w:color w:val="0d0d0d"/>
          <w:sz w:val="24"/>
          <w:szCs w:val="24"/>
          <w:rtl w:val="0"/>
        </w:rPr>
        <w:t xml:space="preserve">UNCTAD. (2020). World Investment Report. United Nations.</w:t>
      </w:r>
    </w:p>
    <w:p w:rsidR="00000000" w:rsidDel="00000000" w:rsidP="00000000" w:rsidRDefault="00000000" w:rsidRPr="00000000" w14:paraId="00000039">
      <w:pPr>
        <w:pBdr>
          <w:top w:color="e3e3e3" w:space="0" w:sz="0" w:val="none"/>
          <w:left w:color="e3e3e3" w:space="0" w:sz="0" w:val="none"/>
          <w:bottom w:color="e3e3e3" w:space="0" w:sz="0" w:val="none"/>
          <w:right w:color="e3e3e3" w:space="0" w:sz="0" w:val="none"/>
          <w:between w:color="e3e3e3" w:space="0" w:sz="0" w:val="none"/>
        </w:pBdr>
        <w:spacing w:after="300" w:before="300" w:lineRule="auto"/>
        <w:rPr>
          <w:color w:val="0d0d0d"/>
          <w:sz w:val="24"/>
          <w:szCs w:val="24"/>
        </w:rPr>
      </w:pPr>
      <w:r w:rsidDel="00000000" w:rsidR="00000000" w:rsidRPr="00000000">
        <w:rPr>
          <w:color w:val="0d0d0d"/>
          <w:sz w:val="24"/>
          <w:szCs w:val="24"/>
          <w:rtl w:val="0"/>
        </w:rPr>
        <w:t xml:space="preserve">Varian, H. R. (2014). Intermediate Microeconomics: A Modern Approach. WW Norton &amp; Company.</w:t>
      </w:r>
    </w:p>
    <w:p w:rsidR="00000000" w:rsidDel="00000000" w:rsidP="00000000" w:rsidRDefault="00000000" w:rsidRPr="00000000" w14:paraId="0000003A">
      <w:pPr>
        <w:pBdr>
          <w:top w:color="e3e3e3" w:space="0" w:sz="0" w:val="none"/>
          <w:left w:color="e3e3e3" w:space="0" w:sz="0" w:val="none"/>
          <w:bottom w:color="e3e3e3" w:space="0" w:sz="0" w:val="none"/>
          <w:right w:color="e3e3e3" w:space="0" w:sz="0" w:val="none"/>
          <w:between w:color="e3e3e3" w:space="0" w:sz="0" w:val="none"/>
        </w:pBdr>
        <w:spacing w:after="300" w:before="300" w:lineRule="auto"/>
        <w:rPr>
          <w:color w:val="0d0d0d"/>
          <w:sz w:val="24"/>
          <w:szCs w:val="24"/>
        </w:rPr>
      </w:pPr>
      <w:r w:rsidDel="00000000" w:rsidR="00000000" w:rsidRPr="00000000">
        <w:rPr>
          <w:color w:val="0d0d0d"/>
          <w:sz w:val="24"/>
          <w:szCs w:val="24"/>
          <w:rtl w:val="0"/>
        </w:rPr>
        <w:t xml:space="preserve">Woods, N. (2017). The Globalizers: The IMF, the World Bank, and Their Borrowers. Cornell University Press.</w:t>
      </w:r>
    </w:p>
    <w:p w:rsidR="00000000" w:rsidDel="00000000" w:rsidP="00000000" w:rsidRDefault="00000000" w:rsidRPr="00000000" w14:paraId="0000003B">
      <w:pPr>
        <w:pBdr>
          <w:top w:color="e3e3e3" w:space="0" w:sz="0" w:val="none"/>
          <w:left w:color="e3e3e3" w:space="0" w:sz="0" w:val="none"/>
          <w:bottom w:color="e3e3e3" w:space="0" w:sz="0" w:val="none"/>
          <w:right w:color="e3e3e3" w:space="0" w:sz="0" w:val="none"/>
          <w:between w:color="e3e3e3" w:space="0" w:sz="0" w:val="none"/>
        </w:pBdr>
        <w:spacing w:after="300" w:before="300" w:lineRule="auto"/>
        <w:rPr>
          <w:color w:val="0d0d0d"/>
          <w:sz w:val="24"/>
          <w:szCs w:val="24"/>
        </w:rPr>
      </w:pPr>
      <w:r w:rsidDel="00000000" w:rsidR="00000000" w:rsidRPr="00000000">
        <w:rPr>
          <w:color w:val="0d0d0d"/>
          <w:sz w:val="24"/>
          <w:szCs w:val="24"/>
          <w:rtl w:val="0"/>
        </w:rPr>
        <w:t xml:space="preserve">World Economic Forum. (2021). The Global Competitiveness Report. World Economic Forum</w:t>
      </w:r>
    </w:p>
    <w:p w:rsidR="00000000" w:rsidDel="00000000" w:rsidP="00000000" w:rsidRDefault="00000000" w:rsidRPr="00000000" w14:paraId="0000003C">
      <w:pPr>
        <w:pBdr>
          <w:top w:color="e3e3e3" w:space="0" w:sz="0" w:val="none"/>
          <w:left w:color="e3e3e3" w:space="0" w:sz="0" w:val="none"/>
          <w:bottom w:color="e3e3e3" w:space="0" w:sz="0" w:val="none"/>
          <w:right w:color="e3e3e3" w:space="0" w:sz="0" w:val="none"/>
          <w:between w:color="e3e3e3" w:space="0" w:sz="0" w:val="none"/>
        </w:pBdr>
        <w:spacing w:before="300" w:lineRule="auto"/>
        <w:rPr>
          <w:color w:val="0d0d0d"/>
          <w:sz w:val="24"/>
          <w:szCs w:val="24"/>
        </w:rPr>
      </w:pPr>
      <w:r w:rsidDel="00000000" w:rsidR="00000000" w:rsidRPr="00000000">
        <w:rPr>
          <w:rtl w:val="0"/>
        </w:rPr>
      </w:r>
    </w:p>
    <w:p w:rsidR="00000000" w:rsidDel="00000000" w:rsidP="00000000" w:rsidRDefault="00000000" w:rsidRPr="00000000" w14:paraId="0000003D">
      <w:pPr>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D/PWV1jNr5dEX3FAPfFEddkNRaw==">CgMxLjA4AHIhMWZrWGUzNHlHREdBbzhURlFuRHN3c3JILVBkN2xuOEli</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