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31430">
        <w:t>James Young</w:t>
      </w:r>
    </w:p>
    <w:p w:rsidR="007E4409" w:rsidRDefault="00451AB2">
      <w:r w:rsidRPr="00451AB2">
        <w:rPr>
          <w:b/>
        </w:rPr>
        <w:t>Force Number:</w:t>
      </w:r>
      <w:r>
        <w:rPr>
          <w:b/>
        </w:rPr>
        <w:t>-</w:t>
      </w:r>
      <w:r>
        <w:tab/>
      </w:r>
      <w:r>
        <w:tab/>
      </w:r>
      <w:r w:rsidR="00531430">
        <w:t>PC6920</w:t>
      </w:r>
      <w:r w:rsidR="00575AC9">
        <w:t xml:space="preserve"> </w:t>
      </w:r>
      <w:r w:rsidR="007E4409">
        <w:t xml:space="preserve"> South Wales Police</w:t>
      </w:r>
    </w:p>
    <w:p w:rsidR="002C3547" w:rsidRPr="00451AB2" w:rsidRDefault="007E4409">
      <w:pPr>
        <w:rPr>
          <w:b/>
        </w:rPr>
      </w:pPr>
      <w:r w:rsidRPr="00451AB2">
        <w:rPr>
          <w:b/>
        </w:rPr>
        <w:t>Student Number:</w:t>
      </w:r>
      <w:r w:rsidR="00451AB2">
        <w:rPr>
          <w:b/>
        </w:rPr>
        <w:t>-</w:t>
      </w:r>
      <w:r w:rsidR="00451AB2">
        <w:rPr>
          <w:b/>
        </w:rPr>
        <w:tab/>
        <w:t xml:space="preserve"> </w:t>
      </w:r>
      <w:r w:rsidR="00531430">
        <w:t>2029382</w:t>
      </w:r>
    </w:p>
    <w:p w:rsidR="007E4409" w:rsidRPr="00451AB2" w:rsidRDefault="00CD6C36">
      <w:pPr>
        <w:rPr>
          <w:b/>
        </w:rPr>
      </w:pPr>
      <w:r>
        <w:rPr>
          <w:b/>
        </w:rPr>
        <w:t>Exam 2</w:t>
      </w:r>
      <w:r w:rsidR="007E4409" w:rsidRPr="00451AB2">
        <w:rPr>
          <w:b/>
        </w:rPr>
        <w:t xml:space="preserve"> </w:t>
      </w:r>
      <w:r w:rsidR="00451AB2">
        <w:rPr>
          <w:b/>
        </w:rPr>
        <w:t>:-</w:t>
      </w:r>
      <w:r w:rsidR="007E4409" w:rsidRPr="00451AB2">
        <w:rPr>
          <w:b/>
        </w:rPr>
        <w:t xml:space="preserve"> </w:t>
      </w:r>
      <w:r w:rsidR="00451AB2">
        <w:rPr>
          <w:b/>
        </w:rPr>
        <w:tab/>
      </w:r>
      <w:r w:rsidR="00451AB2">
        <w:rPr>
          <w:b/>
        </w:rPr>
        <w:tab/>
      </w:r>
      <w:r>
        <w:t>23/08/2021</w:t>
      </w:r>
    </w:p>
    <w:p w:rsidR="00682F3B" w:rsidRDefault="00682F3B"/>
    <w:p w:rsidR="00682F3B" w:rsidRDefault="00682F3B">
      <w:r w:rsidRPr="00451AB2">
        <w:rPr>
          <w:b/>
        </w:rPr>
        <w:t>Question 1</w:t>
      </w:r>
      <w:r w:rsidR="00451AB2">
        <w:rPr>
          <w:b/>
        </w:rPr>
        <w:br/>
      </w:r>
      <w:r w:rsidR="002C3547">
        <w:t xml:space="preserve">under 163 of the road traffic act a constable in uniform has the power to stop any vehicle or pedestrian on a public road. A constable can stop any vehicle which is being driven on a road or any highway which a vehicle is on. The vehicle can be stopped if there is a driver and the constable wants to carry out checks. </w:t>
      </w:r>
    </w:p>
    <w:p w:rsidR="00682F3B" w:rsidRDefault="00682F3B"/>
    <w:p w:rsidR="00682F3B" w:rsidRPr="00451AB2" w:rsidRDefault="00682F3B">
      <w:pPr>
        <w:rPr>
          <w:b/>
        </w:rPr>
      </w:pPr>
      <w:r w:rsidRPr="00451AB2">
        <w:rPr>
          <w:b/>
        </w:rPr>
        <w:t>Question 2</w:t>
      </w:r>
    </w:p>
    <w:p w:rsidR="00682F3B" w:rsidRDefault="002C3547">
      <w:r>
        <w:t>Under section 6(4) of the road traffic act a constable can require a specimen of breathe for analysis off any person they believe to be under the influence of drink or drugs. Section 6(4) gives you the power to require this specimen of breathe where the constable c</w:t>
      </w:r>
      <w:r w:rsidR="001F3119">
        <w:t xml:space="preserve">an ask for this at the roadside if a moving traffic offence has been committed such as failure to signal, speeding or dangerous drive. </w:t>
      </w:r>
      <w:r>
        <w:t xml:space="preserve"> A constable has to reasonable suspect that the person is under the influence. Failure to provide under this section can be liable for arrest.</w:t>
      </w:r>
      <w:r w:rsidR="001F3119">
        <w:t xml:space="preserve"> </w:t>
      </w:r>
    </w:p>
    <w:p w:rsidR="00682F3B" w:rsidRDefault="00682F3B"/>
    <w:p w:rsidR="00682F3B" w:rsidRPr="00451AB2" w:rsidRDefault="00682F3B" w:rsidP="00682F3B">
      <w:pPr>
        <w:rPr>
          <w:b/>
        </w:rPr>
      </w:pPr>
      <w:r w:rsidRPr="00451AB2">
        <w:rPr>
          <w:b/>
        </w:rPr>
        <w:t>Question 3</w:t>
      </w:r>
    </w:p>
    <w:p w:rsidR="00682F3B" w:rsidRDefault="0013770E">
      <w:r>
        <w:t>Driving without due care and attention is where a person driving a MPV is driving in a manor where they have no car</w:t>
      </w:r>
      <w:r w:rsidR="00E1641F">
        <w:t>e for other road users or themselves</w:t>
      </w:r>
      <w:r>
        <w:t xml:space="preserve"> and are not paying attention to other road users</w:t>
      </w:r>
      <w:r w:rsidR="00E1641F">
        <w:t xml:space="preserve"> or their surroundings.</w:t>
      </w:r>
      <w:r>
        <w:t xml:space="preserve"> The offence of driving without due care and attention is a matter than can be dealt with by a TOR. This offence is also linked into the way the person driving is using the vehicle and how they are reacting. </w:t>
      </w:r>
    </w:p>
    <w:p w:rsidR="00682F3B" w:rsidRDefault="00682F3B"/>
    <w:p w:rsidR="00682F3B" w:rsidRPr="00451AB2" w:rsidRDefault="00682F3B" w:rsidP="00682F3B">
      <w:pPr>
        <w:rPr>
          <w:b/>
        </w:rPr>
      </w:pPr>
      <w:r w:rsidRPr="00451AB2">
        <w:rPr>
          <w:b/>
        </w:rPr>
        <w:t>Question 4</w:t>
      </w:r>
    </w:p>
    <w:p w:rsidR="00682F3B" w:rsidRDefault="0013770E">
      <w:r>
        <w:t xml:space="preserve">Effective use of road policing powers such as section 163, 164 and 165 are powers that can help reduce a wider range of crimes. These powers give a constable the power to stop a vehicle for a drivers check. When stopping a vehicle under 163 of the road traffic act it may become apparent that there are more offences. For example under section 164 RTA the person may being driving otherwise in accordance of a license or under 165 of the road traffic act driving with no insurance. It also helps reduce other crimes such as drink and drug driving as it gives constables the power to stop vehicles and speak to the person in control of the vehicle and to conduct stop searches if the situation allows. </w:t>
      </w:r>
    </w:p>
    <w:p w:rsidR="006413D1" w:rsidRDefault="006413D1">
      <w:r>
        <w:t xml:space="preserve">This power under section 163 can help stop any vehicle meaning if there is intelligence on the vehicle for drugs or weapons they can stop and chat to the driver to clarify their details meaning that further intelligence can be gathered or even acted on. </w:t>
      </w:r>
    </w:p>
    <w:p w:rsidR="00682F3B" w:rsidRDefault="00682F3B"/>
    <w:p w:rsidR="00682F3B" w:rsidRPr="00451AB2" w:rsidRDefault="00682F3B" w:rsidP="00682F3B">
      <w:pPr>
        <w:rPr>
          <w:b/>
        </w:rPr>
      </w:pPr>
      <w:r w:rsidRPr="00451AB2">
        <w:rPr>
          <w:b/>
        </w:rPr>
        <w:lastRenderedPageBreak/>
        <w:t>Question 5</w:t>
      </w:r>
    </w:p>
    <w:p w:rsidR="00682F3B" w:rsidRDefault="0013770E">
      <w:r>
        <w:t xml:space="preserve">Section 165(a) of the RTA gives a constable in uniform the power to seize any vehicle being driving on a public road if details/documents to certify that the driver is insured cannot be produced. The vehicle can therefore be seized under section 165 (a). Under section 165(a) you believe that insurance cannot be produced </w:t>
      </w:r>
      <w:r w:rsidR="0055270D">
        <w:t>and there are no reasonable steps that can be taken which means</w:t>
      </w:r>
      <w:r>
        <w:t xml:space="preserve"> the only way to move forward is to seize the vehicle to prevent any further offences. 165(1) allows a constable to remove the vehicle via recovery and to issue the driver with a Notice of intended prosecution for driving with no insurance. </w:t>
      </w:r>
      <w:r w:rsidR="0055270D">
        <w:t xml:space="preserve">This offence </w:t>
      </w:r>
    </w:p>
    <w:p w:rsidR="00682F3B" w:rsidRDefault="00682F3B"/>
    <w:p w:rsidR="00682F3B" w:rsidRPr="00451AB2" w:rsidRDefault="00682F3B" w:rsidP="00682F3B">
      <w:r w:rsidRPr="00451AB2">
        <w:rPr>
          <w:b/>
        </w:rPr>
        <w:t>Question 6</w:t>
      </w:r>
      <w:r w:rsidR="00451AB2">
        <w:rPr>
          <w:b/>
        </w:rPr>
        <w:br/>
      </w:r>
      <w:r w:rsidR="0013770E">
        <w:t xml:space="preserve">Any persons who is involved in a road traffic collision is duty bound too exchange details with any other party involved. Under section 170 (1) a reportable road traffic collision is where a person driving a MPV has had a collision and caused any damage to their vehicle or any other vehicle, caused any personal injury or injury to any third party or caused any criminal damage from the use of their MPV. </w:t>
      </w:r>
      <w:r w:rsidR="00B062FB">
        <w:t xml:space="preserve">Any of the above can relate to the RTC being reported and under section 6 of the RTA a specimen of breathe may be needed to prove that there has been no use of alcohol if there has been any injury to any persons or the officers at scene deem there to be foul play. </w:t>
      </w:r>
    </w:p>
    <w:p w:rsidR="00682F3B" w:rsidRDefault="00682F3B"/>
    <w:p w:rsidR="00682F3B" w:rsidRPr="00451AB2" w:rsidRDefault="00682F3B">
      <w:r w:rsidRPr="00451AB2">
        <w:rPr>
          <w:b/>
        </w:rPr>
        <w:t>Question 7</w:t>
      </w:r>
      <w:r w:rsidR="00451AB2">
        <w:rPr>
          <w:b/>
        </w:rPr>
        <w:br/>
      </w:r>
      <w:r w:rsidR="00B062FB">
        <w:t xml:space="preserve">The role of a FLO is there following. A family liaison officer is assigned to support the family and their wellbeing at the time the investigation is taking place. The FLO will be present with the family to ascertain all aspects of the person who was involved within the collision. This could be their background and also their whereabouts before the incident if the family can assist. The FLO is there to support the family in a way that they can ask the officer questions as when a fatality on the road takes place the family will sometimes want to go to the scene of where their loved one had their collision. The FLO is there to support the family and assist in explaining the process of what has happened and keeping them up to date but also provide them with a rundown of what will be happening going forward. This could be possibilities of post-mortem, statements from the family, communicating with family members on their behalf and also reassurance for their well-being. </w:t>
      </w:r>
      <w:r w:rsidR="00E1641F">
        <w:t xml:space="preserve">The FLO are trained where they can deal with the trauma that the victim’s family are going through and put them in touch with the correct organisations for support. </w:t>
      </w:r>
    </w:p>
    <w:p w:rsidR="00682F3B" w:rsidRDefault="00682F3B"/>
    <w:p w:rsidR="00682F3B" w:rsidRDefault="00682F3B" w:rsidP="00682F3B">
      <w:r w:rsidRPr="00451AB2">
        <w:rPr>
          <w:b/>
        </w:rPr>
        <w:t>Question 8</w:t>
      </w:r>
      <w:r w:rsidR="00451AB2">
        <w:rPr>
          <w:b/>
        </w:rPr>
        <w:br/>
      </w:r>
      <w:r w:rsidR="00B062FB">
        <w:t>under section 170 RTA a person who is involved in a RTA is responsible for the following.</w:t>
      </w:r>
    </w:p>
    <w:p w:rsidR="00B062FB" w:rsidRPr="00451AB2" w:rsidRDefault="00B062FB" w:rsidP="00682F3B">
      <w:r>
        <w:t xml:space="preserve">Firstly, when the collision occurs to transfer details of their insurance policy with the other parties involved. Secondly would be to give the name of the driver at the time of collision so the trail of continuity stays in line. Next would be giving a contact number if applicable to pass on insurance details if not available at the time. Next would be to stop as the collision has occurred and not leave the scene. It is an offence to leave the scene of a RTC and could result in a TOR being issued. Next would be to co-operate with any other parties involved. This could mean if there are overhead electricity wires hanging down then this means they should contact the council or if criminal damage has been caused to contact the police. It is drivers responsibility to </w:t>
      </w:r>
      <w:r w:rsidR="00FA5150">
        <w:t xml:space="preserve">exchange details with the other party and failure to do so can lead to the person being liable to be prosecuted. </w:t>
      </w:r>
    </w:p>
    <w:p w:rsidR="00682F3B" w:rsidRDefault="00682F3B"/>
    <w:p w:rsidR="00682F3B" w:rsidRPr="00451AB2" w:rsidRDefault="00682F3B" w:rsidP="00682F3B">
      <w:r w:rsidRPr="00451AB2">
        <w:rPr>
          <w:b/>
        </w:rPr>
        <w:t>Question 9</w:t>
      </w:r>
      <w:r w:rsidR="00451AB2">
        <w:rPr>
          <w:b/>
        </w:rPr>
        <w:br/>
      </w:r>
      <w:r w:rsidR="00FA5150">
        <w:t xml:space="preserve">Under section 6E RTA, a constable has the power to enter any dwelling to deal with a driver whilst over the prescribed limit. The officer must reasonably believe that the person who has entered the house is over the prescribed limit. This could be that the person has provided a specimen of breathe and is known to be over the prescribed limit and post analysis has fled the scene. Section 6E give a constable the power to enter, by force is necessary if they believe that the person inside is over the prescribed limit and they are liable for arrest for an indictable offence. Section 6E gives the constable the power to enter where they can show a trail of continuity, for example if the person has fled the scene post giving an analysis and they enter a house where officers then force entry, they can determine what level of alcohol is in their system if they continue to drink alcohol while at the address. This gives the officers a power to breathalyses the person if needed. This also gives the officer the power to force entry to a premises if they believe the person to be under the influence of alcohol and they believe the person would be over the prescribed limit. This section allows officers complete a full investigation where if a person has failed to stop after a RTC and an eye witness can put the person at the scene they can force entry to require the specimen of breathe. </w:t>
      </w:r>
    </w:p>
    <w:p w:rsidR="00682F3B" w:rsidRDefault="00682F3B"/>
    <w:p w:rsidR="00682F3B" w:rsidRDefault="00682F3B"/>
    <w:p w:rsidR="00682F3B" w:rsidRDefault="00682F3B" w:rsidP="00682F3B">
      <w:r w:rsidRPr="00451AB2">
        <w:rPr>
          <w:b/>
        </w:rPr>
        <w:t>Question 10</w:t>
      </w:r>
      <w:r w:rsidR="00FA5150">
        <w:br/>
        <w:t xml:space="preserve">a person shall be guilty of the offence of causing death by dangerous driving if they cause a death and by doing so were driving in a dangerous manner. A person drives in a dangerous manned if they are seen driving with no disregard for other road users and in a way to cause serious risk to life. </w:t>
      </w:r>
    </w:p>
    <w:p w:rsidR="00682F3B" w:rsidRDefault="00682F3B"/>
    <w:p w:rsidR="00682F3B" w:rsidRDefault="00682F3B">
      <w:r w:rsidRPr="00451AB2">
        <w:rPr>
          <w:b/>
        </w:rPr>
        <w:t>Question 11</w:t>
      </w:r>
      <w:r w:rsidR="00451AB2">
        <w:rPr>
          <w:b/>
        </w:rPr>
        <w:br/>
      </w:r>
      <w:r w:rsidR="00FA5150">
        <w:t>the national prescribed limits are as follows. Breathe is 35mg per 100mg. blood is</w:t>
      </w:r>
      <w:r w:rsidR="00E1641F">
        <w:t xml:space="preserve"> 80 mg per 100m</w:t>
      </w:r>
      <w:bookmarkStart w:id="0" w:name="_GoBack"/>
      <w:bookmarkEnd w:id="0"/>
      <w:r w:rsidR="00FA5150">
        <w:t xml:space="preserve">l and urine is 107 mg per 100 ml. all of these limits can be tested for at custody suites within South Wales police. </w:t>
      </w:r>
      <w:r w:rsidR="00451AB2">
        <w:br/>
      </w:r>
    </w:p>
    <w:p w:rsidR="00682F3B" w:rsidRPr="00451AB2" w:rsidRDefault="00682F3B" w:rsidP="00682F3B">
      <w:pPr>
        <w:rPr>
          <w:b/>
        </w:rPr>
      </w:pPr>
      <w:r w:rsidRPr="00451AB2">
        <w:rPr>
          <w:b/>
        </w:rPr>
        <w:t>Question 12</w:t>
      </w:r>
      <w:r w:rsidR="00451AB2">
        <w:rPr>
          <w:b/>
        </w:rPr>
        <w:br/>
      </w:r>
      <w:r w:rsidR="00711DFA">
        <w:t xml:space="preserve">Suspect interviews can have several relevant other people who should or could be present. Firstly would be a solicitor, a solicitor is there to provide legal guidance to their client and can give them a breakdown of what the police have as evidence and whether there is any overwhelming evidence and advise them on what they should say in interview. A solicitor is there to also make sure that the procedure is being conducted under PACE laws and that their client is comfortable to continue. Secondly is an appropriate adult. An AA is there to support and guide any person who is vulnerable or under the age of 18. An AA could be a family member who is not linked to the investigation or an on duty AA who can attend to support their client. The role of an AA is to make sure their client is comfortable and understands the questions put to them. They are there not as a by-stander to actively participate in helping their client understand the questions put to them. Following on is an interpreter. An interpreter’s role is to make sure the client understands in their first language the allegation and also that they can speak freely and their side will be heard. This gives both the police and the client the best communication between both parties meaning best evidence can be obtained. </w:t>
      </w:r>
    </w:p>
    <w:p w:rsidR="00682F3B" w:rsidRDefault="00682F3B"/>
    <w:p w:rsidR="00711DFA" w:rsidRDefault="00682F3B" w:rsidP="00682F3B">
      <w:r w:rsidRPr="00451AB2">
        <w:rPr>
          <w:b/>
        </w:rPr>
        <w:t>Question 13</w:t>
      </w:r>
      <w:r w:rsidR="00451AB2">
        <w:rPr>
          <w:b/>
        </w:rPr>
        <w:br/>
      </w:r>
      <w:r w:rsidR="00711DFA">
        <w:t>The national policing interviewing model uses the Pneumonic PEACE.</w:t>
      </w:r>
    </w:p>
    <w:p w:rsidR="00682F3B" w:rsidRDefault="00711DFA" w:rsidP="00682F3B">
      <w:r>
        <w:t xml:space="preserve">PEACE covers the points for conducting a suspect or witness interview. First of all is the planning an preparation stage. In this stage all relevant evidence will be sort of and questions will be prepared based on the points to prove. This means that the relevant material can be disclosed to the solicitor if needed meaning that they can advise their client. Second of all is an engage and explain procress which </w:t>
      </w:r>
      <w:r w:rsidR="009F1E17">
        <w:t>the same in both suspect and witness interviewing</w:t>
      </w:r>
      <w:r>
        <w:t>. This</w:t>
      </w:r>
      <w:r w:rsidR="009F1E17">
        <w:t xml:space="preserve"> is where the suspect can be made to feel more comfortable using the pneumonic GRRRR. This gives the suspect the chance to have a free narrative causing them to explain their side of the incident.</w:t>
      </w:r>
    </w:p>
    <w:p w:rsidR="009F1E17" w:rsidRDefault="009F1E17" w:rsidP="00682F3B">
      <w:r>
        <w:t xml:space="preserve">Acknowledging the free narrative is where the officer can then challenge any part of the account or clarify any parts they think will be relevant to providing best evidence. This helps give time to go through statements that may contradict accounts and also clear up any confusion. Next would be the closure where the officer can speak freely asking the suspect or witness if there is anything more they would like to add and also ask the secondary officer if needed if they have any questions. </w:t>
      </w:r>
    </w:p>
    <w:p w:rsidR="009F1E17" w:rsidRPr="00451AB2" w:rsidRDefault="009F1E17" w:rsidP="00682F3B">
      <w:r>
        <w:t xml:space="preserve">Evaluating the whole interview and linking evidence but mainly to see if any more lines of enquiry have been brought to light from interview meaning there will be a fair and impartial investigation into the incident. </w:t>
      </w:r>
    </w:p>
    <w:p w:rsidR="00682F3B" w:rsidRDefault="00682F3B"/>
    <w:p w:rsidR="00682F3B" w:rsidRPr="00451AB2" w:rsidRDefault="00682F3B" w:rsidP="00682F3B">
      <w:r w:rsidRPr="00451AB2">
        <w:rPr>
          <w:b/>
        </w:rPr>
        <w:t>Question 14</w:t>
      </w:r>
      <w:r w:rsidR="00451AB2">
        <w:rPr>
          <w:b/>
        </w:rPr>
        <w:br/>
      </w:r>
      <w:r w:rsidR="009F1E17">
        <w:t xml:space="preserve">the definition of controlling or coercive behaviour is where Person A acts in a controlling manner. Person A has inflicted violence upon person B or Person B fears that violence will be used. Person A also has abused person B either physically, psychologically and caused person B to isolate themselves. Person A also commits such behaviour which causes person B to feel in fear for their personal safety and control the person’s freedom. Person B feels they cannot act freely and within their best interest due to violence or controlling from person A. Person B has been subject to this abuse on more than two occasions. </w:t>
      </w:r>
    </w:p>
    <w:p w:rsidR="00682F3B" w:rsidRPr="00451AB2" w:rsidRDefault="00451AB2" w:rsidP="00682F3B">
      <w:pPr>
        <w:rPr>
          <w:b/>
        </w:rPr>
      </w:pPr>
      <w:r>
        <w:br/>
      </w:r>
      <w:r w:rsidR="00682F3B" w:rsidRPr="00451AB2">
        <w:rPr>
          <w:b/>
        </w:rPr>
        <w:t>Question 15</w:t>
      </w:r>
    </w:p>
    <w:p w:rsidR="00682F3B" w:rsidRDefault="009F1E17">
      <w:r>
        <w:t>Coercive control is a new offence but is very important. It is important as it shows the ongoing suffering victims have to go through. The offence is there so when a person comes forward they can report historic offences and this means they can prove how the abuse is getting worse. It shows a level of escalation</w:t>
      </w:r>
      <w:r w:rsidR="009B783F">
        <w:t xml:space="preserve"> and that the person has felt they have no way out of the abuse. The new offence gives officers leverage to prove the offences have been ongoing and shows the mens rea and the actus reus are present showing the severity of the abuse. From incidents across the UK where domestic incidents are reported and attended where one person is arrested, it not gives the opportunities to look back at previous incidents and this behaviour can be supported by the police even if the victim withdraws safeguarding all persons involved. </w:t>
      </w:r>
    </w:p>
    <w:p w:rsidR="00682F3B" w:rsidRDefault="00682F3B"/>
    <w:p w:rsidR="00682F3B" w:rsidRPr="00451AB2" w:rsidRDefault="00682F3B">
      <w:pPr>
        <w:rPr>
          <w:b/>
        </w:rPr>
      </w:pPr>
      <w:r w:rsidRPr="00451AB2">
        <w:rPr>
          <w:b/>
        </w:rPr>
        <w:t>Question 16</w:t>
      </w:r>
      <w:r w:rsidR="00451AB2">
        <w:rPr>
          <w:b/>
        </w:rPr>
        <w:br/>
      </w:r>
      <w:r w:rsidR="009B783F">
        <w:t xml:space="preserve">Under section 46 of the children act 1989 it gives a constable the power to take a Public protection order out on any child they believe to be in significant harm due to their circumstances. This power </w:t>
      </w:r>
      <w:r w:rsidR="009B783F">
        <w:lastRenderedPageBreak/>
        <w:t>gives a constable the power to remove any child from any setting if they believe that leaving the child there could cause serious injury to the child or loss of life. This power gives the constable the opportunity to bring the child to a place of safety commonly social services who will place the child with a registered foster carer who will care for the child. This means that immediate safeguarding is dealt with. This also means that our PPU unit can intervene and address any issues regarding neglect and see if there are any offences towards the children. Social services will provide additional support and an assessment of where the child has been removed from and also giving a dynamic risk assessment to ascertain any change in circumstances or whether there are any other dependants in the care of the family that have had the child taking under a PPO. PPO’s is a matter that means immediate safeguarding is paramount and that there is not any other option to make sure the child is safe.</w:t>
      </w:r>
    </w:p>
    <w:p w:rsidR="00682F3B" w:rsidRDefault="00682F3B"/>
    <w:p w:rsidR="00682F3B" w:rsidRPr="00451AB2" w:rsidRDefault="00682F3B" w:rsidP="00682F3B">
      <w:pPr>
        <w:rPr>
          <w:b/>
        </w:rPr>
      </w:pPr>
      <w:r w:rsidRPr="00451AB2">
        <w:rPr>
          <w:b/>
        </w:rPr>
        <w:t>Question 17</w:t>
      </w:r>
      <w:r w:rsidR="00451AB2">
        <w:rPr>
          <w:b/>
        </w:rPr>
        <w:br/>
      </w:r>
      <w:r w:rsidR="009B783F">
        <w:t xml:space="preserve"> a person shall be guilty of the offence of child cruelty if a parent or guardian of a child does not act within the best interest of the child causing them to be neglected, malnourished, abused or </w:t>
      </w:r>
      <w:r w:rsidR="00C07497">
        <w:t xml:space="preserve">exposed to any child exploitation. A person shall be guilty of the offence if the child is not cared for the same as a reasonable person. A person who commits such offence can be trialled at crown or magistrates court. A person who does commit such offence must be proved to have do so intentionally or acting recklessly. </w:t>
      </w:r>
    </w:p>
    <w:p w:rsidR="00682F3B" w:rsidRDefault="00682F3B"/>
    <w:p w:rsidR="00682F3B" w:rsidRPr="00451AB2" w:rsidRDefault="00682F3B" w:rsidP="00682F3B">
      <w:pPr>
        <w:rPr>
          <w:b/>
        </w:rPr>
      </w:pPr>
      <w:r w:rsidRPr="00451AB2">
        <w:rPr>
          <w:b/>
        </w:rPr>
        <w:t>Question 18</w:t>
      </w:r>
      <w:r w:rsidR="00451AB2">
        <w:rPr>
          <w:b/>
        </w:rPr>
        <w:br/>
      </w:r>
      <w:r w:rsidR="00C07497">
        <w:t xml:space="preserve">with domestic abuse the model used is a DASH model, this stands for domestic abuse, stalking and harassment. This model used breaks down all factors on which the person feels subject to violence or controlling behaviour. The assessment is used in a PPN format linking in with several agencies such as social services. This model should always be used as it shows the incident as a report and shows the escalation along with the severity of the offences. This means that all previous incident can be managed against. It should always be used as independent organisations such as womens aid, NSPCC or even social services can assist in making a judgement call or possibly solutions to help get the victim out of the relationship. Our PPU unit over view all DASH forms meaning they are sent to the right organisation meaning safeguarding is in place. </w:t>
      </w:r>
    </w:p>
    <w:p w:rsidR="00682F3B" w:rsidRDefault="00682F3B"/>
    <w:p w:rsidR="00682F3B" w:rsidRDefault="00682F3B" w:rsidP="00682F3B">
      <w:r w:rsidRPr="00451AB2">
        <w:rPr>
          <w:b/>
        </w:rPr>
        <w:t>Question 19</w:t>
      </w:r>
      <w:r w:rsidR="00451AB2">
        <w:rPr>
          <w:b/>
        </w:rPr>
        <w:br/>
      </w:r>
      <w:r w:rsidR="00C07497">
        <w:t xml:space="preserve">The requirements for a PPN to be submitted are the following. The person who the PPN is going in for must be either, a child at risk. This could be exploitation or neglect meaning that the PPN would be shared with the relevant third party agency. </w:t>
      </w:r>
    </w:p>
    <w:p w:rsidR="00C07497" w:rsidRDefault="00C07497" w:rsidP="00682F3B">
      <w:r>
        <w:t>Secondly, an adult at risk. This means that the adult is suffering from a crisis or is sleeping rough causing a concern for the safeguarding of the individual.</w:t>
      </w:r>
    </w:p>
    <w:p w:rsidR="00C07497" w:rsidRDefault="00C07497" w:rsidP="00682F3B">
      <w:r>
        <w:t xml:space="preserve">Next would be the DASH model. This is where a person who is a victim of domestic abuse, stalking or harassment needs safeguarding and if they are a victim of any of those listed above they are required to have a PPN submitted even if they do not give consent. </w:t>
      </w:r>
    </w:p>
    <w:p w:rsidR="0055270D" w:rsidRPr="00451AB2" w:rsidRDefault="0055270D" w:rsidP="00682F3B">
      <w:pPr>
        <w:rPr>
          <w:b/>
        </w:rPr>
      </w:pPr>
      <w:r>
        <w:t xml:space="preserve">These requirements mean that at any incident there you feel there is immediate risk or potential risk to any person a PPN will be required. Under Domestic violence, a PPN must be submitted for any </w:t>
      </w:r>
      <w:r>
        <w:lastRenderedPageBreak/>
        <w:t>level of domestic violence and also for those who are not directly involved. Eg. Children at the same address.</w:t>
      </w:r>
    </w:p>
    <w:p w:rsidR="00682F3B" w:rsidRDefault="00682F3B"/>
    <w:p w:rsidR="00682F3B" w:rsidRDefault="00682F3B">
      <w:r w:rsidRPr="00451AB2">
        <w:rPr>
          <w:b/>
        </w:rPr>
        <w:t>Question 20</w:t>
      </w:r>
      <w:r w:rsidR="00451AB2">
        <w:rPr>
          <w:b/>
        </w:rPr>
        <w:br/>
      </w:r>
    </w:p>
    <w:p w:rsidR="00511ED0" w:rsidRPr="00451AB2" w:rsidRDefault="00511ED0">
      <w:pPr>
        <w:rPr>
          <w:b/>
        </w:rPr>
      </w:pPr>
      <w:r>
        <w:t xml:space="preserve">A DVPN is a domestic violence protection notice. This notice can be issued by the police for a domestic violence offence where the person has not been charged. The person can be issued a DVPN if they are being released and the person lives at the same address as the victim. This means that the victim would be safeguarded. The decision to implement such notice can be done by a sergeant or inspector and up to a period of 48 hours. This means it can be progressed to court for a DVPO which can be given by a magistrate to safeguard the victim for up to 28 days for the investigation to continue or whether it is to protect the welfare of those living at the address. The process is done after interview there victim contact has been made and if the person is being released under investigation and bail does not apply then if can be used to protect the victim/witness from receiving any further violence or abuse from the perpetrator. This notice can also mean if the perpetrator breaches this notice they can be arrested for the offence and if they do so if a DVPO is given they can be remanded in custody. A DVPN can be given to safeguard all parties from the suspect but also gives time for the investigation to be taken forward. </w:t>
      </w:r>
    </w:p>
    <w:p w:rsidR="00682F3B" w:rsidRDefault="00682F3B"/>
    <w:p w:rsidR="00682F3B" w:rsidRDefault="00682F3B" w:rsidP="00682F3B">
      <w:r w:rsidRPr="00451AB2">
        <w:rPr>
          <w:b/>
        </w:rPr>
        <w:t>Question 21</w:t>
      </w:r>
      <w:r w:rsidR="00451AB2">
        <w:rPr>
          <w:b/>
        </w:rPr>
        <w:br/>
      </w:r>
      <w:r w:rsidR="00511ED0">
        <w:t>Child sexual exploitation is where a person under the age of 16 is exposed to sexual acts.</w:t>
      </w:r>
    </w:p>
    <w:p w:rsidR="00511ED0" w:rsidRPr="00451AB2" w:rsidRDefault="00511ED0" w:rsidP="00682F3B">
      <w:pPr>
        <w:rPr>
          <w:b/>
        </w:rPr>
      </w:pPr>
      <w:r>
        <w:t xml:space="preserve">CSE is where a child is either encouraged to believe that what they are being told to do is normal or whether they are being made to watch it. This could be from a child being made to watch their family be involved in a sexual act. In some cases children who are involved in CSE are forced into sexual acts that they have no understanding off causing traumatic events within their early stages of their lives can cause PTSD and also other mental health issues. CSE is also where a child is exploited for their naivety and forced to participate in acts which they would know are wrong.  </w:t>
      </w:r>
    </w:p>
    <w:p w:rsidR="00682F3B" w:rsidRDefault="00682F3B"/>
    <w:p w:rsidR="00682F3B" w:rsidRDefault="00682F3B"/>
    <w:p w:rsidR="00682F3B" w:rsidRPr="00451AB2" w:rsidRDefault="00682F3B" w:rsidP="00682F3B">
      <w:r w:rsidRPr="00451AB2">
        <w:rPr>
          <w:b/>
        </w:rPr>
        <w:t>Question 22</w:t>
      </w:r>
      <w:r w:rsidR="00451AB2">
        <w:rPr>
          <w:b/>
        </w:rPr>
        <w:br/>
      </w:r>
      <w:r w:rsidR="00CF0AAE">
        <w:t>Sarahs law was brought in to bring to light people who you have a personal connection with or you are thinking of getting into a relationship with, past and what their character is. Sarah’s Law was introduced so background checks on child sexual offenders can be disclosed to persons if they ask at their local police station. A person must have a valid reason for wanting to obtain this information and the police will disclose incidents only linking with child sexual offences. It is not there to disclose all offences of a person but it help people create a picture of individuals who may have never been dishonest but it discloses the information to safeguard others from being subject to possible similar offences.</w:t>
      </w:r>
    </w:p>
    <w:p w:rsidR="00682F3B" w:rsidRDefault="00682F3B"/>
    <w:p w:rsidR="00682F3B" w:rsidRPr="00451AB2" w:rsidRDefault="00682F3B" w:rsidP="00682F3B">
      <w:r w:rsidRPr="00451AB2">
        <w:rPr>
          <w:b/>
        </w:rPr>
        <w:t>Question 23</w:t>
      </w:r>
      <w:r w:rsidR="00451AB2">
        <w:rPr>
          <w:b/>
        </w:rPr>
        <w:br/>
      </w:r>
      <w:r w:rsidR="00CF0AAE">
        <w:t xml:space="preserve"> The evidential presumptions that a court can make under section 75(a) and (b) are that if the person was in sane state they would not have consented to the act of what occurred. If the person was not </w:t>
      </w:r>
      <w:r w:rsidR="00CF0AAE">
        <w:lastRenderedPageBreak/>
        <w:t xml:space="preserve">under the influence or drink or drugs they would not have consented and could not consent. This shows that the victim could not consent and would not have consented if they could’ve. Another presumption is that if the person was a partner and they were intoxicated that if the person had previously consented and that they then did not consent then the person still did not consent causing the element of the point to prove from the victim to consent not to be there. </w:t>
      </w:r>
    </w:p>
    <w:p w:rsidR="00682F3B" w:rsidRDefault="00682F3B"/>
    <w:p w:rsidR="00682F3B" w:rsidRDefault="00682F3B" w:rsidP="00682F3B">
      <w:r w:rsidRPr="00451AB2">
        <w:rPr>
          <w:b/>
        </w:rPr>
        <w:t>Question 24</w:t>
      </w:r>
      <w:r w:rsidR="00451AB2">
        <w:rPr>
          <w:b/>
        </w:rPr>
        <w:br/>
      </w:r>
    </w:p>
    <w:p w:rsidR="00CF0AAE" w:rsidRPr="00451AB2" w:rsidRDefault="00B65171" w:rsidP="00682F3B">
      <w:r>
        <w:t xml:space="preserve">The following overriding objectives of the procedural code are the following- is the person in a sane mind to be taken to court. This could be the person is more suited to be sectioned uner the mental health act. Secondly would be is it within the public’s interest to be prosecuting this person. The next code is that the person has had a fair trial and all available lines of enquiry have been complete. Lastly would be that the person has been a risk to the general public. </w:t>
      </w:r>
    </w:p>
    <w:p w:rsidR="00682F3B" w:rsidRDefault="00682F3B"/>
    <w:p w:rsidR="00682F3B" w:rsidRDefault="00682F3B" w:rsidP="00682F3B">
      <w:r w:rsidRPr="00451AB2">
        <w:rPr>
          <w:b/>
        </w:rPr>
        <w:t>Question 25</w:t>
      </w:r>
      <w:r w:rsidR="00451AB2">
        <w:rPr>
          <w:b/>
        </w:rPr>
        <w:br/>
      </w:r>
    </w:p>
    <w:p w:rsidR="00CF0AAE" w:rsidRDefault="00CF0AAE" w:rsidP="00682F3B">
      <w:r>
        <w:t xml:space="preserve">The full code test is where the evidential test has been past showing that there is sufficient evidence to take this to prosecution and also that it is within the public interest to take this to court. The matter of the public interest is used for lower level offences where it is done on previous convictions and also is it within the public interest to prosecute this person to continue with an out of court disposal such a FPN or a community resolution order. </w:t>
      </w:r>
      <w:r w:rsidR="0055270D">
        <w:t xml:space="preserve">This also means that the matter can be dealt with more swiftly and it may be within the victims interest to have the matter dealt with out of court. </w:t>
      </w:r>
    </w:p>
    <w:sectPr w:rsidR="00CF0AAE" w:rsidSect="00CD6C3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270D" w:rsidRDefault="0055270D" w:rsidP="00CD6C36">
      <w:pPr>
        <w:spacing w:after="0" w:line="240" w:lineRule="auto"/>
      </w:pPr>
      <w:r>
        <w:separator/>
      </w:r>
    </w:p>
  </w:endnote>
  <w:endnote w:type="continuationSeparator" w:id="0">
    <w:p w:rsidR="0055270D" w:rsidRDefault="0055270D" w:rsidP="00CD6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Footer"/>
      <w:rPr>
        <w:color w:val="000000"/>
        <w:sz w:val="17"/>
      </w:rPr>
    </w:pPr>
    <w:bookmarkStart w:id="3" w:name="TITUS1FooterEvenPages"/>
    <w:r>
      <w:rPr>
        <w:color w:val="000000"/>
        <w:sz w:val="17"/>
      </w:rPr>
      <w:t> </w:t>
    </w:r>
  </w:p>
  <w:bookmarkEnd w:id="3"/>
  <w:p w:rsidR="0055270D" w:rsidRDefault="0055270D" w:rsidP="00B65171">
    <w:pPr>
      <w:pStyle w:val="Footer"/>
    </w:pPr>
  </w:p>
  <w:p w:rsidR="0055270D" w:rsidRDefault="005527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Footer"/>
      <w:rPr>
        <w:color w:val="000000"/>
        <w:sz w:val="17"/>
      </w:rPr>
    </w:pPr>
    <w:bookmarkStart w:id="4" w:name="TITUS1FooterPrimary"/>
    <w:r>
      <w:rPr>
        <w:color w:val="000000"/>
        <w:sz w:val="17"/>
      </w:rPr>
      <w:t> </w:t>
    </w:r>
  </w:p>
  <w:bookmarkEnd w:id="4"/>
  <w:p w:rsidR="0055270D" w:rsidRDefault="005527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Footer"/>
      <w:rPr>
        <w:color w:val="000000"/>
        <w:sz w:val="17"/>
      </w:rPr>
    </w:pPr>
    <w:bookmarkStart w:id="6" w:name="TITUS1FooterFirstPage"/>
    <w:r>
      <w:rPr>
        <w:color w:val="000000"/>
        <w:sz w:val="17"/>
      </w:rPr>
      <w:t> </w:t>
    </w:r>
  </w:p>
  <w:bookmarkEnd w:id="6"/>
  <w:p w:rsidR="0055270D" w:rsidRDefault="005527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270D" w:rsidRDefault="0055270D" w:rsidP="00CD6C36">
      <w:pPr>
        <w:spacing w:after="0" w:line="240" w:lineRule="auto"/>
      </w:pPr>
      <w:r>
        <w:separator/>
      </w:r>
    </w:p>
  </w:footnote>
  <w:footnote w:type="continuationSeparator" w:id="0">
    <w:p w:rsidR="0055270D" w:rsidRDefault="0055270D" w:rsidP="00CD6C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Header"/>
      <w:rPr>
        <w:color w:val="000000"/>
        <w:sz w:val="17"/>
      </w:rPr>
    </w:pPr>
    <w:bookmarkStart w:id="1" w:name="TITUS1HeaderEvenPages"/>
    <w:r>
      <w:rPr>
        <w:color w:val="000000"/>
        <w:sz w:val="17"/>
      </w:rPr>
      <w:t> </w:t>
    </w:r>
  </w:p>
  <w:bookmarkEnd w:id="1"/>
  <w:p w:rsidR="0055270D" w:rsidRDefault="0055270D" w:rsidP="00B65171">
    <w:pPr>
      <w:pStyle w:val="Header"/>
    </w:pPr>
  </w:p>
  <w:p w:rsidR="0055270D" w:rsidRDefault="005527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Header"/>
      <w:rPr>
        <w:color w:val="000000"/>
        <w:sz w:val="17"/>
      </w:rPr>
    </w:pPr>
    <w:bookmarkStart w:id="2" w:name="TITUS1HeaderPrimary"/>
    <w:r>
      <w:rPr>
        <w:color w:val="000000"/>
        <w:sz w:val="17"/>
      </w:rPr>
      <w:t> </w:t>
    </w:r>
  </w:p>
  <w:bookmarkEnd w:id="2"/>
  <w:p w:rsidR="0055270D" w:rsidRDefault="005527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270D" w:rsidRDefault="00113B5F" w:rsidP="00113B5F">
    <w:pPr>
      <w:pStyle w:val="Header"/>
      <w:rPr>
        <w:color w:val="000000"/>
        <w:sz w:val="17"/>
      </w:rPr>
    </w:pPr>
    <w:bookmarkStart w:id="5" w:name="TITUS1HeaderFirstPage"/>
    <w:r>
      <w:rPr>
        <w:color w:val="000000"/>
        <w:sz w:val="17"/>
      </w:rPr>
      <w:t> </w:t>
    </w:r>
  </w:p>
  <w:bookmarkEnd w:id="5"/>
  <w:p w:rsidR="0055270D" w:rsidRDefault="005527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13B5F"/>
    <w:rsid w:val="00121DF7"/>
    <w:rsid w:val="0013770E"/>
    <w:rsid w:val="00161169"/>
    <w:rsid w:val="001F3119"/>
    <w:rsid w:val="002C3547"/>
    <w:rsid w:val="00451AB2"/>
    <w:rsid w:val="00511ED0"/>
    <w:rsid w:val="00531430"/>
    <w:rsid w:val="0055270D"/>
    <w:rsid w:val="00575AC9"/>
    <w:rsid w:val="006413D1"/>
    <w:rsid w:val="00682F3B"/>
    <w:rsid w:val="00711DFA"/>
    <w:rsid w:val="007E4409"/>
    <w:rsid w:val="00877432"/>
    <w:rsid w:val="009B783F"/>
    <w:rsid w:val="009F1E17"/>
    <w:rsid w:val="00B062FB"/>
    <w:rsid w:val="00B65171"/>
    <w:rsid w:val="00C07497"/>
    <w:rsid w:val="00CD6C36"/>
    <w:rsid w:val="00CF0AAE"/>
    <w:rsid w:val="00DE11FC"/>
    <w:rsid w:val="00E1641F"/>
    <w:rsid w:val="00FA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9D8FE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C36"/>
  </w:style>
  <w:style w:type="paragraph" w:styleId="Footer">
    <w:name w:val="footer"/>
    <w:basedOn w:val="Normal"/>
    <w:link w:val="FooterChar"/>
    <w:uiPriority w:val="99"/>
    <w:unhideWhenUsed/>
    <w:rsid w:val="00CD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7</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Young,James swp6920</cp:lastModifiedBy>
  <cp:revision>10</cp:revision>
  <dcterms:created xsi:type="dcterms:W3CDTF">2021-08-23T11:52:00Z</dcterms:created>
  <dcterms:modified xsi:type="dcterms:W3CDTF">2021-08-23T14:02:00Z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