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4564BA">
      <w:pPr>
        <w:keepNext w:val="0"/>
        <w:keepLines w:val="0"/>
        <w:widowControl/>
        <w:numPr>
          <w:numId w:val="0"/>
        </w:numPr>
        <w:suppressLineNumbers w:val="0"/>
        <w:jc w:val="center"/>
        <w:rPr>
          <w:rFonts w:hint="default" w:ascii="sans-serif" w:hAnsi="sans-serif" w:eastAsia="宋体" w:cs="sans-serif"/>
          <w:b/>
          <w:bCs/>
          <w:i w:val="0"/>
          <w:iCs w:val="0"/>
          <w:caps w:val="0"/>
          <w:color w:val="auto"/>
          <w:spacing w:val="0"/>
          <w:kern w:val="0"/>
          <w:sz w:val="48"/>
          <w:szCs w:val="48"/>
          <w:u w:val="none"/>
          <w:lang w:val="en-US" w:eastAsia="zh-CN" w:bidi="ar"/>
        </w:rPr>
      </w:pPr>
      <w:r>
        <w:rPr>
          <w:rFonts w:hint="default" w:ascii="sans-serif" w:hAnsi="sans-serif" w:eastAsia="宋体" w:cs="sans-serif"/>
          <w:b/>
          <w:bCs/>
          <w:i w:val="0"/>
          <w:iCs w:val="0"/>
          <w:caps w:val="0"/>
          <w:color w:val="auto"/>
          <w:spacing w:val="0"/>
          <w:kern w:val="0"/>
          <w:sz w:val="48"/>
          <w:szCs w:val="48"/>
          <w:u w:val="none"/>
          <w:lang w:val="en-US" w:eastAsia="zh-CN" w:bidi="ar"/>
        </w:rPr>
        <w:t>Assessment Component 1</w:t>
      </w:r>
    </w:p>
    <w:p w14:paraId="598CEF84">
      <w:pPr>
        <w:keepNext w:val="0"/>
        <w:keepLines w:val="0"/>
        <w:widowControl/>
        <w:numPr>
          <w:numId w:val="0"/>
        </w:numPr>
        <w:suppressLineNumbers w:val="0"/>
        <w:jc w:val="right"/>
        <w:rPr>
          <w:rFonts w:hint="default" w:eastAsia="宋体" w:cs="sans-serif" w:asciiTheme="majorAscii" w:hAnsiTheme="majorAscii"/>
          <w:i w:val="0"/>
          <w:iCs w:val="0"/>
          <w:caps w:val="0"/>
          <w:color w:val="auto"/>
          <w:spacing w:val="0"/>
          <w:kern w:val="0"/>
          <w:sz w:val="28"/>
          <w:szCs w:val="28"/>
          <w:u w:val="none"/>
          <w:lang w:val="en-US" w:eastAsia="zh-CN" w:bidi="ar"/>
        </w:rPr>
      </w:pPr>
      <w:r>
        <w:rPr>
          <w:rFonts w:hint="default" w:eastAsia="宋体" w:cs="sans-serif" w:asciiTheme="majorAscii" w:hAnsiTheme="majorAscii"/>
          <w:i w:val="0"/>
          <w:iCs w:val="0"/>
          <w:caps w:val="0"/>
          <w:color w:val="auto"/>
          <w:spacing w:val="0"/>
          <w:kern w:val="0"/>
          <w:sz w:val="28"/>
          <w:szCs w:val="28"/>
          <w:u w:val="none"/>
          <w:lang w:val="en-US" w:eastAsia="zh-CN" w:bidi="ar"/>
        </w:rPr>
        <w:t>Luyao Huang (Student Number: 2406840)</w:t>
      </w:r>
    </w:p>
    <w:p w14:paraId="701C9BEF">
      <w:pPr>
        <w:keepNext w:val="0"/>
        <w:keepLines w:val="0"/>
        <w:widowControl/>
        <w:numPr>
          <w:numId w:val="0"/>
        </w:numPr>
        <w:suppressLineNumbers w:val="0"/>
        <w:jc w:val="right"/>
        <w:rPr>
          <w:rFonts w:hint="default" w:ascii="sans-serif" w:hAnsi="sans-serif" w:eastAsia="宋体" w:cs="sans-serif"/>
          <w:i w:val="0"/>
          <w:iCs w:val="0"/>
          <w:caps w:val="0"/>
          <w:color w:val="auto"/>
          <w:spacing w:val="0"/>
          <w:kern w:val="0"/>
          <w:sz w:val="24"/>
          <w:szCs w:val="24"/>
          <w:u w:val="none"/>
          <w:lang w:val="en-US" w:eastAsia="zh-CN" w:bidi="ar"/>
        </w:rPr>
      </w:pPr>
    </w:p>
    <w:p w14:paraId="291565A1">
      <w:pPr>
        <w:keepNext w:val="0"/>
        <w:keepLines w:val="0"/>
        <w:widowControl/>
        <w:numPr>
          <w:ilvl w:val="0"/>
          <w:numId w:val="1"/>
        </w:numPr>
        <w:suppressLineNumbers w:val="0"/>
        <w:spacing w:line="360" w:lineRule="auto"/>
        <w:ind w:leftChars="0"/>
        <w:jc w:val="both"/>
        <w:rPr>
          <w:rFonts w:hint="default" w:eastAsia="宋体" w:cs="sans-serif" w:asciiTheme="majorAscii" w:hAnsiTheme="majorAscii"/>
          <w:b/>
          <w:bCs/>
          <w:i w:val="0"/>
          <w:iCs w:val="0"/>
          <w:caps w:val="0"/>
          <w:color w:val="auto"/>
          <w:spacing w:val="0"/>
          <w:kern w:val="0"/>
          <w:sz w:val="36"/>
          <w:szCs w:val="36"/>
          <w:u w:val="none"/>
          <w:lang w:val="en-US" w:eastAsia="zh-CN" w:bidi="ar"/>
        </w:rPr>
      </w:pPr>
      <w:r>
        <w:rPr>
          <w:rFonts w:hint="default" w:eastAsia="宋体" w:cs="sans-serif" w:asciiTheme="majorAscii" w:hAnsiTheme="majorAscii"/>
          <w:b/>
          <w:bCs/>
          <w:i w:val="0"/>
          <w:iCs w:val="0"/>
          <w:caps w:val="0"/>
          <w:color w:val="auto"/>
          <w:spacing w:val="0"/>
          <w:kern w:val="0"/>
          <w:sz w:val="36"/>
          <w:szCs w:val="36"/>
          <w:u w:val="none"/>
          <w:lang w:val="en-US" w:eastAsia="zh-CN" w:bidi="ar"/>
        </w:rPr>
        <w:t xml:space="preserve">Proposed Title </w:t>
      </w:r>
    </w:p>
    <w:p w14:paraId="6FBD0883">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pPr>
      <w:r>
        <w:rPr>
          <w:rStyle w:val="7"/>
          <w:rFonts w:hint="default" w:ascii="Times New Roman Regular" w:hAnsi="Times New Roman Regular" w:eastAsia="宋体" w:cs="Times New Roman Regular"/>
          <w:b w:val="0"/>
          <w:bCs/>
          <w:i w:val="0"/>
          <w:iCs w:val="0"/>
          <w:caps w:val="0"/>
          <w:color w:val="000000"/>
          <w:spacing w:val="0"/>
          <w:sz w:val="24"/>
          <w:szCs w:val="24"/>
          <w:u w:val="none"/>
        </w:rPr>
        <w:t xml:space="preserve">A Study on the Impact of Teacher Instructional Strategies Based on Constructivist Theory on Student Engagement in College English Classes: A Case Study of English Major Students at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Fuzhou University of International Studies and Trade</w:t>
      </w:r>
    </w:p>
    <w:p w14:paraId="4F60A935">
      <w:pPr>
        <w:keepNext w:val="0"/>
        <w:keepLines w:val="0"/>
        <w:widowControl/>
        <w:numPr>
          <w:ilvl w:val="0"/>
          <w:numId w:val="1"/>
        </w:numPr>
        <w:suppressLineNumbers w:val="0"/>
        <w:spacing w:line="360" w:lineRule="auto"/>
        <w:ind w:leftChars="0"/>
        <w:jc w:val="both"/>
        <w:rPr>
          <w:rFonts w:hint="default" w:eastAsia="宋体" w:cs="sans-serif" w:asciiTheme="majorAscii" w:hAnsiTheme="majorAscii"/>
          <w:b/>
          <w:bCs/>
          <w:i w:val="0"/>
          <w:iCs w:val="0"/>
          <w:caps w:val="0"/>
          <w:color w:val="auto"/>
          <w:spacing w:val="0"/>
          <w:kern w:val="0"/>
          <w:sz w:val="36"/>
          <w:szCs w:val="36"/>
          <w:u w:val="none"/>
          <w:lang w:val="en-US" w:eastAsia="zh-CN" w:bidi="ar"/>
        </w:rPr>
      </w:pPr>
      <w:r>
        <w:rPr>
          <w:rFonts w:hint="default" w:eastAsia="宋体" w:cs="sans-serif" w:asciiTheme="majorAscii" w:hAnsiTheme="majorAscii"/>
          <w:b/>
          <w:bCs/>
          <w:i w:val="0"/>
          <w:iCs w:val="0"/>
          <w:caps w:val="0"/>
          <w:color w:val="auto"/>
          <w:spacing w:val="0"/>
          <w:kern w:val="0"/>
          <w:sz w:val="36"/>
          <w:szCs w:val="36"/>
          <w:u w:val="none"/>
          <w:lang w:val="en-US" w:eastAsia="zh-CN" w:bidi="ar"/>
        </w:rPr>
        <w:t>Background and Context</w:t>
      </w:r>
    </w:p>
    <w:p w14:paraId="5ED88DC3">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The proposed research titled "A Study on the Impact of Teacher Instructional Strategies Based on Constructivist Theory on Student Engagement in College English Classes: A Case Study of English Major Students at Fuzhou University of International Studies and Trade" can be situated within several historical, social, and cultural contexts that highlight its significance.</w:t>
      </w:r>
    </w:p>
    <w:p w14:paraId="554A4F6D">
      <w:pPr>
        <w:pStyle w:val="2"/>
        <w:keepNext w:val="0"/>
        <w:keepLines w:val="0"/>
        <w:widowControl/>
        <w:suppressLineNumbers w:val="0"/>
        <w:spacing w:line="360" w:lineRule="auto"/>
        <w:ind w:left="0" w:leftChars="0" w:firstLine="0"/>
        <w:rPr>
          <w:rFonts w:hint="default" w:eastAsia="宋体" w:cs="sans-serif" w:asciiTheme="minorAscii" w:hAnsiTheme="minorAscii"/>
          <w:b/>
          <w:bCs/>
          <w:i w:val="0"/>
          <w:iCs w:val="0"/>
          <w:caps w:val="0"/>
          <w:color w:val="auto"/>
          <w:spacing w:val="0"/>
          <w:kern w:val="0"/>
          <w:sz w:val="36"/>
          <w:szCs w:val="36"/>
          <w:u w:val="none"/>
          <w:lang w:val="en-US" w:eastAsia="zh-CN" w:bidi="ar"/>
        </w:rPr>
      </w:pPr>
      <w:r>
        <w:rPr>
          <w:rFonts w:hint="default" w:eastAsia="宋体" w:cs="sans-serif" w:asciiTheme="minorAscii" w:hAnsiTheme="minorAscii"/>
          <w:b/>
          <w:bCs/>
          <w:i w:val="0"/>
          <w:iCs w:val="0"/>
          <w:caps w:val="0"/>
          <w:color w:val="auto"/>
          <w:spacing w:val="0"/>
          <w:kern w:val="0"/>
          <w:sz w:val="32"/>
          <w:szCs w:val="32"/>
          <w:u w:val="none"/>
          <w:lang w:val="en-US" w:eastAsia="zh-CN" w:bidi="ar"/>
        </w:rPr>
        <w:t>2.1 Historical Context</w:t>
      </w:r>
    </w:p>
    <w:p w14:paraId="17C804C2">
      <w:pPr>
        <w:pStyle w:val="4"/>
        <w:keepNext w:val="0"/>
        <w:keepLines w:val="0"/>
        <w:widowControl/>
        <w:suppressLineNumbers w:val="0"/>
        <w:spacing w:line="360" w:lineRule="auto"/>
        <w:jc w:val="left"/>
        <w:rPr>
          <w:rStyle w:val="7"/>
          <w:i w:val="0"/>
          <w:iCs w:val="0"/>
          <w:caps w:val="0"/>
          <w:color w:val="000000"/>
          <w:spacing w:val="0"/>
          <w:sz w:val="22"/>
          <w:szCs w:val="22"/>
          <w:u w:val="none"/>
        </w:rPr>
      </w:pPr>
      <w:r>
        <w:rPr>
          <w:rStyle w:val="7"/>
          <w:i w:val="0"/>
          <w:iCs w:val="0"/>
          <w:caps w:val="0"/>
          <w:color w:val="000000"/>
          <w:spacing w:val="0"/>
          <w:sz w:val="22"/>
          <w:szCs w:val="22"/>
          <w:u w:val="none"/>
        </w:rPr>
        <w:t>Evolution of Educational Theories</w:t>
      </w:r>
    </w:p>
    <w:p w14:paraId="39D07603">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The constructivist theory of learning, which emphasizes that learners construct their own understanding and knowledge through experiences and reflection, has gained prominence since the late 20th century. Influential theorists such as Jean Piaget and Lev Vygotsky</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 xml:space="preserve"> </w:t>
      </w:r>
      <w:r>
        <w:rPr>
          <w:rStyle w:val="7"/>
          <w:rFonts w:hint="default" w:ascii="Times New Roman Regular" w:hAnsi="Times New Roman Regular" w:eastAsia="宋体" w:cs="Times New Roman Regular"/>
          <w:b w:val="0"/>
          <w:bCs/>
          <w:i w:val="0"/>
          <w:iCs w:val="0"/>
          <w:caps w:val="0"/>
          <w:color w:val="000000"/>
          <w:spacing w:val="0"/>
          <w:sz w:val="24"/>
          <w:szCs w:val="24"/>
          <w:u w:val="none"/>
        </w:rPr>
        <w:t>have shaped educational practices, advocating for student-centered learning environments</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(Pass, 2004)</w:t>
      </w:r>
      <w:r>
        <w:rPr>
          <w:rStyle w:val="7"/>
          <w:rFonts w:hint="default" w:ascii="Times New Roman Regular" w:hAnsi="Times New Roman Regular" w:eastAsia="宋体" w:cs="Times New Roman Regular"/>
          <w:b w:val="0"/>
          <w:bCs/>
          <w:i w:val="0"/>
          <w:iCs w:val="0"/>
          <w:caps w:val="0"/>
          <w:color w:val="000000"/>
          <w:spacing w:val="0"/>
          <w:sz w:val="24"/>
          <w:szCs w:val="24"/>
          <w:u w:val="none"/>
        </w:rPr>
        <w:t>. This research aligns with contemporary educational trends that prioritize active learning and critical thinking over traditional rote memorization.</w:t>
      </w:r>
    </w:p>
    <w:p w14:paraId="39E21D5B">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p>
    <w:p w14:paraId="3620A307">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p>
    <w:p w14:paraId="06DFE64A">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Shift in Language Education</w:t>
      </w:r>
    </w:p>
    <w:p w14:paraId="56B55FB5">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Historically, language education has evolved from teacher-centered approaches, where the teacher is the primary source of knowledge, to more interactive and participatory methods</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(Mascolo, 2009)</w:t>
      </w:r>
      <w:r>
        <w:rPr>
          <w:rStyle w:val="7"/>
          <w:rFonts w:hint="default" w:ascii="Times New Roman Regular" w:hAnsi="Times New Roman Regular" w:eastAsia="宋体" w:cs="Times New Roman Regular"/>
          <w:b w:val="0"/>
          <w:bCs/>
          <w:i w:val="0"/>
          <w:iCs w:val="0"/>
          <w:caps w:val="0"/>
          <w:color w:val="000000"/>
          <w:spacing w:val="0"/>
          <w:sz w:val="24"/>
          <w:szCs w:val="24"/>
          <w:u w:val="none"/>
        </w:rPr>
        <w:t>. This shift reflects broader changes in pedagogical practices aimed at enhancing student engagement and fostering deeper learning.</w:t>
      </w:r>
    </w:p>
    <w:p w14:paraId="334F1372">
      <w:pPr>
        <w:pStyle w:val="2"/>
        <w:keepNext w:val="0"/>
        <w:keepLines w:val="0"/>
        <w:widowControl/>
        <w:suppressLineNumbers w:val="0"/>
        <w:spacing w:line="360" w:lineRule="auto"/>
        <w:ind w:left="0" w:leftChars="0" w:firstLine="0"/>
        <w:rPr>
          <w:rFonts w:hint="default" w:eastAsia="宋体" w:cs="sans-serif" w:asciiTheme="minorAscii" w:hAnsiTheme="minorAscii"/>
          <w:b/>
          <w:bCs/>
          <w:i w:val="0"/>
          <w:iCs w:val="0"/>
          <w:caps w:val="0"/>
          <w:color w:val="auto"/>
          <w:spacing w:val="0"/>
          <w:kern w:val="0"/>
          <w:sz w:val="32"/>
          <w:szCs w:val="32"/>
          <w:u w:val="none"/>
          <w:lang w:val="en-US" w:eastAsia="zh-CN" w:bidi="ar"/>
        </w:rPr>
      </w:pPr>
      <w:r>
        <w:rPr>
          <w:rFonts w:hint="default" w:eastAsia="宋体" w:cs="sans-serif" w:asciiTheme="minorAscii" w:hAnsiTheme="minorAscii"/>
          <w:b/>
          <w:bCs/>
          <w:i w:val="0"/>
          <w:iCs w:val="0"/>
          <w:caps w:val="0"/>
          <w:color w:val="auto"/>
          <w:spacing w:val="0"/>
          <w:kern w:val="0"/>
          <w:sz w:val="32"/>
          <w:szCs w:val="32"/>
          <w:u w:val="none"/>
          <w:lang w:val="en-US" w:eastAsia="zh-CN" w:bidi="ar"/>
        </w:rPr>
        <w:t>2.2 Social Context</w:t>
      </w:r>
    </w:p>
    <w:p w14:paraId="66FE5CEC">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Globalization and English Proficiency</w:t>
      </w:r>
    </w:p>
    <w:p w14:paraId="6762C3FE">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In an increasingly globalized world, English proficiency has become a vital skill for academic and professional success. As English is often viewed as a lingua franca, understanding effective teaching strategies that enhance engagement in English classes is crucial for preparing students to navigate diverse global contexts</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(Stephen, Welman and Jordaan, 2004)</w:t>
      </w:r>
      <w:r>
        <w:rPr>
          <w:rStyle w:val="7"/>
          <w:rFonts w:hint="default" w:ascii="Times New Roman Regular" w:hAnsi="Times New Roman Regular" w:eastAsia="宋体" w:cs="Times New Roman Regular"/>
          <w:b w:val="0"/>
          <w:bCs/>
          <w:i w:val="0"/>
          <w:iCs w:val="0"/>
          <w:caps w:val="0"/>
          <w:color w:val="000000"/>
          <w:spacing w:val="0"/>
          <w:sz w:val="24"/>
          <w:szCs w:val="24"/>
          <w:u w:val="none"/>
        </w:rPr>
        <w:t>.</w:t>
      </w:r>
    </w:p>
    <w:p w14:paraId="68C8D049">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Higher Education Reform</w:t>
      </w:r>
    </w:p>
    <w:p w14:paraId="1735D836">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Many countries, including China, are undergoing reforms in higher education to improve teaching quality and student outcomes</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(Dello-Iacovo, 2009)</w:t>
      </w:r>
      <w:r>
        <w:rPr>
          <w:rStyle w:val="7"/>
          <w:rFonts w:hint="default" w:ascii="Times New Roman Regular" w:hAnsi="Times New Roman Regular" w:eastAsia="宋体" w:cs="Times New Roman Regular"/>
          <w:b w:val="0"/>
          <w:bCs/>
          <w:i w:val="0"/>
          <w:iCs w:val="0"/>
          <w:caps w:val="0"/>
          <w:color w:val="000000"/>
          <w:spacing w:val="0"/>
          <w:sz w:val="24"/>
          <w:szCs w:val="24"/>
          <w:u w:val="none"/>
        </w:rPr>
        <w:t xml:space="preserve">. This research is timely as it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accords with</w:t>
      </w:r>
      <w:r>
        <w:rPr>
          <w:rStyle w:val="7"/>
          <w:rFonts w:hint="default" w:ascii="Times New Roman Regular" w:hAnsi="Times New Roman Regular" w:eastAsia="宋体" w:cs="Times New Roman Regular"/>
          <w:b w:val="0"/>
          <w:bCs/>
          <w:i w:val="0"/>
          <w:iCs w:val="0"/>
          <w:caps w:val="0"/>
          <w:color w:val="000000"/>
          <w:spacing w:val="0"/>
          <w:sz w:val="24"/>
          <w:szCs w:val="24"/>
          <w:u w:val="none"/>
        </w:rPr>
        <w:t xml:space="preserve"> the need for effective instructional strategies that align with these reforms, particularly in the context of English language education.</w:t>
      </w:r>
    </w:p>
    <w:p w14:paraId="6F369063">
      <w:pPr>
        <w:pStyle w:val="2"/>
        <w:keepNext w:val="0"/>
        <w:keepLines w:val="0"/>
        <w:widowControl/>
        <w:suppressLineNumbers w:val="0"/>
        <w:spacing w:line="360" w:lineRule="auto"/>
        <w:ind w:left="0" w:leftChars="0" w:firstLine="0"/>
        <w:rPr>
          <w:rFonts w:hint="default" w:eastAsia="宋体" w:cs="sans-serif" w:asciiTheme="minorAscii" w:hAnsiTheme="minorAscii"/>
          <w:b/>
          <w:bCs/>
          <w:i w:val="0"/>
          <w:iCs w:val="0"/>
          <w:caps w:val="0"/>
          <w:color w:val="auto"/>
          <w:spacing w:val="0"/>
          <w:kern w:val="0"/>
          <w:sz w:val="32"/>
          <w:szCs w:val="32"/>
          <w:u w:val="none"/>
          <w:lang w:val="en-US" w:eastAsia="zh-CN" w:bidi="ar"/>
        </w:rPr>
      </w:pPr>
      <w:r>
        <w:rPr>
          <w:rFonts w:hint="default" w:eastAsia="宋体" w:cs="sans-serif" w:asciiTheme="minorAscii" w:hAnsiTheme="minorAscii"/>
          <w:b/>
          <w:bCs/>
          <w:i w:val="0"/>
          <w:iCs w:val="0"/>
          <w:caps w:val="0"/>
          <w:color w:val="auto"/>
          <w:spacing w:val="0"/>
          <w:kern w:val="0"/>
          <w:sz w:val="32"/>
          <w:szCs w:val="32"/>
          <w:u w:val="none"/>
          <w:lang w:val="en-US" w:eastAsia="zh-CN" w:bidi="ar"/>
        </w:rPr>
        <w:t>2.3 Cultural Context</w:t>
      </w:r>
    </w:p>
    <w:p w14:paraId="18EE0BA0">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hint="default" w:ascii="Times New Roman" w:hAnsi="Times New Roman" w:eastAsia="宋体" w:cs="Times New Roman"/>
          <w:i w:val="0"/>
          <w:iCs w:val="0"/>
          <w:caps w:val="0"/>
          <w:color w:val="000000"/>
          <w:spacing w:val="0"/>
          <w:sz w:val="22"/>
          <w:szCs w:val="22"/>
          <w:u w:val="none"/>
        </w:rPr>
        <w:t>Cultural Attitudes Toward Education</w:t>
      </w:r>
    </w:p>
    <w:p w14:paraId="1FBF3344">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In Chinese culture, education is highly valued, and there is a strong emphasis on academic achievement. However, traditional teaching methods may not always foster the critical thinking and engagement necessary for students to thrive in modern contexts</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(Jin and Cortazzi, 2006)</w:t>
      </w:r>
      <w:r>
        <w:rPr>
          <w:rStyle w:val="7"/>
          <w:rFonts w:hint="default" w:ascii="Times New Roman Regular" w:hAnsi="Times New Roman Regular" w:eastAsia="宋体" w:cs="Times New Roman Regular"/>
          <w:b w:val="0"/>
          <w:bCs/>
          <w:i w:val="0"/>
          <w:iCs w:val="0"/>
          <w:caps w:val="0"/>
          <w:color w:val="000000"/>
          <w:spacing w:val="0"/>
          <w:sz w:val="24"/>
          <w:szCs w:val="24"/>
          <w:u w:val="none"/>
        </w:rPr>
        <w:t>. This research seeks to explore how constructivist strategies can bridge this gap, promoting a more engaging and effective learning environment.</w:t>
      </w:r>
    </w:p>
    <w:p w14:paraId="184DE7C8">
      <w:pPr>
        <w:keepNext w:val="0"/>
        <w:keepLines w:val="0"/>
        <w:widowControl/>
        <w:numPr>
          <w:ilvl w:val="0"/>
          <w:numId w:val="1"/>
        </w:numPr>
        <w:suppressLineNumbers w:val="0"/>
        <w:spacing w:line="360" w:lineRule="auto"/>
        <w:ind w:leftChars="0"/>
        <w:jc w:val="both"/>
        <w:rPr>
          <w:rFonts w:hint="default" w:eastAsia="宋体" w:cs="sans-serif" w:asciiTheme="majorAscii" w:hAnsiTheme="majorAscii"/>
          <w:b/>
          <w:bCs/>
          <w:i w:val="0"/>
          <w:iCs w:val="0"/>
          <w:caps w:val="0"/>
          <w:color w:val="auto"/>
          <w:spacing w:val="0"/>
          <w:kern w:val="0"/>
          <w:sz w:val="36"/>
          <w:szCs w:val="36"/>
          <w:u w:val="none"/>
          <w:lang w:val="en-US" w:eastAsia="zh-CN" w:bidi="ar"/>
        </w:rPr>
      </w:pPr>
      <w:r>
        <w:rPr>
          <w:rFonts w:hint="default" w:eastAsia="宋体" w:cs="sans-serif" w:asciiTheme="majorAscii" w:hAnsiTheme="majorAscii"/>
          <w:b/>
          <w:bCs/>
          <w:i w:val="0"/>
          <w:iCs w:val="0"/>
          <w:caps w:val="0"/>
          <w:color w:val="auto"/>
          <w:spacing w:val="0"/>
          <w:kern w:val="0"/>
          <w:sz w:val="36"/>
          <w:szCs w:val="36"/>
          <w:u w:val="none"/>
          <w:lang w:val="en-US" w:eastAsia="zh-CN" w:bidi="ar"/>
        </w:rPr>
        <w:t>Significance of Research</w:t>
      </w:r>
    </w:p>
    <w:p w14:paraId="5A17A211">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Enhancing Student Engagement</w:t>
      </w:r>
    </w:p>
    <w:p w14:paraId="2AD3308A">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By investigating the impact of constructivist-based instructional strategies on student engagement, this research aims to identify effective practices that can lead to improved learning experiences. Engaged students are more likely to participate actively, retain information, and develop critical thinking skills</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(Bean, 2011)</w:t>
      </w:r>
      <w:r>
        <w:rPr>
          <w:rStyle w:val="7"/>
          <w:rFonts w:hint="default" w:ascii="Times New Roman Regular" w:hAnsi="Times New Roman Regular" w:eastAsia="宋体" w:cs="Times New Roman Regular"/>
          <w:b w:val="0"/>
          <w:bCs/>
          <w:i w:val="0"/>
          <w:iCs w:val="0"/>
          <w:caps w:val="0"/>
          <w:color w:val="000000"/>
          <w:spacing w:val="0"/>
          <w:sz w:val="24"/>
          <w:szCs w:val="24"/>
          <w:u w:val="none"/>
        </w:rPr>
        <w:t>.</w:t>
      </w:r>
    </w:p>
    <w:p w14:paraId="3529D20B">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Informing Teaching Practices</w:t>
      </w:r>
    </w:p>
    <w:p w14:paraId="772DC80D">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The findings of this study can provide valuable insights for educators, helping them to refine their instructional approaches and adopt strategies that foster a more interactive and participatory classroom environment.</w:t>
      </w:r>
    </w:p>
    <w:p w14:paraId="07559304">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Contributing to Educational Policy</w:t>
      </w:r>
    </w:p>
    <w:p w14:paraId="643F2A86">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The research may also inform educational policymakers about the effectiveness of constructivist strategies in higher education, contributing to broader initiatives aimed at improving teaching quality and student outcomes in English language education.</w:t>
      </w:r>
    </w:p>
    <w:p w14:paraId="1DE9AFC2">
      <w:pPr>
        <w:keepNext w:val="0"/>
        <w:keepLines w:val="0"/>
        <w:widowControl/>
        <w:numPr>
          <w:ilvl w:val="0"/>
          <w:numId w:val="1"/>
        </w:numPr>
        <w:suppressLineNumbers w:val="0"/>
        <w:spacing w:line="360" w:lineRule="auto"/>
        <w:ind w:leftChars="0"/>
        <w:jc w:val="both"/>
        <w:rPr>
          <w:rFonts w:hint="default" w:eastAsia="宋体" w:cs="sans-serif" w:asciiTheme="majorAscii" w:hAnsiTheme="majorAscii"/>
          <w:b/>
          <w:bCs/>
          <w:i w:val="0"/>
          <w:iCs w:val="0"/>
          <w:caps w:val="0"/>
          <w:color w:val="auto"/>
          <w:spacing w:val="0"/>
          <w:kern w:val="0"/>
          <w:sz w:val="36"/>
          <w:szCs w:val="36"/>
          <w:u w:val="none"/>
          <w:lang w:val="en-US" w:eastAsia="zh-CN" w:bidi="ar"/>
        </w:rPr>
      </w:pPr>
      <w:r>
        <w:rPr>
          <w:rFonts w:hint="default" w:eastAsia="宋体" w:cs="sans-serif" w:asciiTheme="majorAscii" w:hAnsiTheme="majorAscii"/>
          <w:b/>
          <w:bCs/>
          <w:i w:val="0"/>
          <w:iCs w:val="0"/>
          <w:caps w:val="0"/>
          <w:color w:val="auto"/>
          <w:spacing w:val="0"/>
          <w:kern w:val="0"/>
          <w:sz w:val="36"/>
          <w:szCs w:val="36"/>
          <w:u w:val="none"/>
          <w:lang w:val="en-US" w:eastAsia="zh-CN" w:bidi="ar"/>
        </w:rPr>
        <w:t>Research Gap</w:t>
      </w:r>
    </w:p>
    <w:p w14:paraId="4C7B27D4">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 xml:space="preserve">Despite the growing body of literature on instructional strategies in higher education, there remains a notable gap in research specifically examining the impact of teacher instructional strategies grounded in constructivist theory on student engagement within college English classes. </w:t>
      </w:r>
    </w:p>
    <w:p w14:paraId="35D49DAA">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bookmarkStart w:id="0" w:name="_GoBack"/>
      <w:bookmarkEnd w:id="0"/>
    </w:p>
    <w:p w14:paraId="681BBB5F">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pPr>
      <w:r>
        <w:rPr>
          <w:rStyle w:val="7"/>
          <w:rFonts w:hint="eastAsia" w:ascii="Times New Roman Regular" w:hAnsi="Times New Roman Regular" w:eastAsia="宋体" w:cs="Times New Roman Regular"/>
          <w:b w:val="0"/>
          <w:bCs/>
          <w:i w:val="0"/>
          <w:iCs w:val="0"/>
          <w:caps w:val="0"/>
          <w:color w:val="000000"/>
          <w:spacing w:val="0"/>
          <w:sz w:val="24"/>
          <w:szCs w:val="24"/>
          <w:u w:val="none"/>
        </w:rPr>
        <w:t xml:space="preserve">Constructivist approaches to learning have garnered significant attention in educational research due to their emphasis on active engagement and critical thinking. These methodologies advocate for student-centered learning environments where learners construct knowledge through experiences and interactions (Piaget, 1976; Vygotsky, 1978). In the context of English language education, constructivist strategies have been shown to foster deeper understanding and retention of language skills (Brown, 2007).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Xu and Shi (2018)</w:t>
      </w:r>
      <w:r>
        <w:rPr>
          <w:rStyle w:val="7"/>
          <w:rFonts w:hint="default" w:ascii="Times New Roman Regular" w:hAnsi="Times New Roman Regular" w:eastAsia="宋体" w:cs="Times New Roman Regular"/>
          <w:b w:val="0"/>
          <w:bCs/>
          <w:i w:val="0"/>
          <w:iCs w:val="0"/>
          <w:caps w:val="0"/>
          <w:color w:val="000000"/>
          <w:spacing w:val="0"/>
          <w:sz w:val="24"/>
          <w:szCs w:val="24"/>
          <w:u w:val="none"/>
        </w:rPr>
        <w:t xml:space="preserve"> explores how constructivist learning theory can be applied in the flipped classroom model to enhance student interactions and improve learning efficiency and quality in college English teaching.</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w:t>
      </w:r>
      <w:r>
        <w:rPr>
          <w:rStyle w:val="7"/>
          <w:rFonts w:hint="eastAsia" w:ascii="Times New Roman Regular" w:hAnsi="Times New Roman Regular" w:eastAsia="宋体" w:cs="Times New Roman Regular"/>
          <w:b w:val="0"/>
          <w:bCs/>
          <w:i w:val="0"/>
          <w:iCs w:val="0"/>
          <w:caps w:val="0"/>
          <w:color w:val="000000"/>
          <w:spacing w:val="0"/>
          <w:sz w:val="24"/>
          <w:szCs w:val="24"/>
          <w:u w:val="none"/>
        </w:rPr>
        <w:t xml:space="preserve">Research by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(Puacharearn, 2004)</w:t>
      </w:r>
      <w:r>
        <w:rPr>
          <w:rStyle w:val="7"/>
          <w:rFonts w:hint="eastAsia" w:ascii="Times New Roman Regular" w:hAnsi="Times New Roman Regular" w:eastAsia="宋体" w:cs="Times New Roman Regular"/>
          <w:b w:val="0"/>
          <w:bCs/>
          <w:i w:val="0"/>
          <w:iCs w:val="0"/>
          <w:caps w:val="0"/>
          <w:color w:val="000000"/>
          <w:spacing w:val="0"/>
          <w:sz w:val="24"/>
          <w:szCs w:val="24"/>
          <w:u w:val="none"/>
        </w:rPr>
        <w:t xml:space="preserve"> highlights the effectiveness of constructivist teaching methods in enhancing student engagement and motivation in language learning. Their study indicates that when students are actively involved in the learning process, they are more likely to achieve higher levels of language proficiency.</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w:t>
      </w:r>
    </w:p>
    <w:p w14:paraId="1430CA08">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pPr>
    </w:p>
    <w:p w14:paraId="67252A10">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t xml:space="preserve">While constructivist approaches have been widely recognized for their potential to enhance active learning and critical thinking, empirical studies that focus on their application in English language education, particularly in the context of Chinese universities, are limited. Furthermore, existing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 xml:space="preserve">research </w:t>
      </w:r>
      <w:r>
        <w:rPr>
          <w:rStyle w:val="7"/>
          <w:rFonts w:hint="default" w:ascii="Times New Roman Regular" w:hAnsi="Times New Roman Regular" w:eastAsia="宋体" w:cs="Times New Roman Regular"/>
          <w:b w:val="0"/>
          <w:bCs/>
          <w:i w:val="0"/>
          <w:iCs w:val="0"/>
          <w:caps w:val="0"/>
          <w:color w:val="000000"/>
          <w:spacing w:val="0"/>
          <w:sz w:val="24"/>
          <w:szCs w:val="24"/>
          <w:u w:val="none"/>
        </w:rPr>
        <w:t>often overlooks the unique challenges and dynamics faced by English major students, who may have distinct learning needs and motivations compared to students in other disciplines. This study aims to fill this gap by investigating how specific constructivist-based instructional strategies influence student engagement among English major students at Fuzhou University of International Studies and Trade, thereby contributing valuable insights to both educational theory and practice in language instruction.</w:t>
      </w:r>
    </w:p>
    <w:p w14:paraId="69E45B14">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p>
    <w:p w14:paraId="7DCBCD5B">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In summary, this research is significant as it situates itself within a dynamic historical, social, and cultural context, aiming to enhance student engagement in college English classes through effective instructional strategies. The insights gained from this study can have a</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valuable</w:t>
      </w:r>
      <w:r>
        <w:rPr>
          <w:rStyle w:val="7"/>
          <w:rFonts w:hint="default" w:ascii="Times New Roman Regular" w:hAnsi="Times New Roman Regular" w:eastAsia="宋体" w:cs="Times New Roman Regular"/>
          <w:b w:val="0"/>
          <w:bCs/>
          <w:i w:val="0"/>
          <w:iCs w:val="0"/>
          <w:caps w:val="0"/>
          <w:color w:val="000000"/>
          <w:spacing w:val="0"/>
          <w:sz w:val="24"/>
          <w:szCs w:val="24"/>
          <w:u w:val="none"/>
        </w:rPr>
        <w:t xml:space="preserve"> impact on teaching practices, educational policy, and student learning outcomes.</w:t>
      </w:r>
    </w:p>
    <w:p w14:paraId="1EC7F733">
      <w:pPr>
        <w:pStyle w:val="4"/>
        <w:keepNext w:val="0"/>
        <w:keepLines w:val="0"/>
        <w:widowControl/>
        <w:suppressLineNumbers w:val="0"/>
        <w:spacing w:line="360" w:lineRule="auto"/>
        <w:ind w:left="0" w:firstLine="0"/>
        <w:jc w:val="both"/>
        <w:rPr>
          <w:rFonts w:hint="default"/>
          <w:i w:val="0"/>
          <w:iCs w:val="0"/>
          <w:caps w:val="0"/>
          <w:color w:val="000000"/>
          <w:spacing w:val="0"/>
          <w:sz w:val="36"/>
          <w:szCs w:val="36"/>
          <w:u w:val="none"/>
          <w:lang w:val="en-US" w:eastAsia="zh-CN"/>
        </w:rPr>
      </w:pPr>
    </w:p>
    <w:p w14:paraId="0A44EB85">
      <w:pPr>
        <w:keepNext w:val="0"/>
        <w:keepLines w:val="0"/>
        <w:widowControl/>
        <w:numPr>
          <w:ilvl w:val="0"/>
          <w:numId w:val="1"/>
        </w:numPr>
        <w:suppressLineNumbers w:val="0"/>
        <w:spacing w:line="360" w:lineRule="auto"/>
        <w:ind w:leftChars="0"/>
        <w:jc w:val="both"/>
        <w:rPr>
          <w:rFonts w:hint="default" w:eastAsia="宋体" w:cs="sans-serif" w:asciiTheme="majorAscii" w:hAnsiTheme="majorAscii"/>
          <w:b/>
          <w:bCs/>
          <w:i w:val="0"/>
          <w:iCs w:val="0"/>
          <w:caps w:val="0"/>
          <w:color w:val="auto"/>
          <w:spacing w:val="0"/>
          <w:kern w:val="0"/>
          <w:sz w:val="36"/>
          <w:szCs w:val="36"/>
          <w:u w:val="none"/>
          <w:lang w:val="en-US" w:eastAsia="zh-CN" w:bidi="ar"/>
        </w:rPr>
      </w:pPr>
      <w:r>
        <w:rPr>
          <w:rFonts w:hint="default" w:eastAsia="宋体" w:cs="sans-serif" w:asciiTheme="majorAscii" w:hAnsiTheme="majorAscii"/>
          <w:b/>
          <w:bCs/>
          <w:i w:val="0"/>
          <w:iCs w:val="0"/>
          <w:caps w:val="0"/>
          <w:color w:val="auto"/>
          <w:spacing w:val="0"/>
          <w:kern w:val="0"/>
          <w:sz w:val="36"/>
          <w:szCs w:val="36"/>
          <w:u w:val="none"/>
          <w:lang w:val="en-US" w:eastAsia="zh-CN" w:bidi="ar"/>
        </w:rPr>
        <w:t>Aims and Objectives</w:t>
      </w:r>
    </w:p>
    <w:p w14:paraId="17CA6AC9">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pP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 xml:space="preserve">The proposed research </w:t>
      </w:r>
      <w:r>
        <w:rPr>
          <w:rStyle w:val="7"/>
          <w:rFonts w:hint="default" w:ascii="Times New Roman Regular" w:hAnsi="Times New Roman Regular" w:eastAsia="宋体" w:cs="Times New Roman Regular"/>
          <w:b w:val="0"/>
          <w:bCs/>
          <w:i w:val="0"/>
          <w:iCs w:val="0"/>
          <w:caps w:val="0"/>
          <w:color w:val="000000"/>
          <w:spacing w:val="0"/>
          <w:sz w:val="24"/>
          <w:szCs w:val="24"/>
          <w:u w:val="none"/>
        </w:rPr>
        <w:t>"A Study on the Impact of Teacher Instructional Strategies Based on Constructivist Theory on Student Engagement in College English Classes: A Case Study of English Major Students at Fuzhou University of International Studies and Trade"</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rPr>
        <w:t xml:space="preserve"> </w:t>
      </w:r>
      <w:r>
        <w:rPr>
          <w:rStyle w:val="7"/>
          <w:rFonts w:hint="default" w:ascii="Times New Roman Regular" w:hAnsi="Times New Roman Regular" w:eastAsia="宋体" w:cs="Times New Roman Regular"/>
          <w:b w:val="0"/>
          <w:bCs/>
          <w:i w:val="0"/>
          <w:iCs w:val="0"/>
          <w:caps w:val="0"/>
          <w:color w:val="000000"/>
          <w:spacing w:val="0"/>
          <w:sz w:val="24"/>
          <w:szCs w:val="24"/>
          <w:u w:val="none"/>
          <w:lang w:val="en-US" w:eastAsia="zh-CN"/>
        </w:rPr>
        <w:t>includes the following key aims and objectives:</w:t>
      </w:r>
    </w:p>
    <w:p w14:paraId="6D93999F">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Focus on Constructivist Theory</w:t>
      </w:r>
    </w:p>
    <w:p w14:paraId="3477A406">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t>The research aims to apply the principles of constructivist theory, which emphasizes active learning, student-centered approaches, and the importance of social interaction in the learning process (Alzahrani and Woollard, 2013). By doing so, the study seeks to understand how these theoretical frameworks can be translated into practical teaching strategies that enhance student participation and involvement.</w:t>
      </w:r>
    </w:p>
    <w:p w14:paraId="2A302A75">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Examine the Impact of Teacher Strategies</w:t>
      </w:r>
    </w:p>
    <w:p w14:paraId="5D1AA9E6">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t xml:space="preserve">Teacher instructional strategies can encompass various methods and techniques, including interactive teaching strategies such as group discussions, role-playing, and question-and-answer interactions; inquiry-based learning strategies like project-based learning and problem-oriented learning; differentiated teaching strategies, such as personalized learning plans and diverse teaching materials; technology-assisted teaching strategies, including online learning platforms and multimedia teaching; feedback and assessment strategies like formative assessment and self-assessment with peer evaluation; motivational and supportive strategies, such as positive feedback and creating a supportive learning environment; as well as cooperative learning strategies, including peer teaching and team collaboration projects. </w:t>
      </w:r>
    </w:p>
    <w:p w14:paraId="56417EBF">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p>
    <w:p w14:paraId="450DB0E3">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t>The primary goal of this research is to investigate how various instructional strategies employed by teachers, which are grounded in constructivist theory, influence student engagement in college English classes. This involves analyzing specific teaching methods and their effectiveness in fostering an engaging learning environment. When selecting appropriate teaching strategies, teachers should consider students' needs, the classroom environment, and teaching objectives to achieve the best educational outcomes (Orlich et al., 2018).</w:t>
      </w:r>
    </w:p>
    <w:p w14:paraId="15035C70">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Targeted Population</w:t>
      </w:r>
    </w:p>
    <w:p w14:paraId="6D7F6301">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The study specifically focuses on English major students at Fuzhou University of International Studies and Trade. This targeted approach allows for a detailed examination of the context and characteristics of this particular group, providing insights that may be applicable to similar educational settings.</w:t>
      </w:r>
    </w:p>
    <w:p w14:paraId="66F4A9B8">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Assess Student Engagement</w:t>
      </w:r>
    </w:p>
    <w:p w14:paraId="2B794B49">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A critical aspect of the research is to measure and analyze the level of student engagement in the classroom. This may include assessing students' participation in discussions, their motivation to learn, and their overall involvement in classroom activities.</w:t>
      </w:r>
    </w:p>
    <w:p w14:paraId="1A9C3992">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Analyze Student Feedback and Perceptions</w:t>
      </w:r>
    </w:p>
    <w:p w14:paraId="61F4AB79">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To gather and analyze student feedback regarding their perceptions of the effectiveness of the instructional strategies used and their influence on their engagement in the learning process.</w:t>
      </w:r>
    </w:p>
    <w:p w14:paraId="7D281601">
      <w:pPr>
        <w:pStyle w:val="4"/>
        <w:keepNext w:val="0"/>
        <w:keepLines w:val="0"/>
        <w:widowControl/>
        <w:suppressLineNumbers w:val="0"/>
        <w:spacing w:line="360" w:lineRule="auto"/>
        <w:jc w:val="left"/>
        <w:rPr>
          <w:rStyle w:val="7"/>
          <w:rFonts w:ascii="Times New Roman" w:hAnsi="Times New Roman" w:eastAsia="宋体" w:cs="Times New Roman"/>
          <w:i w:val="0"/>
          <w:iCs w:val="0"/>
          <w:caps w:val="0"/>
          <w:color w:val="000000"/>
          <w:spacing w:val="0"/>
          <w:sz w:val="22"/>
          <w:szCs w:val="22"/>
          <w:u w:val="none"/>
        </w:rPr>
      </w:pPr>
      <w:r>
        <w:rPr>
          <w:rStyle w:val="7"/>
          <w:rFonts w:ascii="Times New Roman" w:hAnsi="Times New Roman" w:eastAsia="宋体" w:cs="Times New Roman"/>
          <w:i w:val="0"/>
          <w:iCs w:val="0"/>
          <w:caps w:val="0"/>
          <w:color w:val="000000"/>
          <w:spacing w:val="0"/>
          <w:sz w:val="22"/>
          <w:szCs w:val="22"/>
          <w:u w:val="none"/>
        </w:rPr>
        <w:t>Provide Practical Recommendations</w:t>
      </w:r>
    </w:p>
    <w:p w14:paraId="638E1121">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r>
        <w:rPr>
          <w:rStyle w:val="7"/>
          <w:rFonts w:hint="default" w:ascii="Times New Roman Regular" w:hAnsi="Times New Roman Regular" w:eastAsia="宋体" w:cs="Times New Roman Regular"/>
          <w:b w:val="0"/>
          <w:bCs/>
          <w:i w:val="0"/>
          <w:iCs w:val="0"/>
          <w:caps w:val="0"/>
          <w:color w:val="000000"/>
          <w:spacing w:val="0"/>
          <w:sz w:val="24"/>
          <w:szCs w:val="24"/>
          <w:u w:val="none"/>
        </w:rPr>
        <w:t>Ultimately, the research aims to generate findings that can inform educators about effective teaching strategies that promote student engagement. The insights gained from this study may lead to recommendations for improving instructional practices in college English classes, thereby enhancing the overall educational experience for students.</w:t>
      </w:r>
    </w:p>
    <w:p w14:paraId="2E4B5655">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sz w:val="24"/>
          <w:szCs w:val="24"/>
          <w:u w:val="none"/>
        </w:rPr>
      </w:pPr>
    </w:p>
    <w:p w14:paraId="63791C49">
      <w:pPr>
        <w:keepNext w:val="0"/>
        <w:keepLines w:val="0"/>
        <w:widowControl/>
        <w:numPr>
          <w:ilvl w:val="0"/>
          <w:numId w:val="1"/>
        </w:numPr>
        <w:suppressLineNumbers w:val="0"/>
        <w:spacing w:line="360" w:lineRule="auto"/>
        <w:ind w:leftChars="0"/>
        <w:jc w:val="both"/>
        <w:rPr>
          <w:rFonts w:hint="default" w:eastAsia="宋体" w:cs="sans-serif" w:asciiTheme="majorAscii" w:hAnsiTheme="majorAscii"/>
          <w:b/>
          <w:bCs/>
          <w:i w:val="0"/>
          <w:iCs w:val="0"/>
          <w:caps w:val="0"/>
          <w:color w:val="auto"/>
          <w:spacing w:val="0"/>
          <w:kern w:val="0"/>
          <w:sz w:val="36"/>
          <w:szCs w:val="36"/>
          <w:u w:val="none"/>
          <w:lang w:val="en-US" w:eastAsia="zh-CN" w:bidi="ar"/>
        </w:rPr>
      </w:pPr>
      <w:r>
        <w:rPr>
          <w:rFonts w:hint="default" w:eastAsia="宋体" w:cs="sans-serif" w:asciiTheme="majorAscii" w:hAnsiTheme="majorAscii"/>
          <w:b/>
          <w:bCs/>
          <w:i w:val="0"/>
          <w:iCs w:val="0"/>
          <w:caps w:val="0"/>
          <w:color w:val="auto"/>
          <w:spacing w:val="0"/>
          <w:kern w:val="0"/>
          <w:sz w:val="36"/>
          <w:szCs w:val="36"/>
          <w:u w:val="none"/>
          <w:lang w:val="en-US" w:eastAsia="zh-CN" w:bidi="ar"/>
        </w:rPr>
        <w:t>Proposed Methodology</w:t>
      </w:r>
    </w:p>
    <w:p w14:paraId="1E86BF32">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t>A comprehensive research design that incorporates both qualitative and quantitative methods would be effective for this research. To enhance the understanding of existing theories and relevant research on teaching practices and learning motivation within the context of higher education, this study will utilize data sourced from academic journals, books, educational databases, and conference proceedings through literature search platforms such as Google Scholar and the university library system.</w:t>
      </w:r>
    </w:p>
    <w:p w14:paraId="0AFC1A50">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p>
    <w:p w14:paraId="14F7DF89">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t>Subsequently, quantitative data will be collected regarding student perceptions of their learning motivation and experiences with various teaching practices. This will involve the use of Likert scale questions assessing factors such as enjoyment, engagement, relevance, autonomy support, and the challenges presented by different teaching strategies. In addition, qualitative research methods will be employed to gain deeper insights into teaching methodologies and the rationale behind them. Interviews will be conducted with English major instructors to gather their descriptions of common teaching practices utilized in the classroom, as well as their perceptions of factors that motivate or demotivate students and any adaptations made in response to observed student feedback.</w:t>
      </w:r>
    </w:p>
    <w:p w14:paraId="764D5F59">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p>
    <w:p w14:paraId="0B9ED5A0">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t xml:space="preserve">I plan to utilize Wenjuan Star (问卷星), a widely used questionnaire distribution application in China, to gather responses. This choice is based on the familiarity of Chinese students with the application's functions and usage, which may alleviate any concerns they might have regarding the distribution and collection of data. Given the prevalence of telecommunication fraud, I have personally experienced hesitation when receiving links to questionnaires, even from familiar contacts, due to potential risks. A notable advantage of Wenjuan Star is its ability to appear as a Mini Program within WeChat when shared among users, enhancing its perceived reliability and reducing the likelihood of being viewed as fraudulent. In this research, I aim to collect at least 50 completed questionnaires. According Morgan (2011), the first five to six in-depth interviews produced the majority of the data. I will conduct one-on-one, in-person semi-structured interviews with 6 English major instructors from the target university. </w:t>
      </w:r>
    </w:p>
    <w:p w14:paraId="2EA813A8">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p>
    <w:p w14:paraId="1A687BA0">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t>Pilot testing will be implemented to ensure the clarity, reliability, and validity of the survey and interview instruments. A small group of students and teachers will be selected to test the preliminary version, and adjustments will be made based on the feedback received.</w:t>
      </w:r>
    </w:p>
    <w:p w14:paraId="32F4911C">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br w:type="textWrapping"/>
      </w:r>
      <w:r>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t>To ensure ethical integrity, all collected data will be anonymized. Informed consent will be obtained from all participants prior to data collection.</w:t>
      </w:r>
    </w:p>
    <w:p w14:paraId="6BC6B41C">
      <w:pPr>
        <w:keepNext w:val="0"/>
        <w:keepLines w:val="0"/>
        <w:widowControl/>
        <w:suppressLineNumbers w:val="0"/>
        <w:spacing w:line="360" w:lineRule="auto"/>
        <w:jc w:val="both"/>
        <w:rPr>
          <w:rStyle w:val="7"/>
          <w:rFonts w:hint="default" w:ascii="Times New Roman Regular" w:hAnsi="Times New Roman Regular" w:eastAsia="宋体" w:cs="Times New Roman Regular"/>
          <w:b w:val="0"/>
          <w:bCs/>
          <w:i w:val="0"/>
          <w:iCs w:val="0"/>
          <w:caps w:val="0"/>
          <w:color w:val="000000"/>
          <w:spacing w:val="0"/>
          <w:kern w:val="2"/>
          <w:sz w:val="24"/>
          <w:szCs w:val="24"/>
          <w:u w:val="none"/>
          <w:lang w:val="en-US" w:eastAsia="zh-CN" w:bidi="ar-SA"/>
        </w:rPr>
      </w:pPr>
    </w:p>
    <w:p w14:paraId="0F2146FD">
      <w:pPr>
        <w:keepNext w:val="0"/>
        <w:keepLines w:val="0"/>
        <w:widowControl/>
        <w:numPr>
          <w:ilvl w:val="0"/>
          <w:numId w:val="1"/>
        </w:numPr>
        <w:suppressLineNumbers w:val="0"/>
        <w:spacing w:line="360" w:lineRule="auto"/>
        <w:ind w:leftChars="0"/>
        <w:jc w:val="both"/>
        <w:rPr>
          <w:rFonts w:hint="default" w:eastAsia="宋体" w:cs="sans-serif" w:asciiTheme="majorAscii" w:hAnsiTheme="majorAscii"/>
          <w:b/>
          <w:bCs/>
          <w:i w:val="0"/>
          <w:iCs w:val="0"/>
          <w:caps w:val="0"/>
          <w:color w:val="auto"/>
          <w:spacing w:val="0"/>
          <w:kern w:val="0"/>
          <w:sz w:val="36"/>
          <w:szCs w:val="36"/>
          <w:u w:val="none"/>
          <w:lang w:val="en-US" w:eastAsia="zh-CN" w:bidi="ar"/>
        </w:rPr>
      </w:pPr>
      <w:r>
        <w:rPr>
          <w:rFonts w:hint="default" w:eastAsia="宋体" w:cs="sans-serif" w:asciiTheme="majorAscii" w:hAnsiTheme="majorAscii"/>
          <w:b/>
          <w:bCs/>
          <w:i w:val="0"/>
          <w:iCs w:val="0"/>
          <w:caps w:val="0"/>
          <w:color w:val="auto"/>
          <w:spacing w:val="0"/>
          <w:kern w:val="0"/>
          <w:sz w:val="36"/>
          <w:szCs w:val="36"/>
          <w:u w:val="none"/>
          <w:lang w:val="en-US" w:eastAsia="zh-CN" w:bidi="ar"/>
        </w:rPr>
        <w:t>Introductory Bibliography</w:t>
      </w:r>
    </w:p>
    <w:p w14:paraId="2458E562">
      <w:pPr>
        <w:pStyle w:val="4"/>
        <w:keepNext w:val="0"/>
        <w:keepLines w:val="0"/>
        <w:widowControl/>
        <w:suppressLineNumbers w:val="0"/>
        <w:spacing w:before="0" w:beforeAutospacing="0" w:after="240" w:afterAutospacing="0" w:line="360" w:lineRule="auto"/>
        <w:ind w:left="0" w:right="0"/>
        <w:jc w:val="both"/>
        <w:rPr>
          <w:rFonts w:hint="default" w:asciiTheme="minorAscii" w:hAnsiTheme="minorAscii"/>
          <w:sz w:val="22"/>
          <w:szCs w:val="22"/>
        </w:rPr>
      </w:pPr>
      <w:r>
        <w:rPr>
          <w:rFonts w:hint="default" w:eastAsia="helvetica" w:cs="helvetica" w:asciiTheme="minorAscii" w:hAnsiTheme="minorAscii"/>
          <w:kern w:val="0"/>
          <w:sz w:val="22"/>
          <w:szCs w:val="22"/>
          <w:lang w:val="en-US" w:eastAsia="zh-CN" w:bidi="ar"/>
        </w:rPr>
        <w:t xml:space="preserve">Alt, D. (2015) ‘Assessing the Contribution of a Constructivist Learning Environment to Academic self-efficacy in Higher Education’, </w:t>
      </w:r>
      <w:r>
        <w:rPr>
          <w:rFonts w:hint="default" w:eastAsia="helvetica" w:cs="helvetica" w:asciiTheme="minorAscii" w:hAnsiTheme="minorAscii"/>
          <w:i/>
          <w:iCs/>
          <w:kern w:val="0"/>
          <w:sz w:val="22"/>
          <w:szCs w:val="22"/>
          <w:lang w:val="en-US" w:eastAsia="zh-CN" w:bidi="ar"/>
        </w:rPr>
        <w:t>Learning Environments Research</w:t>
      </w:r>
      <w:r>
        <w:rPr>
          <w:rFonts w:hint="default" w:eastAsia="helvetica" w:cs="helvetica" w:asciiTheme="minorAscii" w:hAnsiTheme="minorAscii"/>
          <w:kern w:val="0"/>
          <w:sz w:val="22"/>
          <w:szCs w:val="22"/>
          <w:lang w:val="en-US" w:eastAsia="zh-CN" w:bidi="ar"/>
        </w:rPr>
        <w:t xml:space="preserve">, 18(1), pp. 47–67. Available at: </w:t>
      </w:r>
      <w:r>
        <w:rPr>
          <w:rFonts w:hint="default" w:eastAsia="helvetica" w:cs="helvetica" w:asciiTheme="minorAscii" w:hAnsiTheme="minorAscii"/>
          <w:kern w:val="0"/>
          <w:sz w:val="22"/>
          <w:szCs w:val="22"/>
          <w:lang w:val="en-US" w:eastAsia="zh-CN" w:bidi="ar"/>
        </w:rPr>
        <w:fldChar w:fldCharType="begin"/>
      </w:r>
      <w:r>
        <w:rPr>
          <w:rFonts w:hint="default" w:eastAsia="helvetica" w:cs="helvetica" w:asciiTheme="minorAscii" w:hAnsiTheme="minorAscii"/>
          <w:kern w:val="0"/>
          <w:sz w:val="22"/>
          <w:szCs w:val="22"/>
          <w:lang w:val="en-US" w:eastAsia="zh-CN" w:bidi="ar"/>
        </w:rPr>
        <w:instrText xml:space="preserve"> HYPERLINK "https://doi.org/10.1007/s10984-015-9174-5" </w:instrText>
      </w:r>
      <w:r>
        <w:rPr>
          <w:rFonts w:hint="default" w:eastAsia="helvetica" w:cs="helvetica" w:asciiTheme="minorAscii" w:hAnsiTheme="minorAscii"/>
          <w:kern w:val="0"/>
          <w:sz w:val="22"/>
          <w:szCs w:val="22"/>
          <w:lang w:val="en-US" w:eastAsia="zh-CN" w:bidi="ar"/>
        </w:rPr>
        <w:fldChar w:fldCharType="separate"/>
      </w:r>
      <w:r>
        <w:rPr>
          <w:rStyle w:val="8"/>
          <w:rFonts w:hint="default" w:asciiTheme="minorAscii" w:hAnsiTheme="minorAscii"/>
          <w:sz w:val="22"/>
          <w:szCs w:val="22"/>
        </w:rPr>
        <w:t>https://doi.org/10.1007/s10984-015-9174-5</w:t>
      </w:r>
      <w:r>
        <w:rPr>
          <w:rFonts w:hint="default" w:eastAsia="helvetica" w:cs="helvetica" w:asciiTheme="minorAscii" w:hAnsiTheme="minorAscii"/>
          <w:kern w:val="0"/>
          <w:sz w:val="22"/>
          <w:szCs w:val="22"/>
          <w:lang w:val="en-US" w:eastAsia="zh-CN" w:bidi="ar"/>
        </w:rPr>
        <w:fldChar w:fldCharType="end"/>
      </w:r>
      <w:r>
        <w:rPr>
          <w:rFonts w:hint="default" w:eastAsia="helvetica" w:cs="helvetica" w:asciiTheme="minorAscii" w:hAnsiTheme="minorAscii"/>
          <w:kern w:val="0"/>
          <w:sz w:val="22"/>
          <w:szCs w:val="22"/>
          <w:lang w:val="en-US" w:eastAsia="zh-CN" w:bidi="ar"/>
        </w:rPr>
        <w:t>.</w:t>
      </w:r>
    </w:p>
    <w:p w14:paraId="0D5603C5">
      <w:pPr>
        <w:pStyle w:val="4"/>
        <w:keepNext w:val="0"/>
        <w:keepLines w:val="0"/>
        <w:widowControl/>
        <w:suppressLineNumbers w:val="0"/>
        <w:spacing w:before="0" w:beforeAutospacing="0" w:after="240" w:afterAutospacing="0" w:line="360" w:lineRule="auto"/>
        <w:ind w:left="0" w:right="0"/>
        <w:jc w:val="both"/>
        <w:rPr>
          <w:rFonts w:hint="default" w:asciiTheme="minorAscii" w:hAnsiTheme="minorAscii"/>
          <w:sz w:val="22"/>
          <w:szCs w:val="22"/>
        </w:rPr>
      </w:pPr>
      <w:r>
        <w:rPr>
          <w:rFonts w:hint="default" w:eastAsia="helvetica" w:cs="helvetica" w:asciiTheme="minorAscii" w:hAnsiTheme="minorAscii"/>
          <w:kern w:val="0"/>
          <w:sz w:val="22"/>
          <w:szCs w:val="22"/>
          <w:lang w:val="en-US" w:eastAsia="zh-CN" w:bidi="ar"/>
        </w:rPr>
        <w:t xml:space="preserve">Alzahrani, I. and Woollard, J. (2013) </w:t>
      </w:r>
      <w:r>
        <w:rPr>
          <w:rFonts w:hint="default" w:eastAsia="helvetica" w:cs="helvetica" w:asciiTheme="minorAscii" w:hAnsiTheme="minorAscii"/>
          <w:i/>
          <w:iCs/>
          <w:kern w:val="0"/>
          <w:sz w:val="22"/>
          <w:szCs w:val="22"/>
          <w:lang w:val="en-US" w:eastAsia="zh-CN" w:bidi="ar"/>
        </w:rPr>
        <w:t>The Role of the Constructivist Learning Theory and Collaborative Learning Environment on Wiki Classroom , and the Relationship between Them</w:t>
      </w:r>
      <w:r>
        <w:rPr>
          <w:rFonts w:hint="default" w:eastAsia="helvetica" w:cs="helvetica" w:asciiTheme="minorAscii" w:hAnsiTheme="minorAscii"/>
          <w:kern w:val="0"/>
          <w:sz w:val="22"/>
          <w:szCs w:val="22"/>
          <w:lang w:val="en-US" w:eastAsia="zh-CN" w:bidi="ar"/>
        </w:rPr>
        <w:t xml:space="preserve">. Available at: </w:t>
      </w:r>
      <w:r>
        <w:rPr>
          <w:rFonts w:hint="default" w:eastAsia="helvetica" w:cs="helvetica" w:asciiTheme="minorAscii" w:hAnsiTheme="minorAscii"/>
          <w:kern w:val="0"/>
          <w:sz w:val="22"/>
          <w:szCs w:val="22"/>
          <w:lang w:val="en-US" w:eastAsia="zh-CN" w:bidi="ar"/>
        </w:rPr>
        <w:fldChar w:fldCharType="begin"/>
      </w:r>
      <w:r>
        <w:rPr>
          <w:rFonts w:hint="default" w:eastAsia="helvetica" w:cs="helvetica" w:asciiTheme="minorAscii" w:hAnsiTheme="minorAscii"/>
          <w:kern w:val="0"/>
          <w:sz w:val="22"/>
          <w:szCs w:val="22"/>
          <w:lang w:val="en-US" w:eastAsia="zh-CN" w:bidi="ar"/>
        </w:rPr>
        <w:instrText xml:space="preserve"> HYPERLINK "https://files.eric.ed.gov/fulltext/ED539416.pdf" </w:instrText>
      </w:r>
      <w:r>
        <w:rPr>
          <w:rFonts w:hint="default" w:eastAsia="helvetica" w:cs="helvetica" w:asciiTheme="minorAscii" w:hAnsiTheme="minorAscii"/>
          <w:kern w:val="0"/>
          <w:sz w:val="22"/>
          <w:szCs w:val="22"/>
          <w:lang w:val="en-US" w:eastAsia="zh-CN" w:bidi="ar"/>
        </w:rPr>
        <w:fldChar w:fldCharType="separate"/>
      </w:r>
      <w:r>
        <w:rPr>
          <w:rStyle w:val="8"/>
          <w:rFonts w:hint="default" w:asciiTheme="minorAscii" w:hAnsiTheme="minorAscii"/>
          <w:sz w:val="22"/>
          <w:szCs w:val="22"/>
        </w:rPr>
        <w:t>https://files.eric.ed.gov/fulltext/ED539416.pdf</w:t>
      </w:r>
      <w:r>
        <w:rPr>
          <w:rFonts w:hint="default" w:eastAsia="helvetica" w:cs="helvetica" w:asciiTheme="minorAscii" w:hAnsiTheme="minorAscii"/>
          <w:kern w:val="0"/>
          <w:sz w:val="22"/>
          <w:szCs w:val="22"/>
          <w:lang w:val="en-US" w:eastAsia="zh-CN" w:bidi="ar"/>
        </w:rPr>
        <w:fldChar w:fldCharType="end"/>
      </w:r>
      <w:r>
        <w:rPr>
          <w:rFonts w:hint="default" w:eastAsia="helvetica" w:cs="helvetica" w:asciiTheme="minorAscii" w:hAnsiTheme="minorAscii"/>
          <w:kern w:val="0"/>
          <w:sz w:val="22"/>
          <w:szCs w:val="22"/>
          <w:lang w:val="en-US" w:eastAsia="zh-CN" w:bidi="ar"/>
        </w:rPr>
        <w:t>.</w:t>
      </w:r>
    </w:p>
    <w:p w14:paraId="19577F54">
      <w:pPr>
        <w:pStyle w:val="4"/>
        <w:keepNext w:val="0"/>
        <w:keepLines w:val="0"/>
        <w:widowControl/>
        <w:suppressLineNumbers w:val="0"/>
        <w:spacing w:before="0" w:beforeAutospacing="0" w:after="240" w:afterAutospacing="0" w:line="360" w:lineRule="auto"/>
        <w:ind w:left="0" w:right="0"/>
        <w:jc w:val="both"/>
        <w:rPr>
          <w:rFonts w:hint="default" w:asciiTheme="minorAscii" w:hAnsiTheme="minorAscii"/>
          <w:sz w:val="22"/>
          <w:szCs w:val="22"/>
        </w:rPr>
      </w:pPr>
      <w:r>
        <w:rPr>
          <w:rFonts w:hint="default" w:eastAsia="helvetica" w:cs="helvetica" w:asciiTheme="minorAscii" w:hAnsiTheme="minorAscii"/>
          <w:kern w:val="0"/>
          <w:sz w:val="22"/>
          <w:szCs w:val="22"/>
          <w:lang w:val="en-US" w:eastAsia="zh-CN" w:bidi="ar"/>
        </w:rPr>
        <w:t xml:space="preserve">Bean, J.C. (2011) </w:t>
      </w:r>
      <w:r>
        <w:rPr>
          <w:rFonts w:hint="default" w:eastAsia="helvetica" w:cs="helvetica" w:asciiTheme="minorAscii" w:hAnsiTheme="minorAscii"/>
          <w:i/>
          <w:iCs/>
          <w:kern w:val="0"/>
          <w:sz w:val="22"/>
          <w:szCs w:val="22"/>
          <w:lang w:val="en-US" w:eastAsia="zh-CN" w:bidi="ar"/>
        </w:rPr>
        <w:t>Engaging Ideas : the professor’s Guide to Integrating writing, Critical thinking, and Active Learning in the Classroom</w:t>
      </w:r>
      <w:r>
        <w:rPr>
          <w:rFonts w:hint="default" w:eastAsia="helvetica" w:cs="helvetica" w:asciiTheme="minorAscii" w:hAnsiTheme="minorAscii"/>
          <w:kern w:val="0"/>
          <w:sz w:val="22"/>
          <w:szCs w:val="22"/>
          <w:lang w:val="en-US" w:eastAsia="zh-CN" w:bidi="ar"/>
        </w:rPr>
        <w:t>. San Francisco: Jossey-Bass.</w:t>
      </w:r>
    </w:p>
    <w:p w14:paraId="0A96E6DF">
      <w:pPr>
        <w:pStyle w:val="4"/>
        <w:keepNext w:val="0"/>
        <w:keepLines w:val="0"/>
        <w:widowControl/>
        <w:suppressLineNumbers w:val="0"/>
        <w:spacing w:before="0" w:beforeAutospacing="0" w:after="240" w:afterAutospacing="0" w:line="360" w:lineRule="auto"/>
        <w:ind w:left="0" w:right="0"/>
        <w:jc w:val="both"/>
        <w:rPr>
          <w:rFonts w:hint="default" w:asciiTheme="minorAscii" w:hAnsiTheme="minorAscii"/>
          <w:sz w:val="22"/>
          <w:szCs w:val="22"/>
        </w:rPr>
      </w:pPr>
      <w:r>
        <w:rPr>
          <w:rFonts w:hint="default" w:eastAsia="helvetica" w:cs="helvetica" w:asciiTheme="minorAscii" w:hAnsiTheme="minorAscii"/>
          <w:kern w:val="0"/>
          <w:sz w:val="22"/>
          <w:szCs w:val="22"/>
          <w:lang w:val="en-US" w:eastAsia="zh-CN" w:bidi="ar"/>
        </w:rPr>
        <w:t xml:space="preserve">Brown, H.D. (2014) </w:t>
      </w:r>
      <w:r>
        <w:rPr>
          <w:rFonts w:hint="default" w:eastAsia="helvetica" w:cs="helvetica" w:asciiTheme="minorAscii" w:hAnsiTheme="minorAscii"/>
          <w:i/>
          <w:iCs/>
          <w:kern w:val="0"/>
          <w:sz w:val="22"/>
          <w:szCs w:val="22"/>
          <w:lang w:val="en-US" w:eastAsia="zh-CN" w:bidi="ar"/>
        </w:rPr>
        <w:t>Principles of Language Learning and Teaching : a Course in Second Language Acquisition</w:t>
      </w:r>
      <w:r>
        <w:rPr>
          <w:rFonts w:hint="default" w:eastAsia="helvetica" w:cs="helvetica" w:asciiTheme="minorAscii" w:hAnsiTheme="minorAscii"/>
          <w:kern w:val="0"/>
          <w:sz w:val="22"/>
          <w:szCs w:val="22"/>
          <w:lang w:val="en-US" w:eastAsia="zh-CN" w:bidi="ar"/>
        </w:rPr>
        <w:t xml:space="preserve">, </w:t>
      </w:r>
      <w:r>
        <w:rPr>
          <w:rFonts w:hint="default" w:eastAsia="helvetica" w:cs="helvetica" w:asciiTheme="minorAscii" w:hAnsiTheme="minorAscii"/>
          <w:i/>
          <w:iCs/>
          <w:kern w:val="0"/>
          <w:sz w:val="22"/>
          <w:szCs w:val="22"/>
          <w:lang w:val="en-US" w:eastAsia="zh-CN" w:bidi="ar"/>
        </w:rPr>
        <w:t>thuvienso.hoasen.edu.vn</w:t>
      </w:r>
      <w:r>
        <w:rPr>
          <w:rFonts w:hint="default" w:eastAsia="helvetica" w:cs="helvetica" w:asciiTheme="minorAscii" w:hAnsiTheme="minorAscii"/>
          <w:kern w:val="0"/>
          <w:sz w:val="22"/>
          <w:szCs w:val="22"/>
          <w:lang w:val="en-US" w:eastAsia="zh-CN" w:bidi="ar"/>
        </w:rPr>
        <w:t xml:space="preserve">. Pearson. Available at: </w:t>
      </w:r>
      <w:r>
        <w:rPr>
          <w:rFonts w:hint="default" w:eastAsia="helvetica" w:cs="helvetica" w:asciiTheme="minorAscii" w:hAnsiTheme="minorAscii"/>
          <w:kern w:val="0"/>
          <w:sz w:val="22"/>
          <w:szCs w:val="22"/>
          <w:lang w:val="en-US" w:eastAsia="zh-CN" w:bidi="ar"/>
        </w:rPr>
        <w:fldChar w:fldCharType="begin"/>
      </w:r>
      <w:r>
        <w:rPr>
          <w:rFonts w:hint="default" w:eastAsia="helvetica" w:cs="helvetica" w:asciiTheme="minorAscii" w:hAnsiTheme="minorAscii"/>
          <w:kern w:val="0"/>
          <w:sz w:val="22"/>
          <w:szCs w:val="22"/>
          <w:lang w:val="en-US" w:eastAsia="zh-CN" w:bidi="ar"/>
        </w:rPr>
        <w:instrText xml:space="preserve"> HYPERLINK "https://thuvienso.hoasen.edu.vn/handle/123456789/12588" </w:instrText>
      </w:r>
      <w:r>
        <w:rPr>
          <w:rFonts w:hint="default" w:eastAsia="helvetica" w:cs="helvetica" w:asciiTheme="minorAscii" w:hAnsiTheme="minorAscii"/>
          <w:kern w:val="0"/>
          <w:sz w:val="22"/>
          <w:szCs w:val="22"/>
          <w:lang w:val="en-US" w:eastAsia="zh-CN" w:bidi="ar"/>
        </w:rPr>
        <w:fldChar w:fldCharType="separate"/>
      </w:r>
      <w:r>
        <w:rPr>
          <w:rStyle w:val="8"/>
          <w:rFonts w:hint="default" w:asciiTheme="minorAscii" w:hAnsiTheme="minorAscii"/>
          <w:sz w:val="22"/>
          <w:szCs w:val="22"/>
        </w:rPr>
        <w:t>https://thuvienso.hoasen.edu.vn/handle/123456789/12588</w:t>
      </w:r>
      <w:r>
        <w:rPr>
          <w:rFonts w:hint="default" w:eastAsia="helvetica" w:cs="helvetica" w:asciiTheme="minorAscii" w:hAnsiTheme="minorAscii"/>
          <w:kern w:val="0"/>
          <w:sz w:val="22"/>
          <w:szCs w:val="22"/>
          <w:lang w:val="en-US" w:eastAsia="zh-CN" w:bidi="ar"/>
        </w:rPr>
        <w:fldChar w:fldCharType="end"/>
      </w:r>
      <w:r>
        <w:rPr>
          <w:rFonts w:hint="default" w:eastAsia="helvetica" w:cs="helvetica" w:asciiTheme="minorAscii" w:hAnsiTheme="minorAscii"/>
          <w:kern w:val="0"/>
          <w:sz w:val="22"/>
          <w:szCs w:val="22"/>
          <w:lang w:val="en-US" w:eastAsia="zh-CN" w:bidi="ar"/>
        </w:rPr>
        <w:t>.</w:t>
      </w:r>
    </w:p>
    <w:p w14:paraId="13B92BA5">
      <w:pPr>
        <w:pStyle w:val="4"/>
        <w:keepNext w:val="0"/>
        <w:keepLines w:val="0"/>
        <w:widowControl/>
        <w:suppressLineNumbers w:val="0"/>
        <w:spacing w:before="0" w:beforeAutospacing="0" w:after="240" w:afterAutospacing="0" w:line="360" w:lineRule="auto"/>
        <w:ind w:left="0" w:right="0"/>
        <w:jc w:val="both"/>
        <w:rPr>
          <w:sz w:val="22"/>
          <w:szCs w:val="22"/>
        </w:rPr>
      </w:pPr>
      <w:r>
        <w:rPr>
          <w:rFonts w:ascii="helvetica" w:hAnsi="helvetica" w:eastAsia="helvetica" w:cs="helvetica"/>
          <w:kern w:val="0"/>
          <w:sz w:val="22"/>
          <w:szCs w:val="22"/>
          <w:lang w:val="en-US" w:eastAsia="zh-CN" w:bidi="ar"/>
        </w:rPr>
        <w:t xml:space="preserve">Dello-Iacovo, B. (2009) ‘Curriculum Reform and “Quality Education” in China: an Overview’, </w:t>
      </w:r>
      <w:r>
        <w:rPr>
          <w:rFonts w:ascii="helvetica" w:hAnsi="helvetica" w:eastAsia="helvetica" w:cs="helvetica"/>
          <w:i/>
          <w:iCs/>
          <w:kern w:val="0"/>
          <w:sz w:val="22"/>
          <w:szCs w:val="22"/>
          <w:lang w:val="en-US" w:eastAsia="zh-CN" w:bidi="ar"/>
        </w:rPr>
        <w:t>International Journal of Educational Development</w:t>
      </w:r>
      <w:r>
        <w:rPr>
          <w:rFonts w:ascii="helvetica" w:hAnsi="helvetica" w:eastAsia="helvetica" w:cs="helvetica"/>
          <w:kern w:val="0"/>
          <w:sz w:val="22"/>
          <w:szCs w:val="22"/>
          <w:lang w:val="en-US" w:eastAsia="zh-CN" w:bidi="ar"/>
        </w:rPr>
        <w:t xml:space="preserve">, 29(3), pp. 241–249. Available at: </w:t>
      </w:r>
      <w:r>
        <w:rPr>
          <w:rFonts w:ascii="helvetica" w:hAnsi="helvetica" w:eastAsia="helvetica" w:cs="helvetica"/>
          <w:kern w:val="0"/>
          <w:sz w:val="22"/>
          <w:szCs w:val="22"/>
          <w:lang w:val="en-US" w:eastAsia="zh-CN" w:bidi="ar"/>
        </w:rPr>
        <w:fldChar w:fldCharType="begin"/>
      </w:r>
      <w:r>
        <w:rPr>
          <w:rFonts w:ascii="helvetica" w:hAnsi="helvetica" w:eastAsia="helvetica" w:cs="helvetica"/>
          <w:kern w:val="0"/>
          <w:sz w:val="22"/>
          <w:szCs w:val="22"/>
          <w:lang w:val="en-US" w:eastAsia="zh-CN" w:bidi="ar"/>
        </w:rPr>
        <w:instrText xml:space="preserve"> HYPERLINK "https://www.sciencedirect.com/science/article/abs/pii/S0738059308000266" </w:instrText>
      </w:r>
      <w:r>
        <w:rPr>
          <w:rFonts w:ascii="helvetica" w:hAnsi="helvetica" w:eastAsia="helvetica" w:cs="helvetica"/>
          <w:kern w:val="0"/>
          <w:sz w:val="22"/>
          <w:szCs w:val="22"/>
          <w:lang w:val="en-US" w:eastAsia="zh-CN" w:bidi="ar"/>
        </w:rPr>
        <w:fldChar w:fldCharType="separate"/>
      </w:r>
      <w:r>
        <w:rPr>
          <w:rStyle w:val="8"/>
          <w:sz w:val="22"/>
          <w:szCs w:val="22"/>
        </w:rPr>
        <w:t>https://www.sciencedirect.com/science/article/abs/pii/S0738059308000266</w:t>
      </w:r>
      <w:r>
        <w:rPr>
          <w:rFonts w:ascii="helvetica" w:hAnsi="helvetica" w:eastAsia="helvetica" w:cs="helvetica"/>
          <w:kern w:val="0"/>
          <w:sz w:val="22"/>
          <w:szCs w:val="22"/>
          <w:lang w:val="en-US" w:eastAsia="zh-CN" w:bidi="ar"/>
        </w:rPr>
        <w:fldChar w:fldCharType="end"/>
      </w:r>
      <w:r>
        <w:rPr>
          <w:rFonts w:ascii="helvetica" w:hAnsi="helvetica" w:eastAsia="helvetica" w:cs="helvetica"/>
          <w:kern w:val="0"/>
          <w:sz w:val="22"/>
          <w:szCs w:val="22"/>
          <w:lang w:val="en-US" w:eastAsia="zh-CN" w:bidi="ar"/>
        </w:rPr>
        <w:t>.</w:t>
      </w:r>
    </w:p>
    <w:p w14:paraId="0844B7C4">
      <w:pPr>
        <w:pStyle w:val="4"/>
        <w:keepNext w:val="0"/>
        <w:keepLines w:val="0"/>
        <w:widowControl/>
        <w:suppressLineNumbers w:val="0"/>
        <w:spacing w:before="0" w:beforeAutospacing="0" w:after="240" w:afterAutospacing="0" w:line="360" w:lineRule="auto"/>
        <w:ind w:left="0" w:right="0"/>
        <w:jc w:val="both"/>
        <w:rPr>
          <w:rFonts w:ascii="helvetica" w:hAnsi="helvetica" w:eastAsia="helvetica" w:cs="helvetica"/>
          <w:kern w:val="0"/>
          <w:sz w:val="22"/>
          <w:szCs w:val="22"/>
          <w:lang w:val="en-US" w:eastAsia="zh-CN" w:bidi="ar"/>
        </w:rPr>
      </w:pPr>
      <w:r>
        <w:rPr>
          <w:rFonts w:ascii="helvetica" w:hAnsi="helvetica" w:eastAsia="helvetica" w:cs="helvetica"/>
          <w:kern w:val="0"/>
          <w:sz w:val="22"/>
          <w:szCs w:val="22"/>
          <w:lang w:val="en-US" w:eastAsia="zh-CN" w:bidi="ar"/>
        </w:rPr>
        <w:t xml:space="preserve">Jin, L. and Cortazzi, M. (2006) ‘Changing Practices in Chinese Cultures of Learning’, </w:t>
      </w:r>
      <w:r>
        <w:rPr>
          <w:rFonts w:ascii="helvetica" w:hAnsi="helvetica" w:eastAsia="helvetica" w:cs="helvetica"/>
          <w:i/>
          <w:iCs/>
          <w:kern w:val="0"/>
          <w:sz w:val="22"/>
          <w:szCs w:val="22"/>
          <w:lang w:val="en-US" w:eastAsia="zh-CN" w:bidi="ar"/>
        </w:rPr>
        <w:t>Language, Culture and Curriculum</w:t>
      </w:r>
      <w:r>
        <w:rPr>
          <w:rFonts w:ascii="helvetica" w:hAnsi="helvetica" w:eastAsia="helvetica" w:cs="helvetica"/>
          <w:kern w:val="0"/>
          <w:sz w:val="22"/>
          <w:szCs w:val="22"/>
          <w:lang w:val="en-US" w:eastAsia="zh-CN" w:bidi="ar"/>
        </w:rPr>
        <w:t>, 19(1), pp. 5–20.</w:t>
      </w:r>
    </w:p>
    <w:p w14:paraId="43BB831D">
      <w:pPr>
        <w:pStyle w:val="4"/>
        <w:keepNext w:val="0"/>
        <w:keepLines w:val="0"/>
        <w:widowControl/>
        <w:suppressLineNumbers w:val="0"/>
        <w:spacing w:before="0" w:beforeAutospacing="0" w:after="240" w:afterAutospacing="0"/>
        <w:ind w:left="0" w:right="0"/>
        <w:jc w:val="left"/>
        <w:rPr>
          <w:rFonts w:ascii="helvetica" w:hAnsi="helvetica" w:eastAsia="helvetica" w:cs="helvetica"/>
          <w:kern w:val="0"/>
          <w:sz w:val="21"/>
          <w:szCs w:val="21"/>
          <w:lang w:val="en-US" w:eastAsia="zh-CN" w:bidi="ar"/>
        </w:rPr>
      </w:pPr>
      <w:r>
        <w:rPr>
          <w:rFonts w:ascii="helvetica" w:hAnsi="helvetica" w:eastAsia="helvetica" w:cs="helvetica"/>
          <w:kern w:val="0"/>
          <w:sz w:val="22"/>
          <w:szCs w:val="22"/>
          <w:lang w:val="en-US" w:eastAsia="zh-CN" w:bidi="ar"/>
        </w:rPr>
        <w:t>Morgan</w:t>
      </w:r>
      <w:r>
        <w:rPr>
          <w:rFonts w:hint="default" w:ascii="helvetica" w:hAnsi="helvetica" w:eastAsia="helvetica" w:cs="helvetica"/>
          <w:kern w:val="0"/>
          <w:sz w:val="22"/>
          <w:szCs w:val="22"/>
          <w:lang w:val="en-US" w:eastAsia="zh-CN" w:bidi="ar"/>
        </w:rPr>
        <w:t>, M. G.</w:t>
      </w:r>
      <w:r>
        <w:rPr>
          <w:rFonts w:ascii="helvetica" w:hAnsi="helvetica" w:eastAsia="helvetica" w:cs="helvetica"/>
          <w:kern w:val="0"/>
          <w:sz w:val="22"/>
          <w:szCs w:val="22"/>
          <w:lang w:val="en-US" w:eastAsia="zh-CN" w:bidi="ar"/>
        </w:rPr>
        <w:t xml:space="preserve"> (2011) </w:t>
      </w:r>
      <w:r>
        <w:rPr>
          <w:rFonts w:ascii="helvetica" w:hAnsi="helvetica" w:eastAsia="helvetica" w:cs="helvetica"/>
          <w:i/>
          <w:iCs/>
          <w:kern w:val="0"/>
          <w:sz w:val="22"/>
          <w:szCs w:val="22"/>
          <w:lang w:val="en-US" w:eastAsia="zh-CN" w:bidi="ar"/>
        </w:rPr>
        <w:t>Risk Communication : a Mental Models Approach</w:t>
      </w:r>
      <w:r>
        <w:rPr>
          <w:rFonts w:ascii="helvetica" w:hAnsi="helvetica" w:eastAsia="helvetica" w:cs="helvetica"/>
          <w:kern w:val="0"/>
          <w:sz w:val="22"/>
          <w:szCs w:val="22"/>
          <w:lang w:val="en-US" w:eastAsia="zh-CN" w:bidi="ar"/>
        </w:rPr>
        <w:t>. Cambridge: Cambridge Univ. Press.</w:t>
      </w:r>
    </w:p>
    <w:p w14:paraId="40D9E8EE">
      <w:pPr>
        <w:pStyle w:val="4"/>
        <w:keepNext w:val="0"/>
        <w:keepLines w:val="0"/>
        <w:widowControl/>
        <w:suppressLineNumbers w:val="0"/>
        <w:spacing w:before="0" w:beforeAutospacing="0" w:after="240" w:afterAutospacing="0" w:line="360" w:lineRule="auto"/>
        <w:ind w:left="0" w:right="0"/>
        <w:jc w:val="both"/>
        <w:rPr>
          <w:sz w:val="22"/>
          <w:szCs w:val="22"/>
        </w:rPr>
      </w:pPr>
      <w:r>
        <w:rPr>
          <w:rFonts w:ascii="helvetica" w:hAnsi="helvetica" w:eastAsia="helvetica" w:cs="helvetica"/>
          <w:kern w:val="0"/>
          <w:sz w:val="22"/>
          <w:szCs w:val="22"/>
          <w:lang w:val="en-US" w:eastAsia="zh-CN" w:bidi="ar"/>
        </w:rPr>
        <w:t xml:space="preserve">Mascolo, M. (2009) ‘Beyond Student-Centered and Teacher-Centered Pedagogy: Teaching and Learning as Guided Participation’, </w:t>
      </w:r>
      <w:r>
        <w:rPr>
          <w:rFonts w:ascii="helvetica" w:hAnsi="helvetica" w:eastAsia="helvetica" w:cs="helvetica"/>
          <w:i/>
          <w:iCs/>
          <w:kern w:val="0"/>
          <w:sz w:val="22"/>
          <w:szCs w:val="22"/>
          <w:lang w:val="en-US" w:eastAsia="zh-CN" w:bidi="ar"/>
        </w:rPr>
        <w:t>Pedagogy and the Human Sciences</w:t>
      </w:r>
      <w:r>
        <w:rPr>
          <w:rFonts w:ascii="helvetica" w:hAnsi="helvetica" w:eastAsia="helvetica" w:cs="helvetica"/>
          <w:kern w:val="0"/>
          <w:sz w:val="22"/>
          <w:szCs w:val="22"/>
          <w:lang w:val="en-US" w:eastAsia="zh-CN" w:bidi="ar"/>
        </w:rPr>
        <w:t xml:space="preserve">, 1(1), pp. 3–27. Available at: </w:t>
      </w:r>
      <w:r>
        <w:rPr>
          <w:rFonts w:ascii="helvetica" w:hAnsi="helvetica" w:eastAsia="helvetica" w:cs="helvetica"/>
          <w:kern w:val="0"/>
          <w:sz w:val="22"/>
          <w:szCs w:val="22"/>
          <w:lang w:val="en-US" w:eastAsia="zh-CN" w:bidi="ar"/>
        </w:rPr>
        <w:fldChar w:fldCharType="begin"/>
      </w:r>
      <w:r>
        <w:rPr>
          <w:rFonts w:ascii="helvetica" w:hAnsi="helvetica" w:eastAsia="helvetica" w:cs="helvetica"/>
          <w:kern w:val="0"/>
          <w:sz w:val="22"/>
          <w:szCs w:val="22"/>
          <w:lang w:val="en-US" w:eastAsia="zh-CN" w:bidi="ar"/>
        </w:rPr>
        <w:instrText xml:space="preserve"> HYPERLINK "https://scholarworks.merrimack.edu/phs/vol1/iss1/6/" </w:instrText>
      </w:r>
      <w:r>
        <w:rPr>
          <w:rFonts w:ascii="helvetica" w:hAnsi="helvetica" w:eastAsia="helvetica" w:cs="helvetica"/>
          <w:kern w:val="0"/>
          <w:sz w:val="22"/>
          <w:szCs w:val="22"/>
          <w:lang w:val="en-US" w:eastAsia="zh-CN" w:bidi="ar"/>
        </w:rPr>
        <w:fldChar w:fldCharType="separate"/>
      </w:r>
      <w:r>
        <w:rPr>
          <w:rStyle w:val="8"/>
          <w:sz w:val="22"/>
          <w:szCs w:val="22"/>
        </w:rPr>
        <w:t>https://scholarworks.merrimack.edu/phs/vol1/iss1/6/</w:t>
      </w:r>
      <w:r>
        <w:rPr>
          <w:rFonts w:ascii="helvetica" w:hAnsi="helvetica" w:eastAsia="helvetica" w:cs="helvetica"/>
          <w:kern w:val="0"/>
          <w:sz w:val="22"/>
          <w:szCs w:val="22"/>
          <w:lang w:val="en-US" w:eastAsia="zh-CN" w:bidi="ar"/>
        </w:rPr>
        <w:fldChar w:fldCharType="end"/>
      </w:r>
      <w:r>
        <w:rPr>
          <w:rFonts w:ascii="helvetica" w:hAnsi="helvetica" w:eastAsia="helvetica" w:cs="helvetica"/>
          <w:kern w:val="0"/>
          <w:sz w:val="22"/>
          <w:szCs w:val="22"/>
          <w:lang w:val="en-US" w:eastAsia="zh-CN" w:bidi="ar"/>
        </w:rPr>
        <w:t>.</w:t>
      </w:r>
    </w:p>
    <w:p w14:paraId="12836D5C">
      <w:pPr>
        <w:pStyle w:val="4"/>
        <w:keepNext w:val="0"/>
        <w:keepLines w:val="0"/>
        <w:widowControl/>
        <w:suppressLineNumbers w:val="0"/>
        <w:spacing w:before="0" w:beforeAutospacing="0" w:after="240" w:afterAutospacing="0" w:line="360" w:lineRule="auto"/>
        <w:ind w:left="0" w:right="0"/>
        <w:jc w:val="both"/>
        <w:rPr>
          <w:sz w:val="22"/>
          <w:szCs w:val="22"/>
        </w:rPr>
      </w:pPr>
      <w:r>
        <w:rPr>
          <w:rFonts w:ascii="helvetica" w:hAnsi="helvetica" w:eastAsia="helvetica" w:cs="helvetica"/>
          <w:kern w:val="0"/>
          <w:sz w:val="22"/>
          <w:szCs w:val="22"/>
          <w:lang w:val="en-US" w:eastAsia="zh-CN" w:bidi="ar"/>
        </w:rPr>
        <w:t xml:space="preserve">Orlich, D.C. </w:t>
      </w:r>
      <w:r>
        <w:rPr>
          <w:rFonts w:ascii="helvetica" w:hAnsi="helvetica" w:eastAsia="helvetica" w:cs="helvetica"/>
          <w:i/>
          <w:iCs/>
          <w:kern w:val="0"/>
          <w:sz w:val="22"/>
          <w:szCs w:val="22"/>
          <w:lang w:val="en-US" w:eastAsia="zh-CN" w:bidi="ar"/>
        </w:rPr>
        <w:t>et al.</w:t>
      </w:r>
      <w:r>
        <w:rPr>
          <w:rFonts w:ascii="helvetica" w:hAnsi="helvetica" w:eastAsia="helvetica" w:cs="helvetica"/>
          <w:kern w:val="0"/>
          <w:sz w:val="22"/>
          <w:szCs w:val="22"/>
          <w:lang w:val="en-US" w:eastAsia="zh-CN" w:bidi="ar"/>
        </w:rPr>
        <w:t xml:space="preserve"> (2018) </w:t>
      </w:r>
      <w:r>
        <w:rPr>
          <w:rFonts w:ascii="helvetica" w:hAnsi="helvetica" w:eastAsia="helvetica" w:cs="helvetica"/>
          <w:i/>
          <w:iCs/>
          <w:kern w:val="0"/>
          <w:sz w:val="22"/>
          <w:szCs w:val="22"/>
          <w:lang w:val="en-US" w:eastAsia="zh-CN" w:bidi="ar"/>
        </w:rPr>
        <w:t>Teaching Strategies : a Guide to Effective Instruction</w:t>
      </w:r>
      <w:r>
        <w:rPr>
          <w:rFonts w:ascii="helvetica" w:hAnsi="helvetica" w:eastAsia="helvetica" w:cs="helvetica"/>
          <w:kern w:val="0"/>
          <w:sz w:val="22"/>
          <w:szCs w:val="22"/>
          <w:lang w:val="en-US" w:eastAsia="zh-CN" w:bidi="ar"/>
        </w:rPr>
        <w:t>. 11th edn. Belmont: Wadsworth, Boston, Ma, Usa.</w:t>
      </w:r>
    </w:p>
    <w:p w14:paraId="286585A8">
      <w:pPr>
        <w:pStyle w:val="4"/>
        <w:keepNext w:val="0"/>
        <w:keepLines w:val="0"/>
        <w:widowControl/>
        <w:suppressLineNumbers w:val="0"/>
        <w:spacing w:before="0" w:beforeAutospacing="0" w:after="240" w:afterAutospacing="0" w:line="360" w:lineRule="auto"/>
        <w:ind w:left="0" w:right="0"/>
        <w:jc w:val="both"/>
        <w:rPr>
          <w:sz w:val="22"/>
          <w:szCs w:val="22"/>
        </w:rPr>
      </w:pPr>
      <w:r>
        <w:rPr>
          <w:rFonts w:ascii="helvetica" w:hAnsi="helvetica" w:eastAsia="helvetica" w:cs="helvetica"/>
          <w:kern w:val="0"/>
          <w:sz w:val="22"/>
          <w:szCs w:val="22"/>
          <w:lang w:val="en-US" w:eastAsia="zh-CN" w:bidi="ar"/>
        </w:rPr>
        <w:t xml:space="preserve">Pass, S. (2004) </w:t>
      </w:r>
      <w:r>
        <w:rPr>
          <w:rFonts w:ascii="helvetica" w:hAnsi="helvetica" w:eastAsia="helvetica" w:cs="helvetica"/>
          <w:i/>
          <w:iCs/>
          <w:kern w:val="0"/>
          <w:sz w:val="22"/>
          <w:szCs w:val="22"/>
          <w:lang w:val="en-US" w:eastAsia="zh-CN" w:bidi="ar"/>
        </w:rPr>
        <w:t>Parallel Paths to Constructivism : Jean Piaget and Lev Vygotsky</w:t>
      </w:r>
      <w:r>
        <w:rPr>
          <w:rFonts w:ascii="helvetica" w:hAnsi="helvetica" w:eastAsia="helvetica" w:cs="helvetica"/>
          <w:kern w:val="0"/>
          <w:sz w:val="22"/>
          <w:szCs w:val="22"/>
          <w:lang w:val="en-US" w:eastAsia="zh-CN" w:bidi="ar"/>
        </w:rPr>
        <w:t>. Greenwich, Conn.: Information Age Pub.</w:t>
      </w:r>
    </w:p>
    <w:p w14:paraId="2C290F8B">
      <w:pPr>
        <w:pStyle w:val="4"/>
        <w:keepNext w:val="0"/>
        <w:keepLines w:val="0"/>
        <w:widowControl/>
        <w:suppressLineNumbers w:val="0"/>
        <w:spacing w:before="0" w:beforeAutospacing="0" w:after="240" w:afterAutospacing="0" w:line="360" w:lineRule="auto"/>
        <w:ind w:left="0" w:right="0"/>
        <w:jc w:val="both"/>
        <w:rPr>
          <w:sz w:val="22"/>
          <w:szCs w:val="22"/>
        </w:rPr>
      </w:pPr>
      <w:r>
        <w:rPr>
          <w:rFonts w:ascii="helvetica" w:hAnsi="helvetica" w:eastAsia="helvetica" w:cs="helvetica"/>
          <w:kern w:val="0"/>
          <w:sz w:val="22"/>
          <w:szCs w:val="22"/>
          <w:lang w:val="en-US" w:eastAsia="zh-CN" w:bidi="ar"/>
        </w:rPr>
        <w:t xml:space="preserve">Piaget, J. (1973) </w:t>
      </w:r>
      <w:r>
        <w:rPr>
          <w:rFonts w:ascii="helvetica" w:hAnsi="helvetica" w:eastAsia="helvetica" w:cs="helvetica"/>
          <w:i/>
          <w:iCs/>
          <w:kern w:val="0"/>
          <w:sz w:val="22"/>
          <w:szCs w:val="22"/>
          <w:lang w:val="en-US" w:eastAsia="zh-CN" w:bidi="ar"/>
        </w:rPr>
        <w:t>The Child and Reality : Problems of Genetic Psychology</w:t>
      </w:r>
      <w:r>
        <w:rPr>
          <w:rFonts w:ascii="helvetica" w:hAnsi="helvetica" w:eastAsia="helvetica" w:cs="helvetica"/>
          <w:kern w:val="0"/>
          <w:sz w:val="22"/>
          <w:szCs w:val="22"/>
          <w:lang w:val="en-US" w:eastAsia="zh-CN" w:bidi="ar"/>
        </w:rPr>
        <w:t>. Grossman.</w:t>
      </w:r>
    </w:p>
    <w:p w14:paraId="4E7E97F7">
      <w:pPr>
        <w:pStyle w:val="4"/>
        <w:keepNext w:val="0"/>
        <w:keepLines w:val="0"/>
        <w:widowControl/>
        <w:suppressLineNumbers w:val="0"/>
        <w:spacing w:before="0" w:beforeAutospacing="0" w:after="240" w:afterAutospacing="0" w:line="360" w:lineRule="auto"/>
        <w:ind w:left="0" w:right="0"/>
        <w:jc w:val="both"/>
        <w:rPr>
          <w:sz w:val="22"/>
          <w:szCs w:val="22"/>
        </w:rPr>
      </w:pPr>
      <w:r>
        <w:rPr>
          <w:rFonts w:ascii="helvetica" w:hAnsi="helvetica" w:eastAsia="helvetica" w:cs="helvetica"/>
          <w:kern w:val="0"/>
          <w:sz w:val="22"/>
          <w:szCs w:val="22"/>
          <w:lang w:val="en-US" w:eastAsia="zh-CN" w:bidi="ar"/>
        </w:rPr>
        <w:t xml:space="preserve">Puacharearn, P. (2004) </w:t>
      </w:r>
      <w:r>
        <w:rPr>
          <w:rFonts w:ascii="helvetica" w:hAnsi="helvetica" w:eastAsia="helvetica" w:cs="helvetica"/>
          <w:i/>
          <w:iCs/>
          <w:kern w:val="0"/>
          <w:sz w:val="22"/>
          <w:szCs w:val="22"/>
          <w:lang w:val="en-US" w:eastAsia="zh-CN" w:bidi="ar"/>
        </w:rPr>
        <w:t>The Effectiveness of Constructivist Teaching on Improving Learning Environments in Thai Secondary School Science Classrooms</w:t>
      </w:r>
      <w:r>
        <w:rPr>
          <w:rFonts w:ascii="helvetica" w:hAnsi="helvetica" w:eastAsia="helvetica" w:cs="helvetica"/>
          <w:kern w:val="0"/>
          <w:sz w:val="22"/>
          <w:szCs w:val="22"/>
          <w:lang w:val="en-US" w:eastAsia="zh-CN" w:bidi="ar"/>
        </w:rPr>
        <w:t xml:space="preserve">, </w:t>
      </w:r>
      <w:r>
        <w:rPr>
          <w:rFonts w:ascii="helvetica" w:hAnsi="helvetica" w:eastAsia="helvetica" w:cs="helvetica"/>
          <w:i/>
          <w:iCs/>
          <w:kern w:val="0"/>
          <w:sz w:val="22"/>
          <w:szCs w:val="22"/>
          <w:lang w:val="en-US" w:eastAsia="zh-CN" w:bidi="ar"/>
        </w:rPr>
        <w:t>core.ac.uk</w:t>
      </w:r>
      <w:r>
        <w:rPr>
          <w:rFonts w:ascii="helvetica" w:hAnsi="helvetica" w:eastAsia="helvetica" w:cs="helvetica"/>
          <w:kern w:val="0"/>
          <w:sz w:val="22"/>
          <w:szCs w:val="22"/>
          <w:lang w:val="en-US" w:eastAsia="zh-CN" w:bidi="ar"/>
        </w:rPr>
        <w:t xml:space="preserve">. Available at: </w:t>
      </w:r>
      <w:r>
        <w:rPr>
          <w:rFonts w:ascii="helvetica" w:hAnsi="helvetica" w:eastAsia="helvetica" w:cs="helvetica"/>
          <w:kern w:val="0"/>
          <w:sz w:val="22"/>
          <w:szCs w:val="22"/>
          <w:lang w:val="en-US" w:eastAsia="zh-CN" w:bidi="ar"/>
        </w:rPr>
        <w:fldChar w:fldCharType="begin"/>
      </w:r>
      <w:r>
        <w:rPr>
          <w:rFonts w:ascii="helvetica" w:hAnsi="helvetica" w:eastAsia="helvetica" w:cs="helvetica"/>
          <w:kern w:val="0"/>
          <w:sz w:val="22"/>
          <w:szCs w:val="22"/>
          <w:lang w:val="en-US" w:eastAsia="zh-CN" w:bidi="ar"/>
        </w:rPr>
        <w:instrText xml:space="preserve"> HYPERLINK "https://core.ac.uk/reader/195633030" </w:instrText>
      </w:r>
      <w:r>
        <w:rPr>
          <w:rFonts w:ascii="helvetica" w:hAnsi="helvetica" w:eastAsia="helvetica" w:cs="helvetica"/>
          <w:kern w:val="0"/>
          <w:sz w:val="22"/>
          <w:szCs w:val="22"/>
          <w:lang w:val="en-US" w:eastAsia="zh-CN" w:bidi="ar"/>
        </w:rPr>
        <w:fldChar w:fldCharType="separate"/>
      </w:r>
      <w:r>
        <w:rPr>
          <w:rStyle w:val="8"/>
          <w:sz w:val="22"/>
          <w:szCs w:val="22"/>
        </w:rPr>
        <w:t>https://core.ac.uk/reader/195633030</w:t>
      </w:r>
      <w:r>
        <w:rPr>
          <w:rFonts w:ascii="helvetica" w:hAnsi="helvetica" w:eastAsia="helvetica" w:cs="helvetica"/>
          <w:kern w:val="0"/>
          <w:sz w:val="22"/>
          <w:szCs w:val="22"/>
          <w:lang w:val="en-US" w:eastAsia="zh-CN" w:bidi="ar"/>
        </w:rPr>
        <w:fldChar w:fldCharType="end"/>
      </w:r>
      <w:r>
        <w:rPr>
          <w:rFonts w:ascii="helvetica" w:hAnsi="helvetica" w:eastAsia="helvetica" w:cs="helvetica"/>
          <w:kern w:val="0"/>
          <w:sz w:val="22"/>
          <w:szCs w:val="22"/>
          <w:lang w:val="en-US" w:eastAsia="zh-CN" w:bidi="ar"/>
        </w:rPr>
        <w:t>.</w:t>
      </w:r>
    </w:p>
    <w:p w14:paraId="646C582B">
      <w:pPr>
        <w:pStyle w:val="4"/>
        <w:keepNext w:val="0"/>
        <w:keepLines w:val="0"/>
        <w:widowControl/>
        <w:suppressLineNumbers w:val="0"/>
        <w:spacing w:before="0" w:beforeAutospacing="0" w:after="240" w:afterAutospacing="0" w:line="360" w:lineRule="auto"/>
        <w:ind w:left="0" w:right="0"/>
        <w:jc w:val="both"/>
        <w:rPr>
          <w:sz w:val="22"/>
          <w:szCs w:val="22"/>
        </w:rPr>
      </w:pPr>
      <w:r>
        <w:rPr>
          <w:rFonts w:ascii="helvetica" w:hAnsi="helvetica" w:eastAsia="helvetica" w:cs="helvetica"/>
          <w:kern w:val="0"/>
          <w:sz w:val="22"/>
          <w:szCs w:val="22"/>
          <w:lang w:val="en-US" w:eastAsia="zh-CN" w:bidi="ar"/>
        </w:rPr>
        <w:t xml:space="preserve">Stephen, D.F., Welman, J.C. and Jordaan, W.J. (2004) ‘English Language Proficiency as an Indicator of Academic Performance at a Tertiary Institution’, </w:t>
      </w:r>
      <w:r>
        <w:rPr>
          <w:rFonts w:ascii="helvetica" w:hAnsi="helvetica" w:eastAsia="helvetica" w:cs="helvetica"/>
          <w:i/>
          <w:iCs/>
          <w:kern w:val="0"/>
          <w:sz w:val="22"/>
          <w:szCs w:val="22"/>
          <w:lang w:val="en-US" w:eastAsia="zh-CN" w:bidi="ar"/>
        </w:rPr>
        <w:t>SA Journal of Human Resource Management</w:t>
      </w:r>
      <w:r>
        <w:rPr>
          <w:rFonts w:ascii="helvetica" w:hAnsi="helvetica" w:eastAsia="helvetica" w:cs="helvetica"/>
          <w:kern w:val="0"/>
          <w:sz w:val="22"/>
          <w:szCs w:val="22"/>
          <w:lang w:val="en-US" w:eastAsia="zh-CN" w:bidi="ar"/>
        </w:rPr>
        <w:t xml:space="preserve">, 2(3). Available at: </w:t>
      </w:r>
      <w:r>
        <w:rPr>
          <w:rFonts w:ascii="helvetica" w:hAnsi="helvetica" w:eastAsia="helvetica" w:cs="helvetica"/>
          <w:kern w:val="0"/>
          <w:sz w:val="22"/>
          <w:szCs w:val="22"/>
          <w:lang w:val="en-US" w:eastAsia="zh-CN" w:bidi="ar"/>
        </w:rPr>
        <w:fldChar w:fldCharType="begin"/>
      </w:r>
      <w:r>
        <w:rPr>
          <w:rFonts w:ascii="helvetica" w:hAnsi="helvetica" w:eastAsia="helvetica" w:cs="helvetica"/>
          <w:kern w:val="0"/>
          <w:sz w:val="22"/>
          <w:szCs w:val="22"/>
          <w:lang w:val="en-US" w:eastAsia="zh-CN" w:bidi="ar"/>
        </w:rPr>
        <w:instrText xml:space="preserve"> HYPERLINK "https://doi.org/10.4102/sajhrm.v2i3.48" </w:instrText>
      </w:r>
      <w:r>
        <w:rPr>
          <w:rFonts w:ascii="helvetica" w:hAnsi="helvetica" w:eastAsia="helvetica" w:cs="helvetica"/>
          <w:kern w:val="0"/>
          <w:sz w:val="22"/>
          <w:szCs w:val="22"/>
          <w:lang w:val="en-US" w:eastAsia="zh-CN" w:bidi="ar"/>
        </w:rPr>
        <w:fldChar w:fldCharType="separate"/>
      </w:r>
      <w:r>
        <w:rPr>
          <w:rStyle w:val="8"/>
          <w:sz w:val="22"/>
          <w:szCs w:val="22"/>
        </w:rPr>
        <w:t>https://doi.org/10.4102/sajhrm.v2i3.48</w:t>
      </w:r>
      <w:r>
        <w:rPr>
          <w:rFonts w:ascii="helvetica" w:hAnsi="helvetica" w:eastAsia="helvetica" w:cs="helvetica"/>
          <w:kern w:val="0"/>
          <w:sz w:val="22"/>
          <w:szCs w:val="22"/>
          <w:lang w:val="en-US" w:eastAsia="zh-CN" w:bidi="ar"/>
        </w:rPr>
        <w:fldChar w:fldCharType="end"/>
      </w:r>
      <w:r>
        <w:rPr>
          <w:rFonts w:ascii="helvetica" w:hAnsi="helvetica" w:eastAsia="helvetica" w:cs="helvetica"/>
          <w:kern w:val="0"/>
          <w:sz w:val="22"/>
          <w:szCs w:val="22"/>
          <w:lang w:val="en-US" w:eastAsia="zh-CN" w:bidi="ar"/>
        </w:rPr>
        <w:t>.</w:t>
      </w:r>
    </w:p>
    <w:p w14:paraId="0AE92653">
      <w:pPr>
        <w:pStyle w:val="4"/>
        <w:keepNext w:val="0"/>
        <w:keepLines w:val="0"/>
        <w:widowControl/>
        <w:suppressLineNumbers w:val="0"/>
        <w:spacing w:before="0" w:beforeAutospacing="0" w:after="240" w:afterAutospacing="0" w:line="360" w:lineRule="auto"/>
        <w:ind w:left="0" w:right="0"/>
        <w:jc w:val="both"/>
        <w:rPr>
          <w:sz w:val="24"/>
          <w:szCs w:val="24"/>
        </w:rPr>
      </w:pPr>
      <w:r>
        <w:rPr>
          <w:rFonts w:ascii="helvetica" w:hAnsi="helvetica" w:eastAsia="helvetica" w:cs="helvetica"/>
          <w:kern w:val="0"/>
          <w:sz w:val="22"/>
          <w:szCs w:val="22"/>
          <w:lang w:val="en-US" w:eastAsia="zh-CN" w:bidi="ar"/>
        </w:rPr>
        <w:t xml:space="preserve">Vygotsky, L.S. and Cole, M. (1978) </w:t>
      </w:r>
      <w:r>
        <w:rPr>
          <w:rFonts w:ascii="helvetica" w:hAnsi="helvetica" w:eastAsia="helvetica" w:cs="helvetica"/>
          <w:i/>
          <w:iCs/>
          <w:kern w:val="0"/>
          <w:sz w:val="22"/>
          <w:szCs w:val="22"/>
          <w:lang w:val="en-US" w:eastAsia="zh-CN" w:bidi="ar"/>
        </w:rPr>
        <w:t>Mind in Society: Development of Higher Psychological Processes</w:t>
      </w:r>
      <w:r>
        <w:rPr>
          <w:rFonts w:ascii="helvetica" w:hAnsi="helvetica" w:eastAsia="helvetica" w:cs="helvetica"/>
          <w:kern w:val="0"/>
          <w:sz w:val="22"/>
          <w:szCs w:val="22"/>
          <w:lang w:val="en-US" w:eastAsia="zh-CN" w:bidi="ar"/>
        </w:rPr>
        <w:t xml:space="preserve">, </w:t>
      </w:r>
      <w:r>
        <w:rPr>
          <w:rFonts w:ascii="helvetica" w:hAnsi="helvetica" w:eastAsia="helvetica" w:cs="helvetica"/>
          <w:i/>
          <w:iCs/>
          <w:kern w:val="0"/>
          <w:sz w:val="22"/>
          <w:szCs w:val="22"/>
          <w:lang w:val="en-US" w:eastAsia="zh-CN" w:bidi="ar"/>
        </w:rPr>
        <w:t>Google Books</w:t>
      </w:r>
      <w:r>
        <w:rPr>
          <w:rFonts w:ascii="helvetica" w:hAnsi="helvetica" w:eastAsia="helvetica" w:cs="helvetica"/>
          <w:kern w:val="0"/>
          <w:sz w:val="22"/>
          <w:szCs w:val="22"/>
          <w:lang w:val="en-US" w:eastAsia="zh-CN" w:bidi="ar"/>
        </w:rPr>
        <w:t xml:space="preserve">. Harvard University Press. Available at: </w:t>
      </w:r>
      <w:r>
        <w:rPr>
          <w:rFonts w:ascii="helvetica" w:hAnsi="helvetica" w:eastAsia="helvetica" w:cs="helvetica"/>
          <w:kern w:val="0"/>
          <w:sz w:val="22"/>
          <w:szCs w:val="22"/>
          <w:lang w:val="en-US" w:eastAsia="zh-CN" w:bidi="ar"/>
        </w:rPr>
        <w:fldChar w:fldCharType="begin"/>
      </w:r>
      <w:r>
        <w:rPr>
          <w:rFonts w:ascii="helvetica" w:hAnsi="helvetica" w:eastAsia="helvetica" w:cs="helvetica"/>
          <w:kern w:val="0"/>
          <w:sz w:val="22"/>
          <w:szCs w:val="22"/>
          <w:lang w:val="en-US" w:eastAsia="zh-CN" w:bidi="ar"/>
        </w:rPr>
        <w:instrText xml:space="preserve"> HYPERLINK "https://books.google.co.uk/books?hl=zh-CN&amp;lr=&amp;id=RxjjUefze_oC&amp;oi=fnd&amp;pg=PA1&amp;dq=Vygotsky" </w:instrText>
      </w:r>
      <w:r>
        <w:rPr>
          <w:rFonts w:ascii="helvetica" w:hAnsi="helvetica" w:eastAsia="helvetica" w:cs="helvetica"/>
          <w:kern w:val="0"/>
          <w:sz w:val="22"/>
          <w:szCs w:val="22"/>
          <w:lang w:val="en-US" w:eastAsia="zh-CN" w:bidi="ar"/>
        </w:rPr>
        <w:fldChar w:fldCharType="separate"/>
      </w:r>
      <w:r>
        <w:rPr>
          <w:rStyle w:val="8"/>
          <w:sz w:val="22"/>
          <w:szCs w:val="22"/>
        </w:rPr>
        <w:t>https://books.google.co.uk/books?hl=zh-CN&amp;lr=&amp;id=RxjjUefze_oC&amp;oi=fnd&amp;pg=PA1&amp;dq=Vygotsky</w:t>
      </w:r>
      <w:r>
        <w:rPr>
          <w:rFonts w:ascii="helvetica" w:hAnsi="helvetica" w:eastAsia="helvetica" w:cs="helvetica"/>
          <w:kern w:val="0"/>
          <w:sz w:val="22"/>
          <w:szCs w:val="22"/>
          <w:lang w:val="en-US" w:eastAsia="zh-CN" w:bidi="ar"/>
        </w:rPr>
        <w:fldChar w:fldCharType="end"/>
      </w:r>
      <w:r>
        <w:rPr>
          <w:rFonts w:ascii="helvetica" w:hAnsi="helvetica" w:eastAsia="helvetica" w:cs="helvetica"/>
          <w:kern w:val="0"/>
          <w:sz w:val="24"/>
          <w:szCs w:val="24"/>
          <w:lang w:val="en-US" w:eastAsia="zh-CN" w:bidi="ar"/>
        </w:rPr>
        <w:t>.</w:t>
      </w:r>
    </w:p>
    <w:p w14:paraId="69ECEFA6">
      <w:pPr>
        <w:pStyle w:val="4"/>
        <w:keepNext w:val="0"/>
        <w:keepLines w:val="0"/>
        <w:widowControl/>
        <w:suppressLineNumbers w:val="0"/>
        <w:spacing w:before="0" w:beforeAutospacing="0" w:after="240" w:afterAutospacing="0" w:line="360" w:lineRule="auto"/>
        <w:ind w:left="0" w:right="0"/>
        <w:jc w:val="both"/>
        <w:rPr>
          <w:sz w:val="22"/>
          <w:szCs w:val="22"/>
        </w:rPr>
      </w:pPr>
      <w:r>
        <w:rPr>
          <w:rFonts w:ascii="helvetica" w:hAnsi="helvetica" w:eastAsia="helvetica" w:cs="helvetica"/>
          <w:kern w:val="0"/>
          <w:sz w:val="22"/>
          <w:szCs w:val="22"/>
          <w:lang w:val="en-US" w:eastAsia="zh-CN" w:bidi="ar"/>
        </w:rPr>
        <w:t xml:space="preserve">Xu, Z. and Shi, Y. (2018) ‘Application of Constructivist Theory in Flipped Classroom — Take College English Teaching as a Case Study’, </w:t>
      </w:r>
      <w:r>
        <w:rPr>
          <w:rFonts w:ascii="helvetica" w:hAnsi="helvetica" w:eastAsia="helvetica" w:cs="helvetica"/>
          <w:i/>
          <w:iCs/>
          <w:kern w:val="0"/>
          <w:sz w:val="22"/>
          <w:szCs w:val="22"/>
          <w:lang w:val="en-US" w:eastAsia="zh-CN" w:bidi="ar"/>
        </w:rPr>
        <w:t>Theory and Practice in Language Studies</w:t>
      </w:r>
      <w:r>
        <w:rPr>
          <w:rFonts w:ascii="helvetica" w:hAnsi="helvetica" w:eastAsia="helvetica" w:cs="helvetica"/>
          <w:kern w:val="0"/>
          <w:sz w:val="22"/>
          <w:szCs w:val="22"/>
          <w:lang w:val="en-US" w:eastAsia="zh-CN" w:bidi="ar"/>
        </w:rPr>
        <w:t xml:space="preserve">, 8(7), p. 880. Available at: </w:t>
      </w:r>
      <w:r>
        <w:rPr>
          <w:rFonts w:ascii="helvetica" w:hAnsi="helvetica" w:eastAsia="helvetica" w:cs="helvetica"/>
          <w:kern w:val="0"/>
          <w:sz w:val="22"/>
          <w:szCs w:val="22"/>
          <w:lang w:val="en-US" w:eastAsia="zh-CN" w:bidi="ar"/>
        </w:rPr>
        <w:fldChar w:fldCharType="begin"/>
      </w:r>
      <w:r>
        <w:rPr>
          <w:rFonts w:ascii="helvetica" w:hAnsi="helvetica" w:eastAsia="helvetica" w:cs="helvetica"/>
          <w:kern w:val="0"/>
          <w:sz w:val="22"/>
          <w:szCs w:val="22"/>
          <w:lang w:val="en-US" w:eastAsia="zh-CN" w:bidi="ar"/>
        </w:rPr>
        <w:instrText xml:space="preserve"> HYPERLINK "https://doi.org/10.17507/tpls.0807.21" </w:instrText>
      </w:r>
      <w:r>
        <w:rPr>
          <w:rFonts w:ascii="helvetica" w:hAnsi="helvetica" w:eastAsia="helvetica" w:cs="helvetica"/>
          <w:kern w:val="0"/>
          <w:sz w:val="22"/>
          <w:szCs w:val="22"/>
          <w:lang w:val="en-US" w:eastAsia="zh-CN" w:bidi="ar"/>
        </w:rPr>
        <w:fldChar w:fldCharType="separate"/>
      </w:r>
      <w:r>
        <w:rPr>
          <w:rStyle w:val="8"/>
          <w:sz w:val="22"/>
          <w:szCs w:val="22"/>
        </w:rPr>
        <w:t>https://doi.org/10.17507/tpls.0807.21</w:t>
      </w:r>
      <w:r>
        <w:rPr>
          <w:rFonts w:ascii="helvetica" w:hAnsi="helvetica" w:eastAsia="helvetica" w:cs="helvetica"/>
          <w:kern w:val="0"/>
          <w:sz w:val="22"/>
          <w:szCs w:val="22"/>
          <w:lang w:val="en-US" w:eastAsia="zh-CN" w:bidi="ar"/>
        </w:rPr>
        <w:fldChar w:fldCharType="end"/>
      </w:r>
      <w:r>
        <w:rPr>
          <w:rFonts w:ascii="helvetica" w:hAnsi="helvetica" w:eastAsia="helvetica" w:cs="helvetica"/>
          <w:kern w:val="0"/>
          <w:sz w:val="22"/>
          <w:szCs w:val="22"/>
          <w:lang w:val="en-US" w:eastAsia="zh-CN" w:bidi="ar"/>
        </w:rPr>
        <w:t>.</w:t>
      </w:r>
    </w:p>
    <w:p w14:paraId="177174A3">
      <w:pPr>
        <w:spacing w:line="360" w:lineRule="auto"/>
        <w:rPr>
          <w:sz w:val="28"/>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ans-serif">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Arial">
    <w:panose1 w:val="020B0604020202090204"/>
    <w:charset w:val="00"/>
    <w:family w:val="auto"/>
    <w:pitch w:val="default"/>
    <w:sig w:usb0="E0000AFF" w:usb1="00007843" w:usb2="00000001" w:usb3="00000000" w:csb0="400001BF" w:csb1="DFF70000"/>
  </w:font>
  <w:font w:name="Times New Roman Regular">
    <w:panose1 w:val="02020603050405020304"/>
    <w:charset w:val="00"/>
    <w:family w:val="auto"/>
    <w:pitch w:val="default"/>
    <w:sig w:usb0="E0002AEF" w:usb1="C0007841" w:usb2="00000009" w:usb3="00000000" w:csb0="400001FF" w:csb1="FFFF0000"/>
  </w:font>
  <w:font w:name="PingFang SC">
    <w:panose1 w:val="020B0400000000000000"/>
    <w:charset w:val="86"/>
    <w:family w:val="auto"/>
    <w:pitch w:val="default"/>
    <w:sig w:usb0="A00002FF" w:usb1="7ACFFDFB" w:usb2="00000017" w:usb3="00000000" w:csb0="00040001" w:csb1="00000000"/>
  </w:font>
  <w:font w:name="helvetica">
    <w:panose1 w:val="00000000000000000000"/>
    <w:charset w:val="00"/>
    <w:family w:val="auto"/>
    <w:pitch w:val="default"/>
    <w:sig w:usb0="E00002FF" w:usb1="5000785B" w:usb2="00000000" w:usb3="00000000" w:csb0="2000019F" w:csb1="4F010000"/>
  </w:font>
  <w:font w:name="Helvetica Bold">
    <w:panose1 w:val="00000000000000000000"/>
    <w:charset w:val="00"/>
    <w:family w:val="auto"/>
    <w:pitch w:val="default"/>
    <w:sig w:usb0="E00002FF" w:usb1="5000785B" w:usb2="00000000" w:usb3="00000000" w:csb0="2000019F" w:csb1="4F010000"/>
  </w:font>
  <w:font w:name="Times New Roman Bold">
    <w:panose1 w:val="02020603050405020304"/>
    <w:charset w:val="00"/>
    <w:family w:val="auto"/>
    <w:pitch w:val="default"/>
    <w:sig w:usb0="E0002AEF" w:usb1="C0007841" w:usb2="00000009" w:usb3="00000000" w:csb0="400001FF" w:csb1="FFFF0000"/>
  </w:font>
  <w:font w:name="Calibri Light">
    <w:altName w:val="Helvetica Neue"/>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62E594"/>
    <w:multiLevelType w:val="singleLevel"/>
    <w:tmpl w:val="9B62E59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2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I5MDgzMzg4NjE0NzU2ODI0YzdjZjc2YThmYmIzMGEifQ=="/>
  </w:docVars>
  <w:rsids>
    <w:rsidRoot w:val="CFE1E3F7"/>
    <w:rsid w:val="19DDA603"/>
    <w:rsid w:val="37DC6A00"/>
    <w:rsid w:val="3BF726DB"/>
    <w:rsid w:val="3FEF466F"/>
    <w:rsid w:val="48FFED05"/>
    <w:rsid w:val="4AEE8D88"/>
    <w:rsid w:val="4FBF21AA"/>
    <w:rsid w:val="5712DBD0"/>
    <w:rsid w:val="58F3838B"/>
    <w:rsid w:val="58FEFF97"/>
    <w:rsid w:val="59FBBE75"/>
    <w:rsid w:val="5F6CEFA9"/>
    <w:rsid w:val="5F7F9395"/>
    <w:rsid w:val="65BF998A"/>
    <w:rsid w:val="6AF7D25F"/>
    <w:rsid w:val="6D37DFA9"/>
    <w:rsid w:val="6DF56006"/>
    <w:rsid w:val="6FA9EB1A"/>
    <w:rsid w:val="754EB1AD"/>
    <w:rsid w:val="765EFD0F"/>
    <w:rsid w:val="76FFD3C1"/>
    <w:rsid w:val="77CF6E66"/>
    <w:rsid w:val="77D910B3"/>
    <w:rsid w:val="77FE933C"/>
    <w:rsid w:val="78F59A69"/>
    <w:rsid w:val="79EF527C"/>
    <w:rsid w:val="7AEEE731"/>
    <w:rsid w:val="7DEE3824"/>
    <w:rsid w:val="7E6D2EE2"/>
    <w:rsid w:val="7E7FCDBD"/>
    <w:rsid w:val="7EB348F6"/>
    <w:rsid w:val="7F3BBF12"/>
    <w:rsid w:val="7F5FF0E5"/>
    <w:rsid w:val="7F6DE88C"/>
    <w:rsid w:val="7FF5ACDA"/>
    <w:rsid w:val="8DBFCC8E"/>
    <w:rsid w:val="8EEB2E48"/>
    <w:rsid w:val="97F7C8A8"/>
    <w:rsid w:val="9BDA92C4"/>
    <w:rsid w:val="9EBF8D0A"/>
    <w:rsid w:val="ABFF6681"/>
    <w:rsid w:val="ADAF749F"/>
    <w:rsid w:val="B76EA9E7"/>
    <w:rsid w:val="BFBB7CA7"/>
    <w:rsid w:val="BFF8EA78"/>
    <w:rsid w:val="C6F03F29"/>
    <w:rsid w:val="CFE1E3F7"/>
    <w:rsid w:val="D4F39191"/>
    <w:rsid w:val="DA9B4E6D"/>
    <w:rsid w:val="DB4B7DA8"/>
    <w:rsid w:val="DBEFCFD8"/>
    <w:rsid w:val="DDFF62E0"/>
    <w:rsid w:val="DFEEF288"/>
    <w:rsid w:val="E6DEEEA1"/>
    <w:rsid w:val="EF6D9701"/>
    <w:rsid w:val="EFBF1053"/>
    <w:rsid w:val="EFEA7F0B"/>
    <w:rsid w:val="EFFB3E33"/>
    <w:rsid w:val="EFFF7E3D"/>
    <w:rsid w:val="F1BA75FF"/>
    <w:rsid w:val="F55F041C"/>
    <w:rsid w:val="F7F83C6E"/>
    <w:rsid w:val="F8778EC7"/>
    <w:rsid w:val="FB3F0F3A"/>
    <w:rsid w:val="FBFF3DB4"/>
    <w:rsid w:val="FDB7E2B1"/>
    <w:rsid w:val="FEA760BE"/>
    <w:rsid w:val="FEDF5083"/>
    <w:rsid w:val="FEFB2BF1"/>
    <w:rsid w:val="FFBE7C3D"/>
    <w:rsid w:val="FFF10EAE"/>
    <w:rsid w:val="FFFF020D"/>
    <w:rsid w:val="FFFF82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Hyperlink"/>
    <w:basedOn w:val="6"/>
    <w:uiPriority w:val="0"/>
    <w:rPr>
      <w:color w:val="0000FF"/>
      <w:u w:val="single"/>
    </w:rPr>
  </w:style>
  <w:style w:type="paragraph" w:customStyle="1" w:styleId="9">
    <w:name w:val="p1"/>
    <w:basedOn w:val="1"/>
    <w:uiPriority w:val="0"/>
    <w:pPr>
      <w:spacing w:before="0" w:beforeAutospacing="0" w:after="240" w:afterAutospacing="0"/>
      <w:ind w:left="0" w:right="0"/>
      <w:jc w:val="left"/>
    </w:pPr>
    <w:rPr>
      <w:rFonts w:ascii="helvetica" w:hAnsi="helvetica" w:eastAsia="helvetica" w:cs="helvetica"/>
      <w:kern w:val="0"/>
      <w:sz w:val="36"/>
      <w:szCs w:val="36"/>
      <w:lang w:val="en-US" w:eastAsia="zh-CN" w:bidi="ar"/>
    </w:rPr>
  </w:style>
  <w:style w:type="paragraph" w:customStyle="1" w:styleId="10">
    <w:name w:val="p2"/>
    <w:basedOn w:val="1"/>
    <w:uiPriority w:val="0"/>
    <w:pPr>
      <w:spacing w:before="0" w:beforeAutospacing="0" w:after="240" w:afterAutospacing="0"/>
      <w:ind w:left="0" w:right="0"/>
      <w:jc w:val="left"/>
    </w:pPr>
    <w:rPr>
      <w:rFonts w:hint="default" w:ascii="helvetica" w:hAnsi="helvetica" w:eastAsia="helvetica" w:cs="helvetica"/>
      <w:kern w:val="0"/>
      <w:sz w:val="24"/>
      <w:szCs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12</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2024-10-30T10:47:00Z</dcterms:created>
  <dc:creator>oops</dc:creator>
  <cp:lastModifiedBy>oops</cp:lastModifiedBy>
  <dcterms:modified xsi:type="dcterms:W3CDTF">2024-11-07T13:59:29Z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B3C775B3FE7D13F09C002267BB0F6042_41</vt:lpwstr>
  </property>
</Properties>
</file>