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46256304"/>
        <w:docPartObj>
          <w:docPartGallery w:val="Cover Pages"/>
          <w:docPartUnique/>
        </w:docPartObj>
      </w:sdtPr>
      <w:sdtContent>
        <w:p w14:paraId="783E4DB1" w14:textId="21CE4E2C" w:rsidR="00A72CC3" w:rsidRPr="00CA1A43" w:rsidRDefault="00A72CC3" w:rsidP="00CA1A43">
          <w:pPr>
            <w:spacing w:line="360" w:lineRule="auto"/>
            <w:rPr>
              <w:rFonts w:ascii="Arial" w:hAnsi="Arial" w:cs="Arial"/>
            </w:rPr>
          </w:pPr>
          <w:r w:rsidRPr="00CA1A43">
            <w:rPr>
              <w:rFonts w:ascii="Arial" w:hAnsi="Arial" w:cs="Arial"/>
              <w:noProof/>
            </w:rPr>
            <mc:AlternateContent>
              <mc:Choice Requires="wps">
                <w:drawing>
                  <wp:anchor distT="0" distB="0" distL="114300" distR="114300" simplePos="0" relativeHeight="251663360" behindDoc="1" locked="0" layoutInCell="1" allowOverlap="1" wp14:anchorId="5190303F" wp14:editId="3873B5ED">
                    <wp:simplePos x="0" y="0"/>
                    <wp:positionH relativeFrom="margin">
                      <wp:posOffset>-701675</wp:posOffset>
                    </wp:positionH>
                    <wp:positionV relativeFrom="margin">
                      <wp:posOffset>-1580515</wp:posOffset>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EE51C67" w14:textId="77777777" w:rsidR="00A72CC3" w:rsidRDefault="00A72C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90303F" id="Rectangle 257" o:spid="_x0000_s1026" style="position:absolute;margin-left:-55.25pt;margin-top:-124.45pt;width:581.4pt;height:752.4pt;z-index:-251653120;visibility:visible;mso-wrap-style:square;mso-width-percent:950;mso-height-percent:950;mso-wrap-distance-left:9pt;mso-wrap-distance-top:0;mso-wrap-distance-right:9pt;mso-wrap-distance-bottom:0;mso-position-horizontal:absolute;mso-position-horizontal-relative:margin;mso-position-vertical:absolute;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" fillcolor="#c1e4f5 [660]" stroked="f" strokeweight="1.5pt">
                    <v:fill color2="#45b0e1 [1940]" rotate="t" focus="100%" type="gradient">
                      <o:fill v:ext="view" type="gradientUnscaled"/>
                    </v:fill>
                    <v:textbox inset="21.6pt,,21.6pt">
                      <w:txbxContent>
                        <w:p w14:paraId="1EE51C67" w14:textId="77777777" w:rsidR="00A72CC3" w:rsidRDefault="00A72CC3"/>
                      </w:txbxContent>
                    </v:textbox>
                    <w10:wrap anchorx="margin" anchory="margin"/>
                  </v:rect>
                </w:pict>
              </mc:Fallback>
            </mc:AlternateContent>
          </w:r>
          <w:r w:rsidRPr="00CA1A43">
            <w:rPr>
              <w:rFonts w:ascii="Arial" w:hAnsi="Arial" w:cs="Arial"/>
              <w:noProof/>
            </w:rPr>
            <mc:AlternateContent>
              <mc:Choice Requires="wps">
                <w:drawing>
                  <wp:anchor distT="0" distB="0" distL="114300" distR="114300" simplePos="0" relativeHeight="251660288" behindDoc="0" locked="0" layoutInCell="1" allowOverlap="1" wp14:anchorId="12869958" wp14:editId="50B57F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8ECFFE" w14:textId="2AAF6EA2" w:rsidR="00A72CC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A1A4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2869958"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7lbqjokCAABzBQAADgAAAAAAAAAAAAAAAAAuAgAAZHJzL2Uyb0RvYy54bWxQSwECLQAUAAYA&#10;CAAAACEAMPK6Ut4AAAAFAQAADwAAAAAAAAAAAAAAAADjBAAAZHJzL2Rvd25yZXYueG1sUEsFBgAA&#10;AAAEAAQA8wAAAO4FAAAAAA==&#10;" fillcolor="#0e2841 [3215]" stroked="f" strokeweight="1.5pt">
                    <v:textbox inset="14.4pt,14.4pt,14.4pt,28.8pt">
                      <w:txbxContent>
                        <w:p w14:paraId="708ECFFE" w14:textId="2AAF6EA2" w:rsidR="00A72CC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A1A43">
                                <w:rPr>
                                  <w:color w:val="FFFFFF" w:themeColor="background1"/>
                                </w:rPr>
                                <w:t xml:space="preserve">     </w:t>
                              </w:r>
                            </w:sdtContent>
                          </w:sdt>
                        </w:p>
                      </w:txbxContent>
                    </v:textbox>
                    <w10:wrap anchorx="page" anchory="page"/>
                  </v:rect>
                </w:pict>
              </mc:Fallback>
            </mc:AlternateContent>
          </w:r>
          <w:r w:rsidRPr="00CA1A43">
            <w:rPr>
              <w:rFonts w:ascii="Arial" w:hAnsi="Arial" w:cs="Arial"/>
              <w:noProof/>
            </w:rPr>
            <mc:AlternateContent>
              <mc:Choice Requires="wps">
                <w:drawing>
                  <wp:anchor distT="0" distB="0" distL="114300" distR="114300" simplePos="0" relativeHeight="251659264" behindDoc="0" locked="0" layoutInCell="1" allowOverlap="1" wp14:anchorId="5DE8B2EE" wp14:editId="43252A1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2D41D0D"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CA1A43">
            <w:rPr>
              <w:rFonts w:ascii="Arial" w:hAnsi="Arial" w:cs="Arial"/>
              <w:noProof/>
            </w:rPr>
            <mc:AlternateContent>
              <mc:Choice Requires="wps">
                <w:drawing>
                  <wp:anchor distT="0" distB="0" distL="114300" distR="114300" simplePos="0" relativeHeight="251662336" behindDoc="0" locked="0" layoutInCell="1" allowOverlap="1" wp14:anchorId="03CD18E4" wp14:editId="6E4096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A7CF6DF"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p>
        <w:p w14:paraId="079FAC76" w14:textId="0299A270" w:rsidR="00A72CC3" w:rsidRPr="00CA1A43" w:rsidRDefault="00CA1A43" w:rsidP="00CA1A43">
          <w:pPr>
            <w:spacing w:line="360" w:lineRule="auto"/>
            <w:rPr>
              <w:rFonts w:ascii="Arial" w:hAnsi="Arial" w:cs="Arial"/>
            </w:rPr>
          </w:pPr>
          <w:r w:rsidRPr="00CA1A43">
            <w:rPr>
              <w:rFonts w:ascii="Arial" w:hAnsi="Arial" w:cs="Arial"/>
              <w:noProof/>
            </w:rPr>
            <mc:AlternateContent>
              <mc:Choice Requires="wps">
                <w:drawing>
                  <wp:anchor distT="0" distB="0" distL="114300" distR="114300" simplePos="0" relativeHeight="251661312" behindDoc="0" locked="0" layoutInCell="1" allowOverlap="1" wp14:anchorId="3ED8BFC0" wp14:editId="512A79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1803400"/>
                    <wp:effectExtent l="0" t="0" r="0" b="635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1803400"/>
                            </a:xfrm>
                            <a:prstGeom prst="rect">
                              <a:avLst/>
                            </a:prstGeom>
                            <a:noFill/>
                            <a:ln w="6350">
                              <a:noFill/>
                            </a:ln>
                            <a:effectLst/>
                          </wps:spPr>
                          <wps:txbx>
                            <w:txbxContent>
                              <w:p w14:paraId="5DEFA3DD" w14:textId="77777777" w:rsidR="00CA1A4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Saheeda Miah</w:t>
                                </w:r>
                              </w:p>
                              <w:p w14:paraId="4D6E41B5" w14:textId="77777777" w:rsidR="00CA1A4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ID Number: 2422429</w:t>
                                </w:r>
                              </w:p>
                              <w:p w14:paraId="6CAE9320" w14:textId="215BC522" w:rsidR="00A72CC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Module code: LCHS4010 C2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3ED8BFC0" id="_x0000_t202" coordsize="21600,21600" o:spt="202" path="m,l,21600r21600,l21600,xe">
                    <v:stroke joinstyle="miter"/>
                    <v:path gradientshapeok="t" o:connecttype="rect"/>
                  </v:shapetype>
                  <v:shape id="Text Box 265" o:spid="_x0000_s1028" type="#_x0000_t202" style="position:absolute;margin-left:0;margin-top:0;width:220.3pt;height:142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" filled="f" stroked="f" strokeweight=".5pt">
                    <v:textbox>
                      <w:txbxContent>
                        <w:p w14:paraId="5DEFA3DD" w14:textId="77777777" w:rsidR="00CA1A4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Saheeda Miah</w:t>
                          </w:r>
                        </w:p>
                        <w:p w14:paraId="4D6E41B5" w14:textId="77777777" w:rsidR="00CA1A4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ID Number: 2422429</w:t>
                          </w:r>
                        </w:p>
                        <w:p w14:paraId="6CAE9320" w14:textId="215BC522" w:rsidR="00A72CC3" w:rsidRPr="00CA1A43" w:rsidRDefault="00CA1A43" w:rsidP="00CA1A43">
                          <w:pPr>
                            <w:jc w:val="center"/>
                            <w:rPr>
                              <w:rFonts w:asciiTheme="majorHAnsi" w:eastAsiaTheme="majorEastAsia" w:hAnsiTheme="majorHAnsi" w:cstheme="majorBidi"/>
                              <w:b/>
                              <w:bCs/>
                              <w:color w:val="0E2841" w:themeColor="text2"/>
                              <w:sz w:val="32"/>
                              <w:szCs w:val="32"/>
                            </w:rPr>
                          </w:pPr>
                          <w:r w:rsidRPr="00CA1A43">
                            <w:rPr>
                              <w:rFonts w:asciiTheme="majorHAnsi" w:eastAsiaTheme="majorEastAsia" w:hAnsiTheme="majorHAnsi" w:cstheme="majorBidi"/>
                              <w:b/>
                              <w:bCs/>
                              <w:color w:val="0E2841" w:themeColor="text2"/>
                              <w:sz w:val="32"/>
                              <w:szCs w:val="32"/>
                            </w:rPr>
                            <w:t>Module code: LCHS40</w:t>
                          </w:r>
                          <w:r w:rsidRPr="00CA1A43">
                            <w:rPr>
                              <w:rFonts w:asciiTheme="majorHAnsi" w:eastAsiaTheme="majorEastAsia" w:hAnsiTheme="majorHAnsi" w:cstheme="majorBidi"/>
                              <w:b/>
                              <w:bCs/>
                              <w:color w:val="0E2841" w:themeColor="text2"/>
                              <w:sz w:val="32"/>
                              <w:szCs w:val="32"/>
                            </w:rPr>
                            <w:t>10 C2</w:t>
                          </w:r>
                        </w:p>
                      </w:txbxContent>
                    </v:textbox>
                    <w10:wrap type="square" anchorx="page" anchory="page"/>
                  </v:shape>
                </w:pict>
              </mc:Fallback>
            </mc:AlternateContent>
          </w:r>
          <w:r w:rsidR="00A72CC3" w:rsidRPr="00CA1A43">
            <w:rPr>
              <w:rFonts w:ascii="Arial" w:hAnsi="Arial" w:cs="Arial"/>
            </w:rPr>
            <w:br w:type="page"/>
          </w:r>
        </w:p>
      </w:sdtContent>
    </w:sdt>
    <w:sdt>
      <w:sdtPr>
        <w:rPr>
          <w:rFonts w:ascii="Arial" w:eastAsia="Arial" w:hAnsi="Arial" w:cs="Arial"/>
          <w:color w:val="auto"/>
          <w:kern w:val="2"/>
          <w:sz w:val="22"/>
          <w:szCs w:val="22"/>
          <w:lang w:val="en-GB"/>
          <w14:ligatures w14:val="standardContextual"/>
        </w:rPr>
        <w:id w:val="561684498"/>
        <w:docPartObj>
          <w:docPartGallery w:val="Table of Contents"/>
          <w:docPartUnique/>
        </w:docPartObj>
      </w:sdtPr>
      <w:sdtEndPr>
        <w:rPr>
          <w:rFonts w:eastAsiaTheme="minorHAnsi"/>
          <w:b/>
          <w:bCs/>
          <w:noProof/>
          <w:sz w:val="24"/>
          <w:szCs w:val="24"/>
        </w:rPr>
      </w:sdtEndPr>
      <w:sdtContent>
        <w:p w14:paraId="7D1712E8" w14:textId="77777777" w:rsidR="00CA1A43" w:rsidRPr="00CA1A43" w:rsidRDefault="00CA1A43" w:rsidP="00CA1A43">
          <w:pPr>
            <w:pStyle w:val="TOCHeading"/>
            <w:spacing w:line="360" w:lineRule="auto"/>
            <w:rPr>
              <w:rFonts w:ascii="Arial" w:hAnsi="Arial" w:cs="Arial"/>
            </w:rPr>
          </w:pPr>
          <w:r w:rsidRPr="00CA1A43">
            <w:rPr>
              <w:rFonts w:ascii="Arial" w:hAnsi="Arial" w:cs="Arial"/>
            </w:rPr>
            <w:t>Contents</w:t>
          </w:r>
        </w:p>
        <w:p w14:paraId="793D468A"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r w:rsidRPr="00CA1A43">
            <w:fldChar w:fldCharType="begin"/>
          </w:r>
          <w:r w:rsidRPr="00CA1A43">
            <w:instrText xml:space="preserve"> TOC \o "1-3" \h \z \u </w:instrText>
          </w:r>
          <w:r w:rsidRPr="00CA1A43">
            <w:fldChar w:fldCharType="separate"/>
          </w:r>
          <w:hyperlink w:anchor="_Toc223486381" w:history="1">
            <w:r w:rsidRPr="00CA1A43">
              <w:rPr>
                <w:rStyle w:val="Hyperlink"/>
                <w:b/>
                <w:bCs/>
                <w:noProof/>
                <w:lang w:val="en-GB"/>
              </w:rPr>
              <w:t>Introduction</w:t>
            </w:r>
            <w:r w:rsidRPr="00CA1A43">
              <w:rPr>
                <w:noProof/>
                <w:webHidden/>
              </w:rPr>
              <w:tab/>
            </w:r>
            <w:r w:rsidRPr="00CA1A43">
              <w:rPr>
                <w:noProof/>
                <w:webHidden/>
              </w:rPr>
              <w:fldChar w:fldCharType="begin"/>
            </w:r>
            <w:r w:rsidRPr="00CA1A43">
              <w:rPr>
                <w:noProof/>
                <w:webHidden/>
              </w:rPr>
              <w:instrText xml:space="preserve"> PAGEREF _Toc223486381 \h </w:instrText>
            </w:r>
            <w:r w:rsidRPr="00CA1A43">
              <w:rPr>
                <w:noProof/>
                <w:webHidden/>
              </w:rPr>
            </w:r>
            <w:r w:rsidRPr="00CA1A43">
              <w:rPr>
                <w:noProof/>
                <w:webHidden/>
              </w:rPr>
              <w:fldChar w:fldCharType="separate"/>
            </w:r>
            <w:r w:rsidRPr="00CA1A43">
              <w:rPr>
                <w:noProof/>
                <w:webHidden/>
              </w:rPr>
              <w:t>2</w:t>
            </w:r>
            <w:r w:rsidRPr="00CA1A43">
              <w:rPr>
                <w:noProof/>
                <w:webHidden/>
              </w:rPr>
              <w:fldChar w:fldCharType="end"/>
            </w:r>
          </w:hyperlink>
        </w:p>
        <w:p w14:paraId="3EC80A81"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2" w:history="1">
            <w:r w:rsidRPr="00CA1A43">
              <w:rPr>
                <w:rStyle w:val="Hyperlink"/>
                <w:b/>
                <w:bCs/>
                <w:noProof/>
                <w:lang w:val="en-GB"/>
              </w:rPr>
              <w:t>1. Background: elderly Individuals with dementia in a long-term care facility:</w:t>
            </w:r>
            <w:r w:rsidRPr="00CA1A43">
              <w:rPr>
                <w:noProof/>
                <w:webHidden/>
              </w:rPr>
              <w:tab/>
            </w:r>
            <w:r w:rsidRPr="00CA1A43">
              <w:rPr>
                <w:noProof/>
                <w:webHidden/>
              </w:rPr>
              <w:fldChar w:fldCharType="begin"/>
            </w:r>
            <w:r w:rsidRPr="00CA1A43">
              <w:rPr>
                <w:noProof/>
                <w:webHidden/>
              </w:rPr>
              <w:instrText xml:space="preserve"> PAGEREF _Toc223486382 \h </w:instrText>
            </w:r>
            <w:r w:rsidRPr="00CA1A43">
              <w:rPr>
                <w:noProof/>
                <w:webHidden/>
              </w:rPr>
            </w:r>
            <w:r w:rsidRPr="00CA1A43">
              <w:rPr>
                <w:noProof/>
                <w:webHidden/>
              </w:rPr>
              <w:fldChar w:fldCharType="separate"/>
            </w:r>
            <w:r w:rsidRPr="00CA1A43">
              <w:rPr>
                <w:noProof/>
                <w:webHidden/>
              </w:rPr>
              <w:t>2</w:t>
            </w:r>
            <w:r w:rsidRPr="00CA1A43">
              <w:rPr>
                <w:noProof/>
                <w:webHidden/>
              </w:rPr>
              <w:fldChar w:fldCharType="end"/>
            </w:r>
          </w:hyperlink>
        </w:p>
        <w:p w14:paraId="1B47BFC5"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3" w:history="1">
            <w:r w:rsidRPr="00CA1A43">
              <w:rPr>
                <w:rStyle w:val="Hyperlink"/>
                <w:b/>
                <w:bCs/>
                <w:noProof/>
                <w:lang w:val="en-GB"/>
              </w:rPr>
              <w:t>2. detailed overview of two theories:</w:t>
            </w:r>
            <w:r w:rsidRPr="00CA1A43">
              <w:rPr>
                <w:noProof/>
                <w:webHidden/>
              </w:rPr>
              <w:tab/>
            </w:r>
            <w:r w:rsidRPr="00CA1A43">
              <w:rPr>
                <w:noProof/>
                <w:webHidden/>
              </w:rPr>
              <w:fldChar w:fldCharType="begin"/>
            </w:r>
            <w:r w:rsidRPr="00CA1A43">
              <w:rPr>
                <w:noProof/>
                <w:webHidden/>
              </w:rPr>
              <w:instrText xml:space="preserve"> PAGEREF _Toc223486383 \h </w:instrText>
            </w:r>
            <w:r w:rsidRPr="00CA1A43">
              <w:rPr>
                <w:noProof/>
                <w:webHidden/>
              </w:rPr>
            </w:r>
            <w:r w:rsidRPr="00CA1A43">
              <w:rPr>
                <w:noProof/>
                <w:webHidden/>
              </w:rPr>
              <w:fldChar w:fldCharType="separate"/>
            </w:r>
            <w:r w:rsidRPr="00CA1A43">
              <w:rPr>
                <w:noProof/>
                <w:webHidden/>
              </w:rPr>
              <w:t>3</w:t>
            </w:r>
            <w:r w:rsidRPr="00CA1A43">
              <w:rPr>
                <w:noProof/>
                <w:webHidden/>
              </w:rPr>
              <w:fldChar w:fldCharType="end"/>
            </w:r>
          </w:hyperlink>
        </w:p>
        <w:p w14:paraId="2A94B84B"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4" w:history="1">
            <w:r w:rsidRPr="00CA1A43">
              <w:rPr>
                <w:rStyle w:val="Hyperlink"/>
                <w:b/>
                <w:bCs/>
                <w:noProof/>
                <w:lang w:val="en-GB"/>
              </w:rPr>
              <w:t>3. using the theory in health and social care:</w:t>
            </w:r>
            <w:r w:rsidRPr="00CA1A43">
              <w:rPr>
                <w:noProof/>
                <w:webHidden/>
              </w:rPr>
              <w:tab/>
            </w:r>
            <w:r w:rsidRPr="00CA1A43">
              <w:rPr>
                <w:noProof/>
                <w:webHidden/>
              </w:rPr>
              <w:fldChar w:fldCharType="begin"/>
            </w:r>
            <w:r w:rsidRPr="00CA1A43">
              <w:rPr>
                <w:noProof/>
                <w:webHidden/>
              </w:rPr>
              <w:instrText xml:space="preserve"> PAGEREF _Toc223486384 \h </w:instrText>
            </w:r>
            <w:r w:rsidRPr="00CA1A43">
              <w:rPr>
                <w:noProof/>
                <w:webHidden/>
              </w:rPr>
            </w:r>
            <w:r w:rsidRPr="00CA1A43">
              <w:rPr>
                <w:noProof/>
                <w:webHidden/>
              </w:rPr>
              <w:fldChar w:fldCharType="separate"/>
            </w:r>
            <w:r w:rsidRPr="00CA1A43">
              <w:rPr>
                <w:noProof/>
                <w:webHidden/>
              </w:rPr>
              <w:t>5</w:t>
            </w:r>
            <w:r w:rsidRPr="00CA1A43">
              <w:rPr>
                <w:noProof/>
                <w:webHidden/>
              </w:rPr>
              <w:fldChar w:fldCharType="end"/>
            </w:r>
          </w:hyperlink>
        </w:p>
        <w:p w14:paraId="266ED2EA"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5" w:history="1">
            <w:r w:rsidRPr="00CA1A43">
              <w:rPr>
                <w:rStyle w:val="Hyperlink"/>
                <w:b/>
                <w:bCs/>
                <w:noProof/>
                <w:lang w:val="en-GB"/>
              </w:rPr>
              <w:t>4. Potential challenges and management strategies</w:t>
            </w:r>
            <w:r w:rsidRPr="00CA1A43">
              <w:rPr>
                <w:noProof/>
                <w:webHidden/>
              </w:rPr>
              <w:tab/>
            </w:r>
            <w:r w:rsidRPr="00CA1A43">
              <w:rPr>
                <w:noProof/>
                <w:webHidden/>
              </w:rPr>
              <w:fldChar w:fldCharType="begin"/>
            </w:r>
            <w:r w:rsidRPr="00CA1A43">
              <w:rPr>
                <w:noProof/>
                <w:webHidden/>
              </w:rPr>
              <w:instrText xml:space="preserve"> PAGEREF _Toc223486385 \h </w:instrText>
            </w:r>
            <w:r w:rsidRPr="00CA1A43">
              <w:rPr>
                <w:noProof/>
                <w:webHidden/>
              </w:rPr>
            </w:r>
            <w:r w:rsidRPr="00CA1A43">
              <w:rPr>
                <w:noProof/>
                <w:webHidden/>
              </w:rPr>
              <w:fldChar w:fldCharType="separate"/>
            </w:r>
            <w:r w:rsidRPr="00CA1A43">
              <w:rPr>
                <w:noProof/>
                <w:webHidden/>
              </w:rPr>
              <w:t>6</w:t>
            </w:r>
            <w:r w:rsidRPr="00CA1A43">
              <w:rPr>
                <w:noProof/>
                <w:webHidden/>
              </w:rPr>
              <w:fldChar w:fldCharType="end"/>
            </w:r>
          </w:hyperlink>
        </w:p>
        <w:p w14:paraId="049E214B"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6" w:history="1">
            <w:r w:rsidRPr="00CA1A43">
              <w:rPr>
                <w:rStyle w:val="Hyperlink"/>
                <w:b/>
                <w:bCs/>
                <w:noProof/>
                <w:lang w:val="en-GB"/>
              </w:rPr>
              <w:t>Conclusion</w:t>
            </w:r>
            <w:r w:rsidRPr="00CA1A43">
              <w:rPr>
                <w:noProof/>
                <w:webHidden/>
              </w:rPr>
              <w:tab/>
            </w:r>
            <w:r w:rsidRPr="00CA1A43">
              <w:rPr>
                <w:noProof/>
                <w:webHidden/>
              </w:rPr>
              <w:fldChar w:fldCharType="begin"/>
            </w:r>
            <w:r w:rsidRPr="00CA1A43">
              <w:rPr>
                <w:noProof/>
                <w:webHidden/>
              </w:rPr>
              <w:instrText xml:space="preserve"> PAGEREF _Toc223486386 \h </w:instrText>
            </w:r>
            <w:r w:rsidRPr="00CA1A43">
              <w:rPr>
                <w:noProof/>
                <w:webHidden/>
              </w:rPr>
            </w:r>
            <w:r w:rsidRPr="00CA1A43">
              <w:rPr>
                <w:noProof/>
                <w:webHidden/>
              </w:rPr>
              <w:fldChar w:fldCharType="separate"/>
            </w:r>
            <w:r w:rsidRPr="00CA1A43">
              <w:rPr>
                <w:noProof/>
                <w:webHidden/>
              </w:rPr>
              <w:t>6</w:t>
            </w:r>
            <w:r w:rsidRPr="00CA1A43">
              <w:rPr>
                <w:noProof/>
                <w:webHidden/>
              </w:rPr>
              <w:fldChar w:fldCharType="end"/>
            </w:r>
          </w:hyperlink>
        </w:p>
        <w:p w14:paraId="416FFC42" w14:textId="77777777" w:rsidR="00CA1A43" w:rsidRPr="00CA1A43" w:rsidRDefault="00CA1A43" w:rsidP="00CA1A43">
          <w:pPr>
            <w:pStyle w:val="TOC1"/>
            <w:tabs>
              <w:tab w:val="right" w:leader="dot" w:pos="9016"/>
            </w:tabs>
            <w:spacing w:line="360" w:lineRule="auto"/>
            <w:rPr>
              <w:rFonts w:eastAsiaTheme="minorEastAsia"/>
              <w:noProof/>
              <w:kern w:val="2"/>
              <w:sz w:val="24"/>
              <w:szCs w:val="24"/>
              <w:lang w:val="en-GB" w:eastAsia="en-GB"/>
              <w14:ligatures w14:val="standardContextual"/>
            </w:rPr>
          </w:pPr>
          <w:hyperlink w:anchor="_Toc223486387" w:history="1">
            <w:r w:rsidRPr="00CA1A43">
              <w:rPr>
                <w:rStyle w:val="Hyperlink"/>
                <w:b/>
                <w:bCs/>
                <w:noProof/>
                <w:lang w:val="en-GB"/>
              </w:rPr>
              <w:t>References</w:t>
            </w:r>
            <w:r w:rsidRPr="00CA1A43">
              <w:rPr>
                <w:noProof/>
                <w:webHidden/>
              </w:rPr>
              <w:tab/>
            </w:r>
            <w:r w:rsidRPr="00CA1A43">
              <w:rPr>
                <w:noProof/>
                <w:webHidden/>
              </w:rPr>
              <w:fldChar w:fldCharType="begin"/>
            </w:r>
            <w:r w:rsidRPr="00CA1A43">
              <w:rPr>
                <w:noProof/>
                <w:webHidden/>
              </w:rPr>
              <w:instrText xml:space="preserve"> PAGEREF _Toc223486387 \h </w:instrText>
            </w:r>
            <w:r w:rsidRPr="00CA1A43">
              <w:rPr>
                <w:noProof/>
                <w:webHidden/>
              </w:rPr>
            </w:r>
            <w:r w:rsidRPr="00CA1A43">
              <w:rPr>
                <w:noProof/>
                <w:webHidden/>
              </w:rPr>
              <w:fldChar w:fldCharType="separate"/>
            </w:r>
            <w:r w:rsidRPr="00CA1A43">
              <w:rPr>
                <w:noProof/>
                <w:webHidden/>
              </w:rPr>
              <w:t>7</w:t>
            </w:r>
            <w:r w:rsidRPr="00CA1A43">
              <w:rPr>
                <w:noProof/>
                <w:webHidden/>
              </w:rPr>
              <w:fldChar w:fldCharType="end"/>
            </w:r>
          </w:hyperlink>
        </w:p>
        <w:p w14:paraId="002D4ACB" w14:textId="77777777" w:rsidR="00CA1A43" w:rsidRPr="00CA1A43" w:rsidRDefault="00CA1A43" w:rsidP="00CA1A43">
          <w:pPr>
            <w:spacing w:line="360" w:lineRule="auto"/>
            <w:rPr>
              <w:rFonts w:ascii="Arial" w:hAnsi="Arial" w:cs="Arial"/>
            </w:rPr>
          </w:pPr>
          <w:r w:rsidRPr="00CA1A43">
            <w:rPr>
              <w:rFonts w:ascii="Arial" w:hAnsi="Arial" w:cs="Arial"/>
              <w:b/>
              <w:bCs/>
              <w:noProof/>
            </w:rPr>
            <w:fldChar w:fldCharType="end"/>
          </w:r>
        </w:p>
      </w:sdtContent>
    </w:sdt>
    <w:p w14:paraId="649B06EA" w14:textId="77777777" w:rsidR="00CA1A43" w:rsidRPr="00CA1A43" w:rsidRDefault="00CA1A43" w:rsidP="00CA1A43">
      <w:pPr>
        <w:pStyle w:val="Heading1"/>
        <w:rPr>
          <w:rFonts w:ascii="Arial" w:hAnsi="Arial" w:cs="Arial"/>
          <w:b/>
          <w:bCs/>
          <w:color w:val="auto"/>
          <w:sz w:val="22"/>
          <w:szCs w:val="22"/>
        </w:rPr>
      </w:pPr>
    </w:p>
    <w:p w14:paraId="2A652F8E" w14:textId="77777777" w:rsidR="00CA1A43" w:rsidRPr="00CA1A43" w:rsidRDefault="00CA1A43" w:rsidP="00CA1A43">
      <w:pPr>
        <w:spacing w:after="200" w:line="276" w:lineRule="auto"/>
        <w:rPr>
          <w:rFonts w:ascii="Arial" w:eastAsiaTheme="majorEastAsia" w:hAnsi="Arial" w:cs="Arial"/>
          <w:b/>
          <w:bCs/>
        </w:rPr>
      </w:pPr>
      <w:r w:rsidRPr="00CA1A43">
        <w:rPr>
          <w:rFonts w:ascii="Arial" w:hAnsi="Arial" w:cs="Arial"/>
          <w:b/>
          <w:bCs/>
        </w:rPr>
        <w:br w:type="page"/>
      </w:r>
    </w:p>
    <w:p w14:paraId="06DE15B5" w14:textId="77777777" w:rsidR="00CA1A43" w:rsidRPr="00CA1A43" w:rsidRDefault="00CA1A43" w:rsidP="00CA1A43">
      <w:pPr>
        <w:pStyle w:val="Heading1"/>
        <w:rPr>
          <w:rFonts w:ascii="Arial" w:hAnsi="Arial" w:cs="Arial"/>
          <w:b/>
          <w:bCs/>
          <w:sz w:val="24"/>
          <w:szCs w:val="24"/>
        </w:rPr>
      </w:pPr>
      <w:bookmarkStart w:id="0" w:name="_Toc223486381"/>
      <w:r w:rsidRPr="00CA1A43">
        <w:rPr>
          <w:rFonts w:ascii="Arial" w:hAnsi="Arial" w:cs="Arial"/>
          <w:b/>
          <w:bCs/>
          <w:color w:val="auto"/>
          <w:sz w:val="22"/>
          <w:szCs w:val="22"/>
        </w:rPr>
        <w:lastRenderedPageBreak/>
        <w:t>Introduction</w:t>
      </w:r>
      <w:bookmarkEnd w:id="0"/>
    </w:p>
    <w:p w14:paraId="688D9848" w14:textId="2F05735D"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Older adults living in residential dementia care homes are one of the most vulnerable cohorts within health and social care. Dementia is a slowly progressive neurodegenerative disease characterized by impaired memory, thinking, behaviours and activities of daily living. Its incidence spikes in those above the age of 65, with an estimated 483000 diagnosed cases in England by December 2024 (gov.uk, 2024). Dementia care homes in the UK offer structured, 24-hour support with personal care, medication and emotional wellbeing. Yet thoughtful care is more than physical aid, it takes an informed lens of psychological development, identity and dignity.</w:t>
      </w:r>
    </w:p>
    <w:p w14:paraId="015C0967" w14:textId="1BA711E4"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This paper provides an in-depth exploration of the care context and introduces Jean Piaget's Cognitive Development Theory and Lev Vygotsky's Sociocultural Theory (Piaget, 1952; Vygotsky, 1978), exploring their appropriateness within person-centred dementia care (</w:t>
      </w:r>
      <w:proofErr w:type="spellStart"/>
      <w:r w:rsidRPr="00CA1A43">
        <w:rPr>
          <w:rFonts w:ascii="Arial" w:hAnsi="Arial" w:cs="Arial"/>
          <w:sz w:val="22"/>
          <w:szCs w:val="22"/>
        </w:rPr>
        <w:t>Kitwood</w:t>
      </w:r>
      <w:proofErr w:type="spellEnd"/>
      <w:r w:rsidRPr="00CA1A43">
        <w:rPr>
          <w:rFonts w:ascii="Arial" w:hAnsi="Arial" w:cs="Arial"/>
          <w:sz w:val="22"/>
          <w:szCs w:val="22"/>
        </w:rPr>
        <w:t>, 1997).</w:t>
      </w:r>
    </w:p>
    <w:p w14:paraId="42E16246" w14:textId="77777777" w:rsidR="00CA1A43" w:rsidRPr="00CA1A43" w:rsidRDefault="00CA1A43" w:rsidP="00CA1A43">
      <w:pPr>
        <w:pStyle w:val="Heading1"/>
        <w:rPr>
          <w:rFonts w:ascii="Arial" w:hAnsi="Arial" w:cs="Arial"/>
          <w:b/>
          <w:bCs/>
          <w:color w:val="auto"/>
          <w:sz w:val="22"/>
          <w:szCs w:val="22"/>
        </w:rPr>
      </w:pPr>
      <w:bookmarkStart w:id="1" w:name="_Toc223486382"/>
      <w:r w:rsidRPr="00CA1A43">
        <w:rPr>
          <w:rFonts w:ascii="Arial" w:hAnsi="Arial" w:cs="Arial"/>
          <w:b/>
          <w:bCs/>
          <w:color w:val="auto"/>
          <w:sz w:val="22"/>
          <w:szCs w:val="22"/>
        </w:rPr>
        <w:t>1. Background: elderly Individuals with dementia in a long-term care facility:</w:t>
      </w:r>
      <w:bookmarkEnd w:id="1"/>
    </w:p>
    <w:p w14:paraId="5B83F790" w14:textId="2BE9DB8A"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Dementia care homes are long-term residential transitions for people with large-scale cognitive impairment. Residents frequently show signs of memory loss, confusion, communication difficulties, diminished problem-solving capabilities and behavioural problems, including agitation or withdrawal. Many residents have co-morbid physical health conditions, reduced mobility or sensory disabilities which also complicate care needs (Alzheimer’s Society, 2022).</w:t>
      </w:r>
    </w:p>
    <w:p w14:paraId="70BD3656"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Individual residents of a dementia care home find particular benefit from stable daily routines, person-centred care plans, therapeutic activities and multidisciplinary collaborative working between staff (e.g. nurses, care assistants, social workers and occupational therapists). So, the focus for nurses is not only on maintaining safety but also dignity, autonomy and mental well-being that aligns with a person-centred approach to care (</w:t>
      </w:r>
      <w:proofErr w:type="spellStart"/>
      <w:r w:rsidRPr="00CA1A43">
        <w:rPr>
          <w:rFonts w:ascii="Arial" w:hAnsi="Arial" w:cs="Arial"/>
          <w:sz w:val="22"/>
          <w:szCs w:val="22"/>
        </w:rPr>
        <w:t>Kitwood</w:t>
      </w:r>
      <w:proofErr w:type="spellEnd"/>
      <w:r w:rsidRPr="00CA1A43">
        <w:rPr>
          <w:rFonts w:ascii="Arial" w:hAnsi="Arial" w:cs="Arial"/>
          <w:sz w:val="22"/>
          <w:szCs w:val="22"/>
        </w:rPr>
        <w:t>, 1997).</w:t>
      </w:r>
    </w:p>
    <w:p w14:paraId="493D7467" w14:textId="7366173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 xml:space="preserve">In this sense, older people retire facing many psychological issues like loss of autonomy and identity, anxiety and depression to even frustration with dementia or poor adaptation to new environments. This helps to explain why research shows that behavioural and psychological symptoms of dementia are often expressions of unfulfilled need rather than failure to function neurologically (PMC, 2021). Understanding how cognition and learning is experienced in late adulthood whether this continues or changes is thus important for the health and care professionals supporting this demographic. Psychological theories illuminate possible intervention approaches that can capitalize on retained abilities but compensate for weakened </w:t>
      </w:r>
      <w:r w:rsidRPr="00CA1A43">
        <w:rPr>
          <w:rFonts w:ascii="Arial" w:hAnsi="Arial" w:cs="Arial"/>
          <w:sz w:val="22"/>
          <w:szCs w:val="22"/>
        </w:rPr>
        <w:lastRenderedPageBreak/>
        <w:t>ones, but they are only of value in practice when applied with critical rigor rather than as an uncritical transfer from child-development domains.</w:t>
      </w:r>
    </w:p>
    <w:p w14:paraId="55A764CA" w14:textId="77777777" w:rsidR="00CA1A43" w:rsidRPr="00CA1A43" w:rsidRDefault="00CA1A43" w:rsidP="00CA1A43">
      <w:pPr>
        <w:pStyle w:val="Heading1"/>
        <w:rPr>
          <w:rFonts w:ascii="Arial" w:hAnsi="Arial" w:cs="Arial"/>
          <w:b/>
          <w:bCs/>
          <w:color w:val="auto"/>
          <w:sz w:val="22"/>
          <w:szCs w:val="22"/>
        </w:rPr>
      </w:pPr>
      <w:bookmarkStart w:id="2" w:name="_Toc223486383"/>
      <w:r w:rsidRPr="00CA1A43">
        <w:rPr>
          <w:rFonts w:ascii="Arial" w:hAnsi="Arial" w:cs="Arial"/>
          <w:b/>
          <w:bCs/>
          <w:color w:val="auto"/>
          <w:sz w:val="22"/>
          <w:szCs w:val="22"/>
        </w:rPr>
        <w:t>2. detailed overview of two theories:</w:t>
      </w:r>
      <w:bookmarkEnd w:id="2"/>
    </w:p>
    <w:p w14:paraId="11D27D44"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a. Piaget’s Theory of Cognitive Development</w:t>
      </w:r>
    </w:p>
    <w:p w14:paraId="531C520C"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 xml:space="preserve">Children use and encounter different forms of knowledge as they develop, moving through increasingly complex stages of cognitive development, from sensorimotor to preoperational to concrete operational and finally formal operational (Piaget, 1952). It emphasizes that people build knowledge through direct experience with their world. </w:t>
      </w:r>
    </w:p>
    <w:p w14:paraId="008486FB"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Two key processes underpin development:</w:t>
      </w:r>
    </w:p>
    <w:p w14:paraId="773AFEE2" w14:textId="77777777" w:rsidR="00CA1A43" w:rsidRPr="00CA1A43" w:rsidRDefault="00CA1A43" w:rsidP="00CA1A43">
      <w:pPr>
        <w:pStyle w:val="ListParagraph"/>
        <w:widowControl w:val="0"/>
        <w:numPr>
          <w:ilvl w:val="0"/>
          <w:numId w:val="4"/>
        </w:numPr>
        <w:autoSpaceDE w:val="0"/>
        <w:autoSpaceDN w:val="0"/>
        <w:spacing w:after="0" w:line="360" w:lineRule="auto"/>
        <w:jc w:val="both"/>
        <w:rPr>
          <w:rFonts w:ascii="Arial" w:hAnsi="Arial" w:cs="Arial"/>
          <w:sz w:val="22"/>
          <w:szCs w:val="22"/>
        </w:rPr>
      </w:pPr>
      <w:r w:rsidRPr="00CA1A43">
        <w:rPr>
          <w:rFonts w:ascii="Arial" w:hAnsi="Arial" w:cs="Arial"/>
          <w:sz w:val="22"/>
          <w:szCs w:val="22"/>
        </w:rPr>
        <w:t xml:space="preserve">Assimilation: This is when you take new information and fit it into </w:t>
      </w:r>
      <w:proofErr w:type="gramStart"/>
      <w:r w:rsidRPr="00CA1A43">
        <w:rPr>
          <w:rFonts w:ascii="Arial" w:hAnsi="Arial" w:cs="Arial"/>
          <w:sz w:val="22"/>
          <w:szCs w:val="22"/>
        </w:rPr>
        <w:t>a</w:t>
      </w:r>
      <w:proofErr w:type="gramEnd"/>
      <w:r w:rsidRPr="00CA1A43">
        <w:rPr>
          <w:rFonts w:ascii="Arial" w:hAnsi="Arial" w:cs="Arial"/>
          <w:sz w:val="22"/>
          <w:szCs w:val="22"/>
        </w:rPr>
        <w:t xml:space="preserve"> already existing cognitive structure.</w:t>
      </w:r>
    </w:p>
    <w:p w14:paraId="2D510AAE" w14:textId="77777777" w:rsidR="00CA1A43" w:rsidRPr="00CA1A43" w:rsidRDefault="00CA1A43" w:rsidP="00CA1A43">
      <w:pPr>
        <w:pStyle w:val="ListParagraph"/>
        <w:widowControl w:val="0"/>
        <w:numPr>
          <w:ilvl w:val="0"/>
          <w:numId w:val="4"/>
        </w:numPr>
        <w:autoSpaceDE w:val="0"/>
        <w:autoSpaceDN w:val="0"/>
        <w:spacing w:after="0" w:line="360" w:lineRule="auto"/>
        <w:jc w:val="both"/>
        <w:rPr>
          <w:rFonts w:ascii="Arial" w:hAnsi="Arial" w:cs="Arial"/>
          <w:sz w:val="22"/>
          <w:szCs w:val="22"/>
        </w:rPr>
      </w:pPr>
      <w:r w:rsidRPr="00CA1A43">
        <w:rPr>
          <w:rFonts w:ascii="Arial" w:hAnsi="Arial" w:cs="Arial"/>
          <w:sz w:val="22"/>
          <w:szCs w:val="22"/>
        </w:rPr>
        <w:t>Accommodation: adjusting schemas to incorporate new experiences.</w:t>
      </w:r>
    </w:p>
    <w:p w14:paraId="19138DDB"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Although Piaget was focused on stages of development in children, scholars have extended elements of his theory to cognition in adulthood and cognitive decline (Thornbury, 1993; Mahoney, 2003). Well into late adulthood, people use schemas to interpret experiences, but dementia robs them of the faculty of process. Those with cognitive disability often have impaired memory and executive functioning, making them less able to integrate new information or adapt to a change in routine (SAGE Journals, 2003).</w:t>
      </w:r>
    </w:p>
    <w:p w14:paraId="1E35B977"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Regarding dementia, older adults function comparably in certain cognitive domains as early developmental stages. Struggles in abstract reasoning, for example, could lead to increased use of concrete thinking around learning and short-term memory deficits may limit the instruction levels of new material (Mahoney 2003). Decreased cognitive flexibility renders us maladaptive to new changes in environmental conditions (e.g., moving into a care home). But directly” equating” individual residents with individual children at earlier stages would be ethically fraught. What is more, many older adults retain robust long-term memory, emotional awareness and coherent identity (NCBI, 2020).</w:t>
      </w:r>
    </w:p>
    <w:p w14:paraId="0E18D8D5" w14:textId="70A323FB" w:rsidR="00CA1A43" w:rsidRPr="00CA1A43" w:rsidRDefault="00CA1A43" w:rsidP="00CA1A43">
      <w:pPr>
        <w:pStyle w:val="ListParagraph"/>
        <w:widowControl w:val="0"/>
        <w:numPr>
          <w:ilvl w:val="0"/>
          <w:numId w:val="4"/>
        </w:numPr>
        <w:autoSpaceDE w:val="0"/>
        <w:autoSpaceDN w:val="0"/>
        <w:spacing w:after="0" w:line="360" w:lineRule="auto"/>
        <w:jc w:val="both"/>
        <w:rPr>
          <w:rFonts w:ascii="Arial" w:hAnsi="Arial" w:cs="Arial"/>
          <w:sz w:val="22"/>
          <w:szCs w:val="22"/>
        </w:rPr>
      </w:pPr>
      <w:r w:rsidRPr="00CA1A43">
        <w:rPr>
          <w:rFonts w:ascii="Arial" w:hAnsi="Arial" w:cs="Arial"/>
          <w:sz w:val="22"/>
          <w:szCs w:val="22"/>
        </w:rPr>
        <w:t xml:space="preserve">Crucially, Piaget’s stage model is linear and derives primarily from studies using young children who grew up in very specific cultural contexts (Mahoney, 2003), raising meaningful questions regarding its direct applicability to older adults experiencing neurodegenerative conditions. While there are some restrictions regarding the scope of problem input, at least for humans, this theory can be widely applied since it is beyond doubt that learning is an active process and cognitive support should never be broader than what a human can do. Instructions that are vague, complex or abstract </w:t>
      </w:r>
      <w:r w:rsidRPr="00CA1A43">
        <w:rPr>
          <w:rFonts w:ascii="Arial" w:hAnsi="Arial" w:cs="Arial"/>
          <w:sz w:val="22"/>
          <w:szCs w:val="22"/>
        </w:rPr>
        <w:lastRenderedPageBreak/>
        <w:t>will lead to anxiety; instructions that are clear and spotty communication will enhance the possibility of understanding and decrease anxiety (Thornbury, 1993)</w:t>
      </w:r>
      <w:r>
        <w:rPr>
          <w:rFonts w:ascii="Arial" w:hAnsi="Arial" w:cs="Arial"/>
          <w:sz w:val="22"/>
          <w:szCs w:val="22"/>
        </w:rPr>
        <w:t>.</w:t>
      </w:r>
    </w:p>
    <w:p w14:paraId="6A432B9C" w14:textId="77777777" w:rsidR="00CA1A43" w:rsidRPr="00CA1A43" w:rsidRDefault="00CA1A43" w:rsidP="00CA1A43">
      <w:pPr>
        <w:spacing w:line="360" w:lineRule="auto"/>
        <w:rPr>
          <w:rFonts w:ascii="Arial" w:hAnsi="Arial" w:cs="Arial"/>
        </w:rPr>
      </w:pPr>
    </w:p>
    <w:p w14:paraId="2DECDD69"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B. Vygotsky’s Sociocultural Theory of Learning</w:t>
      </w:r>
    </w:p>
    <w:p w14:paraId="72F6C189"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Lev Vygotsky emphasises the social nature of learning and cognitive development. Cognitive development is constructed by cultural tools, linguistic and interaction with more knowledgeable other (Vygotsky, 1978) he said. The ZPD, or Zone of Proximal Development, is the distance between what a learner can do without help and what they can achieve with guidance. Relatedly, we should keep in mind the idea of scaffolding in which structured support is gradually removed as fluency builds (Simply Psychology, 2023).</w:t>
      </w:r>
    </w:p>
    <w:p w14:paraId="7F6B8E0A"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Vygotsky’s theory is most frequently applied to children but was very pertinent for older adults. Even in dementia, many can still be involved with person-supported engagement with human being through 65 during the 'learning WASN'T get out. With dementia care, residents will lose certain abilities and retain others. In this way, professionals can help residents keep or chance abilities existing in their ZPD through supported interactions. For example, a resident that is unable to dress themselves may do well with verbal prompts or one who forgets steps in a task may complete it when receive step by step instructions (PMC, 2021).</w:t>
      </w:r>
    </w:p>
    <w:p w14:paraId="5C351DC7"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Linguistic, conversational and social engagement are powerful intellectual antidotes for fighting cognitive decline, as well as dullness of self-esteem and a lost sense of self. Social isolation has been associated with accelerated cognitive decline, while structured social engagement might help get us to hold onto our faculties longer (Simply Psychology, 2023). Even late in life, however, cultural identity and personal history matter. There is Vygotsky’s light on culturally sensitive care - familiar words, music and food and traditions can serve as anchors to learning and memory.</w:t>
      </w:r>
    </w:p>
    <w:p w14:paraId="7CC436C7"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Vygotsky, however, did not directly address neurodegenerative conditions. In cases of severe dementia, the use of ZPD will also be difficult since cognitive impairment limits responsiveness to scaffolding (PMC, 2021). And at the same time, although this theory provides a valuable relational frame to situate oneself in clinical space, it must be conjoined with therapeutic knowledge and realistic expectancies about the unfolding of disease.</w:t>
      </w:r>
    </w:p>
    <w:p w14:paraId="0E76682E" w14:textId="77777777" w:rsidR="00CA1A43" w:rsidRPr="00CA1A43" w:rsidRDefault="00CA1A43" w:rsidP="00CA1A43">
      <w:pPr>
        <w:spacing w:line="360" w:lineRule="auto"/>
        <w:rPr>
          <w:rFonts w:ascii="Arial" w:hAnsi="Arial" w:cs="Arial"/>
        </w:rPr>
      </w:pPr>
    </w:p>
    <w:p w14:paraId="6F877829" w14:textId="77777777" w:rsidR="00CA1A43" w:rsidRPr="00CA1A43" w:rsidRDefault="00CA1A43" w:rsidP="00CA1A43">
      <w:pPr>
        <w:spacing w:line="360" w:lineRule="auto"/>
        <w:rPr>
          <w:rFonts w:ascii="Arial" w:hAnsi="Arial" w:cs="Arial"/>
        </w:rPr>
      </w:pPr>
    </w:p>
    <w:p w14:paraId="64F6DFB9" w14:textId="77777777" w:rsidR="00CA1A43" w:rsidRPr="00CA1A43" w:rsidRDefault="00CA1A43" w:rsidP="00CA1A43">
      <w:pPr>
        <w:spacing w:line="360" w:lineRule="auto"/>
        <w:rPr>
          <w:rFonts w:ascii="Arial" w:hAnsi="Arial" w:cs="Arial"/>
        </w:rPr>
      </w:pPr>
    </w:p>
    <w:p w14:paraId="6DF19D29" w14:textId="77777777" w:rsidR="00CA1A43" w:rsidRPr="00CA1A43" w:rsidRDefault="00CA1A43" w:rsidP="00CA1A43">
      <w:pPr>
        <w:pStyle w:val="Heading1"/>
        <w:rPr>
          <w:rFonts w:ascii="Arial" w:hAnsi="Arial" w:cs="Arial"/>
          <w:b/>
          <w:bCs/>
          <w:color w:val="auto"/>
          <w:sz w:val="22"/>
          <w:szCs w:val="22"/>
        </w:rPr>
      </w:pPr>
      <w:bookmarkStart w:id="3" w:name="_Toc223486384"/>
      <w:r w:rsidRPr="00CA1A43">
        <w:rPr>
          <w:rFonts w:ascii="Arial" w:hAnsi="Arial" w:cs="Arial"/>
          <w:b/>
          <w:bCs/>
          <w:color w:val="auto"/>
          <w:sz w:val="22"/>
          <w:szCs w:val="22"/>
        </w:rPr>
        <w:lastRenderedPageBreak/>
        <w:t>3. using the theory in health and social care:</w:t>
      </w:r>
      <w:bookmarkEnd w:id="3"/>
    </w:p>
    <w:p w14:paraId="69272FBE"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A. Applying Piaget’s Theory</w:t>
      </w:r>
    </w:p>
    <w:p w14:paraId="1F5F83FC"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 xml:space="preserve">Activity theory of development Use Piaget’s theory in informing us communication-wise </w:t>
      </w:r>
      <w:proofErr w:type="gramStart"/>
      <w:r w:rsidRPr="00CA1A43">
        <w:rPr>
          <w:rFonts w:ascii="Arial" w:hAnsi="Arial" w:cs="Arial"/>
          <w:sz w:val="22"/>
          <w:szCs w:val="22"/>
        </w:rPr>
        <w:t>and also</w:t>
      </w:r>
      <w:proofErr w:type="gramEnd"/>
      <w:r w:rsidRPr="00CA1A43">
        <w:rPr>
          <w:rFonts w:ascii="Arial" w:hAnsi="Arial" w:cs="Arial"/>
          <w:sz w:val="22"/>
          <w:szCs w:val="22"/>
        </w:rPr>
        <w:t xml:space="preserve"> how an area is planned/designed &amp; organised for activity.</w:t>
      </w:r>
    </w:p>
    <w:p w14:paraId="2E572CF8"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Practical applications:</w:t>
      </w:r>
    </w:p>
    <w:p w14:paraId="6164F870" w14:textId="77777777" w:rsidR="00CA1A43" w:rsidRPr="00CA1A43" w:rsidRDefault="00CA1A43" w:rsidP="00CA1A43">
      <w:pPr>
        <w:pStyle w:val="ListParagraph"/>
        <w:widowControl w:val="0"/>
        <w:numPr>
          <w:ilvl w:val="0"/>
          <w:numId w:val="3"/>
        </w:numPr>
        <w:autoSpaceDE w:val="0"/>
        <w:autoSpaceDN w:val="0"/>
        <w:spacing w:after="0" w:line="360" w:lineRule="auto"/>
        <w:jc w:val="both"/>
        <w:rPr>
          <w:rFonts w:ascii="Arial" w:hAnsi="Arial" w:cs="Arial"/>
          <w:sz w:val="22"/>
          <w:szCs w:val="22"/>
        </w:rPr>
      </w:pPr>
      <w:r w:rsidRPr="00CA1A43">
        <w:rPr>
          <w:rFonts w:ascii="Arial" w:hAnsi="Arial" w:cs="Arial"/>
          <w:sz w:val="22"/>
          <w:szCs w:val="22"/>
        </w:rPr>
        <w:t>Simpler communication:  Staff can communicate with one another in terse, concrete sentences rather than abstraction. a simple declarative sentence in the style of “It is time for tea,” conveys more than an elaborate explaining that attempts to explain a schedule. That is consistent with the reliance on concrete thinking (Thornbury, 1993).</w:t>
      </w:r>
    </w:p>
    <w:p w14:paraId="799BD26D" w14:textId="77777777" w:rsidR="00CA1A43" w:rsidRPr="00CA1A43" w:rsidRDefault="00CA1A43" w:rsidP="00CA1A43">
      <w:pPr>
        <w:pStyle w:val="ListParagraph"/>
        <w:widowControl w:val="0"/>
        <w:numPr>
          <w:ilvl w:val="0"/>
          <w:numId w:val="3"/>
        </w:numPr>
        <w:autoSpaceDE w:val="0"/>
        <w:autoSpaceDN w:val="0"/>
        <w:spacing w:after="0" w:line="360" w:lineRule="auto"/>
        <w:jc w:val="both"/>
        <w:rPr>
          <w:rFonts w:ascii="Arial" w:hAnsi="Arial" w:cs="Arial"/>
          <w:sz w:val="22"/>
          <w:szCs w:val="22"/>
        </w:rPr>
      </w:pPr>
      <w:r w:rsidRPr="00CA1A43">
        <w:rPr>
          <w:rFonts w:ascii="Arial" w:hAnsi="Arial" w:cs="Arial"/>
          <w:sz w:val="22"/>
          <w:szCs w:val="22"/>
        </w:rPr>
        <w:t>Structured environments:  Routine reduce the load of cognitive adaptation. Predictability assists the absorption of typical experience and decreases distress (Mahoney, 2003).</w:t>
      </w:r>
    </w:p>
    <w:p w14:paraId="69E49575" w14:textId="77777777" w:rsidR="00CA1A43" w:rsidRPr="00CA1A43" w:rsidRDefault="00CA1A43" w:rsidP="00CA1A43">
      <w:pPr>
        <w:pStyle w:val="ListParagraph"/>
        <w:widowControl w:val="0"/>
        <w:numPr>
          <w:ilvl w:val="0"/>
          <w:numId w:val="3"/>
        </w:numPr>
        <w:autoSpaceDE w:val="0"/>
        <w:autoSpaceDN w:val="0"/>
        <w:spacing w:after="0" w:line="360" w:lineRule="auto"/>
        <w:jc w:val="both"/>
        <w:rPr>
          <w:rFonts w:ascii="Arial" w:hAnsi="Arial" w:cs="Arial"/>
          <w:sz w:val="22"/>
          <w:szCs w:val="22"/>
        </w:rPr>
      </w:pPr>
      <w:r w:rsidRPr="00CA1A43">
        <w:rPr>
          <w:rFonts w:ascii="Arial" w:hAnsi="Arial" w:cs="Arial"/>
          <w:sz w:val="22"/>
          <w:szCs w:val="22"/>
        </w:rPr>
        <w:t>Natural morbidities:  All doings must match cognition. They might be difficult but should still enjoy the pleasing process (NCBI, 2020).</w:t>
      </w:r>
    </w:p>
    <w:p w14:paraId="01469F12" w14:textId="77777777" w:rsidR="00CA1A43" w:rsidRPr="00CA1A43" w:rsidRDefault="00CA1A43" w:rsidP="00CA1A43">
      <w:pPr>
        <w:pStyle w:val="ListParagraph"/>
        <w:widowControl w:val="0"/>
        <w:numPr>
          <w:ilvl w:val="0"/>
          <w:numId w:val="3"/>
        </w:numPr>
        <w:autoSpaceDE w:val="0"/>
        <w:autoSpaceDN w:val="0"/>
        <w:spacing w:after="0" w:line="360" w:lineRule="auto"/>
        <w:jc w:val="both"/>
        <w:rPr>
          <w:rFonts w:ascii="Arial" w:hAnsi="Arial" w:cs="Arial"/>
          <w:sz w:val="22"/>
          <w:szCs w:val="22"/>
        </w:rPr>
      </w:pPr>
      <w:r w:rsidRPr="00CA1A43">
        <w:rPr>
          <w:rFonts w:ascii="Arial" w:hAnsi="Arial" w:cs="Arial"/>
          <w:sz w:val="22"/>
          <w:szCs w:val="22"/>
        </w:rPr>
        <w:t>Visual cues:  Assist in alleviating memory deficits and facilitate schema identification (Thornbury, 1993).</w:t>
      </w:r>
    </w:p>
    <w:p w14:paraId="0D5128CB" w14:textId="77777777" w:rsidR="00CA1A43" w:rsidRPr="00CA1A43" w:rsidRDefault="00CA1A43" w:rsidP="00CA1A43">
      <w:pPr>
        <w:spacing w:line="360" w:lineRule="auto"/>
        <w:jc w:val="both"/>
        <w:rPr>
          <w:rFonts w:ascii="Arial" w:hAnsi="Arial" w:cs="Arial"/>
          <w:color w:val="EE0000"/>
          <w:sz w:val="22"/>
          <w:szCs w:val="22"/>
        </w:rPr>
      </w:pPr>
    </w:p>
    <w:p w14:paraId="7D96B083"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B. Applying Vygotsky’s Theory</w:t>
      </w:r>
    </w:p>
    <w:p w14:paraId="18FE82D9"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They form the basis for interactive and relational care approaches, which are supported through Vygotsky’s (1978) theory.</w:t>
      </w:r>
    </w:p>
    <w:p w14:paraId="76EE7441"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Practical applications:</w:t>
      </w:r>
    </w:p>
    <w:p w14:paraId="34EECF02" w14:textId="77777777" w:rsidR="00CA1A43" w:rsidRPr="00CA1A43" w:rsidRDefault="00CA1A43" w:rsidP="00CA1A43">
      <w:pPr>
        <w:pStyle w:val="ListParagraph"/>
        <w:widowControl w:val="0"/>
        <w:numPr>
          <w:ilvl w:val="0"/>
          <w:numId w:val="2"/>
        </w:numPr>
        <w:autoSpaceDE w:val="0"/>
        <w:autoSpaceDN w:val="0"/>
        <w:spacing w:after="0" w:line="360" w:lineRule="auto"/>
        <w:jc w:val="both"/>
        <w:rPr>
          <w:rFonts w:ascii="Arial" w:hAnsi="Arial" w:cs="Arial"/>
          <w:sz w:val="22"/>
          <w:szCs w:val="22"/>
        </w:rPr>
      </w:pPr>
      <w:r w:rsidRPr="00CA1A43">
        <w:rPr>
          <w:rFonts w:ascii="Arial" w:hAnsi="Arial" w:cs="Arial"/>
          <w:sz w:val="22"/>
          <w:szCs w:val="22"/>
        </w:rPr>
        <w:t>Scaffolding routine activities:  Adults provide prompts with increasing specificity until independence is achieved (Vygotsky, 1978).</w:t>
      </w:r>
    </w:p>
    <w:p w14:paraId="4888610F" w14:textId="77777777" w:rsidR="00CA1A43" w:rsidRPr="00CA1A43" w:rsidRDefault="00CA1A43" w:rsidP="00CA1A43">
      <w:pPr>
        <w:pStyle w:val="ListParagraph"/>
        <w:widowControl w:val="0"/>
        <w:numPr>
          <w:ilvl w:val="0"/>
          <w:numId w:val="2"/>
        </w:numPr>
        <w:autoSpaceDE w:val="0"/>
        <w:autoSpaceDN w:val="0"/>
        <w:spacing w:after="0" w:line="360" w:lineRule="auto"/>
        <w:jc w:val="both"/>
        <w:rPr>
          <w:rFonts w:ascii="Arial" w:hAnsi="Arial" w:cs="Arial"/>
          <w:sz w:val="22"/>
          <w:szCs w:val="22"/>
        </w:rPr>
      </w:pPr>
      <w:r w:rsidRPr="00CA1A43">
        <w:rPr>
          <w:rFonts w:ascii="Arial" w:hAnsi="Arial" w:cs="Arial"/>
          <w:sz w:val="22"/>
          <w:szCs w:val="22"/>
        </w:rPr>
        <w:t>Reminiscence therapy:  This helps stimulate long-term memory via talking spoons with distant events and reinforces identity, courtesy of (PMC, 2021).</w:t>
      </w:r>
    </w:p>
    <w:p w14:paraId="3300546B" w14:textId="77777777" w:rsidR="00CA1A43" w:rsidRPr="00CA1A43" w:rsidRDefault="00CA1A43" w:rsidP="00CA1A43">
      <w:pPr>
        <w:pStyle w:val="ListParagraph"/>
        <w:widowControl w:val="0"/>
        <w:numPr>
          <w:ilvl w:val="0"/>
          <w:numId w:val="2"/>
        </w:numPr>
        <w:autoSpaceDE w:val="0"/>
        <w:autoSpaceDN w:val="0"/>
        <w:spacing w:after="0" w:line="360" w:lineRule="auto"/>
        <w:jc w:val="both"/>
        <w:rPr>
          <w:rFonts w:ascii="Arial" w:hAnsi="Arial" w:cs="Arial"/>
          <w:sz w:val="22"/>
          <w:szCs w:val="22"/>
        </w:rPr>
      </w:pPr>
      <w:r w:rsidRPr="00CA1A43">
        <w:rPr>
          <w:rFonts w:ascii="Arial" w:hAnsi="Arial" w:cs="Arial"/>
          <w:sz w:val="22"/>
          <w:szCs w:val="22"/>
        </w:rPr>
        <w:t>Building relationships with peers: A support system for each other in activities and a sense of belonging.</w:t>
      </w:r>
    </w:p>
    <w:p w14:paraId="2EB349CA" w14:textId="77777777" w:rsidR="00CA1A43" w:rsidRPr="00CA1A43" w:rsidRDefault="00CA1A43" w:rsidP="00CA1A43">
      <w:pPr>
        <w:pStyle w:val="ListParagraph"/>
        <w:widowControl w:val="0"/>
        <w:numPr>
          <w:ilvl w:val="0"/>
          <w:numId w:val="2"/>
        </w:numPr>
        <w:autoSpaceDE w:val="0"/>
        <w:autoSpaceDN w:val="0"/>
        <w:spacing w:after="0" w:line="360" w:lineRule="auto"/>
        <w:jc w:val="both"/>
        <w:rPr>
          <w:rFonts w:ascii="Arial" w:hAnsi="Arial" w:cs="Arial"/>
          <w:sz w:val="22"/>
          <w:szCs w:val="22"/>
        </w:rPr>
      </w:pPr>
      <w:r w:rsidRPr="00CA1A43">
        <w:rPr>
          <w:rFonts w:ascii="Arial" w:hAnsi="Arial" w:cs="Arial"/>
          <w:sz w:val="22"/>
          <w:szCs w:val="22"/>
        </w:rPr>
        <w:t>Cultural familiarity:  The musical, edible and celebratory index link residents to one another via their pasts making them feel engaged and safer.</w:t>
      </w:r>
    </w:p>
    <w:p w14:paraId="2F2297B6" w14:textId="77777777" w:rsidR="00CA1A43" w:rsidRPr="00CA1A43" w:rsidRDefault="00CA1A43" w:rsidP="00CA1A43">
      <w:pPr>
        <w:pStyle w:val="ListParagraph"/>
        <w:widowControl w:val="0"/>
        <w:numPr>
          <w:ilvl w:val="0"/>
          <w:numId w:val="2"/>
        </w:numPr>
        <w:autoSpaceDE w:val="0"/>
        <w:autoSpaceDN w:val="0"/>
        <w:spacing w:after="0" w:line="360" w:lineRule="auto"/>
        <w:jc w:val="both"/>
        <w:rPr>
          <w:rFonts w:ascii="Arial" w:hAnsi="Arial" w:cs="Arial"/>
          <w:sz w:val="22"/>
          <w:szCs w:val="22"/>
        </w:rPr>
      </w:pPr>
      <w:r w:rsidRPr="00CA1A43">
        <w:rPr>
          <w:rFonts w:ascii="Arial" w:hAnsi="Arial" w:cs="Arial"/>
          <w:sz w:val="22"/>
          <w:szCs w:val="22"/>
        </w:rPr>
        <w:t>Co-operative problem-solving:  Gentle questioning preserves autonomy and self-esteem (Simply Psychology, 2023).</w:t>
      </w:r>
    </w:p>
    <w:p w14:paraId="5D22E5FA" w14:textId="77777777" w:rsidR="00CA1A43" w:rsidRPr="00CA1A43" w:rsidRDefault="00CA1A43" w:rsidP="00CA1A43">
      <w:pPr>
        <w:spacing w:line="360" w:lineRule="auto"/>
        <w:jc w:val="both"/>
        <w:rPr>
          <w:rFonts w:ascii="Arial" w:hAnsi="Arial" w:cs="Arial"/>
          <w:sz w:val="22"/>
          <w:szCs w:val="22"/>
        </w:rPr>
      </w:pPr>
    </w:p>
    <w:p w14:paraId="3462D19D" w14:textId="77777777" w:rsidR="00CA1A43" w:rsidRPr="00CA1A43" w:rsidRDefault="00CA1A43" w:rsidP="00CA1A43">
      <w:pPr>
        <w:spacing w:line="360" w:lineRule="auto"/>
        <w:rPr>
          <w:rFonts w:ascii="Arial" w:hAnsi="Arial" w:cs="Arial"/>
        </w:rPr>
      </w:pPr>
    </w:p>
    <w:p w14:paraId="4E103466" w14:textId="77777777" w:rsidR="00CA1A43" w:rsidRPr="00CA1A43" w:rsidRDefault="00CA1A43" w:rsidP="00CA1A43">
      <w:pPr>
        <w:spacing w:line="360" w:lineRule="auto"/>
        <w:rPr>
          <w:rFonts w:ascii="Arial" w:hAnsi="Arial" w:cs="Arial"/>
          <w:b/>
          <w:bCs/>
        </w:rPr>
      </w:pPr>
      <w:r w:rsidRPr="00CA1A43">
        <w:rPr>
          <w:rFonts w:ascii="Arial" w:hAnsi="Arial" w:cs="Arial"/>
          <w:b/>
          <w:bCs/>
        </w:rPr>
        <w:lastRenderedPageBreak/>
        <w:t>Critical evaluation:</w:t>
      </w:r>
    </w:p>
    <w:p w14:paraId="5EB70804" w14:textId="77777777" w:rsidR="00CA1A43" w:rsidRPr="003E3EFE" w:rsidRDefault="00CA1A43" w:rsidP="003E3EFE">
      <w:pPr>
        <w:spacing w:after="0" w:line="360" w:lineRule="auto"/>
        <w:rPr>
          <w:rFonts w:ascii="Arial" w:hAnsi="Arial" w:cs="Arial"/>
          <w:sz w:val="22"/>
          <w:szCs w:val="22"/>
        </w:rPr>
      </w:pPr>
      <w:r w:rsidRPr="003E3EFE">
        <w:rPr>
          <w:rFonts w:ascii="Arial" w:hAnsi="Arial" w:cs="Arial"/>
          <w:sz w:val="22"/>
          <w:szCs w:val="22"/>
        </w:rPr>
        <w:t>While Piaget's framework customises cognitive tasks, it fails to:</w:t>
      </w:r>
    </w:p>
    <w:p w14:paraId="2EBB6EED" w14:textId="77777777" w:rsidR="00CA1A43" w:rsidRPr="003E3EFE" w:rsidRDefault="00CA1A43" w:rsidP="003E3EFE">
      <w:pPr>
        <w:spacing w:after="0" w:line="360" w:lineRule="auto"/>
        <w:rPr>
          <w:rFonts w:ascii="Arial" w:hAnsi="Arial" w:cs="Arial"/>
          <w:sz w:val="22"/>
          <w:szCs w:val="22"/>
        </w:rPr>
      </w:pPr>
      <w:r w:rsidRPr="003E3EFE">
        <w:rPr>
          <w:rFonts w:ascii="Arial" w:hAnsi="Arial" w:cs="Arial"/>
          <w:sz w:val="22"/>
          <w:szCs w:val="22"/>
        </w:rPr>
        <w:t xml:space="preserve">(a) acknowledge that dementia is a variable decline process, </w:t>
      </w:r>
    </w:p>
    <w:p w14:paraId="679B3C08" w14:textId="77777777" w:rsidR="00CA1A43" w:rsidRPr="003E3EFE" w:rsidRDefault="00CA1A43" w:rsidP="003E3EFE">
      <w:pPr>
        <w:spacing w:after="0" w:line="360" w:lineRule="auto"/>
        <w:rPr>
          <w:rFonts w:ascii="Arial" w:hAnsi="Arial" w:cs="Arial"/>
          <w:sz w:val="22"/>
          <w:szCs w:val="22"/>
        </w:rPr>
      </w:pPr>
      <w:r w:rsidRPr="003E3EFE">
        <w:rPr>
          <w:rFonts w:ascii="Arial" w:hAnsi="Arial" w:cs="Arial"/>
          <w:sz w:val="22"/>
          <w:szCs w:val="22"/>
        </w:rPr>
        <w:t xml:space="preserve">(b) consider emotional/social factors involved. </w:t>
      </w:r>
    </w:p>
    <w:p w14:paraId="495AF91D" w14:textId="77777777" w:rsidR="00CA1A43" w:rsidRPr="003E3EFE" w:rsidRDefault="00CA1A43" w:rsidP="003E3EFE">
      <w:pPr>
        <w:spacing w:after="0" w:line="360" w:lineRule="auto"/>
        <w:rPr>
          <w:rFonts w:ascii="Arial" w:hAnsi="Arial" w:cs="Arial"/>
          <w:sz w:val="22"/>
          <w:szCs w:val="22"/>
        </w:rPr>
      </w:pPr>
      <w:r w:rsidRPr="003E3EFE">
        <w:rPr>
          <w:rFonts w:ascii="Arial" w:hAnsi="Arial" w:cs="Arial"/>
          <w:sz w:val="22"/>
          <w:szCs w:val="22"/>
        </w:rPr>
        <w:t xml:space="preserve">(c) risk infantilising patients by stage classification (Mahoney, 2003). </w:t>
      </w:r>
    </w:p>
    <w:p w14:paraId="687D06EC" w14:textId="2E958C72" w:rsidR="00CA1A43" w:rsidRPr="00CA1A43" w:rsidRDefault="00CA1A43" w:rsidP="003E3EFE">
      <w:pPr>
        <w:spacing w:after="0" w:line="360" w:lineRule="auto"/>
        <w:rPr>
          <w:rFonts w:ascii="Arial" w:hAnsi="Arial" w:cs="Arial"/>
        </w:rPr>
      </w:pPr>
      <w:r w:rsidRPr="003E3EFE">
        <w:rPr>
          <w:rFonts w:ascii="Arial" w:hAnsi="Arial" w:cs="Arial"/>
          <w:sz w:val="22"/>
          <w:szCs w:val="22"/>
        </w:rPr>
        <w:t>Dementia: Vygotsky’s views match person-centred care (</w:t>
      </w:r>
      <w:proofErr w:type="spellStart"/>
      <w:r w:rsidRPr="003E3EFE">
        <w:rPr>
          <w:rFonts w:ascii="Arial" w:hAnsi="Arial" w:cs="Arial"/>
          <w:sz w:val="22"/>
          <w:szCs w:val="22"/>
        </w:rPr>
        <w:t>Kitwood</w:t>
      </w:r>
      <w:proofErr w:type="spellEnd"/>
      <w:r w:rsidRPr="003E3EFE">
        <w:rPr>
          <w:rFonts w:ascii="Arial" w:hAnsi="Arial" w:cs="Arial"/>
          <w:sz w:val="22"/>
          <w:szCs w:val="22"/>
        </w:rPr>
        <w:t xml:space="preserve">, 1997) </w:t>
      </w:r>
      <w:r w:rsidRPr="00CA1A43">
        <w:rPr>
          <w:rFonts w:ascii="Arial" w:hAnsi="Arial" w:cs="Arial"/>
        </w:rPr>
        <w:t>underpinning, highlighting staffing/training; incomprehensibility of advanced dementia makes response difficult but mitigated by family involvement and flexibility.</w:t>
      </w:r>
    </w:p>
    <w:p w14:paraId="1F7F8B0A" w14:textId="77777777" w:rsidR="00CA1A43" w:rsidRPr="00CA1A43" w:rsidRDefault="00CA1A43" w:rsidP="00CA1A43">
      <w:pPr>
        <w:pStyle w:val="Heading1"/>
        <w:rPr>
          <w:rFonts w:ascii="Arial" w:hAnsi="Arial" w:cs="Arial"/>
          <w:b/>
          <w:bCs/>
          <w:color w:val="auto"/>
          <w:sz w:val="22"/>
          <w:szCs w:val="22"/>
        </w:rPr>
      </w:pPr>
      <w:bookmarkStart w:id="4" w:name="_Toc223486385"/>
      <w:r w:rsidRPr="00CA1A43">
        <w:rPr>
          <w:rFonts w:ascii="Arial" w:hAnsi="Arial" w:cs="Arial"/>
          <w:b/>
          <w:bCs/>
          <w:color w:val="auto"/>
          <w:sz w:val="22"/>
          <w:szCs w:val="22"/>
        </w:rPr>
        <w:t>4. Potential challenges and management strategies</w:t>
      </w:r>
      <w:bookmarkEnd w:id="4"/>
    </w:p>
    <w:p w14:paraId="7B05C968"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challenges</w:t>
      </w:r>
    </w:p>
    <w:p w14:paraId="280CA5A0" w14:textId="77777777" w:rsidR="00CA1A43" w:rsidRPr="00CA1A43" w:rsidRDefault="00CA1A43" w:rsidP="00CA1A43">
      <w:pPr>
        <w:pStyle w:val="ListParagraph"/>
        <w:widowControl w:val="0"/>
        <w:numPr>
          <w:ilvl w:val="0"/>
          <w:numId w:val="1"/>
        </w:numPr>
        <w:autoSpaceDE w:val="0"/>
        <w:autoSpaceDN w:val="0"/>
        <w:spacing w:after="0" w:line="360" w:lineRule="auto"/>
        <w:jc w:val="both"/>
        <w:rPr>
          <w:rFonts w:ascii="Arial" w:hAnsi="Arial" w:cs="Arial"/>
          <w:sz w:val="22"/>
          <w:szCs w:val="22"/>
        </w:rPr>
      </w:pPr>
      <w:r w:rsidRPr="00CA1A43">
        <w:rPr>
          <w:rFonts w:ascii="Arial" w:hAnsi="Arial" w:cs="Arial"/>
          <w:sz w:val="22"/>
          <w:szCs w:val="22"/>
        </w:rPr>
        <w:t>Progressive cognitive decline hampers opportunities for self-directed and transactive learning (Journal of Gerontology, 2022).</w:t>
      </w:r>
    </w:p>
    <w:p w14:paraId="083AB4EF" w14:textId="77777777" w:rsidR="00CA1A43" w:rsidRPr="00CA1A43" w:rsidRDefault="00CA1A43" w:rsidP="00CA1A43">
      <w:pPr>
        <w:pStyle w:val="ListParagraph"/>
        <w:widowControl w:val="0"/>
        <w:numPr>
          <w:ilvl w:val="0"/>
          <w:numId w:val="1"/>
        </w:numPr>
        <w:autoSpaceDE w:val="0"/>
        <w:autoSpaceDN w:val="0"/>
        <w:spacing w:after="0" w:line="360" w:lineRule="auto"/>
        <w:jc w:val="both"/>
        <w:rPr>
          <w:rFonts w:ascii="Arial" w:hAnsi="Arial" w:cs="Arial"/>
          <w:sz w:val="22"/>
          <w:szCs w:val="22"/>
        </w:rPr>
      </w:pPr>
      <w:r w:rsidRPr="00CA1A43">
        <w:rPr>
          <w:rFonts w:ascii="Arial" w:hAnsi="Arial" w:cs="Arial"/>
          <w:sz w:val="22"/>
          <w:szCs w:val="22"/>
        </w:rPr>
        <w:t>Many staff have at most rudimentary knowledge of psychological theory, leading to fragmentation of practice (PMC, 2021).</w:t>
      </w:r>
    </w:p>
    <w:p w14:paraId="4F3BE514" w14:textId="77777777" w:rsidR="00CA1A43" w:rsidRPr="00CA1A43" w:rsidRDefault="00CA1A43" w:rsidP="00CA1A43">
      <w:pPr>
        <w:pStyle w:val="ListParagraph"/>
        <w:widowControl w:val="0"/>
        <w:numPr>
          <w:ilvl w:val="0"/>
          <w:numId w:val="1"/>
        </w:numPr>
        <w:autoSpaceDE w:val="0"/>
        <w:autoSpaceDN w:val="0"/>
        <w:spacing w:after="0" w:line="360" w:lineRule="auto"/>
        <w:jc w:val="both"/>
        <w:rPr>
          <w:rFonts w:ascii="Arial" w:hAnsi="Arial" w:cs="Arial"/>
          <w:sz w:val="22"/>
          <w:szCs w:val="22"/>
        </w:rPr>
      </w:pPr>
      <w:r w:rsidRPr="00CA1A43">
        <w:rPr>
          <w:rFonts w:ascii="Arial" w:hAnsi="Arial" w:cs="Arial"/>
          <w:sz w:val="22"/>
          <w:szCs w:val="22"/>
        </w:rPr>
        <w:t>Time pressures discourage interactional approaches (</w:t>
      </w:r>
      <w:proofErr w:type="spellStart"/>
      <w:r w:rsidRPr="00CA1A43">
        <w:rPr>
          <w:rFonts w:ascii="Arial" w:hAnsi="Arial" w:cs="Arial"/>
          <w:sz w:val="22"/>
          <w:szCs w:val="22"/>
        </w:rPr>
        <w:t>carehome</w:t>
      </w:r>
      <w:proofErr w:type="spellEnd"/>
      <w:r w:rsidRPr="00CA1A43">
        <w:rPr>
          <w:rFonts w:ascii="Arial" w:hAnsi="Arial" w:cs="Arial"/>
          <w:sz w:val="22"/>
          <w:szCs w:val="22"/>
        </w:rPr>
        <w:t>. co.uk, 2023).</w:t>
      </w:r>
    </w:p>
    <w:p w14:paraId="47D00935" w14:textId="77777777" w:rsidR="00CA1A43" w:rsidRPr="00CA1A43" w:rsidRDefault="00CA1A43" w:rsidP="00CA1A43">
      <w:pPr>
        <w:pStyle w:val="ListParagraph"/>
        <w:widowControl w:val="0"/>
        <w:numPr>
          <w:ilvl w:val="0"/>
          <w:numId w:val="1"/>
        </w:numPr>
        <w:autoSpaceDE w:val="0"/>
        <w:autoSpaceDN w:val="0"/>
        <w:spacing w:after="0" w:line="360" w:lineRule="auto"/>
        <w:jc w:val="both"/>
        <w:rPr>
          <w:rFonts w:ascii="Arial" w:hAnsi="Arial" w:cs="Arial"/>
          <w:sz w:val="22"/>
          <w:szCs w:val="22"/>
        </w:rPr>
      </w:pPr>
      <w:r w:rsidRPr="00CA1A43">
        <w:rPr>
          <w:rFonts w:ascii="Arial" w:hAnsi="Arial" w:cs="Arial"/>
          <w:sz w:val="22"/>
          <w:szCs w:val="22"/>
        </w:rPr>
        <w:t>Burnout reduces energy for reflection (BMJ Open, 2022).</w:t>
      </w:r>
    </w:p>
    <w:p w14:paraId="357A7463" w14:textId="77777777" w:rsidR="00CA1A43" w:rsidRPr="00CA1A43" w:rsidRDefault="00CA1A43" w:rsidP="00CA1A43">
      <w:pPr>
        <w:spacing w:line="360" w:lineRule="auto"/>
        <w:jc w:val="both"/>
        <w:rPr>
          <w:rFonts w:ascii="Arial" w:hAnsi="Arial" w:cs="Arial"/>
          <w:sz w:val="22"/>
          <w:szCs w:val="22"/>
        </w:rPr>
      </w:pPr>
    </w:p>
    <w:p w14:paraId="35CFC3B2" w14:textId="77777777" w:rsidR="00CA1A43" w:rsidRPr="00CA1A43" w:rsidRDefault="00CA1A43" w:rsidP="00CA1A43">
      <w:pPr>
        <w:pStyle w:val="Heading1"/>
        <w:spacing w:line="360" w:lineRule="auto"/>
        <w:jc w:val="both"/>
        <w:rPr>
          <w:rFonts w:ascii="Arial" w:hAnsi="Arial" w:cs="Arial"/>
          <w:b/>
          <w:bCs/>
          <w:sz w:val="22"/>
          <w:szCs w:val="22"/>
        </w:rPr>
      </w:pPr>
      <w:bookmarkStart w:id="5" w:name="_Toc223486386"/>
      <w:r w:rsidRPr="00CA1A43">
        <w:rPr>
          <w:rFonts w:ascii="Arial" w:hAnsi="Arial" w:cs="Arial"/>
          <w:b/>
          <w:bCs/>
          <w:color w:val="auto"/>
          <w:sz w:val="22"/>
          <w:szCs w:val="22"/>
        </w:rPr>
        <w:t>Conclusion</w:t>
      </w:r>
      <w:bookmarkEnd w:id="5"/>
    </w:p>
    <w:p w14:paraId="7E93534F"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Pupils caring for older residents in dementia care homes confront complex cognitive, emotional and social challenges that call for well-informed, compassionate and theory-driven practice. Though initially created to describe children’s development, both Jean Piaget’s Cognitive Development Theory and Lev Vygotsky’s Sociocultural Theory of Learning are relevant even if limited indicators in understanding adaptation and learning later in life (Piaget, 1952; Vygotsky, 1978).</w:t>
      </w:r>
    </w:p>
    <w:p w14:paraId="74F0011F" w14:textId="77777777" w:rsidR="00CA1A43" w:rsidRPr="00CA1A43" w:rsidRDefault="00CA1A43" w:rsidP="00CA1A43">
      <w:pPr>
        <w:spacing w:line="360" w:lineRule="auto"/>
        <w:jc w:val="both"/>
        <w:rPr>
          <w:rFonts w:ascii="Arial" w:hAnsi="Arial" w:cs="Arial"/>
          <w:sz w:val="22"/>
          <w:szCs w:val="22"/>
        </w:rPr>
      </w:pPr>
      <w:r w:rsidRPr="00CA1A43">
        <w:rPr>
          <w:rFonts w:ascii="Arial" w:hAnsi="Arial" w:cs="Arial"/>
          <w:sz w:val="22"/>
          <w:szCs w:val="22"/>
        </w:rPr>
        <w:t>Piaget focused on assessing cognitive readiness &amp; structuring environments to present adequately challenging opportunities without overwhelming the individual (Mahoney, 2003). On the other hand, Vygotsky stressed the importance of social interaction, scaffolding as well as how culture and identity can help sustain us (</w:t>
      </w:r>
      <w:proofErr w:type="spellStart"/>
      <w:r w:rsidRPr="00CA1A43">
        <w:rPr>
          <w:rFonts w:ascii="Arial" w:hAnsi="Arial" w:cs="Arial"/>
          <w:sz w:val="22"/>
          <w:szCs w:val="22"/>
        </w:rPr>
        <w:t>Kitwood</w:t>
      </w:r>
      <w:proofErr w:type="spellEnd"/>
      <w:r w:rsidRPr="00CA1A43">
        <w:rPr>
          <w:rFonts w:ascii="Arial" w:hAnsi="Arial" w:cs="Arial"/>
          <w:sz w:val="22"/>
          <w:szCs w:val="22"/>
        </w:rPr>
        <w:t>, 1997). Through critical and ethical application in conjunction with other frameworks, these theories can support person-centredness, which is a means of promoting autonomy and an improved quality of life for older adults 65+ living with dementia in residential care environments.</w:t>
      </w:r>
    </w:p>
    <w:p w14:paraId="4CE8FB5C" w14:textId="77777777" w:rsidR="00CA1A43" w:rsidRPr="00CA1A43" w:rsidRDefault="00CA1A43" w:rsidP="00CA1A43">
      <w:pPr>
        <w:spacing w:line="360" w:lineRule="auto"/>
        <w:rPr>
          <w:rFonts w:ascii="Arial" w:hAnsi="Arial" w:cs="Arial"/>
          <w:b/>
          <w:bCs/>
        </w:rPr>
      </w:pPr>
    </w:p>
    <w:p w14:paraId="20FFD57C" w14:textId="77777777" w:rsidR="00CA1A43" w:rsidRPr="00CA1A43" w:rsidRDefault="00CA1A43" w:rsidP="00CA1A43">
      <w:pPr>
        <w:pStyle w:val="Heading1"/>
        <w:rPr>
          <w:rFonts w:ascii="Arial" w:hAnsi="Arial" w:cs="Arial"/>
          <w:b/>
          <w:bCs/>
          <w:color w:val="auto"/>
          <w:sz w:val="22"/>
          <w:szCs w:val="22"/>
        </w:rPr>
      </w:pPr>
      <w:bookmarkStart w:id="6" w:name="_Toc223486387"/>
      <w:r w:rsidRPr="00CA1A43">
        <w:rPr>
          <w:rFonts w:ascii="Arial" w:hAnsi="Arial" w:cs="Arial"/>
          <w:b/>
          <w:bCs/>
          <w:color w:val="auto"/>
          <w:sz w:val="22"/>
          <w:szCs w:val="22"/>
        </w:rPr>
        <w:lastRenderedPageBreak/>
        <w:t>References</w:t>
      </w:r>
      <w:bookmarkEnd w:id="6"/>
    </w:p>
    <w:p w14:paraId="11ADC074" w14:textId="77777777" w:rsidR="00CA1A43" w:rsidRPr="00CA1A43" w:rsidRDefault="00CA1A43" w:rsidP="00CA1A43">
      <w:pPr>
        <w:spacing w:line="360" w:lineRule="auto"/>
        <w:rPr>
          <w:rFonts w:ascii="Arial" w:hAnsi="Arial" w:cs="Arial"/>
        </w:rPr>
      </w:pPr>
    </w:p>
    <w:p w14:paraId="51BCE3C7"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Alzheimer's Society (2022) </w:t>
      </w:r>
      <w:r w:rsidRPr="00465F6B">
        <w:rPr>
          <w:rFonts w:ascii="Arial" w:hAnsi="Arial" w:cs="Arial"/>
          <w:i/>
          <w:iCs/>
          <w:sz w:val="22"/>
          <w:szCs w:val="22"/>
        </w:rPr>
        <w:t>Care options for a person with dementia</w:t>
      </w:r>
      <w:r w:rsidRPr="00465F6B">
        <w:rPr>
          <w:rFonts w:ascii="Arial" w:hAnsi="Arial" w:cs="Arial"/>
          <w:sz w:val="22"/>
          <w:szCs w:val="22"/>
        </w:rPr>
        <w:t xml:space="preserve">. Available at: </w:t>
      </w:r>
      <w:hyperlink r:id="rId7" w:tgtFrame="_blank" w:history="1">
        <w:r w:rsidRPr="00465F6B">
          <w:rPr>
            <w:rStyle w:val="Hyperlink"/>
            <w:rFonts w:ascii="Arial" w:hAnsi="Arial" w:cs="Arial"/>
            <w:sz w:val="22"/>
            <w:szCs w:val="22"/>
          </w:rPr>
          <w:t>https://www.alzheimers.org.uk/get-support/help-dementia-care/care-homes-decision</w:t>
        </w:r>
      </w:hyperlink>
      <w:r w:rsidRPr="00465F6B">
        <w:rPr>
          <w:rFonts w:ascii="Arial" w:hAnsi="Arial" w:cs="Arial"/>
          <w:sz w:val="22"/>
          <w:szCs w:val="22"/>
        </w:rPr>
        <w:t xml:space="preserve"> (Accessed: 22 Feb 2026).</w:t>
      </w:r>
    </w:p>
    <w:p w14:paraId="567B27A0" w14:textId="77777777" w:rsidR="00CA1A43" w:rsidRPr="00465F6B" w:rsidRDefault="00CA1A43" w:rsidP="00CA1A43">
      <w:pPr>
        <w:spacing w:line="360" w:lineRule="auto"/>
        <w:rPr>
          <w:rFonts w:ascii="Arial" w:hAnsi="Arial" w:cs="Arial"/>
          <w:sz w:val="22"/>
          <w:szCs w:val="22"/>
        </w:rPr>
      </w:pPr>
    </w:p>
    <w:p w14:paraId="4DAC1943" w14:textId="0F058880"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Javed, S. and Kakul, F. (2023) 'Psychological theories of dementia', </w:t>
      </w:r>
      <w:r w:rsidRPr="00465F6B">
        <w:rPr>
          <w:rFonts w:ascii="Arial" w:hAnsi="Arial" w:cs="Arial"/>
          <w:i/>
          <w:iCs/>
          <w:sz w:val="22"/>
          <w:szCs w:val="22"/>
        </w:rPr>
        <w:t>Journal of Gerontology &amp; Geriatric Medicine</w:t>
      </w:r>
      <w:r w:rsidRPr="00465F6B">
        <w:rPr>
          <w:rFonts w:ascii="Arial" w:hAnsi="Arial" w:cs="Arial"/>
          <w:sz w:val="22"/>
          <w:szCs w:val="22"/>
        </w:rPr>
        <w:t xml:space="preserve">, 5(1). Available at: </w:t>
      </w:r>
      <w:hyperlink r:id="rId8" w:tgtFrame="_blank" w:history="1">
        <w:r w:rsidRPr="00465F6B">
          <w:rPr>
            <w:rStyle w:val="Hyperlink"/>
            <w:rFonts w:ascii="Arial" w:hAnsi="Arial" w:cs="Arial"/>
            <w:sz w:val="22"/>
            <w:szCs w:val="22"/>
          </w:rPr>
          <w:t>https://www.jgerontology-geriatrics.com/article/view/610</w:t>
        </w:r>
      </w:hyperlink>
      <w:r w:rsidRPr="00465F6B">
        <w:rPr>
          <w:rFonts w:ascii="Arial" w:hAnsi="Arial" w:cs="Arial"/>
          <w:sz w:val="22"/>
          <w:szCs w:val="22"/>
        </w:rPr>
        <w:t xml:space="preserve"> (Accessed: 1 March 2026).</w:t>
      </w:r>
    </w:p>
    <w:p w14:paraId="5E520E02" w14:textId="77777777" w:rsidR="00CA1A43" w:rsidRPr="00465F6B" w:rsidRDefault="00CA1A43" w:rsidP="00CA1A43">
      <w:pPr>
        <w:spacing w:line="360" w:lineRule="auto"/>
        <w:rPr>
          <w:rFonts w:ascii="Arial" w:hAnsi="Arial" w:cs="Arial"/>
          <w:sz w:val="22"/>
          <w:szCs w:val="22"/>
        </w:rPr>
      </w:pPr>
    </w:p>
    <w:p w14:paraId="0CF0476F" w14:textId="77777777" w:rsidR="00CA1A43" w:rsidRPr="00465F6B" w:rsidRDefault="00CA1A43" w:rsidP="00CA1A43">
      <w:pPr>
        <w:spacing w:line="360" w:lineRule="auto"/>
        <w:rPr>
          <w:rFonts w:ascii="Arial" w:hAnsi="Arial" w:cs="Arial"/>
          <w:sz w:val="22"/>
          <w:szCs w:val="22"/>
        </w:rPr>
      </w:pPr>
      <w:proofErr w:type="spellStart"/>
      <w:r w:rsidRPr="00465F6B">
        <w:rPr>
          <w:rFonts w:ascii="Arial" w:hAnsi="Arial" w:cs="Arial"/>
          <w:sz w:val="22"/>
          <w:szCs w:val="22"/>
        </w:rPr>
        <w:t>Kitwood</w:t>
      </w:r>
      <w:proofErr w:type="spellEnd"/>
      <w:r w:rsidRPr="00465F6B">
        <w:rPr>
          <w:rFonts w:ascii="Arial" w:hAnsi="Arial" w:cs="Arial"/>
          <w:sz w:val="22"/>
          <w:szCs w:val="22"/>
        </w:rPr>
        <w:t xml:space="preserve">, T. (1997) </w:t>
      </w:r>
      <w:r w:rsidRPr="00465F6B">
        <w:rPr>
          <w:rFonts w:ascii="Arial" w:hAnsi="Arial" w:cs="Arial"/>
          <w:i/>
          <w:iCs/>
          <w:sz w:val="22"/>
          <w:szCs w:val="22"/>
        </w:rPr>
        <w:t>Dementia reconsidered: the person comes first</w:t>
      </w:r>
      <w:r w:rsidRPr="00465F6B">
        <w:rPr>
          <w:rFonts w:ascii="Arial" w:hAnsi="Arial" w:cs="Arial"/>
          <w:sz w:val="22"/>
          <w:szCs w:val="22"/>
        </w:rPr>
        <w:t xml:space="preserve">. Buckingham: Open University Press. Available at: </w:t>
      </w:r>
      <w:hyperlink r:id="rId9" w:tgtFrame="_blank" w:history="1">
        <w:r w:rsidRPr="00465F6B">
          <w:rPr>
            <w:rStyle w:val="Hyperlink"/>
            <w:rFonts w:ascii="Arial" w:hAnsi="Arial" w:cs="Arial"/>
            <w:sz w:val="22"/>
            <w:szCs w:val="22"/>
          </w:rPr>
          <w:t>https://dcare.training/topic/1-2-approach-to-care-according-to-tom-kitwood-2/</w:t>
        </w:r>
      </w:hyperlink>
      <w:r w:rsidRPr="00465F6B">
        <w:rPr>
          <w:rFonts w:ascii="Arial" w:hAnsi="Arial" w:cs="Arial"/>
          <w:sz w:val="22"/>
          <w:szCs w:val="22"/>
        </w:rPr>
        <w:t xml:space="preserve"> (Accessed: 4 March 2026).</w:t>
      </w:r>
    </w:p>
    <w:p w14:paraId="78F12598" w14:textId="77777777" w:rsidR="00CA1A43" w:rsidRPr="00465F6B" w:rsidRDefault="00CA1A43" w:rsidP="00CA1A43">
      <w:pPr>
        <w:spacing w:line="360" w:lineRule="auto"/>
        <w:rPr>
          <w:rFonts w:ascii="Arial" w:hAnsi="Arial" w:cs="Arial"/>
          <w:sz w:val="22"/>
          <w:szCs w:val="22"/>
        </w:rPr>
      </w:pPr>
    </w:p>
    <w:p w14:paraId="563C21DE" w14:textId="618A3AFB"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Livingston, G. et al. (2020) 'Dementia prevention, intervention, and care: 2020 report of the Lancet Commission', </w:t>
      </w:r>
      <w:r w:rsidRPr="00465F6B">
        <w:rPr>
          <w:rFonts w:ascii="Arial" w:hAnsi="Arial" w:cs="Arial"/>
          <w:i/>
          <w:iCs/>
          <w:sz w:val="22"/>
          <w:szCs w:val="22"/>
        </w:rPr>
        <w:t>The Lancet</w:t>
      </w:r>
      <w:r w:rsidRPr="00465F6B">
        <w:rPr>
          <w:rFonts w:ascii="Arial" w:hAnsi="Arial" w:cs="Arial"/>
          <w:sz w:val="22"/>
          <w:szCs w:val="22"/>
        </w:rPr>
        <w:t xml:space="preserve">, 396(10248), pp. 413-446. Available at: </w:t>
      </w:r>
      <w:hyperlink r:id="rId10" w:tgtFrame="_blank" w:history="1">
        <w:r w:rsidRPr="00465F6B">
          <w:rPr>
            <w:rStyle w:val="Hyperlink"/>
            <w:rFonts w:ascii="Arial" w:hAnsi="Arial" w:cs="Arial"/>
            <w:sz w:val="22"/>
            <w:szCs w:val="22"/>
          </w:rPr>
          <w:t>https://pmc.ncbi.nlm.nih.gov/articles/PMC7392084/</w:t>
        </w:r>
      </w:hyperlink>
      <w:r w:rsidRPr="00465F6B">
        <w:rPr>
          <w:rFonts w:ascii="Arial" w:hAnsi="Arial" w:cs="Arial"/>
          <w:sz w:val="22"/>
          <w:szCs w:val="22"/>
        </w:rPr>
        <w:t xml:space="preserve"> (Accessed: </w:t>
      </w:r>
      <w:r w:rsidR="007D7F80" w:rsidRPr="00465F6B">
        <w:rPr>
          <w:rFonts w:ascii="Arial" w:hAnsi="Arial" w:cs="Arial"/>
          <w:sz w:val="22"/>
          <w:szCs w:val="22"/>
        </w:rPr>
        <w:t>1</w:t>
      </w:r>
      <w:r w:rsidRPr="00465F6B">
        <w:rPr>
          <w:rFonts w:ascii="Arial" w:hAnsi="Arial" w:cs="Arial"/>
          <w:sz w:val="22"/>
          <w:szCs w:val="22"/>
        </w:rPr>
        <w:t xml:space="preserve"> March 2026).</w:t>
      </w:r>
    </w:p>
    <w:p w14:paraId="5BEC1FFB" w14:textId="77777777" w:rsidR="00CA1A43" w:rsidRPr="00465F6B" w:rsidRDefault="00CA1A43" w:rsidP="00CA1A43">
      <w:pPr>
        <w:spacing w:line="360" w:lineRule="auto"/>
        <w:rPr>
          <w:rFonts w:ascii="Arial" w:hAnsi="Arial" w:cs="Arial"/>
          <w:sz w:val="22"/>
          <w:szCs w:val="22"/>
        </w:rPr>
      </w:pPr>
    </w:p>
    <w:p w14:paraId="0C93D453"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Mahoney, A.E.J. (2003) 'Age- or stage-appropriate? Recreation and the relevance of Piaget's theory in dementia care', </w:t>
      </w:r>
      <w:r w:rsidRPr="00465F6B">
        <w:rPr>
          <w:rFonts w:ascii="Arial" w:hAnsi="Arial" w:cs="Arial"/>
          <w:i/>
          <w:iCs/>
          <w:sz w:val="22"/>
          <w:szCs w:val="22"/>
        </w:rPr>
        <w:t>American Journal of Alzheimer's Disease &amp; Other Dementias</w:t>
      </w:r>
      <w:r w:rsidRPr="00465F6B">
        <w:rPr>
          <w:rFonts w:ascii="Arial" w:hAnsi="Arial" w:cs="Arial"/>
          <w:sz w:val="22"/>
          <w:szCs w:val="22"/>
        </w:rPr>
        <w:t xml:space="preserve">, 18(1), pp. 15-22. Available at: </w:t>
      </w:r>
      <w:hyperlink r:id="rId11" w:tgtFrame="_blank" w:history="1">
        <w:r w:rsidRPr="00465F6B">
          <w:rPr>
            <w:rStyle w:val="Hyperlink"/>
            <w:rFonts w:ascii="Arial" w:hAnsi="Arial" w:cs="Arial"/>
            <w:sz w:val="22"/>
            <w:szCs w:val="22"/>
          </w:rPr>
          <w:t>https://pubmed.ncbi.nlm.nih.gov/12613131/</w:t>
        </w:r>
      </w:hyperlink>
      <w:r w:rsidRPr="00465F6B">
        <w:rPr>
          <w:rFonts w:ascii="Arial" w:hAnsi="Arial" w:cs="Arial"/>
          <w:sz w:val="22"/>
          <w:szCs w:val="22"/>
        </w:rPr>
        <w:t xml:space="preserve"> (Accessed: 4 March 2026).</w:t>
      </w:r>
    </w:p>
    <w:p w14:paraId="1E453C76" w14:textId="77777777" w:rsidR="00CA1A43" w:rsidRPr="00465F6B" w:rsidRDefault="00CA1A43" w:rsidP="00CA1A43">
      <w:pPr>
        <w:spacing w:line="360" w:lineRule="auto"/>
        <w:rPr>
          <w:rFonts w:ascii="Arial" w:hAnsi="Arial" w:cs="Arial"/>
          <w:sz w:val="22"/>
          <w:szCs w:val="22"/>
        </w:rPr>
      </w:pPr>
    </w:p>
    <w:p w14:paraId="612D3935" w14:textId="4AABF71E"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Mahoney, A.E.J. (2003) 'Age- or stage-appropriate? Recreation and the relevance of Piaget's theory in dementia care', </w:t>
      </w:r>
      <w:r w:rsidRPr="00465F6B">
        <w:rPr>
          <w:rFonts w:ascii="Arial" w:hAnsi="Arial" w:cs="Arial"/>
          <w:i/>
          <w:iCs/>
          <w:sz w:val="22"/>
          <w:szCs w:val="22"/>
        </w:rPr>
        <w:t>American Journal of Alzheimer's Disease and Other Dementias</w:t>
      </w:r>
      <w:r w:rsidRPr="00465F6B">
        <w:rPr>
          <w:rFonts w:ascii="Arial" w:hAnsi="Arial" w:cs="Arial"/>
          <w:sz w:val="22"/>
          <w:szCs w:val="22"/>
        </w:rPr>
        <w:t xml:space="preserve">, 18(1), pp. 15-22. Available at: </w:t>
      </w:r>
      <w:hyperlink r:id="rId12" w:tgtFrame="_blank" w:history="1">
        <w:r w:rsidRPr="00465F6B">
          <w:rPr>
            <w:rStyle w:val="Hyperlink"/>
            <w:rFonts w:ascii="Arial" w:hAnsi="Arial" w:cs="Arial"/>
            <w:sz w:val="22"/>
            <w:szCs w:val="22"/>
          </w:rPr>
          <w:t>https://www.ncbi.nlm.nih.gov/pmc/articles/PMC10833980/</w:t>
        </w:r>
      </w:hyperlink>
      <w:r w:rsidRPr="00465F6B">
        <w:rPr>
          <w:rFonts w:ascii="Arial" w:hAnsi="Arial" w:cs="Arial"/>
          <w:sz w:val="22"/>
          <w:szCs w:val="22"/>
        </w:rPr>
        <w:t xml:space="preserve"> (Accessed: </w:t>
      </w:r>
      <w:r w:rsidR="007D7F80" w:rsidRPr="00465F6B">
        <w:rPr>
          <w:rFonts w:ascii="Arial" w:hAnsi="Arial" w:cs="Arial"/>
          <w:sz w:val="22"/>
          <w:szCs w:val="22"/>
        </w:rPr>
        <w:t>3</w:t>
      </w:r>
      <w:r w:rsidRPr="00465F6B">
        <w:rPr>
          <w:rFonts w:ascii="Arial" w:hAnsi="Arial" w:cs="Arial"/>
          <w:sz w:val="22"/>
          <w:szCs w:val="22"/>
        </w:rPr>
        <w:t xml:space="preserve"> March 2026).</w:t>
      </w:r>
    </w:p>
    <w:p w14:paraId="1EF884E4" w14:textId="77777777" w:rsidR="00CA1A43" w:rsidRPr="00465F6B" w:rsidRDefault="00CA1A43" w:rsidP="00CA1A43">
      <w:pPr>
        <w:spacing w:line="360" w:lineRule="auto"/>
        <w:rPr>
          <w:rFonts w:ascii="Arial" w:hAnsi="Arial" w:cs="Arial"/>
          <w:sz w:val="22"/>
          <w:szCs w:val="22"/>
        </w:rPr>
      </w:pPr>
    </w:p>
    <w:p w14:paraId="3F0EE21D"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Subramaniam, P. and Woods, B. (2022) 'Effects of reminiscence therapy in people with dementia: A systematic review and meta-analysis', </w:t>
      </w:r>
      <w:r w:rsidRPr="00465F6B">
        <w:rPr>
          <w:rFonts w:ascii="Arial" w:hAnsi="Arial" w:cs="Arial"/>
          <w:i/>
          <w:iCs/>
          <w:sz w:val="22"/>
          <w:szCs w:val="22"/>
        </w:rPr>
        <w:t xml:space="preserve">Journal of Psychiatric and Mental Health </w:t>
      </w:r>
      <w:r w:rsidRPr="00465F6B">
        <w:rPr>
          <w:rFonts w:ascii="Arial" w:hAnsi="Arial" w:cs="Arial"/>
          <w:i/>
          <w:iCs/>
          <w:sz w:val="22"/>
          <w:szCs w:val="22"/>
        </w:rPr>
        <w:lastRenderedPageBreak/>
        <w:t>Nursing</w:t>
      </w:r>
      <w:r w:rsidRPr="00465F6B">
        <w:rPr>
          <w:rFonts w:ascii="Arial" w:hAnsi="Arial" w:cs="Arial"/>
          <w:sz w:val="22"/>
          <w:szCs w:val="22"/>
        </w:rPr>
        <w:t xml:space="preserve">, 29(5), pp. 782-795. Available at: </w:t>
      </w:r>
      <w:hyperlink r:id="rId13" w:tgtFrame="_blank" w:history="1">
        <w:r w:rsidRPr="00465F6B">
          <w:rPr>
            <w:rStyle w:val="Hyperlink"/>
            <w:rFonts w:ascii="Arial" w:hAnsi="Arial" w:cs="Arial"/>
            <w:sz w:val="22"/>
            <w:szCs w:val="22"/>
          </w:rPr>
          <w:t>https://onlinelibrary.wiley.com/doi/10.1111/jpm.12830</w:t>
        </w:r>
      </w:hyperlink>
      <w:r w:rsidRPr="00465F6B">
        <w:rPr>
          <w:rFonts w:ascii="Arial" w:hAnsi="Arial" w:cs="Arial"/>
          <w:sz w:val="22"/>
          <w:szCs w:val="22"/>
        </w:rPr>
        <w:t xml:space="preserve"> (Accessed: 1 March 2026).</w:t>
      </w:r>
    </w:p>
    <w:p w14:paraId="390550B9" w14:textId="77777777" w:rsidR="00CA1A43" w:rsidRPr="00465F6B" w:rsidRDefault="00CA1A43" w:rsidP="00CA1A43">
      <w:pPr>
        <w:spacing w:line="360" w:lineRule="auto"/>
        <w:rPr>
          <w:rFonts w:ascii="Arial" w:hAnsi="Arial" w:cs="Arial"/>
          <w:sz w:val="22"/>
          <w:szCs w:val="22"/>
        </w:rPr>
      </w:pPr>
    </w:p>
    <w:p w14:paraId="1BF6890C"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Thornbury, </w:t>
      </w:r>
      <w:proofErr w:type="spellStart"/>
      <w:proofErr w:type="gramStart"/>
      <w:r w:rsidRPr="00465F6B">
        <w:rPr>
          <w:rFonts w:ascii="Arial" w:hAnsi="Arial" w:cs="Arial"/>
          <w:sz w:val="22"/>
          <w:szCs w:val="22"/>
        </w:rPr>
        <w:t>J.McG</w:t>
      </w:r>
      <w:proofErr w:type="spellEnd"/>
      <w:proofErr w:type="gramEnd"/>
      <w:r w:rsidRPr="00465F6B">
        <w:rPr>
          <w:rFonts w:ascii="Arial" w:hAnsi="Arial" w:cs="Arial"/>
          <w:sz w:val="22"/>
          <w:szCs w:val="22"/>
        </w:rPr>
        <w:t xml:space="preserve">. (1993) 'The use of Piaget's theory in Alzheimer's disease', </w:t>
      </w:r>
      <w:r w:rsidRPr="00465F6B">
        <w:rPr>
          <w:rFonts w:ascii="Arial" w:hAnsi="Arial" w:cs="Arial"/>
          <w:i/>
          <w:iCs/>
          <w:sz w:val="22"/>
          <w:szCs w:val="22"/>
        </w:rPr>
        <w:t>American Journal of Alzheimer's Disease and Other Dementias</w:t>
      </w:r>
      <w:r w:rsidRPr="00465F6B">
        <w:rPr>
          <w:rFonts w:ascii="Arial" w:hAnsi="Arial" w:cs="Arial"/>
          <w:sz w:val="22"/>
          <w:szCs w:val="22"/>
        </w:rPr>
        <w:t xml:space="preserve">, 8(4), pp. 10-14. Available at: </w:t>
      </w:r>
      <w:hyperlink r:id="rId14" w:tgtFrame="_blank" w:history="1">
        <w:r w:rsidRPr="00465F6B">
          <w:rPr>
            <w:rStyle w:val="Hyperlink"/>
            <w:rFonts w:ascii="Arial" w:hAnsi="Arial" w:cs="Arial"/>
            <w:sz w:val="22"/>
            <w:szCs w:val="22"/>
          </w:rPr>
          <w:t>https://journals.sagepub.com/doi/10.1177/153331759300800404</w:t>
        </w:r>
      </w:hyperlink>
      <w:r w:rsidRPr="00465F6B">
        <w:rPr>
          <w:rFonts w:ascii="Arial" w:hAnsi="Arial" w:cs="Arial"/>
          <w:sz w:val="22"/>
          <w:szCs w:val="22"/>
        </w:rPr>
        <w:t xml:space="preserve"> (Accessed: 4 March 2026).</w:t>
      </w:r>
    </w:p>
    <w:p w14:paraId="5BF461E8" w14:textId="77777777" w:rsidR="00CA1A43" w:rsidRPr="00465F6B" w:rsidRDefault="00CA1A43" w:rsidP="00CA1A43">
      <w:pPr>
        <w:spacing w:line="360" w:lineRule="auto"/>
        <w:rPr>
          <w:rFonts w:ascii="Arial" w:hAnsi="Arial" w:cs="Arial"/>
          <w:sz w:val="22"/>
          <w:szCs w:val="22"/>
        </w:rPr>
      </w:pPr>
    </w:p>
    <w:p w14:paraId="495CE53C"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Vygotsky, L.S. (1978) </w:t>
      </w:r>
      <w:r w:rsidRPr="00465F6B">
        <w:rPr>
          <w:rFonts w:ascii="Arial" w:hAnsi="Arial" w:cs="Arial"/>
          <w:i/>
          <w:iCs/>
          <w:sz w:val="22"/>
          <w:szCs w:val="22"/>
        </w:rPr>
        <w:t>Mind in society: the development of higher psychological processes</w:t>
      </w:r>
      <w:r w:rsidRPr="00465F6B">
        <w:rPr>
          <w:rFonts w:ascii="Arial" w:hAnsi="Arial" w:cs="Arial"/>
          <w:sz w:val="22"/>
          <w:szCs w:val="22"/>
        </w:rPr>
        <w:t xml:space="preserve">. Cambridge, MA: Harvard University Press. Available at: </w:t>
      </w:r>
      <w:hyperlink r:id="rId15" w:tgtFrame="_blank" w:history="1">
        <w:r w:rsidRPr="00465F6B">
          <w:rPr>
            <w:rStyle w:val="Hyperlink"/>
            <w:rFonts w:ascii="Arial" w:hAnsi="Arial" w:cs="Arial"/>
            <w:sz w:val="22"/>
            <w:szCs w:val="22"/>
          </w:rPr>
          <w:t>https://www.simplypsychology.org/vygotsky.html</w:t>
        </w:r>
      </w:hyperlink>
      <w:r w:rsidRPr="00465F6B">
        <w:rPr>
          <w:rFonts w:ascii="Arial" w:hAnsi="Arial" w:cs="Arial"/>
          <w:sz w:val="22"/>
          <w:szCs w:val="22"/>
        </w:rPr>
        <w:t xml:space="preserve"> (Accessed: 4 March 2026).</w:t>
      </w:r>
    </w:p>
    <w:p w14:paraId="0BD3147A" w14:textId="77777777" w:rsidR="00CA1A43" w:rsidRPr="00465F6B" w:rsidRDefault="00CA1A43" w:rsidP="00CA1A43">
      <w:pPr>
        <w:spacing w:line="360" w:lineRule="auto"/>
        <w:rPr>
          <w:rFonts w:ascii="Arial" w:hAnsi="Arial" w:cs="Arial"/>
          <w:sz w:val="22"/>
          <w:szCs w:val="22"/>
        </w:rPr>
      </w:pPr>
    </w:p>
    <w:p w14:paraId="3BC55274" w14:textId="77777777" w:rsidR="00CA1A43" w:rsidRPr="00465F6B" w:rsidRDefault="00CA1A43" w:rsidP="00CA1A43">
      <w:pPr>
        <w:spacing w:line="360" w:lineRule="auto"/>
        <w:rPr>
          <w:rFonts w:ascii="Arial" w:hAnsi="Arial" w:cs="Arial"/>
          <w:sz w:val="22"/>
          <w:szCs w:val="22"/>
        </w:rPr>
      </w:pPr>
      <w:r w:rsidRPr="00465F6B">
        <w:rPr>
          <w:rFonts w:ascii="Arial" w:hAnsi="Arial" w:cs="Arial"/>
          <w:sz w:val="22"/>
          <w:szCs w:val="22"/>
        </w:rPr>
        <w:t xml:space="preserve">Woods, B. et al. (2018) 'Reminiscence therapy for dementia', </w:t>
      </w:r>
      <w:r w:rsidRPr="00465F6B">
        <w:rPr>
          <w:rFonts w:ascii="Arial" w:hAnsi="Arial" w:cs="Arial"/>
          <w:i/>
          <w:iCs/>
          <w:sz w:val="22"/>
          <w:szCs w:val="22"/>
        </w:rPr>
        <w:t>Cochrane Database of Systematic Reviews</w:t>
      </w:r>
      <w:r w:rsidRPr="00465F6B">
        <w:rPr>
          <w:rFonts w:ascii="Arial" w:hAnsi="Arial" w:cs="Arial"/>
          <w:sz w:val="22"/>
          <w:szCs w:val="22"/>
        </w:rPr>
        <w:t xml:space="preserve">, (3). Available at: </w:t>
      </w:r>
      <w:hyperlink r:id="rId16" w:tgtFrame="_blank" w:history="1">
        <w:r w:rsidRPr="00465F6B">
          <w:rPr>
            <w:rStyle w:val="Hyperlink"/>
            <w:rFonts w:ascii="Arial" w:hAnsi="Arial" w:cs="Arial"/>
            <w:sz w:val="22"/>
            <w:szCs w:val="22"/>
          </w:rPr>
          <w:t>https://www.ncbi.nlm.nih.gov/pmc/articles/PMC6494437/</w:t>
        </w:r>
      </w:hyperlink>
      <w:r w:rsidRPr="00465F6B">
        <w:rPr>
          <w:rFonts w:ascii="Arial" w:hAnsi="Arial" w:cs="Arial"/>
          <w:sz w:val="22"/>
          <w:szCs w:val="22"/>
        </w:rPr>
        <w:t xml:space="preserve"> (Accessed: 4 March 2026).</w:t>
      </w:r>
    </w:p>
    <w:p w14:paraId="1BF90695" w14:textId="77777777" w:rsidR="00CA1A43" w:rsidRPr="00465F6B" w:rsidRDefault="00CA1A43" w:rsidP="00CA1A43">
      <w:pPr>
        <w:spacing w:line="360" w:lineRule="auto"/>
        <w:rPr>
          <w:rFonts w:ascii="Arial" w:hAnsi="Arial" w:cs="Arial"/>
          <w:sz w:val="22"/>
          <w:szCs w:val="22"/>
        </w:rPr>
      </w:pPr>
    </w:p>
    <w:p w14:paraId="3B7E3ED2" w14:textId="77777777" w:rsidR="00CA1A43" w:rsidRPr="00465F6B" w:rsidRDefault="00CA1A43" w:rsidP="00CA1A43">
      <w:pPr>
        <w:spacing w:line="360" w:lineRule="auto"/>
        <w:rPr>
          <w:rFonts w:ascii="Arial" w:hAnsi="Arial" w:cs="Arial"/>
          <w:sz w:val="22"/>
          <w:szCs w:val="22"/>
        </w:rPr>
      </w:pPr>
    </w:p>
    <w:p w14:paraId="11E33F8D" w14:textId="77777777" w:rsidR="00C876B2" w:rsidRPr="00465F6B" w:rsidRDefault="00C876B2" w:rsidP="00CA1A43">
      <w:pPr>
        <w:spacing w:line="360" w:lineRule="auto"/>
        <w:rPr>
          <w:rFonts w:ascii="Arial" w:hAnsi="Arial" w:cs="Arial"/>
          <w:sz w:val="22"/>
          <w:szCs w:val="22"/>
        </w:rPr>
      </w:pPr>
    </w:p>
    <w:sectPr w:rsidR="00C876B2" w:rsidRPr="00465F6B" w:rsidSect="00A72CC3">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58EBB" w14:textId="77777777" w:rsidR="007D5801" w:rsidRDefault="007D5801" w:rsidP="00CA1A43">
      <w:pPr>
        <w:spacing w:after="0" w:line="240" w:lineRule="auto"/>
      </w:pPr>
      <w:r>
        <w:separator/>
      </w:r>
    </w:p>
  </w:endnote>
  <w:endnote w:type="continuationSeparator" w:id="0">
    <w:p w14:paraId="0C0FBE4A" w14:textId="77777777" w:rsidR="007D5801" w:rsidRDefault="007D5801" w:rsidP="00CA1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26400"/>
      <w:docPartObj>
        <w:docPartGallery w:val="Page Numbers (Bottom of Page)"/>
        <w:docPartUnique/>
      </w:docPartObj>
    </w:sdtPr>
    <w:sdtContent>
      <w:p w14:paraId="329924F5" w14:textId="7D46194D" w:rsidR="00CA1A43" w:rsidRDefault="00CA1A43">
        <w:pPr>
          <w:pStyle w:val="Footer"/>
          <w:jc w:val="center"/>
        </w:pPr>
        <w:r>
          <w:fldChar w:fldCharType="begin"/>
        </w:r>
        <w:r>
          <w:instrText>PAGE   \* MERGEFORMAT</w:instrText>
        </w:r>
        <w:r>
          <w:fldChar w:fldCharType="separate"/>
        </w:r>
        <w:r>
          <w:t>2</w:t>
        </w:r>
        <w:r>
          <w:fldChar w:fldCharType="end"/>
        </w:r>
      </w:p>
    </w:sdtContent>
  </w:sdt>
  <w:p w14:paraId="4AB970B1" w14:textId="77777777" w:rsidR="00CA1A43" w:rsidRDefault="00CA1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96603" w14:textId="77777777" w:rsidR="007D5801" w:rsidRDefault="007D5801" w:rsidP="00CA1A43">
      <w:pPr>
        <w:spacing w:after="0" w:line="240" w:lineRule="auto"/>
      </w:pPr>
      <w:r>
        <w:separator/>
      </w:r>
    </w:p>
  </w:footnote>
  <w:footnote w:type="continuationSeparator" w:id="0">
    <w:p w14:paraId="459E08F2" w14:textId="77777777" w:rsidR="007D5801" w:rsidRDefault="007D5801" w:rsidP="00CA1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F2389"/>
    <w:multiLevelType w:val="hybridMultilevel"/>
    <w:tmpl w:val="0426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16E23"/>
    <w:multiLevelType w:val="hybridMultilevel"/>
    <w:tmpl w:val="0BFE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15E89"/>
    <w:multiLevelType w:val="hybridMultilevel"/>
    <w:tmpl w:val="14C88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E75C0"/>
    <w:multiLevelType w:val="hybridMultilevel"/>
    <w:tmpl w:val="540E2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647842">
    <w:abstractNumId w:val="0"/>
  </w:num>
  <w:num w:numId="2" w16cid:durableId="167251435">
    <w:abstractNumId w:val="2"/>
  </w:num>
  <w:num w:numId="3" w16cid:durableId="1011026713">
    <w:abstractNumId w:val="1"/>
  </w:num>
  <w:num w:numId="4" w16cid:durableId="11242286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6B2"/>
    <w:rsid w:val="0004356D"/>
    <w:rsid w:val="001E0D0D"/>
    <w:rsid w:val="003B5620"/>
    <w:rsid w:val="003E3EFE"/>
    <w:rsid w:val="00465F6B"/>
    <w:rsid w:val="005468AD"/>
    <w:rsid w:val="007179A6"/>
    <w:rsid w:val="007D5801"/>
    <w:rsid w:val="007D7F80"/>
    <w:rsid w:val="00A72CC3"/>
    <w:rsid w:val="00B959A4"/>
    <w:rsid w:val="00C876B2"/>
    <w:rsid w:val="00CA1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26F5F"/>
  <w15:chartTrackingRefBased/>
  <w15:docId w15:val="{F7088F7C-281E-48A6-8545-F42837DBE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6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6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6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6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6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6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6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6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6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6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6B2"/>
    <w:rPr>
      <w:rFonts w:eastAsiaTheme="majorEastAsia" w:cstheme="majorBidi"/>
      <w:color w:val="272727" w:themeColor="text1" w:themeTint="D8"/>
    </w:rPr>
  </w:style>
  <w:style w:type="paragraph" w:styleId="Title">
    <w:name w:val="Title"/>
    <w:basedOn w:val="Normal"/>
    <w:next w:val="Normal"/>
    <w:link w:val="TitleChar"/>
    <w:uiPriority w:val="10"/>
    <w:qFormat/>
    <w:rsid w:val="00C87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6B2"/>
    <w:pPr>
      <w:spacing w:before="160"/>
      <w:jc w:val="center"/>
    </w:pPr>
    <w:rPr>
      <w:i/>
      <w:iCs/>
      <w:color w:val="404040" w:themeColor="text1" w:themeTint="BF"/>
    </w:rPr>
  </w:style>
  <w:style w:type="character" w:customStyle="1" w:styleId="QuoteChar">
    <w:name w:val="Quote Char"/>
    <w:basedOn w:val="DefaultParagraphFont"/>
    <w:link w:val="Quote"/>
    <w:uiPriority w:val="29"/>
    <w:rsid w:val="00C876B2"/>
    <w:rPr>
      <w:i/>
      <w:iCs/>
      <w:color w:val="404040" w:themeColor="text1" w:themeTint="BF"/>
    </w:rPr>
  </w:style>
  <w:style w:type="paragraph" w:styleId="ListParagraph">
    <w:name w:val="List Paragraph"/>
    <w:basedOn w:val="Normal"/>
    <w:uiPriority w:val="34"/>
    <w:qFormat/>
    <w:rsid w:val="00C876B2"/>
    <w:pPr>
      <w:ind w:left="720"/>
      <w:contextualSpacing/>
    </w:pPr>
  </w:style>
  <w:style w:type="character" w:styleId="IntenseEmphasis">
    <w:name w:val="Intense Emphasis"/>
    <w:basedOn w:val="DefaultParagraphFont"/>
    <w:uiPriority w:val="21"/>
    <w:qFormat/>
    <w:rsid w:val="00C876B2"/>
    <w:rPr>
      <w:i/>
      <w:iCs/>
      <w:color w:val="0F4761" w:themeColor="accent1" w:themeShade="BF"/>
    </w:rPr>
  </w:style>
  <w:style w:type="paragraph" w:styleId="IntenseQuote">
    <w:name w:val="Intense Quote"/>
    <w:basedOn w:val="Normal"/>
    <w:next w:val="Normal"/>
    <w:link w:val="IntenseQuoteChar"/>
    <w:uiPriority w:val="30"/>
    <w:qFormat/>
    <w:rsid w:val="00C876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6B2"/>
    <w:rPr>
      <w:i/>
      <w:iCs/>
      <w:color w:val="0F4761" w:themeColor="accent1" w:themeShade="BF"/>
    </w:rPr>
  </w:style>
  <w:style w:type="character" w:styleId="IntenseReference">
    <w:name w:val="Intense Reference"/>
    <w:basedOn w:val="DefaultParagraphFont"/>
    <w:uiPriority w:val="32"/>
    <w:qFormat/>
    <w:rsid w:val="00C876B2"/>
    <w:rPr>
      <w:b/>
      <w:bCs/>
      <w:smallCaps/>
      <w:color w:val="0F4761" w:themeColor="accent1" w:themeShade="BF"/>
      <w:spacing w:val="5"/>
    </w:rPr>
  </w:style>
  <w:style w:type="paragraph" w:styleId="NoSpacing">
    <w:name w:val="No Spacing"/>
    <w:link w:val="NoSpacingChar"/>
    <w:uiPriority w:val="1"/>
    <w:qFormat/>
    <w:rsid w:val="00A72CC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72CC3"/>
    <w:rPr>
      <w:rFonts w:eastAsiaTheme="minorEastAsia"/>
      <w:kern w:val="0"/>
      <w:sz w:val="22"/>
      <w:szCs w:val="22"/>
      <w:lang w:eastAsia="en-GB"/>
      <w14:ligatures w14:val="none"/>
    </w:rPr>
  </w:style>
  <w:style w:type="character" w:styleId="Hyperlink">
    <w:name w:val="Hyperlink"/>
    <w:basedOn w:val="DefaultParagraphFont"/>
    <w:uiPriority w:val="99"/>
    <w:unhideWhenUsed/>
    <w:rsid w:val="00CA1A43"/>
    <w:rPr>
      <w:color w:val="467886" w:themeColor="hyperlink"/>
      <w:u w:val="single"/>
    </w:rPr>
  </w:style>
  <w:style w:type="paragraph" w:styleId="TOCHeading">
    <w:name w:val="TOC Heading"/>
    <w:basedOn w:val="Heading1"/>
    <w:next w:val="Normal"/>
    <w:uiPriority w:val="39"/>
    <w:unhideWhenUsed/>
    <w:qFormat/>
    <w:rsid w:val="00CA1A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A1A43"/>
    <w:pPr>
      <w:widowControl w:val="0"/>
      <w:autoSpaceDE w:val="0"/>
      <w:autoSpaceDN w:val="0"/>
      <w:spacing w:after="100" w:line="240" w:lineRule="auto"/>
    </w:pPr>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CA1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A43"/>
  </w:style>
  <w:style w:type="paragraph" w:styleId="Footer">
    <w:name w:val="footer"/>
    <w:basedOn w:val="Normal"/>
    <w:link w:val="FooterChar"/>
    <w:uiPriority w:val="99"/>
    <w:unhideWhenUsed/>
    <w:rsid w:val="00CA1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A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gerontology-geriatrics.com/article/view/610" TargetMode="External"/><Relationship Id="rId13" Type="http://schemas.openxmlformats.org/officeDocument/2006/relationships/hyperlink" Target="https://onlinelibrary.wiley.com/doi/10.1111/jpm.128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zheimers.org.uk/get-support/help-dementia-care/care-homes-decision" TargetMode="External"/><Relationship Id="rId12" Type="http://schemas.openxmlformats.org/officeDocument/2006/relationships/hyperlink" Target="https://www.ncbi.nlm.nih.gov/pmc/articles/PMC1083398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cbi.nlm.nih.gov/pmc/articles/PMC64944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12613131/" TargetMode="External"/><Relationship Id="rId5" Type="http://schemas.openxmlformats.org/officeDocument/2006/relationships/footnotes" Target="footnotes.xml"/><Relationship Id="rId15" Type="http://schemas.openxmlformats.org/officeDocument/2006/relationships/hyperlink" Target="https://www.simplypsychology.org/vygotsky.html" TargetMode="External"/><Relationship Id="rId10" Type="http://schemas.openxmlformats.org/officeDocument/2006/relationships/hyperlink" Target="https://pmc.ncbi.nlm.nih.gov/articles/PMC73920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care.training/topic/1-2-approach-to-care-according-to-tom-kitwood-2/" TargetMode="External"/><Relationship Id="rId14" Type="http://schemas.openxmlformats.org/officeDocument/2006/relationships/hyperlink" Target="https://journals.sagepub.com/doi/10.1177/153331759300800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Saheeda Miah  ID Number: 2422429Module code: LCHS4009</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Saheeda Miah  ID Number: 2422429Module code: LCHS4009</dc:title>
  <dc:subject/>
  <dc:creator>Saheeda Miah (2422429)</dc:creator>
  <cp:keywords/>
  <dc:description/>
  <cp:lastModifiedBy>Saheeda Miah (2422429)</cp:lastModifiedBy>
  <cp:revision>9</cp:revision>
  <dcterms:created xsi:type="dcterms:W3CDTF">2026-03-05T01:42:00Z</dcterms:created>
  <dcterms:modified xsi:type="dcterms:W3CDTF">2026-03-07T21:30:00Z</dcterms:modified>
</cp:coreProperties>
</file>