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906C4" w14:textId="74FF14EC" w:rsidR="00B151A8" w:rsidRPr="009F444E" w:rsidRDefault="00932B18" w:rsidP="00932B18">
      <w:pPr>
        <w:spacing w:line="360" w:lineRule="auto"/>
        <w:rPr>
          <w:rFonts w:ascii="Arial" w:hAnsi="Arial" w:cs="Arial"/>
          <w:b/>
          <w:bCs/>
          <w:color w:val="000000" w:themeColor="text1"/>
          <w:sz w:val="36"/>
          <w:szCs w:val="36"/>
        </w:rPr>
      </w:pPr>
      <w:r w:rsidRPr="009F444E">
        <w:rPr>
          <w:rFonts w:ascii="Arial" w:hAnsi="Arial" w:cs="Arial"/>
          <w:b/>
          <w:bCs/>
          <w:color w:val="000000" w:themeColor="text1"/>
          <w:sz w:val="36"/>
          <w:szCs w:val="36"/>
        </w:rPr>
        <w:t>Sustainable Hospitality &amp; Tourism Management</w:t>
      </w:r>
    </w:p>
    <w:p w14:paraId="204885D9" w14:textId="7B77C2B8" w:rsidR="00932B18" w:rsidRPr="00DB7547" w:rsidRDefault="00932B18" w:rsidP="00932B18">
      <w:pPr>
        <w:spacing w:line="360" w:lineRule="auto"/>
        <w:rPr>
          <w:rFonts w:ascii="Arial" w:hAnsi="Arial" w:cs="Arial"/>
          <w:b/>
          <w:bCs/>
          <w:color w:val="000000" w:themeColor="text1"/>
          <w:sz w:val="36"/>
          <w:szCs w:val="36"/>
        </w:rPr>
      </w:pPr>
      <w:r w:rsidRPr="00DB7547">
        <w:rPr>
          <w:rFonts w:ascii="Arial" w:hAnsi="Arial" w:cs="Arial"/>
          <w:b/>
          <w:bCs/>
          <w:color w:val="000000" w:themeColor="text1"/>
          <w:sz w:val="36"/>
          <w:szCs w:val="36"/>
        </w:rPr>
        <w:t>BMIH5006</w:t>
      </w:r>
    </w:p>
    <w:p w14:paraId="1888EF8E" w14:textId="4CD6A768" w:rsidR="00932B18" w:rsidRPr="00DB7547" w:rsidRDefault="00932B18" w:rsidP="00932B18">
      <w:pPr>
        <w:spacing w:line="360" w:lineRule="auto"/>
        <w:rPr>
          <w:rFonts w:ascii="Arial" w:hAnsi="Arial" w:cs="Arial"/>
          <w:b/>
          <w:bCs/>
          <w:color w:val="000000" w:themeColor="text1"/>
          <w:sz w:val="24"/>
          <w:szCs w:val="24"/>
        </w:rPr>
      </w:pPr>
      <w:r w:rsidRPr="00DB7547">
        <w:rPr>
          <w:rFonts w:ascii="Arial" w:hAnsi="Arial" w:cs="Arial"/>
          <w:b/>
          <w:bCs/>
          <w:color w:val="000000" w:themeColor="text1"/>
          <w:sz w:val="24"/>
          <w:szCs w:val="24"/>
        </w:rPr>
        <w:t>Lecturer: Kathryn Roberts</w:t>
      </w:r>
    </w:p>
    <w:p w14:paraId="10266552" w14:textId="526D0128" w:rsidR="00932B18" w:rsidRPr="00DB7547" w:rsidRDefault="00932B18" w:rsidP="00932B18">
      <w:pPr>
        <w:spacing w:line="360" w:lineRule="auto"/>
        <w:rPr>
          <w:rFonts w:ascii="Arial" w:hAnsi="Arial" w:cs="Arial"/>
          <w:b/>
          <w:bCs/>
          <w:color w:val="000000" w:themeColor="text1"/>
          <w:sz w:val="24"/>
          <w:szCs w:val="24"/>
        </w:rPr>
      </w:pPr>
      <w:r w:rsidRPr="00DB7547">
        <w:rPr>
          <w:rFonts w:ascii="Arial" w:hAnsi="Arial" w:cs="Arial"/>
          <w:b/>
          <w:bCs/>
          <w:color w:val="000000" w:themeColor="text1"/>
          <w:sz w:val="24"/>
          <w:szCs w:val="24"/>
        </w:rPr>
        <w:t>Essay</w:t>
      </w:r>
    </w:p>
    <w:p w14:paraId="2DF46812" w14:textId="77777777" w:rsidR="00932B18" w:rsidRPr="00327483" w:rsidRDefault="00932B18" w:rsidP="00932B18">
      <w:pPr>
        <w:spacing w:line="360" w:lineRule="auto"/>
        <w:rPr>
          <w:rFonts w:ascii="Arial" w:hAnsi="Arial" w:cs="Arial"/>
          <w:b/>
          <w:bCs/>
          <w:color w:val="000000" w:themeColor="text1"/>
          <w:sz w:val="24"/>
          <w:szCs w:val="24"/>
        </w:rPr>
      </w:pPr>
    </w:p>
    <w:p w14:paraId="072E1171" w14:textId="49E3FEFA" w:rsidR="009F444E" w:rsidRPr="00327483" w:rsidRDefault="009F444E" w:rsidP="00932B18">
      <w:pPr>
        <w:spacing w:line="360" w:lineRule="auto"/>
        <w:rPr>
          <w:rFonts w:ascii="Arial" w:hAnsi="Arial" w:cs="Arial"/>
          <w:b/>
          <w:bCs/>
          <w:color w:val="000000" w:themeColor="text1"/>
          <w:sz w:val="24"/>
          <w:szCs w:val="24"/>
        </w:rPr>
      </w:pPr>
      <w:r w:rsidRPr="00327483">
        <w:rPr>
          <w:rFonts w:ascii="Arial" w:hAnsi="Arial" w:cs="Arial"/>
          <w:b/>
          <w:bCs/>
          <w:color w:val="000000" w:themeColor="text1"/>
          <w:sz w:val="24"/>
          <w:szCs w:val="24"/>
        </w:rPr>
        <w:t>Student id:</w:t>
      </w:r>
      <w:r w:rsidR="00D6452B">
        <w:rPr>
          <w:rFonts w:ascii="Arial" w:hAnsi="Arial" w:cs="Arial"/>
          <w:b/>
          <w:bCs/>
          <w:color w:val="000000" w:themeColor="text1"/>
          <w:sz w:val="24"/>
          <w:szCs w:val="24"/>
        </w:rPr>
        <w:t xml:space="preserve"> 21269</w:t>
      </w:r>
      <w:r w:rsidR="00EF0686">
        <w:rPr>
          <w:rFonts w:ascii="Arial" w:hAnsi="Arial" w:cs="Arial"/>
          <w:b/>
          <w:bCs/>
          <w:color w:val="000000" w:themeColor="text1"/>
          <w:sz w:val="24"/>
          <w:szCs w:val="24"/>
        </w:rPr>
        <w:t>74</w:t>
      </w:r>
    </w:p>
    <w:p w14:paraId="29A514F2" w14:textId="0253DBDB" w:rsidR="009F444E" w:rsidRPr="00327483" w:rsidRDefault="009F444E" w:rsidP="00932B18">
      <w:pPr>
        <w:spacing w:line="360" w:lineRule="auto"/>
        <w:rPr>
          <w:rFonts w:ascii="Arial" w:hAnsi="Arial" w:cs="Arial"/>
          <w:b/>
          <w:bCs/>
          <w:color w:val="000000" w:themeColor="text1"/>
          <w:sz w:val="24"/>
          <w:szCs w:val="24"/>
        </w:rPr>
      </w:pPr>
      <w:r w:rsidRPr="00327483">
        <w:rPr>
          <w:rFonts w:ascii="Arial" w:hAnsi="Arial" w:cs="Arial"/>
          <w:b/>
          <w:bCs/>
          <w:color w:val="000000" w:themeColor="text1"/>
          <w:sz w:val="24"/>
          <w:szCs w:val="24"/>
        </w:rPr>
        <w:t>Student name:</w:t>
      </w:r>
      <w:r w:rsidR="005951AE">
        <w:rPr>
          <w:rFonts w:ascii="Arial" w:hAnsi="Arial" w:cs="Arial"/>
          <w:b/>
          <w:bCs/>
          <w:color w:val="000000" w:themeColor="text1"/>
          <w:sz w:val="24"/>
          <w:szCs w:val="24"/>
        </w:rPr>
        <w:t xml:space="preserve"> Gabriela Iuliana Matei</w:t>
      </w:r>
    </w:p>
    <w:p w14:paraId="674598E9" w14:textId="77777777" w:rsidR="009F444E" w:rsidRPr="00327483" w:rsidRDefault="009F444E" w:rsidP="00932B18">
      <w:pPr>
        <w:spacing w:line="360" w:lineRule="auto"/>
        <w:rPr>
          <w:rFonts w:ascii="Arial" w:hAnsi="Arial" w:cs="Arial"/>
          <w:b/>
          <w:bCs/>
          <w:color w:val="000000" w:themeColor="text1"/>
          <w:sz w:val="24"/>
          <w:szCs w:val="24"/>
        </w:rPr>
      </w:pPr>
    </w:p>
    <w:p w14:paraId="73CF574C" w14:textId="14FEADF0" w:rsidR="009F444E" w:rsidRPr="00327483" w:rsidRDefault="00D635F7" w:rsidP="00D635F7">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CACB99B" w14:textId="77777777" w:rsidR="00932B18" w:rsidRDefault="00932B18" w:rsidP="00932B18">
      <w:pPr>
        <w:spacing w:line="360" w:lineRule="auto"/>
        <w:rPr>
          <w:rFonts w:ascii="Times New Roman" w:hAnsi="Times New Roman" w:cs="Times New Roman"/>
          <w:b/>
          <w:bCs/>
          <w:color w:val="000000" w:themeColor="text1"/>
          <w:sz w:val="24"/>
          <w:szCs w:val="24"/>
        </w:rPr>
      </w:pPr>
    </w:p>
    <w:p w14:paraId="24B381CF" w14:textId="77777777" w:rsidR="00932B18" w:rsidRDefault="00932B18" w:rsidP="00932B18">
      <w:pPr>
        <w:spacing w:line="360" w:lineRule="auto"/>
        <w:rPr>
          <w:rFonts w:ascii="Times New Roman" w:hAnsi="Times New Roman" w:cs="Times New Roman"/>
          <w:b/>
          <w:bCs/>
          <w:color w:val="000000" w:themeColor="text1"/>
          <w:sz w:val="24"/>
          <w:szCs w:val="24"/>
        </w:rPr>
      </w:pPr>
    </w:p>
    <w:p w14:paraId="128505F9" w14:textId="77777777" w:rsidR="00932B18" w:rsidRDefault="00932B18" w:rsidP="00932B18">
      <w:pPr>
        <w:spacing w:line="360" w:lineRule="auto"/>
        <w:rPr>
          <w:rFonts w:ascii="Times New Roman" w:hAnsi="Times New Roman" w:cs="Times New Roman"/>
          <w:b/>
          <w:bCs/>
          <w:color w:val="000000" w:themeColor="text1"/>
          <w:sz w:val="24"/>
          <w:szCs w:val="24"/>
        </w:rPr>
      </w:pPr>
    </w:p>
    <w:p w14:paraId="6400BA35" w14:textId="77777777" w:rsidR="00932B18" w:rsidRDefault="00932B18" w:rsidP="00932B18">
      <w:pPr>
        <w:spacing w:line="360" w:lineRule="auto"/>
        <w:rPr>
          <w:rFonts w:ascii="Times New Roman" w:hAnsi="Times New Roman" w:cs="Times New Roman"/>
          <w:b/>
          <w:bCs/>
          <w:color w:val="000000" w:themeColor="text1"/>
          <w:sz w:val="24"/>
          <w:szCs w:val="24"/>
        </w:rPr>
      </w:pPr>
    </w:p>
    <w:p w14:paraId="6024DF87" w14:textId="77777777" w:rsidR="00932B18" w:rsidRDefault="00932B18" w:rsidP="00932B18">
      <w:pPr>
        <w:spacing w:line="360" w:lineRule="auto"/>
        <w:rPr>
          <w:rFonts w:ascii="Times New Roman" w:hAnsi="Times New Roman" w:cs="Times New Roman"/>
          <w:b/>
          <w:bCs/>
          <w:color w:val="000000" w:themeColor="text1"/>
          <w:sz w:val="24"/>
          <w:szCs w:val="24"/>
        </w:rPr>
      </w:pPr>
    </w:p>
    <w:p w14:paraId="7AFF6E60" w14:textId="77777777" w:rsidR="00932B18" w:rsidRDefault="00932B18" w:rsidP="00932B18">
      <w:pPr>
        <w:spacing w:line="360" w:lineRule="auto"/>
        <w:rPr>
          <w:rFonts w:ascii="Times New Roman" w:hAnsi="Times New Roman" w:cs="Times New Roman"/>
          <w:b/>
          <w:bCs/>
          <w:color w:val="000000" w:themeColor="text1"/>
          <w:sz w:val="24"/>
          <w:szCs w:val="24"/>
        </w:rPr>
      </w:pPr>
    </w:p>
    <w:p w14:paraId="3C729D3F" w14:textId="77777777" w:rsidR="00932B18" w:rsidRDefault="00932B18" w:rsidP="00932B18">
      <w:pPr>
        <w:spacing w:line="360" w:lineRule="auto"/>
        <w:rPr>
          <w:rFonts w:ascii="Times New Roman" w:hAnsi="Times New Roman" w:cs="Times New Roman"/>
          <w:b/>
          <w:bCs/>
          <w:color w:val="000000" w:themeColor="text1"/>
          <w:sz w:val="24"/>
          <w:szCs w:val="24"/>
        </w:rPr>
      </w:pPr>
    </w:p>
    <w:p w14:paraId="769FC9B3" w14:textId="77777777" w:rsidR="00932B18" w:rsidRDefault="00932B18" w:rsidP="00932B18">
      <w:pPr>
        <w:spacing w:line="360" w:lineRule="auto"/>
        <w:rPr>
          <w:rFonts w:ascii="Times New Roman" w:hAnsi="Times New Roman" w:cs="Times New Roman"/>
          <w:b/>
          <w:bCs/>
          <w:color w:val="000000" w:themeColor="text1"/>
          <w:sz w:val="24"/>
          <w:szCs w:val="24"/>
        </w:rPr>
      </w:pPr>
    </w:p>
    <w:p w14:paraId="70CAE302" w14:textId="77777777" w:rsidR="00932B18" w:rsidRDefault="00932B18" w:rsidP="00932B18">
      <w:pPr>
        <w:spacing w:line="360" w:lineRule="auto"/>
        <w:rPr>
          <w:rFonts w:ascii="Times New Roman" w:hAnsi="Times New Roman" w:cs="Times New Roman"/>
          <w:b/>
          <w:bCs/>
          <w:color w:val="000000" w:themeColor="text1"/>
          <w:sz w:val="24"/>
          <w:szCs w:val="24"/>
        </w:rPr>
      </w:pPr>
    </w:p>
    <w:p w14:paraId="1AAF7B8F" w14:textId="77777777" w:rsidR="00932B18" w:rsidRDefault="00932B18" w:rsidP="00932B18">
      <w:pPr>
        <w:spacing w:line="360" w:lineRule="auto"/>
        <w:rPr>
          <w:rFonts w:ascii="Times New Roman" w:hAnsi="Times New Roman" w:cs="Times New Roman"/>
          <w:b/>
          <w:bCs/>
          <w:color w:val="000000" w:themeColor="text1"/>
          <w:sz w:val="24"/>
          <w:szCs w:val="24"/>
        </w:rPr>
      </w:pPr>
    </w:p>
    <w:p w14:paraId="51F0A9E0" w14:textId="77777777" w:rsidR="00932B18" w:rsidRDefault="00932B18" w:rsidP="00932B18">
      <w:pPr>
        <w:spacing w:line="360" w:lineRule="auto"/>
        <w:rPr>
          <w:rFonts w:ascii="Times New Roman" w:hAnsi="Times New Roman" w:cs="Times New Roman"/>
          <w:b/>
          <w:bCs/>
          <w:color w:val="000000" w:themeColor="text1"/>
          <w:sz w:val="24"/>
          <w:szCs w:val="24"/>
        </w:rPr>
      </w:pPr>
    </w:p>
    <w:p w14:paraId="07A3A42A" w14:textId="77777777" w:rsidR="00932B18" w:rsidRDefault="00932B18" w:rsidP="00932B18">
      <w:pPr>
        <w:spacing w:line="360" w:lineRule="auto"/>
        <w:rPr>
          <w:rFonts w:ascii="Times New Roman" w:hAnsi="Times New Roman" w:cs="Times New Roman"/>
          <w:b/>
          <w:bCs/>
          <w:color w:val="000000" w:themeColor="text1"/>
          <w:sz w:val="24"/>
          <w:szCs w:val="24"/>
        </w:rPr>
      </w:pPr>
    </w:p>
    <w:p w14:paraId="6DA68FBA" w14:textId="207E65F9" w:rsidR="00932B18" w:rsidRPr="00327483" w:rsidRDefault="00932B18"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lastRenderedPageBreak/>
        <w:t>Sustainability in the hotel industry includes not only protecting the environment by using less energy and water, reducing greenhouse gas emissions, and protecting biodiversity, but also social equity through fair labour practices and community involvement, as well as economic resilience by focussing on long-term profits and stakeholder value</w:t>
      </w:r>
      <w:r w:rsidR="00DB7547" w:rsidRPr="00327483">
        <w:rPr>
          <w:rFonts w:ascii="Arial" w:hAnsi="Arial" w:cs="Arial"/>
          <w:color w:val="000000" w:themeColor="text1"/>
          <w:sz w:val="24"/>
          <w:szCs w:val="24"/>
        </w:rPr>
        <w:t xml:space="preserve"> (Abdou, Hassan and Dief, 2020)</w:t>
      </w:r>
      <w:r w:rsidRPr="00327483">
        <w:rPr>
          <w:rFonts w:ascii="Arial" w:hAnsi="Arial" w:cs="Arial"/>
          <w:color w:val="000000" w:themeColor="text1"/>
          <w:sz w:val="24"/>
          <w:szCs w:val="24"/>
        </w:rPr>
        <w:t>. Guests, regulators, and investors are all putting more pressure on hotels to use sustainable methods in their daily operations. Guests increasingly choose eco-friendly places to stay. Regulatory frameworks like the EU Eco-label and mandated ESG disclosures make sure that companies follow the rules. Investors now look at sustainability measures as a way to measure long-term risk and corporate responsibility</w:t>
      </w:r>
      <w:r w:rsidR="00DB7547" w:rsidRPr="00327483">
        <w:rPr>
          <w:rFonts w:ascii="Arial" w:hAnsi="Arial" w:cs="Arial"/>
          <w:color w:val="000000" w:themeColor="text1"/>
          <w:sz w:val="24"/>
          <w:szCs w:val="24"/>
        </w:rPr>
        <w:t xml:space="preserve"> (Makoondlall-Chadee and Bokhoree, 2024)</w:t>
      </w:r>
      <w:r w:rsidRPr="00327483">
        <w:rPr>
          <w:rFonts w:ascii="Arial" w:hAnsi="Arial" w:cs="Arial"/>
          <w:color w:val="000000" w:themeColor="text1"/>
          <w:sz w:val="24"/>
          <w:szCs w:val="24"/>
        </w:rPr>
        <w:t>. It is still not apparent if hotel sustainability programs are based on real concern for the environment or mostly on economic benefits and brand image. This article analyses the ambiguity by contrasting two models: a worldwide hotel chain exemplified by Hilton’s Travel with Purpose program. The study will examine several interventions—including energy and waste reduction, ethical sourcing, certification involvement, and local community partnerships—assessing their sources, internal coherence, and quantifiable effects. Lastly, the essay will look at the bigger picture for the industry and ask whether making sustainability more widespread needs a deeper integration of values or if turning it into a commodity may lead to greenwashing.</w:t>
      </w:r>
    </w:p>
    <w:p w14:paraId="462597AC" w14:textId="37F10F97" w:rsidR="00932B18" w:rsidRPr="00327483" w:rsidRDefault="00932B18"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Hotels use a wide range of sustainability measures that include environmental, social, and economic goals in their daily work. More and more properties are putting in LED lights, solar panels, and smart HVAC systems that are controlled by automated energy management platforms to cut down on energy consumption. These technologies help meet goals for reducing greenhouse gas emissions and lead to significant cuts in the usage of gas and electricity</w:t>
      </w:r>
      <w:r w:rsidR="00DB7547" w:rsidRPr="00327483">
        <w:rPr>
          <w:rFonts w:ascii="Arial" w:hAnsi="Arial" w:cs="Arial"/>
          <w:color w:val="000000" w:themeColor="text1"/>
          <w:sz w:val="24"/>
          <w:szCs w:val="24"/>
        </w:rPr>
        <w:t xml:space="preserve"> (Singh, Mishra, and Yadav, 2024)</w:t>
      </w:r>
      <w:r w:rsidRPr="00327483">
        <w:rPr>
          <w:rFonts w:ascii="Arial" w:hAnsi="Arial" w:cs="Arial"/>
          <w:color w:val="000000" w:themeColor="text1"/>
          <w:sz w:val="24"/>
          <w:szCs w:val="24"/>
        </w:rPr>
        <w:t>. Hotels utilise composting, systematic recycling, and limits on single-use plastics to manage their garbage. This helps the environment by keeping organic matter out of landfills and reducing plastic waste. Ethical sourcing is another important part: many businesses now buy fair-trade items, get their food from nearby farms, and work with suppliers that are good for the environment</w:t>
      </w:r>
      <w:r w:rsidR="00DB7547" w:rsidRPr="00327483">
        <w:rPr>
          <w:rFonts w:ascii="Arial" w:hAnsi="Arial" w:cs="Arial"/>
          <w:color w:val="000000" w:themeColor="text1"/>
          <w:sz w:val="24"/>
          <w:szCs w:val="24"/>
        </w:rPr>
        <w:t xml:space="preserve"> (Sustainable Hospitality Alliance, 2021)</w:t>
      </w:r>
      <w:r w:rsidRPr="00327483">
        <w:rPr>
          <w:rFonts w:ascii="Arial" w:hAnsi="Arial" w:cs="Arial"/>
          <w:color w:val="000000" w:themeColor="text1"/>
          <w:sz w:val="24"/>
          <w:szCs w:val="24"/>
        </w:rPr>
        <w:t xml:space="preserve">. These initiatives help the economies of the areas, make the supply chain more open, and cut down on emissions from transportation. Social sustainability is also very important to hotel strategy. Many projects are aimed at building strong relationships with local </w:t>
      </w:r>
      <w:r w:rsidRPr="00327483">
        <w:rPr>
          <w:rFonts w:ascii="Arial" w:hAnsi="Arial" w:cs="Arial"/>
          <w:color w:val="000000" w:themeColor="text1"/>
          <w:sz w:val="24"/>
          <w:szCs w:val="24"/>
        </w:rPr>
        <w:lastRenderedPageBreak/>
        <w:t>communities by creating jobs, training workers, offering cultural programs, and reaching out to schools</w:t>
      </w:r>
      <w:r w:rsidR="00DB7547" w:rsidRPr="00327483">
        <w:rPr>
          <w:rFonts w:ascii="Arial" w:hAnsi="Arial" w:cs="Arial"/>
          <w:color w:val="000000" w:themeColor="text1"/>
          <w:sz w:val="24"/>
          <w:szCs w:val="24"/>
        </w:rPr>
        <w:t xml:space="preserve"> (Diaz-Farina, Díaz-Hernández and Padrón-Fumero, 2023)</w:t>
      </w:r>
      <w:r w:rsidRPr="00327483">
        <w:rPr>
          <w:rFonts w:ascii="Arial" w:hAnsi="Arial" w:cs="Arial"/>
          <w:color w:val="000000" w:themeColor="text1"/>
          <w:sz w:val="24"/>
          <w:szCs w:val="24"/>
        </w:rPr>
        <w:t>. Hotels strengthen their social license to operate and improve the visitor experience by giving internships, sponsoring activities run by the community, and hosting local exhibits. These initiatives frequently lead to more support from the community, better morale among workers, and a closer connection between visitors and the local culture. Hotels use certification programs like LEED, BREEAM, and Green Key to check and share their sustainability performance</w:t>
      </w:r>
      <w:r w:rsidR="00DB7547" w:rsidRPr="00327483">
        <w:rPr>
          <w:rFonts w:ascii="Arial" w:hAnsi="Arial" w:cs="Arial"/>
          <w:color w:val="000000" w:themeColor="text1"/>
          <w:sz w:val="24"/>
          <w:szCs w:val="24"/>
        </w:rPr>
        <w:t xml:space="preserve"> (Velaoras et al., 2025).</w:t>
      </w:r>
      <w:r w:rsidRPr="00327483">
        <w:rPr>
          <w:rFonts w:ascii="Arial" w:hAnsi="Arial" w:cs="Arial"/>
          <w:color w:val="000000" w:themeColor="text1"/>
          <w:sz w:val="24"/>
          <w:szCs w:val="24"/>
        </w:rPr>
        <w:t xml:space="preserve"> These frameworks provide third-party standards for eco-friendly design and operation, which lets properties prove their environmental credentials via audits based on evidence. Getting certified shows that you are committed to best practices in energy efficiency, water management, and waste reduction, which builds trust with stakeholders. A lot of hotels put out yearly sustainability reports that show how well they are doing in terms of key performance metrics, carbon footprints, waste volumes, and progress towards goals. They also use marketing materials, website content, and signs on the property to get visitors involved, promote awareness, and celebrate successes like conserving energy, being certified, or making a difference in the community</w:t>
      </w:r>
      <w:r w:rsidR="00DB7547" w:rsidRPr="00327483">
        <w:rPr>
          <w:rFonts w:ascii="Arial" w:hAnsi="Arial" w:cs="Arial"/>
          <w:color w:val="000000" w:themeColor="text1"/>
          <w:sz w:val="24"/>
          <w:szCs w:val="24"/>
        </w:rPr>
        <w:t xml:space="preserve"> (Kasim et al., 2022)</w:t>
      </w:r>
      <w:r w:rsidRPr="00327483">
        <w:rPr>
          <w:rFonts w:ascii="Arial" w:hAnsi="Arial" w:cs="Arial"/>
          <w:color w:val="000000" w:themeColor="text1"/>
          <w:sz w:val="24"/>
          <w:szCs w:val="24"/>
        </w:rPr>
        <w:t xml:space="preserve">. These projects show that hotels are taking a systematic and comprehensive approach by making responsibility for people, the planet, and profit a part of their business strategies. Hotels may get quantifiable advantages by making their operations better, changing their supply chain, becoming involved in the community, and being open about their reporting. These benefits include lower emissions and waste, better social infrastructure, and better long-term financial returns. </w:t>
      </w:r>
    </w:p>
    <w:p w14:paraId="04A82D92" w14:textId="107A4BD6" w:rsidR="00932B18" w:rsidRPr="00327483" w:rsidRDefault="002177BD"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Hilton's Travel with Purpose is a good example of an organised and demonstrable sustainability plan. The corporation has set big objectives for 2030, such as cutting Scope 1 and 2 carbon emissions intensity by 75% for managed hotels and Scope 3 emissions by 56% throughout its franchised portfolio</w:t>
      </w:r>
      <w:r w:rsidR="009F4067" w:rsidRPr="00327483">
        <w:rPr>
          <w:rFonts w:ascii="Arial" w:hAnsi="Arial" w:cs="Arial"/>
          <w:color w:val="000000" w:themeColor="text1"/>
          <w:sz w:val="24"/>
          <w:szCs w:val="24"/>
        </w:rPr>
        <w:t xml:space="preserve"> (Hilton, 2023)</w:t>
      </w:r>
      <w:r w:rsidRPr="00327483">
        <w:rPr>
          <w:rFonts w:ascii="Arial" w:hAnsi="Arial" w:cs="Arial"/>
          <w:color w:val="000000" w:themeColor="text1"/>
          <w:sz w:val="24"/>
          <w:szCs w:val="24"/>
        </w:rPr>
        <w:t>. LightStay, Hilton's own sustainability performance measurement system (SPMS), is a key part of the implementation. It keeps track of energy, water, trash, carbon, social activities, ISO certifications, and community involvement at more than 6,000 locations. LightStay is what drives the Meet with Purpose calculator</w:t>
      </w:r>
      <w:r w:rsidR="009F4067" w:rsidRPr="00327483">
        <w:rPr>
          <w:rFonts w:ascii="Arial" w:hAnsi="Arial" w:cs="Arial"/>
          <w:color w:val="000000" w:themeColor="text1"/>
          <w:sz w:val="24"/>
          <w:szCs w:val="24"/>
        </w:rPr>
        <w:t xml:space="preserve"> (Hilton, 2025)</w:t>
      </w:r>
      <w:r w:rsidRPr="00327483">
        <w:rPr>
          <w:rFonts w:ascii="Arial" w:hAnsi="Arial" w:cs="Arial"/>
          <w:color w:val="000000" w:themeColor="text1"/>
          <w:sz w:val="24"/>
          <w:szCs w:val="24"/>
        </w:rPr>
        <w:t xml:space="preserve">. This lets planners figure out how much space their events will take up and buy carbon offsets for meetings that are carbon-neutral. This shows Hilton's dedication to managing emissions. The </w:t>
      </w:r>
      <w:r w:rsidRPr="00327483">
        <w:rPr>
          <w:rFonts w:ascii="Arial" w:hAnsi="Arial" w:cs="Arial"/>
          <w:color w:val="000000" w:themeColor="text1"/>
          <w:sz w:val="24"/>
          <w:szCs w:val="24"/>
        </w:rPr>
        <w:lastRenderedPageBreak/>
        <w:t>company also has programs to recycle soap and linens</w:t>
      </w:r>
      <w:r w:rsidR="009F4067" w:rsidRPr="00327483">
        <w:rPr>
          <w:rFonts w:ascii="Arial" w:hAnsi="Arial" w:cs="Arial"/>
          <w:color w:val="000000" w:themeColor="text1"/>
          <w:sz w:val="24"/>
          <w:szCs w:val="24"/>
        </w:rPr>
        <w:t xml:space="preserve"> (Hilton, 2025)</w:t>
      </w:r>
      <w:r w:rsidRPr="00327483">
        <w:rPr>
          <w:rFonts w:ascii="Arial" w:hAnsi="Arial" w:cs="Arial"/>
          <w:color w:val="000000" w:themeColor="text1"/>
          <w:sz w:val="24"/>
          <w:szCs w:val="24"/>
        </w:rPr>
        <w:t>. In 2023, it sent more than 330,000 pounds of soap and 138,000 pounds of towels to landfills. It also spends money on EV charging, ISO 14001/50001/9001 standards, and food-waste pilots like the "Green Breakfast," which cut waste by 62% in UAE hotels. Three reasons are behind these actions. Environmental intent is in line with the UN SDGs and goals based on science. By the end of 2023, Hilton had cut its carbon intensity in managed hotels by 45.1% and its water consumption by 26.5%, showing that research has real-world effects. Since 2009, utilities have saved approximately US$1.38 billion, which shows that sustainability may be cost-effective by using less energy and trash</w:t>
      </w:r>
      <w:r w:rsidR="00104043" w:rsidRPr="00327483">
        <w:rPr>
          <w:rFonts w:ascii="Arial" w:hAnsi="Arial" w:cs="Arial"/>
          <w:color w:val="000000" w:themeColor="text1"/>
          <w:sz w:val="24"/>
          <w:szCs w:val="24"/>
        </w:rPr>
        <w:t xml:space="preserve"> (Hilton Worldwide Holdings Inc, 2024)</w:t>
      </w:r>
      <w:r w:rsidRPr="00327483">
        <w:rPr>
          <w:rFonts w:ascii="Arial" w:hAnsi="Arial" w:cs="Arial"/>
          <w:color w:val="000000" w:themeColor="text1"/>
          <w:sz w:val="24"/>
          <w:szCs w:val="24"/>
        </w:rPr>
        <w:t>. The branding impact shows itself in the fact that the company is in the Dow Jones Sustainability Index, has EcoVadis Gold, and has high ESG ratings. This makes investors more confident and attracts eco-conscious visitors. LightStay offers real-time benchmarking and independent verification, which shows that it works. It also makes environmental and social performance a part of business culture. But there is still friction between uniformity and local flexibility. Central rules on LEDs and ISO certifications make sure everything are the same, but they may not take into account what each area requires</w:t>
      </w:r>
      <w:r w:rsidR="00104043" w:rsidRPr="00327483">
        <w:rPr>
          <w:rFonts w:ascii="Arial" w:hAnsi="Arial" w:cs="Arial"/>
          <w:color w:val="000000" w:themeColor="text1"/>
          <w:sz w:val="24"/>
          <w:szCs w:val="24"/>
        </w:rPr>
        <w:t xml:space="preserve"> (Stories From Hilton, n.d.)</w:t>
      </w:r>
      <w:r w:rsidRPr="00327483">
        <w:rPr>
          <w:rFonts w:ascii="Arial" w:hAnsi="Arial" w:cs="Arial"/>
          <w:color w:val="000000" w:themeColor="text1"/>
          <w:sz w:val="24"/>
          <w:szCs w:val="24"/>
        </w:rPr>
        <w:t>. Hotels should make LightStay-driven programs, including water stewardship, fit the needs of their area. This is a strategic problem: how to keep the world working together while giving people in different places the capacity to act. In short, Hilton's business plan includes sustainability, which means balancing environmental goals, saving money, and building brand value. The Travel with Purpose program brings activities and results together under common goals, but its long-term credibility will rely on finding a balance between global standards and local flexibility until 2030.</w:t>
      </w:r>
    </w:p>
    <w:p w14:paraId="2EB13F3D" w14:textId="4C463D70" w:rsidR="002177BD" w:rsidRPr="00327483" w:rsidRDefault="002177BD"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Hilton's Travel with Purpose lifecycle shows how corporate sustainability goals and commercial needs may clash in complex ways. This has led experts to focus on the ongoing contradictions between environmental, economic, and branding motives. First, certification frameworks like LEED, BREEAM, and Green Key help Hilton reach its business goals by giving them technical roadmaps. Studies indicate that BREEAM-certified hotels experience enhanced design protocols, especially regarding energy, water, and material efficiency. However, critics argue that these schemes may favour static, design-oriented criteria over actual resource performance</w:t>
      </w:r>
      <w:r w:rsidR="00104043" w:rsidRPr="00327483">
        <w:rPr>
          <w:rFonts w:ascii="Arial" w:hAnsi="Arial" w:cs="Arial"/>
          <w:color w:val="000000" w:themeColor="text1"/>
          <w:sz w:val="24"/>
          <w:szCs w:val="24"/>
        </w:rPr>
        <w:t xml:space="preserve"> (Serrano-Baena et </w:t>
      </w:r>
      <w:r w:rsidR="00104043" w:rsidRPr="00327483">
        <w:rPr>
          <w:rFonts w:ascii="Arial" w:hAnsi="Arial" w:cs="Arial"/>
          <w:color w:val="000000" w:themeColor="text1"/>
          <w:sz w:val="24"/>
          <w:szCs w:val="24"/>
        </w:rPr>
        <w:lastRenderedPageBreak/>
        <w:t>al., 2020)</w:t>
      </w:r>
      <w:r w:rsidRPr="00327483">
        <w:rPr>
          <w:rFonts w:ascii="Arial" w:hAnsi="Arial" w:cs="Arial"/>
          <w:color w:val="000000" w:themeColor="text1"/>
          <w:sz w:val="24"/>
          <w:szCs w:val="24"/>
        </w:rPr>
        <w:t>. This fits with worries about "point-mongering," when certification becomes a way to make sure that people are following the rules instead than helping with meaningful, place-based environmental changes.  Hilton says that centralising the use of these kinds of plans makes the company more consistent, but it can make it harder for local areas to respond to things like managing water in places that are prone to drought or protecting biodiversity in areas that are sensitive to the environment</w:t>
      </w:r>
      <w:r w:rsidR="00104043" w:rsidRPr="00327483">
        <w:rPr>
          <w:rFonts w:ascii="Arial" w:hAnsi="Arial" w:cs="Arial"/>
          <w:color w:val="000000" w:themeColor="text1"/>
          <w:sz w:val="24"/>
          <w:szCs w:val="24"/>
        </w:rPr>
        <w:t xml:space="preserve"> (Gailhofer et al., 2022)</w:t>
      </w:r>
      <w:r w:rsidRPr="00327483">
        <w:rPr>
          <w:rFonts w:ascii="Arial" w:hAnsi="Arial" w:cs="Arial"/>
          <w:color w:val="000000" w:themeColor="text1"/>
          <w:sz w:val="24"/>
          <w:szCs w:val="24"/>
        </w:rPr>
        <w:t>. Second, Hilton's internal SPMS, LightStay, has played a big part in determining the company's overall sustainability results. Zientara et al. demonstrate that LightStay enhances comprehensive environmental monitoring, enabling hotels to assess discrepancies between projected and actual performance in energy, water, waste, and carbon indicators</w:t>
      </w:r>
      <w:r w:rsidR="00104043" w:rsidRPr="00327483">
        <w:rPr>
          <w:rFonts w:ascii="Arial" w:hAnsi="Arial" w:cs="Arial"/>
          <w:color w:val="000000" w:themeColor="text1"/>
          <w:sz w:val="24"/>
          <w:szCs w:val="24"/>
        </w:rPr>
        <w:t xml:space="preserve"> (Zientara et al., 2020)</w:t>
      </w:r>
      <w:r w:rsidRPr="00327483">
        <w:rPr>
          <w:rFonts w:ascii="Arial" w:hAnsi="Arial" w:cs="Arial"/>
          <w:color w:val="000000" w:themeColor="text1"/>
          <w:sz w:val="24"/>
          <w:szCs w:val="24"/>
        </w:rPr>
        <w:t>. The platform also serves as a learning tool by recording best practices and making sustainability rules the same for all hotels throughout the globe. However, scholars warn that data-driven systems may evolve into ultimate objectives, fostering sustainability as a management process rather than facilitating tangible change, particularly if the focus transitions to enhancing scores instead of generating local impact</w:t>
      </w:r>
      <w:r w:rsidR="00104043" w:rsidRPr="00327483">
        <w:rPr>
          <w:rFonts w:ascii="Arial" w:hAnsi="Arial" w:cs="Arial"/>
          <w:color w:val="000000" w:themeColor="text1"/>
          <w:sz w:val="24"/>
          <w:szCs w:val="24"/>
        </w:rPr>
        <w:t xml:space="preserve"> (Akter et al., 2024)</w:t>
      </w:r>
      <w:r w:rsidRPr="00327483">
        <w:rPr>
          <w:rFonts w:ascii="Arial" w:hAnsi="Arial" w:cs="Arial"/>
          <w:color w:val="000000" w:themeColor="text1"/>
          <w:sz w:val="24"/>
          <w:szCs w:val="24"/>
        </w:rPr>
        <w:t>.</w:t>
      </w:r>
      <w:r w:rsidR="009F444E" w:rsidRPr="00327483">
        <w:rPr>
          <w:rFonts w:ascii="Arial" w:hAnsi="Arial" w:cs="Arial"/>
          <w:color w:val="000000" w:themeColor="text1"/>
          <w:sz w:val="24"/>
          <w:szCs w:val="24"/>
        </w:rPr>
        <w:t xml:space="preserve"> </w:t>
      </w:r>
      <w:r w:rsidRPr="00327483">
        <w:rPr>
          <w:rFonts w:ascii="Arial" w:hAnsi="Arial" w:cs="Arial"/>
          <w:color w:val="000000" w:themeColor="text1"/>
          <w:sz w:val="24"/>
          <w:szCs w:val="24"/>
        </w:rPr>
        <w:t>Third, economic reasons significantly support these attempts to be more sustainable. Hilton said that since it started purpose-driven programs, it has saved more than US$1.38 billion in utilities. The Sustainable Hospitality Alliance</w:t>
      </w:r>
      <w:r w:rsidR="00104043" w:rsidRPr="00327483">
        <w:rPr>
          <w:rFonts w:ascii="Arial" w:hAnsi="Arial" w:cs="Arial"/>
          <w:color w:val="000000" w:themeColor="text1"/>
          <w:sz w:val="24"/>
          <w:szCs w:val="24"/>
        </w:rPr>
        <w:t xml:space="preserve"> (2021)</w:t>
      </w:r>
      <w:r w:rsidRPr="00327483">
        <w:rPr>
          <w:rFonts w:ascii="Arial" w:hAnsi="Arial" w:cs="Arial"/>
          <w:color w:val="000000" w:themeColor="text1"/>
          <w:sz w:val="24"/>
          <w:szCs w:val="24"/>
        </w:rPr>
        <w:t xml:space="preserve"> says that reducing energy and water may save hotel running expenses by 6% to 20% (sustainablehospitalityalliance.org). In addition to immediate cost savings, research shows that environmental certifications may increase the market worth of hotels. For example, eco-certified hotels frequently have greater occupancy rates, rental premiums, and asset values. However, experts are careful to point out that these economic advantages might be due to signal effects, where better margins come from reputation instead than real operational effectiveness</w:t>
      </w:r>
      <w:r w:rsidR="00327483" w:rsidRPr="00327483">
        <w:rPr>
          <w:rFonts w:ascii="Arial" w:hAnsi="Arial" w:cs="Arial"/>
          <w:color w:val="000000" w:themeColor="text1"/>
          <w:sz w:val="24"/>
          <w:szCs w:val="24"/>
        </w:rPr>
        <w:t xml:space="preserve"> (Behnke, 2017)</w:t>
      </w:r>
      <w:r w:rsidRPr="00327483">
        <w:rPr>
          <w:rFonts w:ascii="Arial" w:hAnsi="Arial" w:cs="Arial"/>
          <w:color w:val="000000" w:themeColor="text1"/>
          <w:sz w:val="24"/>
          <w:szCs w:val="24"/>
        </w:rPr>
        <w:t>.</w:t>
      </w:r>
      <w:r w:rsidR="009F444E" w:rsidRPr="00327483">
        <w:rPr>
          <w:rFonts w:ascii="Arial" w:hAnsi="Arial" w:cs="Arial"/>
          <w:color w:val="000000" w:themeColor="text1"/>
          <w:sz w:val="24"/>
          <w:szCs w:val="24"/>
        </w:rPr>
        <w:t xml:space="preserve"> </w:t>
      </w:r>
      <w:r w:rsidRPr="00327483">
        <w:rPr>
          <w:rFonts w:ascii="Arial" w:hAnsi="Arial" w:cs="Arial"/>
          <w:color w:val="000000" w:themeColor="text1"/>
          <w:sz w:val="24"/>
          <w:szCs w:val="24"/>
        </w:rPr>
        <w:t>Fourth, Hilton's market position is strengthened by branding gains. Hilton's ESG reputation goes up when it is included in well-known indexes as the Dow Jones Sustainability Index and EcoVadis Gold. Research, on the other hand, says that certification based on marketing might hide shallow efforts that improve brand image without adding any real value</w:t>
      </w:r>
      <w:r w:rsidR="00327483" w:rsidRPr="00327483">
        <w:rPr>
          <w:rFonts w:ascii="Arial" w:hAnsi="Arial" w:cs="Arial"/>
          <w:color w:val="000000" w:themeColor="text1"/>
          <w:sz w:val="24"/>
          <w:szCs w:val="24"/>
        </w:rPr>
        <w:t xml:space="preserve"> (Stories From Hilton, n.d.)</w:t>
      </w:r>
      <w:r w:rsidRPr="00327483">
        <w:rPr>
          <w:rFonts w:ascii="Arial" w:hAnsi="Arial" w:cs="Arial"/>
          <w:color w:val="000000" w:themeColor="text1"/>
          <w:sz w:val="24"/>
          <w:szCs w:val="24"/>
        </w:rPr>
        <w:t>. For example, others have said that LEED rewards guesswork while neglecting how things really work in the real world. So, Hilton has to avoid the mistake of pushing certificates as the final goal instead of helping to make progress towards demonstrable sustainability.</w:t>
      </w:r>
      <w:r w:rsidR="009F444E" w:rsidRPr="00327483">
        <w:rPr>
          <w:rFonts w:ascii="Arial" w:hAnsi="Arial" w:cs="Arial"/>
          <w:color w:val="000000" w:themeColor="text1"/>
          <w:sz w:val="24"/>
          <w:szCs w:val="24"/>
        </w:rPr>
        <w:t xml:space="preserve"> </w:t>
      </w:r>
      <w:r w:rsidRPr="00327483">
        <w:rPr>
          <w:rFonts w:ascii="Arial" w:hAnsi="Arial" w:cs="Arial"/>
          <w:color w:val="000000" w:themeColor="text1"/>
          <w:sz w:val="24"/>
          <w:szCs w:val="24"/>
        </w:rPr>
        <w:t xml:space="preserve">These conflicting goals show that there </w:t>
      </w:r>
      <w:r w:rsidRPr="00327483">
        <w:rPr>
          <w:rFonts w:ascii="Arial" w:hAnsi="Arial" w:cs="Arial"/>
          <w:color w:val="000000" w:themeColor="text1"/>
          <w:sz w:val="24"/>
          <w:szCs w:val="24"/>
        </w:rPr>
        <w:lastRenderedPageBreak/>
        <w:t>are some big conflicts</w:t>
      </w:r>
      <w:r w:rsidR="00327483" w:rsidRPr="00327483">
        <w:rPr>
          <w:rFonts w:ascii="Arial" w:hAnsi="Arial" w:cs="Arial"/>
          <w:color w:val="000000" w:themeColor="text1"/>
          <w:sz w:val="24"/>
          <w:szCs w:val="24"/>
        </w:rPr>
        <w:t xml:space="preserve"> (Chi et al., 2022)</w:t>
      </w:r>
      <w:r w:rsidRPr="00327483">
        <w:rPr>
          <w:rFonts w:ascii="Arial" w:hAnsi="Arial" w:cs="Arial"/>
          <w:color w:val="000000" w:themeColor="text1"/>
          <w:sz w:val="24"/>
          <w:szCs w:val="24"/>
        </w:rPr>
        <w:t xml:space="preserve">. Certifications and LightStay make guarantee that hotels are the same all over the world, but they may not be able to adapt to local social or environmental problems. Data and reporting make people more responsible, but they could make people more focused on numbers than on being involved in the situation. Economic and branding incentives motivate action; yet, if they eclipse long-term environmental objectives, they may transform sustainability into a mere transactional or symbolic </w:t>
      </w:r>
      <w:r w:rsidR="00327483" w:rsidRPr="00327483">
        <w:rPr>
          <w:rFonts w:ascii="Arial" w:hAnsi="Arial" w:cs="Arial"/>
          <w:color w:val="000000" w:themeColor="text1"/>
          <w:sz w:val="24"/>
          <w:szCs w:val="24"/>
        </w:rPr>
        <w:t>endeavour (Sovacool et al., 2020)</w:t>
      </w:r>
      <w:r w:rsidRPr="00327483">
        <w:rPr>
          <w:rFonts w:ascii="Arial" w:hAnsi="Arial" w:cs="Arial"/>
          <w:color w:val="000000" w:themeColor="text1"/>
          <w:sz w:val="24"/>
          <w:szCs w:val="24"/>
        </w:rPr>
        <w:t>.</w:t>
      </w:r>
      <w:r w:rsidR="009F444E" w:rsidRPr="00327483">
        <w:rPr>
          <w:rFonts w:ascii="Arial" w:hAnsi="Arial" w:cs="Arial"/>
          <w:color w:val="000000" w:themeColor="text1"/>
          <w:sz w:val="24"/>
          <w:szCs w:val="24"/>
        </w:rPr>
        <w:t xml:space="preserve"> The</w:t>
      </w:r>
      <w:r w:rsidRPr="00327483">
        <w:rPr>
          <w:rFonts w:ascii="Arial" w:hAnsi="Arial" w:cs="Arial"/>
          <w:color w:val="000000" w:themeColor="text1"/>
          <w:sz w:val="24"/>
          <w:szCs w:val="24"/>
        </w:rPr>
        <w:t xml:space="preserve"> most effective sustainability measures amalgamate global principles with local significance. Rodríguez-García et al. propose the integration of basic certificates with community-driven projects that adhere to GSTC standards. This may include taking care of water in dry areas, working with local NGOs, or restoring habitats near places where people stay. Hilton's water-risk pilots suggest that they are conscious of volatility, but scholarly evaluations show that they may need more context</w:t>
      </w:r>
      <w:r w:rsidR="00327483" w:rsidRPr="00327483">
        <w:rPr>
          <w:rFonts w:ascii="Arial" w:hAnsi="Arial" w:cs="Arial"/>
          <w:color w:val="000000" w:themeColor="text1"/>
          <w:sz w:val="24"/>
          <w:szCs w:val="24"/>
        </w:rPr>
        <w:t xml:space="preserve"> (GSTC, 2025)</w:t>
      </w:r>
      <w:r w:rsidRPr="00327483">
        <w:rPr>
          <w:rFonts w:ascii="Arial" w:hAnsi="Arial" w:cs="Arial"/>
          <w:color w:val="000000" w:themeColor="text1"/>
          <w:sz w:val="24"/>
          <w:szCs w:val="24"/>
        </w:rPr>
        <w:t>.</w:t>
      </w:r>
      <w:r w:rsidR="009F444E" w:rsidRPr="00327483">
        <w:rPr>
          <w:rFonts w:ascii="Arial" w:hAnsi="Arial" w:cs="Arial"/>
          <w:color w:val="000000" w:themeColor="text1"/>
          <w:sz w:val="24"/>
          <w:szCs w:val="24"/>
        </w:rPr>
        <w:t xml:space="preserve"> </w:t>
      </w:r>
      <w:r w:rsidRPr="00327483">
        <w:rPr>
          <w:rFonts w:ascii="Arial" w:hAnsi="Arial" w:cs="Arial"/>
          <w:color w:val="000000" w:themeColor="text1"/>
          <w:sz w:val="24"/>
          <w:szCs w:val="24"/>
        </w:rPr>
        <w:t xml:space="preserve">Furthermore, environmental researchers emphasise the inadequacy of certificates when they are dissociated from tangible change. Serrano-Baena et al. </w:t>
      </w:r>
      <w:r w:rsidR="00327483" w:rsidRPr="00327483">
        <w:rPr>
          <w:rFonts w:ascii="Arial" w:hAnsi="Arial" w:cs="Arial"/>
          <w:color w:val="000000" w:themeColor="text1"/>
          <w:sz w:val="24"/>
          <w:szCs w:val="24"/>
        </w:rPr>
        <w:t xml:space="preserve">(2020) </w:t>
      </w:r>
      <w:r w:rsidRPr="00327483">
        <w:rPr>
          <w:rFonts w:ascii="Arial" w:hAnsi="Arial" w:cs="Arial"/>
          <w:color w:val="000000" w:themeColor="text1"/>
          <w:sz w:val="24"/>
          <w:szCs w:val="24"/>
        </w:rPr>
        <w:t xml:space="preserve">discovered that BREEAM-certified hotels enhanced design; nevertheless, operational performance improvements were inconsistent, often hindered by discrepancies between certification criteria and actual management practices. </w:t>
      </w:r>
      <w:r w:rsidR="009F444E" w:rsidRPr="00327483">
        <w:rPr>
          <w:rFonts w:ascii="Arial" w:hAnsi="Arial" w:cs="Arial"/>
          <w:color w:val="000000" w:themeColor="text1"/>
          <w:sz w:val="24"/>
          <w:szCs w:val="24"/>
        </w:rPr>
        <w:t xml:space="preserve"> </w:t>
      </w:r>
      <w:r w:rsidRPr="00327483">
        <w:rPr>
          <w:rFonts w:ascii="Arial" w:hAnsi="Arial" w:cs="Arial"/>
          <w:color w:val="000000" w:themeColor="text1"/>
          <w:sz w:val="24"/>
          <w:szCs w:val="24"/>
        </w:rPr>
        <w:t>If Hilton's progress towards its science-based goals (such cutting Scope 1–2 emissions by 75% by 2030) is</w:t>
      </w:r>
      <w:r w:rsidR="00327483" w:rsidRPr="00327483">
        <w:rPr>
          <w:rFonts w:ascii="Arial" w:hAnsi="Arial" w:cs="Arial"/>
          <w:color w:val="000000" w:themeColor="text1"/>
          <w:sz w:val="24"/>
          <w:szCs w:val="24"/>
        </w:rPr>
        <w:t xml:space="preserve"> </w:t>
      </w:r>
      <w:r w:rsidRPr="00327483">
        <w:rPr>
          <w:rFonts w:ascii="Arial" w:hAnsi="Arial" w:cs="Arial"/>
          <w:color w:val="000000" w:themeColor="text1"/>
          <w:sz w:val="24"/>
          <w:szCs w:val="24"/>
        </w:rPr>
        <w:t>n</w:t>
      </w:r>
      <w:r w:rsidR="00327483" w:rsidRPr="00327483">
        <w:rPr>
          <w:rFonts w:ascii="Arial" w:hAnsi="Arial" w:cs="Arial"/>
          <w:color w:val="000000" w:themeColor="text1"/>
          <w:sz w:val="24"/>
          <w:szCs w:val="24"/>
        </w:rPr>
        <w:t>o</w:t>
      </w:r>
      <w:r w:rsidRPr="00327483">
        <w:rPr>
          <w:rFonts w:ascii="Arial" w:hAnsi="Arial" w:cs="Arial"/>
          <w:color w:val="000000" w:themeColor="text1"/>
          <w:sz w:val="24"/>
          <w:szCs w:val="24"/>
        </w:rPr>
        <w:t>t supported by dynamic, locally appropriate actions—like energy retrofits that are specific to the age of the building or the climate—it might end up being just compliance instead of real change.</w:t>
      </w:r>
      <w:r w:rsidR="009F444E" w:rsidRPr="00327483">
        <w:rPr>
          <w:rFonts w:ascii="Arial" w:hAnsi="Arial" w:cs="Arial"/>
          <w:color w:val="000000" w:themeColor="text1"/>
          <w:sz w:val="24"/>
          <w:szCs w:val="24"/>
        </w:rPr>
        <w:t xml:space="preserve"> </w:t>
      </w:r>
      <w:r w:rsidRPr="00327483">
        <w:rPr>
          <w:rFonts w:ascii="Arial" w:hAnsi="Arial" w:cs="Arial"/>
          <w:color w:val="000000" w:themeColor="text1"/>
          <w:sz w:val="24"/>
          <w:szCs w:val="24"/>
        </w:rPr>
        <w:t>To reconcile these difficulties, leading sustainability platforms—such as LightStay—should transcend benchmarking and act as flexible guides that allow site-specific innovation. To resolve these tensions, academic literature says that leading sustainability platforms—such as LightStay—should transcend benchmarking and function as flexible guides that enable site-specific innovation. Environmental indicators should be used to make goals for specific areas instead of just comparing performance to corporate averages. This kind of hybridisation will keep the advantages of standardisation and openness while giving hotels the freedom to deal with issues that are specific to their situation</w:t>
      </w:r>
      <w:r w:rsidR="00327483" w:rsidRPr="00327483">
        <w:rPr>
          <w:rFonts w:ascii="Arial" w:hAnsi="Arial" w:cs="Arial"/>
          <w:color w:val="000000" w:themeColor="text1"/>
          <w:sz w:val="24"/>
          <w:szCs w:val="24"/>
        </w:rPr>
        <w:t xml:space="preserve"> (Armstrong and Green, 2013)</w:t>
      </w:r>
      <w:r w:rsidRPr="00327483">
        <w:rPr>
          <w:rFonts w:ascii="Arial" w:hAnsi="Arial" w:cs="Arial"/>
          <w:color w:val="000000" w:themeColor="text1"/>
          <w:sz w:val="24"/>
          <w:szCs w:val="24"/>
        </w:rPr>
        <w:t>.</w:t>
      </w:r>
      <w:r w:rsidR="009F444E" w:rsidRPr="00327483">
        <w:rPr>
          <w:rFonts w:ascii="Arial" w:hAnsi="Arial" w:cs="Arial"/>
          <w:color w:val="000000" w:themeColor="text1"/>
          <w:sz w:val="24"/>
          <w:szCs w:val="24"/>
        </w:rPr>
        <w:t xml:space="preserve"> </w:t>
      </w:r>
      <w:r w:rsidRPr="00327483">
        <w:rPr>
          <w:rFonts w:ascii="Arial" w:hAnsi="Arial" w:cs="Arial"/>
          <w:color w:val="000000" w:themeColor="text1"/>
          <w:sz w:val="24"/>
          <w:szCs w:val="24"/>
        </w:rPr>
        <w:t xml:space="preserve">Last but not least, it's very important to strengthen the culture of the organisation. Training and rewards that prioritise localised innovation, even if it means less corporate points, must support learning-focused SPMS systems like LightStay. When managers feel limited </w:t>
      </w:r>
      <w:r w:rsidRPr="00327483">
        <w:rPr>
          <w:rFonts w:ascii="Arial" w:hAnsi="Arial" w:cs="Arial"/>
          <w:color w:val="000000" w:themeColor="text1"/>
          <w:sz w:val="24"/>
          <w:szCs w:val="24"/>
        </w:rPr>
        <w:lastRenderedPageBreak/>
        <w:t>by global targets or compliance checklists, they may put off real sustainability in favour of achievements that are easy to measure</w:t>
      </w:r>
      <w:r w:rsidR="009F444E" w:rsidRPr="00327483">
        <w:rPr>
          <w:rFonts w:ascii="Arial" w:hAnsi="Arial" w:cs="Arial"/>
          <w:color w:val="000000" w:themeColor="text1"/>
          <w:sz w:val="24"/>
          <w:szCs w:val="24"/>
        </w:rPr>
        <w:t>.</w:t>
      </w:r>
    </w:p>
    <w:p w14:paraId="785A2161" w14:textId="4CE3BE38" w:rsidR="009F444E" w:rsidRPr="00327483" w:rsidRDefault="009F444E"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 xml:space="preserve">In conclusion, the </w:t>
      </w:r>
      <w:r w:rsidR="00D635F7" w:rsidRPr="00327483">
        <w:rPr>
          <w:rFonts w:ascii="Arial" w:hAnsi="Arial" w:cs="Arial"/>
          <w:color w:val="000000" w:themeColor="text1"/>
          <w:sz w:val="24"/>
          <w:szCs w:val="24"/>
        </w:rPr>
        <w:t>research</w:t>
      </w:r>
      <w:r w:rsidRPr="00327483">
        <w:rPr>
          <w:rFonts w:ascii="Arial" w:hAnsi="Arial" w:cs="Arial"/>
          <w:color w:val="000000" w:themeColor="text1"/>
          <w:sz w:val="24"/>
          <w:szCs w:val="24"/>
        </w:rPr>
        <w:t xml:space="preserve"> shows that Hilton's Travel with Purpose program connects sustainability aims with business needs in terms of the environment, the economy, and the brand. LightStay and other certifications and measuring methods make sure that all of its properties throughout the world work the same way. This has led to big improvements in energy savings, waste reduction, and cost reductions. But this uniform way of doing things might inadvertently stifle creativity and the ability to adapt to local situations. Also, although certifications and ESG awards may improve a company's brand and make it more appealing to investors, they can also become symbols instead of proof of real effect when they are sought for looks rather than content. Hilton has to change from compliance-based action to outcome-based stewardship if it wants to be honest and successful into 2030. This includes giving each property the ability to make plans that fit the social and environmental demands of the area, encouraging continual learning, and putting real-world effect ahead of compliance measurements. In the end, Travel with Purpose illustrates that sustainability can work with making money and building a brand, but only if it is firmly ingrained in the culture of the company and really responds to difficulties that are specific to the area.</w:t>
      </w:r>
    </w:p>
    <w:p w14:paraId="60D3D5FC" w14:textId="34BF7043" w:rsidR="002177BD" w:rsidRPr="009F444E" w:rsidRDefault="002177BD" w:rsidP="009F444E">
      <w:pPr>
        <w:spacing w:line="360" w:lineRule="auto"/>
        <w:jc w:val="both"/>
        <w:rPr>
          <w:rFonts w:ascii="Arial" w:hAnsi="Arial" w:cs="Arial"/>
          <w:color w:val="000000" w:themeColor="text1"/>
          <w:sz w:val="24"/>
          <w:szCs w:val="24"/>
        </w:rPr>
      </w:pPr>
    </w:p>
    <w:p w14:paraId="66007E10" w14:textId="77777777" w:rsidR="00932B18" w:rsidRDefault="00932B18" w:rsidP="009F444E">
      <w:pPr>
        <w:spacing w:line="360" w:lineRule="auto"/>
        <w:jc w:val="both"/>
        <w:rPr>
          <w:rFonts w:ascii="Arial" w:hAnsi="Arial" w:cs="Arial"/>
          <w:color w:val="000000" w:themeColor="text1"/>
          <w:sz w:val="24"/>
          <w:szCs w:val="24"/>
        </w:rPr>
      </w:pPr>
    </w:p>
    <w:p w14:paraId="2D5EB116" w14:textId="77777777" w:rsidR="00DB7547" w:rsidRDefault="00DB7547" w:rsidP="009F444E">
      <w:pPr>
        <w:spacing w:line="360" w:lineRule="auto"/>
        <w:jc w:val="both"/>
        <w:rPr>
          <w:rFonts w:ascii="Arial" w:hAnsi="Arial" w:cs="Arial"/>
          <w:color w:val="000000" w:themeColor="text1"/>
          <w:sz w:val="24"/>
          <w:szCs w:val="24"/>
        </w:rPr>
      </w:pPr>
    </w:p>
    <w:p w14:paraId="6A076426" w14:textId="77777777" w:rsidR="00DB7547" w:rsidRDefault="00DB7547" w:rsidP="009F444E">
      <w:pPr>
        <w:spacing w:line="360" w:lineRule="auto"/>
        <w:jc w:val="both"/>
        <w:rPr>
          <w:rFonts w:ascii="Arial" w:hAnsi="Arial" w:cs="Arial"/>
          <w:color w:val="000000" w:themeColor="text1"/>
          <w:sz w:val="24"/>
          <w:szCs w:val="24"/>
        </w:rPr>
      </w:pPr>
    </w:p>
    <w:p w14:paraId="030E6424" w14:textId="77777777" w:rsidR="00DB7547" w:rsidRDefault="00DB7547" w:rsidP="009F444E">
      <w:pPr>
        <w:spacing w:line="360" w:lineRule="auto"/>
        <w:jc w:val="both"/>
        <w:rPr>
          <w:rFonts w:ascii="Arial" w:hAnsi="Arial" w:cs="Arial"/>
          <w:color w:val="000000" w:themeColor="text1"/>
          <w:sz w:val="24"/>
          <w:szCs w:val="24"/>
        </w:rPr>
      </w:pPr>
    </w:p>
    <w:p w14:paraId="440BE240" w14:textId="77777777" w:rsidR="00DB7547" w:rsidRDefault="00DB7547" w:rsidP="009F444E">
      <w:pPr>
        <w:spacing w:line="360" w:lineRule="auto"/>
        <w:jc w:val="both"/>
        <w:rPr>
          <w:rFonts w:ascii="Arial" w:hAnsi="Arial" w:cs="Arial"/>
          <w:color w:val="000000" w:themeColor="text1"/>
          <w:sz w:val="24"/>
          <w:szCs w:val="24"/>
        </w:rPr>
      </w:pPr>
    </w:p>
    <w:p w14:paraId="1700D07B" w14:textId="77777777" w:rsidR="00DB7547" w:rsidRDefault="00DB7547" w:rsidP="009F444E">
      <w:pPr>
        <w:spacing w:line="360" w:lineRule="auto"/>
        <w:jc w:val="both"/>
        <w:rPr>
          <w:rFonts w:ascii="Arial" w:hAnsi="Arial" w:cs="Arial"/>
          <w:color w:val="000000" w:themeColor="text1"/>
          <w:sz w:val="24"/>
          <w:szCs w:val="24"/>
        </w:rPr>
      </w:pPr>
    </w:p>
    <w:p w14:paraId="6E8D55F6" w14:textId="77777777" w:rsidR="00DB7547" w:rsidRDefault="00DB7547" w:rsidP="009F444E">
      <w:pPr>
        <w:spacing w:line="360" w:lineRule="auto"/>
        <w:jc w:val="both"/>
        <w:rPr>
          <w:rFonts w:ascii="Arial" w:hAnsi="Arial" w:cs="Arial"/>
          <w:color w:val="000000" w:themeColor="text1"/>
          <w:sz w:val="24"/>
          <w:szCs w:val="24"/>
        </w:rPr>
      </w:pPr>
    </w:p>
    <w:p w14:paraId="6E0F6F1A" w14:textId="77777777" w:rsidR="00DB7547" w:rsidRDefault="00DB7547" w:rsidP="009F444E">
      <w:pPr>
        <w:spacing w:line="360" w:lineRule="auto"/>
        <w:jc w:val="both"/>
        <w:rPr>
          <w:rFonts w:ascii="Arial" w:hAnsi="Arial" w:cs="Arial"/>
          <w:color w:val="000000" w:themeColor="text1"/>
          <w:sz w:val="24"/>
          <w:szCs w:val="24"/>
        </w:rPr>
      </w:pPr>
    </w:p>
    <w:p w14:paraId="0E3ED955" w14:textId="77777777" w:rsidR="00DB7547" w:rsidRDefault="00DB7547" w:rsidP="009F444E">
      <w:pPr>
        <w:spacing w:line="360" w:lineRule="auto"/>
        <w:jc w:val="both"/>
        <w:rPr>
          <w:rFonts w:ascii="Arial" w:hAnsi="Arial" w:cs="Arial"/>
          <w:color w:val="000000" w:themeColor="text1"/>
          <w:sz w:val="24"/>
          <w:szCs w:val="24"/>
        </w:rPr>
      </w:pPr>
    </w:p>
    <w:p w14:paraId="659F179A" w14:textId="77777777" w:rsidR="009F444E" w:rsidRPr="00327483" w:rsidRDefault="009F444E" w:rsidP="00327483">
      <w:pPr>
        <w:spacing w:line="360" w:lineRule="auto"/>
        <w:jc w:val="both"/>
        <w:rPr>
          <w:rFonts w:ascii="Arial" w:hAnsi="Arial" w:cs="Arial"/>
          <w:color w:val="000000" w:themeColor="text1"/>
          <w:sz w:val="24"/>
          <w:szCs w:val="24"/>
        </w:rPr>
      </w:pPr>
    </w:p>
    <w:p w14:paraId="35C83BFB" w14:textId="44506323" w:rsidR="009F444E" w:rsidRPr="00327483" w:rsidRDefault="009F444E" w:rsidP="00327483">
      <w:pPr>
        <w:spacing w:line="360" w:lineRule="auto"/>
        <w:jc w:val="both"/>
        <w:rPr>
          <w:rFonts w:ascii="Arial" w:hAnsi="Arial" w:cs="Arial"/>
          <w:b/>
          <w:bCs/>
          <w:color w:val="000000" w:themeColor="text1"/>
          <w:sz w:val="24"/>
          <w:szCs w:val="24"/>
        </w:rPr>
      </w:pPr>
      <w:r w:rsidRPr="00327483">
        <w:rPr>
          <w:rFonts w:ascii="Arial" w:hAnsi="Arial" w:cs="Arial"/>
          <w:b/>
          <w:bCs/>
          <w:color w:val="000000" w:themeColor="text1"/>
          <w:sz w:val="24"/>
          <w:szCs w:val="24"/>
        </w:rPr>
        <w:t>References</w:t>
      </w:r>
    </w:p>
    <w:p w14:paraId="2D7A10AF" w14:textId="77777777" w:rsidR="00DB7547" w:rsidRPr="00327483" w:rsidRDefault="00DB754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Abdou, A.H., Hassan, T.H. and Dief, M.M.E. (2020). A Description of Green Hotel Practices and Their Role in Achieving Sustainable Development. Sustainability, [online] 12(22), p.9624. doi:https://doi.org/10.3390/su12229624.</w:t>
      </w:r>
    </w:p>
    <w:p w14:paraId="4E3D31B2" w14:textId="08911CC4" w:rsidR="00104043" w:rsidRPr="00327483" w:rsidRDefault="0010404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Akter, S., Babu, M.M., Hani, U., Sultana, S., Bandara, R. and Grant, D. (2024). Unleashing the power of artificial intelligence for climate action in industrial markets. Industrial Marketing Management, [online] 117, pp.92–113. doi:https://doi.org/10.1016/j.indmarman.2023.12.011.</w:t>
      </w:r>
    </w:p>
    <w:p w14:paraId="1C874710" w14:textId="2139DF96" w:rsidR="00327483" w:rsidRPr="00327483" w:rsidRDefault="0032748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Armstrong, J.S. and Green, K.C., 2013. Effects of corporate social responsibility and irresponsibility policies. Journal of Business Research, 66(10), pp.1922-1927.</w:t>
      </w:r>
    </w:p>
    <w:p w14:paraId="6B254E58" w14:textId="12240F07" w:rsidR="00327483" w:rsidRPr="00327483" w:rsidRDefault="0032748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Behnke, G.M., 2017. An Examination of LEED Certification’s Utility as Evidence for Superior On-Property Environmental Sustainability in Hotels.</w:t>
      </w:r>
    </w:p>
    <w:p w14:paraId="1A5AE096" w14:textId="24DDE774" w:rsidR="00327483" w:rsidRPr="00327483" w:rsidRDefault="0032748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Chi, C.G., Chi, O.H., Xu, X. and Kennedy, I., 2022. Narrowing the intention-behavior gap: The impact of hotel green certification. International Journal of Hospitality Management, 107, p.103305.</w:t>
      </w:r>
    </w:p>
    <w:p w14:paraId="58359512" w14:textId="49E14F11" w:rsidR="00DB7547" w:rsidRPr="00327483" w:rsidRDefault="00DB754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Diaz-Farina, E., Díaz-Hernández, J.J. and Padrón-Fumero, N. (2023). Analysis of hospitality waste generation: Impacts of services and mitigation strategies. Annals of Tourism Research Empirical Insights, [online] 4(1), p.100083. doi:https://doi.org/10.1016/j.annale.2022.100083.</w:t>
      </w:r>
    </w:p>
    <w:p w14:paraId="5E33A795" w14:textId="66847C70" w:rsidR="00104043" w:rsidRPr="00327483" w:rsidRDefault="0010404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Gailhofer, P., Krebs, D., Proelss, A., Schmalenbach, K. and Verheyen, R. (2022). Corporate Liability for Transboundary Environmental Harm. Springer Nature.</w:t>
      </w:r>
    </w:p>
    <w:p w14:paraId="73CD7369" w14:textId="73339186" w:rsidR="00327483" w:rsidRPr="00327483" w:rsidRDefault="0032748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GSTC (2025). Global Sustainable Tourism Council (GSTC) - the international accreditation body for sustainable tourism certification. [online] GSTC. Available at: https://www.gstc.org/.</w:t>
      </w:r>
    </w:p>
    <w:p w14:paraId="1A2281F8" w14:textId="0328E9F9" w:rsidR="009F4067" w:rsidRPr="00327483" w:rsidRDefault="009F406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 xml:space="preserve">Hilton (2023). Travel with Purpose 2023 REPORT. [online] Available at: </w:t>
      </w:r>
      <w:hyperlink r:id="rId6" w:history="1">
        <w:r w:rsidRPr="00327483">
          <w:rPr>
            <w:rStyle w:val="Hyperlink"/>
            <w:rFonts w:ascii="Arial" w:hAnsi="Arial" w:cs="Arial"/>
            <w:color w:val="000000" w:themeColor="text1"/>
            <w:sz w:val="24"/>
            <w:szCs w:val="24"/>
          </w:rPr>
          <w:t>https://esg.hilton.com/wp-content/uploads/sites/4/2024/05/2023-Travel-with-Purpose-Report-ADA-final.pdf</w:t>
        </w:r>
      </w:hyperlink>
      <w:r w:rsidRPr="00327483">
        <w:rPr>
          <w:rFonts w:ascii="Arial" w:hAnsi="Arial" w:cs="Arial"/>
          <w:color w:val="000000" w:themeColor="text1"/>
          <w:sz w:val="24"/>
          <w:szCs w:val="24"/>
        </w:rPr>
        <w:t>.</w:t>
      </w:r>
    </w:p>
    <w:p w14:paraId="1A456863" w14:textId="74DACD8A" w:rsidR="00104043" w:rsidRPr="00327483" w:rsidRDefault="009F406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lastRenderedPageBreak/>
        <w:t>Hilton (2024) LightStay is the backbone behind the measurement of our environmental and social performance, Travel with Purpose: Hilton ESG, Available at: Hilton Travel with Purpose website (Accessed: 1 June 2025).</w:t>
      </w:r>
    </w:p>
    <w:p w14:paraId="52E5F40E" w14:textId="652AC7BA" w:rsidR="009F4067" w:rsidRPr="00327483" w:rsidRDefault="009F406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Hilton (2025). Carbon Neutral Meetings Offer – Hilton. [online] Available at: https://www.hilton.com/en/events/offers/carbon-neutral-meetings/ [Accessed 10 Jun. 2025].</w:t>
      </w:r>
    </w:p>
    <w:p w14:paraId="28C9A32F" w14:textId="627FD8FE" w:rsidR="00104043" w:rsidRPr="00327483" w:rsidRDefault="0010404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Hilton Worldwide Holdings Inc. (2024) Travel with Purpose 2023 Highlights Report. Travel with Purpose – Hilton ESG. Available at: https://esg.hilton.com/wp-content/uploads/sites/4/2024/05/2023-Travel-with-Purpose-Highlights-Report.pdf (Accessed: 2 June 2025).</w:t>
      </w:r>
    </w:p>
    <w:p w14:paraId="4CB5E2EB" w14:textId="7E24A434" w:rsidR="00DB7547" w:rsidRPr="00327483" w:rsidRDefault="00DB754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Kasim, A., Khuadthong, B., Jailani, N., Mokhtar, M.F., Radha, J.Z.R.R.R. and Leong, M., 2022. The importance of community perspectives on hotel community-related CSR: a position paper. Sustainability, 14(8), p.4636.</w:t>
      </w:r>
    </w:p>
    <w:p w14:paraId="3EDED879" w14:textId="3B3B2A9D" w:rsidR="00DB7547" w:rsidRPr="00327483" w:rsidRDefault="00DB754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Makoondlall-Chadee, T. and Bokhoree, C., 2024. Environmental Sustainability in Hotels: A Review of the Relevance and Contributions of Assessment Tools and Techniques. Administrative Sciences, 14(12), p.320.</w:t>
      </w:r>
    </w:p>
    <w:p w14:paraId="1A92A727" w14:textId="160BA486" w:rsidR="00104043" w:rsidRPr="00327483" w:rsidRDefault="0010404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Serrano-Baena, M.M., Triviño-Tarradas, P., Ruiz-Díaz, C. and Hidalgo Fernández, R.E. (2020). Implications of BREEAM Sustainability Assessment on the Design of Hotels. Sustainability, [online] 12(16), p.6550. doi:https://doi.org/10.3390/su12166550.</w:t>
      </w:r>
    </w:p>
    <w:p w14:paraId="1542B397" w14:textId="44FFCDF9" w:rsidR="00DB7547" w:rsidRPr="00327483" w:rsidRDefault="00DB754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‌Singh, A.B., Mishra, Y. and Yadav, S., 2024. Toward Sustainability: Interventions for Implementing Energy-Efficient Systems into Hotel Buildings. Engineering Proceedings, 67(1), p.80.</w:t>
      </w:r>
    </w:p>
    <w:p w14:paraId="4FA6F6BF" w14:textId="2DD0AA53" w:rsidR="00104043" w:rsidRPr="00327483" w:rsidRDefault="0010404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 xml:space="preserve">Stories From Hilton. (n.d.). Hilton Recognized for Sustainability Leadership by Dow Jones Sustainability Indices and EcoVadis. [online] Available at: </w:t>
      </w:r>
      <w:hyperlink r:id="rId7" w:history="1">
        <w:r w:rsidR="00327483" w:rsidRPr="00327483">
          <w:rPr>
            <w:rStyle w:val="Hyperlink"/>
            <w:rFonts w:ascii="Arial" w:hAnsi="Arial" w:cs="Arial"/>
            <w:color w:val="000000" w:themeColor="text1"/>
            <w:sz w:val="24"/>
            <w:szCs w:val="24"/>
          </w:rPr>
          <w:t>https://stories.hilton.com/releases/hilton-recognized-for-sustainability-leadership-by-dow-jones-sustainability-indices-and-ecovadis</w:t>
        </w:r>
      </w:hyperlink>
      <w:r w:rsidRPr="00327483">
        <w:rPr>
          <w:rFonts w:ascii="Arial" w:hAnsi="Arial" w:cs="Arial"/>
          <w:color w:val="000000" w:themeColor="text1"/>
          <w:sz w:val="24"/>
          <w:szCs w:val="24"/>
        </w:rPr>
        <w:t>.</w:t>
      </w:r>
    </w:p>
    <w:p w14:paraId="5245AD8D" w14:textId="70723BBD" w:rsidR="00327483" w:rsidRPr="00327483" w:rsidRDefault="0032748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 xml:space="preserve">Sovacool, B.K., Hess, D.J., Amir, S., Geels, F.W., Hirsh, R., Rodriguez Medina, L., Miller, C., Alvial Palavicino, C., Phadke, R., Ryghaug, M., Schot, J., Silvast, A., Stephens, J., Stirling, A., Turnheim, B., van der Vleuten, E., van Lente, H. and Yearley, S. (2020). Sociotechnical agendas: Reviewing future directions for energy and climate </w:t>
      </w:r>
      <w:r w:rsidRPr="00327483">
        <w:rPr>
          <w:rFonts w:ascii="Arial" w:hAnsi="Arial" w:cs="Arial"/>
          <w:color w:val="000000" w:themeColor="text1"/>
          <w:sz w:val="24"/>
          <w:szCs w:val="24"/>
        </w:rPr>
        <w:lastRenderedPageBreak/>
        <w:t>research. Energy Research &amp; Social Science, 70, p.101617. doi:https://doi.org/10.1016/j.erss.2020.101617.</w:t>
      </w:r>
    </w:p>
    <w:p w14:paraId="0B47FCD3" w14:textId="207408E0" w:rsidR="00DB7547" w:rsidRPr="00327483" w:rsidRDefault="00DB754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 xml:space="preserve">Sustainable Hospitality Alliance (2021) Plastic factsheet. Available at: https://sustainablehospitalityalliance.org/wp-content/uploads/2021/06/Plastic-factsheet.pdf (Accessed: </w:t>
      </w:r>
      <w:r w:rsidR="00327483" w:rsidRPr="00327483">
        <w:rPr>
          <w:rFonts w:ascii="Arial" w:hAnsi="Arial" w:cs="Arial"/>
          <w:color w:val="000000" w:themeColor="text1"/>
          <w:sz w:val="24"/>
          <w:szCs w:val="24"/>
        </w:rPr>
        <w:t>8</w:t>
      </w:r>
      <w:r w:rsidRPr="00327483">
        <w:rPr>
          <w:rFonts w:ascii="Arial" w:hAnsi="Arial" w:cs="Arial"/>
          <w:color w:val="000000" w:themeColor="text1"/>
          <w:sz w:val="24"/>
          <w:szCs w:val="24"/>
        </w:rPr>
        <w:t xml:space="preserve"> May 2025).</w:t>
      </w:r>
    </w:p>
    <w:p w14:paraId="0270F150" w14:textId="2F9AA808" w:rsidR="00DB7547" w:rsidRPr="00327483" w:rsidRDefault="00DB7547"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Velaoras, K., Menegaki, A.N., Polyzos, S. and Gotzamani, K., 2025. The role of environmental certification in the hospitality industry: Assessing sustainability, consumer preferences, and the economic impact. Sustainability, 17(2), p.650.</w:t>
      </w:r>
    </w:p>
    <w:p w14:paraId="57A53053" w14:textId="77777777" w:rsidR="00104043" w:rsidRPr="00327483" w:rsidRDefault="0010404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Zientara, P., Bohdanowicz-Godfrey, P., Whitely, C. and Maciejewski, G. (2020). A Case Study of LightStay (2010–2017)—Hilton’s Corporate Responsibility Management System. Energies, 13(9), p.2303.</w:t>
      </w:r>
    </w:p>
    <w:p w14:paraId="773BD7F6" w14:textId="77777777" w:rsidR="00104043" w:rsidRPr="00327483" w:rsidRDefault="00104043" w:rsidP="00327483">
      <w:pPr>
        <w:spacing w:line="360" w:lineRule="auto"/>
        <w:jc w:val="both"/>
        <w:rPr>
          <w:rFonts w:ascii="Arial" w:hAnsi="Arial" w:cs="Arial"/>
          <w:color w:val="000000" w:themeColor="text1"/>
          <w:sz w:val="24"/>
          <w:szCs w:val="24"/>
        </w:rPr>
      </w:pPr>
    </w:p>
    <w:p w14:paraId="2D736FEF" w14:textId="4DD8E337" w:rsidR="00104043" w:rsidRPr="00327483" w:rsidRDefault="00104043" w:rsidP="00327483">
      <w:pPr>
        <w:spacing w:line="360" w:lineRule="auto"/>
        <w:jc w:val="both"/>
        <w:rPr>
          <w:rFonts w:ascii="Arial" w:hAnsi="Arial" w:cs="Arial"/>
          <w:color w:val="000000" w:themeColor="text1"/>
          <w:sz w:val="24"/>
          <w:szCs w:val="24"/>
        </w:rPr>
      </w:pPr>
      <w:r w:rsidRPr="00327483">
        <w:rPr>
          <w:rFonts w:ascii="Arial" w:hAnsi="Arial" w:cs="Arial"/>
          <w:color w:val="000000" w:themeColor="text1"/>
          <w:sz w:val="24"/>
          <w:szCs w:val="24"/>
        </w:rPr>
        <w:t>‌</w:t>
      </w:r>
    </w:p>
    <w:sectPr w:rsidR="00104043" w:rsidRPr="003274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DD502" w14:textId="77777777" w:rsidR="006A7533" w:rsidRDefault="006A7533" w:rsidP="00932B18">
      <w:pPr>
        <w:spacing w:after="0" w:line="240" w:lineRule="auto"/>
      </w:pPr>
      <w:r>
        <w:separator/>
      </w:r>
    </w:p>
  </w:endnote>
  <w:endnote w:type="continuationSeparator" w:id="0">
    <w:p w14:paraId="715A2B85" w14:textId="77777777" w:rsidR="006A7533" w:rsidRDefault="006A7533" w:rsidP="00932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0493224"/>
      <w:docPartObj>
        <w:docPartGallery w:val="Page Numbers (Bottom of Page)"/>
        <w:docPartUnique/>
      </w:docPartObj>
    </w:sdtPr>
    <w:sdtEndPr>
      <w:rPr>
        <w:noProof/>
      </w:rPr>
    </w:sdtEndPr>
    <w:sdtContent>
      <w:p w14:paraId="5BADD12A" w14:textId="0AE3A5BC" w:rsidR="00932B18" w:rsidRDefault="00932B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612B72" w14:textId="77777777" w:rsidR="00932B18" w:rsidRDefault="00932B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D6439" w14:textId="77777777" w:rsidR="006A7533" w:rsidRDefault="006A7533" w:rsidP="00932B18">
      <w:pPr>
        <w:spacing w:after="0" w:line="240" w:lineRule="auto"/>
      </w:pPr>
      <w:r>
        <w:separator/>
      </w:r>
    </w:p>
  </w:footnote>
  <w:footnote w:type="continuationSeparator" w:id="0">
    <w:p w14:paraId="1612E29C" w14:textId="77777777" w:rsidR="006A7533" w:rsidRDefault="006A7533" w:rsidP="00932B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B18"/>
    <w:rsid w:val="00051036"/>
    <w:rsid w:val="00104043"/>
    <w:rsid w:val="001C0165"/>
    <w:rsid w:val="002177BD"/>
    <w:rsid w:val="00327483"/>
    <w:rsid w:val="004B4191"/>
    <w:rsid w:val="005951AE"/>
    <w:rsid w:val="006A7533"/>
    <w:rsid w:val="007B0CC3"/>
    <w:rsid w:val="00887CDF"/>
    <w:rsid w:val="00932B18"/>
    <w:rsid w:val="009F4067"/>
    <w:rsid w:val="009F444E"/>
    <w:rsid w:val="00B151A8"/>
    <w:rsid w:val="00BC37C9"/>
    <w:rsid w:val="00C82D1F"/>
    <w:rsid w:val="00D635F7"/>
    <w:rsid w:val="00D6452B"/>
    <w:rsid w:val="00D73CFE"/>
    <w:rsid w:val="00DB7547"/>
    <w:rsid w:val="00EF0686"/>
    <w:rsid w:val="00F26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8F1E9"/>
  <w15:chartTrackingRefBased/>
  <w15:docId w15:val="{2CC2197F-E5D4-4DDE-AC6D-109035B7B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32B1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2B1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32B1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2B1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2B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B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B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B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32B1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2B1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32B1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2B1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2B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B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B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B18"/>
    <w:rPr>
      <w:rFonts w:eastAsiaTheme="majorEastAsia" w:cstheme="majorBidi"/>
      <w:color w:val="272727" w:themeColor="text1" w:themeTint="D8"/>
    </w:rPr>
  </w:style>
  <w:style w:type="paragraph" w:styleId="Title">
    <w:name w:val="Title"/>
    <w:basedOn w:val="Normal"/>
    <w:next w:val="Normal"/>
    <w:link w:val="TitleChar"/>
    <w:uiPriority w:val="10"/>
    <w:qFormat/>
    <w:rsid w:val="00932B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B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B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B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B18"/>
    <w:pPr>
      <w:spacing w:before="160"/>
      <w:jc w:val="center"/>
    </w:pPr>
    <w:rPr>
      <w:i/>
      <w:iCs/>
      <w:color w:val="404040" w:themeColor="text1" w:themeTint="BF"/>
    </w:rPr>
  </w:style>
  <w:style w:type="character" w:customStyle="1" w:styleId="QuoteChar">
    <w:name w:val="Quote Char"/>
    <w:basedOn w:val="DefaultParagraphFont"/>
    <w:link w:val="Quote"/>
    <w:uiPriority w:val="29"/>
    <w:rsid w:val="00932B18"/>
    <w:rPr>
      <w:i/>
      <w:iCs/>
      <w:color w:val="404040" w:themeColor="text1" w:themeTint="BF"/>
    </w:rPr>
  </w:style>
  <w:style w:type="paragraph" w:styleId="ListParagraph">
    <w:name w:val="List Paragraph"/>
    <w:basedOn w:val="Normal"/>
    <w:uiPriority w:val="34"/>
    <w:qFormat/>
    <w:rsid w:val="00932B18"/>
    <w:pPr>
      <w:ind w:left="720"/>
      <w:contextualSpacing/>
    </w:pPr>
  </w:style>
  <w:style w:type="character" w:styleId="IntenseEmphasis">
    <w:name w:val="Intense Emphasis"/>
    <w:basedOn w:val="DefaultParagraphFont"/>
    <w:uiPriority w:val="21"/>
    <w:qFormat/>
    <w:rsid w:val="00932B18"/>
    <w:rPr>
      <w:i/>
      <w:iCs/>
      <w:color w:val="2F5496" w:themeColor="accent1" w:themeShade="BF"/>
    </w:rPr>
  </w:style>
  <w:style w:type="paragraph" w:styleId="IntenseQuote">
    <w:name w:val="Intense Quote"/>
    <w:basedOn w:val="Normal"/>
    <w:next w:val="Normal"/>
    <w:link w:val="IntenseQuoteChar"/>
    <w:uiPriority w:val="30"/>
    <w:qFormat/>
    <w:rsid w:val="00932B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2B18"/>
    <w:rPr>
      <w:i/>
      <w:iCs/>
      <w:color w:val="2F5496" w:themeColor="accent1" w:themeShade="BF"/>
    </w:rPr>
  </w:style>
  <w:style w:type="character" w:styleId="IntenseReference">
    <w:name w:val="Intense Reference"/>
    <w:basedOn w:val="DefaultParagraphFont"/>
    <w:uiPriority w:val="32"/>
    <w:qFormat/>
    <w:rsid w:val="00932B18"/>
    <w:rPr>
      <w:b/>
      <w:bCs/>
      <w:smallCaps/>
      <w:color w:val="2F5496" w:themeColor="accent1" w:themeShade="BF"/>
      <w:spacing w:val="5"/>
    </w:rPr>
  </w:style>
  <w:style w:type="paragraph" w:styleId="Header">
    <w:name w:val="header"/>
    <w:basedOn w:val="Normal"/>
    <w:link w:val="HeaderChar"/>
    <w:uiPriority w:val="99"/>
    <w:unhideWhenUsed/>
    <w:rsid w:val="00932B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B18"/>
  </w:style>
  <w:style w:type="paragraph" w:styleId="Footer">
    <w:name w:val="footer"/>
    <w:basedOn w:val="Normal"/>
    <w:link w:val="FooterChar"/>
    <w:uiPriority w:val="99"/>
    <w:unhideWhenUsed/>
    <w:rsid w:val="00932B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B18"/>
  </w:style>
  <w:style w:type="character" w:styleId="Hyperlink">
    <w:name w:val="Hyperlink"/>
    <w:basedOn w:val="DefaultParagraphFont"/>
    <w:uiPriority w:val="99"/>
    <w:unhideWhenUsed/>
    <w:rsid w:val="009F4067"/>
    <w:rPr>
      <w:color w:val="0563C1" w:themeColor="hyperlink"/>
      <w:u w:val="single"/>
    </w:rPr>
  </w:style>
  <w:style w:type="character" w:styleId="UnresolvedMention">
    <w:name w:val="Unresolved Mention"/>
    <w:basedOn w:val="DefaultParagraphFont"/>
    <w:uiPriority w:val="99"/>
    <w:semiHidden/>
    <w:unhideWhenUsed/>
    <w:rsid w:val="009F40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1241788">
      <w:bodyDiv w:val="1"/>
      <w:marLeft w:val="0"/>
      <w:marRight w:val="0"/>
      <w:marTop w:val="0"/>
      <w:marBottom w:val="0"/>
      <w:divBdr>
        <w:top w:val="none" w:sz="0" w:space="0" w:color="auto"/>
        <w:left w:val="none" w:sz="0" w:space="0" w:color="auto"/>
        <w:bottom w:val="none" w:sz="0" w:space="0" w:color="auto"/>
        <w:right w:val="none" w:sz="0" w:space="0" w:color="auto"/>
      </w:divBdr>
    </w:div>
    <w:div w:id="1429351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stories.hilton.com/releases/hilton-recognized-for-sustainability-leadership-by-dow-jones-sustainability-indices-and-ecovadi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sg.hilton.com/wp-content/uploads/sites/4/2024/05/2023-Travel-with-Purpose-Report-ADA-final.pdf"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10</Pages>
  <Words>3078</Words>
  <Characters>17545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Vlad matei</dc:creator>
  <cp:keywords/>
  <dc:description/>
  <cp:lastModifiedBy>Alexandru Vlad matei</cp:lastModifiedBy>
  <cp:revision>5</cp:revision>
  <dcterms:created xsi:type="dcterms:W3CDTF">2025-06-10T18:23:00Z</dcterms:created>
  <dcterms:modified xsi:type="dcterms:W3CDTF">2025-06-11T20:35:00Z</dcterms:modified>
</cp:coreProperties>
</file>