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38C1C" w14:textId="77777777" w:rsidR="00EA540D" w:rsidRPr="00A52D3C" w:rsidRDefault="00A52D3C" w:rsidP="00A52D3C">
      <w:pPr>
        <w:spacing w:line="360" w:lineRule="auto"/>
        <w:jc w:val="both"/>
        <w:rPr>
          <w:rFonts w:ascii="Arial" w:hAnsi="Arial" w:cs="Arial"/>
          <w:color w:val="000000" w:themeColor="text1"/>
          <w:sz w:val="22"/>
          <w:szCs w:val="22"/>
        </w:rPr>
      </w:pPr>
      <w:r w:rsidRPr="00A52D3C">
        <w:rPr>
          <w:rFonts w:ascii="Arial" w:hAnsi="Arial" w:cs="Arial"/>
          <w:noProof/>
          <w:sz w:val="22"/>
          <w:szCs w:val="22"/>
        </w:rPr>
        <w:drawing>
          <wp:anchor distT="0" distB="0" distL="114300" distR="114300" simplePos="0" relativeHeight="251658752" behindDoc="0" locked="0" layoutInCell="1" allowOverlap="1" wp14:anchorId="5D951057" wp14:editId="3AA0BE76">
            <wp:simplePos x="0" y="0"/>
            <wp:positionH relativeFrom="column">
              <wp:posOffset>-191386</wp:posOffset>
            </wp:positionH>
            <wp:positionV relativeFrom="paragraph">
              <wp:posOffset>10884</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0F2E0E4" w14:textId="77777777" w:rsidR="00A52D3C" w:rsidRPr="00A52D3C" w:rsidRDefault="00A52D3C" w:rsidP="00A52D3C">
      <w:pPr>
        <w:spacing w:line="360" w:lineRule="auto"/>
        <w:jc w:val="both"/>
        <w:rPr>
          <w:rFonts w:ascii="Arial" w:hAnsi="Arial" w:cs="Arial"/>
          <w:color w:val="000000" w:themeColor="text1"/>
          <w:sz w:val="22"/>
          <w:szCs w:val="22"/>
        </w:rPr>
      </w:pPr>
    </w:p>
    <w:p w14:paraId="60AA790C" w14:textId="77777777" w:rsidR="00A52D3C" w:rsidRPr="00A52D3C" w:rsidRDefault="00A52D3C" w:rsidP="00A52D3C">
      <w:pPr>
        <w:spacing w:line="360" w:lineRule="auto"/>
        <w:jc w:val="both"/>
        <w:rPr>
          <w:rFonts w:ascii="Arial" w:hAnsi="Arial" w:cs="Arial"/>
          <w:color w:val="000000" w:themeColor="text1"/>
          <w:sz w:val="22"/>
          <w:szCs w:val="22"/>
        </w:rPr>
      </w:pPr>
    </w:p>
    <w:p w14:paraId="06F2A29F" w14:textId="77777777" w:rsidR="00A52D3C" w:rsidRPr="00A52D3C" w:rsidRDefault="00A52D3C" w:rsidP="00A52D3C">
      <w:pPr>
        <w:spacing w:line="360" w:lineRule="auto"/>
        <w:jc w:val="both"/>
        <w:rPr>
          <w:rFonts w:ascii="Arial" w:hAnsi="Arial" w:cs="Arial"/>
          <w:color w:val="000000" w:themeColor="text1"/>
          <w:sz w:val="22"/>
          <w:szCs w:val="22"/>
        </w:rPr>
      </w:pPr>
    </w:p>
    <w:p w14:paraId="25555866" w14:textId="77777777" w:rsidR="00A52D3C" w:rsidRPr="00A52D3C" w:rsidRDefault="00A52D3C" w:rsidP="00A52D3C">
      <w:pPr>
        <w:spacing w:line="360" w:lineRule="auto"/>
        <w:jc w:val="both"/>
        <w:rPr>
          <w:rFonts w:ascii="Arial" w:hAnsi="Arial" w:cs="Arial"/>
          <w:color w:val="000000" w:themeColor="text1"/>
          <w:sz w:val="22"/>
          <w:szCs w:val="22"/>
        </w:rPr>
      </w:pPr>
    </w:p>
    <w:p w14:paraId="562D0217" w14:textId="77777777" w:rsidR="00A52D3C" w:rsidRPr="00A52D3C" w:rsidRDefault="00A52D3C" w:rsidP="00A52D3C">
      <w:pPr>
        <w:spacing w:line="360" w:lineRule="auto"/>
        <w:jc w:val="both"/>
        <w:rPr>
          <w:rFonts w:ascii="Arial" w:hAnsi="Arial" w:cs="Arial"/>
          <w:color w:val="000000" w:themeColor="text1"/>
          <w:sz w:val="22"/>
          <w:szCs w:val="22"/>
        </w:rPr>
      </w:pPr>
    </w:p>
    <w:p w14:paraId="17B61FAC" w14:textId="77777777" w:rsidR="00A52D3C" w:rsidRPr="00A52D3C" w:rsidRDefault="00A52D3C" w:rsidP="00A52D3C">
      <w:pPr>
        <w:spacing w:line="360" w:lineRule="auto"/>
        <w:jc w:val="both"/>
        <w:rPr>
          <w:rFonts w:ascii="Arial" w:hAnsi="Arial" w:cs="Arial"/>
          <w:color w:val="000000" w:themeColor="text1"/>
          <w:sz w:val="22"/>
          <w:szCs w:val="22"/>
        </w:rPr>
      </w:pPr>
    </w:p>
    <w:p w14:paraId="40E9D1DE" w14:textId="77777777" w:rsidR="00A52D3C" w:rsidRPr="00A52D3C" w:rsidRDefault="00A52D3C" w:rsidP="00A52D3C">
      <w:pPr>
        <w:spacing w:line="360" w:lineRule="auto"/>
        <w:jc w:val="both"/>
        <w:rPr>
          <w:rFonts w:ascii="Arial" w:hAnsi="Arial" w:cs="Arial"/>
          <w:color w:val="000000" w:themeColor="text1"/>
          <w:sz w:val="22"/>
          <w:szCs w:val="22"/>
        </w:rPr>
      </w:pPr>
    </w:p>
    <w:p w14:paraId="6524F6F5" w14:textId="77777777" w:rsidR="00EA540D" w:rsidRPr="00A52D3C" w:rsidRDefault="00EA540D" w:rsidP="0022502F">
      <w:pPr>
        <w:spacing w:line="360" w:lineRule="auto"/>
        <w:jc w:val="center"/>
        <w:rPr>
          <w:rFonts w:ascii="Arial" w:hAnsi="Arial" w:cs="Arial"/>
          <w:color w:val="000000" w:themeColor="text1"/>
          <w:sz w:val="22"/>
          <w:szCs w:val="22"/>
        </w:rPr>
      </w:pPr>
    </w:p>
    <w:p w14:paraId="5622EF84" w14:textId="0B900FDA" w:rsidR="00EA540D" w:rsidRPr="00A52D3C" w:rsidRDefault="002D5768" w:rsidP="0022502F">
      <w:pPr>
        <w:spacing w:line="360" w:lineRule="auto"/>
        <w:jc w:val="center"/>
        <w:rPr>
          <w:rFonts w:ascii="Arial" w:hAnsi="Arial" w:cs="Arial"/>
          <w:color w:val="000000" w:themeColor="text1"/>
          <w:sz w:val="22"/>
          <w:szCs w:val="22"/>
        </w:rPr>
      </w:pPr>
      <w:r w:rsidRPr="00A52D3C">
        <w:rPr>
          <w:rFonts w:ascii="Arial" w:hAnsi="Arial" w:cs="Arial"/>
          <w:color w:val="000000" w:themeColor="text1"/>
          <w:sz w:val="22"/>
          <w:szCs w:val="22"/>
        </w:rPr>
        <w:t>Programme:</w:t>
      </w:r>
      <w:r w:rsidRPr="00A52D3C">
        <w:rPr>
          <w:rFonts w:ascii="Arial" w:hAnsi="Arial" w:cs="Arial"/>
          <w:color w:val="000000" w:themeColor="text1"/>
          <w:sz w:val="22"/>
          <w:szCs w:val="22"/>
        </w:rPr>
        <w:tab/>
        <w:t>BSc (Hons) Health and Social Care</w:t>
      </w:r>
    </w:p>
    <w:p w14:paraId="154B84FB" w14:textId="55771428" w:rsidR="00EA540D" w:rsidRPr="00A52D3C" w:rsidRDefault="002D5768" w:rsidP="0022502F">
      <w:pPr>
        <w:spacing w:line="360" w:lineRule="auto"/>
        <w:jc w:val="center"/>
        <w:rPr>
          <w:rFonts w:ascii="Arial" w:hAnsi="Arial" w:cs="Arial"/>
          <w:color w:val="000000" w:themeColor="text1"/>
          <w:sz w:val="22"/>
          <w:szCs w:val="22"/>
        </w:rPr>
      </w:pPr>
      <w:r w:rsidRPr="00A52D3C">
        <w:rPr>
          <w:rFonts w:ascii="Arial" w:hAnsi="Arial" w:cs="Arial"/>
          <w:color w:val="000000" w:themeColor="text1"/>
          <w:sz w:val="22"/>
          <w:szCs w:val="22"/>
        </w:rPr>
        <w:t>Module:</w:t>
      </w:r>
      <w:r w:rsidR="0022502F">
        <w:rPr>
          <w:rFonts w:ascii="Arial" w:hAnsi="Arial" w:cs="Arial"/>
          <w:color w:val="000000" w:themeColor="text1"/>
          <w:sz w:val="22"/>
          <w:szCs w:val="22"/>
        </w:rPr>
        <w:t xml:space="preserve"> </w:t>
      </w:r>
      <w:r w:rsidRPr="00A52D3C">
        <w:rPr>
          <w:rFonts w:ascii="Arial" w:hAnsi="Arial" w:cs="Arial"/>
          <w:color w:val="000000" w:themeColor="text1"/>
          <w:sz w:val="22"/>
          <w:szCs w:val="22"/>
        </w:rPr>
        <w:t>Health, Wellbeing and Sustainable Development</w:t>
      </w:r>
    </w:p>
    <w:p w14:paraId="0D39457D" w14:textId="77777777" w:rsidR="00EA540D" w:rsidRDefault="002D5768" w:rsidP="0022502F">
      <w:pPr>
        <w:spacing w:line="360" w:lineRule="auto"/>
        <w:jc w:val="center"/>
        <w:rPr>
          <w:rFonts w:ascii="Arial" w:hAnsi="Arial" w:cs="Arial"/>
          <w:color w:val="000000" w:themeColor="text1"/>
          <w:sz w:val="22"/>
          <w:szCs w:val="22"/>
        </w:rPr>
      </w:pPr>
      <w:r w:rsidRPr="00A52D3C">
        <w:rPr>
          <w:rFonts w:ascii="Arial" w:hAnsi="Arial" w:cs="Arial"/>
          <w:color w:val="000000" w:themeColor="text1"/>
          <w:sz w:val="22"/>
          <w:szCs w:val="22"/>
        </w:rPr>
        <w:t>Module code:</w:t>
      </w:r>
      <w:r w:rsidRPr="00A52D3C">
        <w:rPr>
          <w:rFonts w:ascii="Arial" w:hAnsi="Arial" w:cs="Arial"/>
          <w:color w:val="000000" w:themeColor="text1"/>
          <w:sz w:val="22"/>
          <w:szCs w:val="22"/>
        </w:rPr>
        <w:tab/>
        <w:t>BMHP6030</w:t>
      </w:r>
    </w:p>
    <w:p w14:paraId="2FDB5C71" w14:textId="77777777" w:rsidR="0022502F" w:rsidRDefault="0022502F" w:rsidP="0022502F">
      <w:pPr>
        <w:spacing w:line="360" w:lineRule="auto"/>
        <w:jc w:val="center"/>
        <w:rPr>
          <w:rFonts w:ascii="Arial" w:hAnsi="Arial" w:cs="Arial"/>
          <w:color w:val="000000" w:themeColor="text1"/>
          <w:sz w:val="22"/>
          <w:szCs w:val="22"/>
        </w:rPr>
      </w:pPr>
    </w:p>
    <w:p w14:paraId="06B61019" w14:textId="77777777" w:rsidR="0022502F" w:rsidRPr="00A52D3C" w:rsidRDefault="0022502F" w:rsidP="0022502F">
      <w:pPr>
        <w:spacing w:line="360" w:lineRule="auto"/>
        <w:jc w:val="center"/>
        <w:rPr>
          <w:rFonts w:ascii="Arial" w:hAnsi="Arial" w:cs="Arial"/>
          <w:color w:val="000000" w:themeColor="text1"/>
          <w:sz w:val="22"/>
          <w:szCs w:val="22"/>
        </w:rPr>
      </w:pPr>
    </w:p>
    <w:p w14:paraId="692B77A4" w14:textId="77777777" w:rsidR="00EA540D" w:rsidRPr="00A52D3C" w:rsidRDefault="00EA540D" w:rsidP="0022502F">
      <w:pPr>
        <w:spacing w:line="360" w:lineRule="auto"/>
        <w:jc w:val="center"/>
        <w:rPr>
          <w:rFonts w:ascii="Arial" w:hAnsi="Arial" w:cs="Arial"/>
          <w:color w:val="000000" w:themeColor="text1"/>
          <w:sz w:val="22"/>
          <w:szCs w:val="22"/>
        </w:rPr>
      </w:pPr>
    </w:p>
    <w:p w14:paraId="4399C75D" w14:textId="77777777" w:rsidR="00EA540D" w:rsidRDefault="002D5768" w:rsidP="0022502F">
      <w:pPr>
        <w:spacing w:line="360" w:lineRule="auto"/>
        <w:jc w:val="center"/>
        <w:rPr>
          <w:rFonts w:ascii="Arial" w:hAnsi="Arial" w:cs="Arial"/>
          <w:color w:val="000000" w:themeColor="text1"/>
          <w:sz w:val="22"/>
          <w:szCs w:val="22"/>
        </w:rPr>
      </w:pPr>
      <w:r w:rsidRPr="00A52D3C">
        <w:rPr>
          <w:rFonts w:ascii="Arial" w:hAnsi="Arial" w:cs="Arial"/>
          <w:color w:val="000000" w:themeColor="text1"/>
          <w:sz w:val="22"/>
          <w:szCs w:val="22"/>
        </w:rPr>
        <w:t>Report on SDG 3 and SDG 13: Impacts on Health, Wellbeing and Sustainability in Global, National, and Local Contexts</w:t>
      </w:r>
    </w:p>
    <w:p w14:paraId="7D07196F" w14:textId="77777777" w:rsidR="0022502F" w:rsidRDefault="0022502F" w:rsidP="0022502F">
      <w:pPr>
        <w:spacing w:line="360" w:lineRule="auto"/>
        <w:jc w:val="center"/>
        <w:rPr>
          <w:rFonts w:ascii="Arial" w:hAnsi="Arial" w:cs="Arial"/>
          <w:color w:val="000000" w:themeColor="text1"/>
          <w:sz w:val="22"/>
          <w:szCs w:val="22"/>
        </w:rPr>
      </w:pPr>
    </w:p>
    <w:p w14:paraId="669A2E96" w14:textId="77777777" w:rsidR="0022502F" w:rsidRDefault="0022502F" w:rsidP="0022502F">
      <w:pPr>
        <w:spacing w:line="360" w:lineRule="auto"/>
        <w:jc w:val="center"/>
        <w:rPr>
          <w:rFonts w:ascii="Arial" w:hAnsi="Arial" w:cs="Arial"/>
          <w:color w:val="000000" w:themeColor="text1"/>
          <w:sz w:val="22"/>
          <w:szCs w:val="22"/>
        </w:rPr>
      </w:pPr>
    </w:p>
    <w:p w14:paraId="66A940E0" w14:textId="77777777" w:rsidR="0022502F" w:rsidRDefault="0022502F" w:rsidP="0022502F">
      <w:pPr>
        <w:spacing w:line="360" w:lineRule="auto"/>
        <w:jc w:val="center"/>
        <w:rPr>
          <w:rFonts w:ascii="Arial" w:hAnsi="Arial" w:cs="Arial"/>
          <w:color w:val="000000" w:themeColor="text1"/>
          <w:sz w:val="22"/>
          <w:szCs w:val="22"/>
        </w:rPr>
      </w:pPr>
    </w:p>
    <w:p w14:paraId="2FFF773F" w14:textId="77777777" w:rsidR="0022502F" w:rsidRDefault="0022502F" w:rsidP="0022502F">
      <w:pPr>
        <w:spacing w:line="360" w:lineRule="auto"/>
        <w:jc w:val="center"/>
        <w:rPr>
          <w:rFonts w:ascii="Arial" w:hAnsi="Arial" w:cs="Arial"/>
          <w:color w:val="000000" w:themeColor="text1"/>
          <w:sz w:val="22"/>
          <w:szCs w:val="22"/>
        </w:rPr>
      </w:pPr>
    </w:p>
    <w:p w14:paraId="520F4060" w14:textId="058829B4" w:rsidR="0022502F" w:rsidRDefault="0022502F" w:rsidP="0022502F">
      <w:pPr>
        <w:spacing w:line="360" w:lineRule="auto"/>
        <w:jc w:val="center"/>
        <w:rPr>
          <w:rFonts w:ascii="Arial" w:hAnsi="Arial" w:cs="Arial"/>
          <w:color w:val="000000" w:themeColor="text1"/>
          <w:sz w:val="22"/>
          <w:szCs w:val="22"/>
        </w:rPr>
      </w:pPr>
      <w:r>
        <w:rPr>
          <w:rFonts w:ascii="Arial" w:hAnsi="Arial" w:cs="Arial"/>
          <w:color w:val="000000" w:themeColor="text1"/>
          <w:sz w:val="22"/>
          <w:szCs w:val="22"/>
        </w:rPr>
        <w:t>Student Name: Beatrice Iordache</w:t>
      </w:r>
    </w:p>
    <w:p w14:paraId="51DF5CB9" w14:textId="1ACED362" w:rsidR="0022502F" w:rsidRPr="00A52D3C" w:rsidRDefault="0022502F" w:rsidP="0022502F">
      <w:pPr>
        <w:spacing w:line="360" w:lineRule="auto"/>
        <w:jc w:val="center"/>
        <w:rPr>
          <w:rFonts w:ascii="Arial" w:hAnsi="Arial" w:cs="Arial"/>
          <w:color w:val="000000" w:themeColor="text1"/>
          <w:sz w:val="22"/>
          <w:szCs w:val="22"/>
        </w:rPr>
      </w:pPr>
      <w:r>
        <w:rPr>
          <w:rFonts w:ascii="Arial" w:hAnsi="Arial" w:cs="Arial"/>
          <w:color w:val="000000" w:themeColor="text1"/>
          <w:sz w:val="22"/>
          <w:szCs w:val="22"/>
        </w:rPr>
        <w:t>Student ID: 2226056</w:t>
      </w:r>
    </w:p>
    <w:p w14:paraId="7D820D21" w14:textId="77777777" w:rsidR="00EA540D" w:rsidRPr="00A52D3C" w:rsidRDefault="002D5768" w:rsidP="0022502F">
      <w:pPr>
        <w:spacing w:line="360" w:lineRule="auto"/>
        <w:jc w:val="center"/>
        <w:rPr>
          <w:rFonts w:ascii="Arial" w:hAnsi="Arial" w:cs="Arial"/>
          <w:color w:val="000000" w:themeColor="text1"/>
          <w:sz w:val="22"/>
          <w:szCs w:val="22"/>
        </w:rPr>
      </w:pPr>
      <w:r w:rsidRPr="00A52D3C">
        <w:rPr>
          <w:rFonts w:ascii="Arial" w:hAnsi="Arial" w:cs="Arial"/>
          <w:color w:val="000000" w:themeColor="text1"/>
          <w:sz w:val="22"/>
          <w:szCs w:val="22"/>
        </w:rPr>
        <w:br w:type="page"/>
      </w:r>
    </w:p>
    <w:sdt>
      <w:sdtPr>
        <w:rPr>
          <w:rFonts w:ascii="Arial" w:eastAsia="SimSun" w:hAnsi="Arial" w:cs="Arial"/>
          <w:color w:val="000000" w:themeColor="text1"/>
          <w:sz w:val="22"/>
          <w:szCs w:val="22"/>
        </w:rPr>
        <w:id w:val="147456718"/>
        <w15:color w:val="DBDBDB"/>
        <w:docPartObj>
          <w:docPartGallery w:val="Table of Contents"/>
          <w:docPartUnique/>
        </w:docPartObj>
      </w:sdtPr>
      <w:sdtEndPr>
        <w:rPr>
          <w:rFonts w:eastAsiaTheme="minorEastAsia"/>
        </w:rPr>
      </w:sdtEndPr>
      <w:sdtContent>
        <w:p w14:paraId="013E9CBC" w14:textId="77777777" w:rsidR="00EA540D" w:rsidRPr="00A52D3C" w:rsidRDefault="002D5768" w:rsidP="00A52D3C">
          <w:pPr>
            <w:spacing w:line="360" w:lineRule="auto"/>
            <w:jc w:val="center"/>
            <w:rPr>
              <w:rFonts w:ascii="Arial" w:hAnsi="Arial" w:cs="Arial"/>
              <w:color w:val="000000" w:themeColor="text1"/>
              <w:sz w:val="22"/>
              <w:szCs w:val="22"/>
            </w:rPr>
          </w:pPr>
          <w:r w:rsidRPr="00A52D3C">
            <w:rPr>
              <w:rFonts w:ascii="Arial" w:eastAsia="SimSun" w:hAnsi="Arial" w:cs="Arial"/>
              <w:color w:val="000000" w:themeColor="text1"/>
              <w:sz w:val="22"/>
              <w:szCs w:val="22"/>
              <w:lang w:val="en-US"/>
            </w:rPr>
            <w:t>Contents</w:t>
          </w:r>
        </w:p>
        <w:p w14:paraId="5A0F8195" w14:textId="77777777" w:rsidR="00EA540D" w:rsidRPr="00A52D3C" w:rsidRDefault="002D5768" w:rsidP="00A52D3C">
          <w:pPr>
            <w:pStyle w:val="WPSOffice1"/>
            <w:tabs>
              <w:tab w:val="right" w:leader="dot" w:pos="8306"/>
            </w:tabs>
            <w:spacing w:line="360" w:lineRule="auto"/>
            <w:rPr>
              <w:rFonts w:ascii="Arial" w:hAnsi="Arial" w:cs="Arial"/>
              <w:noProof/>
              <w:color w:val="000000" w:themeColor="text1"/>
              <w:sz w:val="22"/>
              <w:szCs w:val="22"/>
            </w:rPr>
          </w:pPr>
          <w:r w:rsidRPr="00A52D3C">
            <w:rPr>
              <w:rFonts w:ascii="Arial" w:hAnsi="Arial" w:cs="Arial"/>
              <w:color w:val="000000" w:themeColor="text1"/>
              <w:sz w:val="22"/>
              <w:szCs w:val="22"/>
            </w:rPr>
            <w:fldChar w:fldCharType="begin"/>
          </w:r>
          <w:r w:rsidRPr="00A52D3C">
            <w:rPr>
              <w:rFonts w:ascii="Arial" w:hAnsi="Arial" w:cs="Arial"/>
              <w:color w:val="000000" w:themeColor="text1"/>
              <w:sz w:val="22"/>
              <w:szCs w:val="22"/>
            </w:rPr>
            <w:instrText xml:space="preserve">TOC \o "1-3" \h \u </w:instrText>
          </w:r>
          <w:r w:rsidRPr="00A52D3C">
            <w:rPr>
              <w:rFonts w:ascii="Arial" w:hAnsi="Arial" w:cs="Arial"/>
              <w:color w:val="000000" w:themeColor="text1"/>
              <w:sz w:val="22"/>
              <w:szCs w:val="22"/>
            </w:rPr>
            <w:fldChar w:fldCharType="separate"/>
          </w:r>
          <w:hyperlink w:anchor="_Toc28289" w:history="1">
            <w:r w:rsidRPr="00A52D3C">
              <w:rPr>
                <w:rFonts w:ascii="Arial" w:hAnsi="Arial" w:cs="Arial"/>
                <w:noProof/>
                <w:color w:val="000000" w:themeColor="text1"/>
                <w:sz w:val="22"/>
                <w:szCs w:val="22"/>
              </w:rPr>
              <w:t>Introduction</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_Toc28289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3</w:t>
            </w:r>
            <w:r w:rsidRPr="00A52D3C">
              <w:rPr>
                <w:rFonts w:ascii="Arial" w:hAnsi="Arial" w:cs="Arial"/>
                <w:noProof/>
                <w:color w:val="000000" w:themeColor="text1"/>
                <w:sz w:val="22"/>
                <w:szCs w:val="22"/>
              </w:rPr>
              <w:fldChar w:fldCharType="end"/>
            </w:r>
          </w:hyperlink>
        </w:p>
        <w:p w14:paraId="1FEB0E31" w14:textId="77777777" w:rsidR="00EA540D" w:rsidRPr="00A52D3C" w:rsidRDefault="002D5768" w:rsidP="00A52D3C">
          <w:pPr>
            <w:pStyle w:val="WPSOffice1"/>
            <w:tabs>
              <w:tab w:val="right" w:leader="dot" w:pos="8306"/>
            </w:tabs>
            <w:spacing w:line="360" w:lineRule="auto"/>
            <w:rPr>
              <w:rFonts w:ascii="Arial" w:hAnsi="Arial" w:cs="Arial"/>
              <w:noProof/>
              <w:color w:val="000000" w:themeColor="text1"/>
              <w:sz w:val="22"/>
              <w:szCs w:val="22"/>
            </w:rPr>
          </w:pPr>
          <w:hyperlink w:anchor="_Toc25539" w:history="1">
            <w:r w:rsidRPr="00A52D3C">
              <w:rPr>
                <w:rFonts w:ascii="Arial" w:hAnsi="Arial" w:cs="Arial"/>
                <w:noProof/>
                <w:color w:val="000000" w:themeColor="text1"/>
                <w:sz w:val="22"/>
                <w:szCs w:val="22"/>
              </w:rPr>
              <w:t>Section A: Critical Analysis of SDG 3 and SDG 13 and Their Impact on Citizens</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_Toc25539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3</w:t>
            </w:r>
            <w:r w:rsidRPr="00A52D3C">
              <w:rPr>
                <w:rFonts w:ascii="Arial" w:hAnsi="Arial" w:cs="Arial"/>
                <w:noProof/>
                <w:color w:val="000000" w:themeColor="text1"/>
                <w:sz w:val="22"/>
                <w:szCs w:val="22"/>
              </w:rPr>
              <w:fldChar w:fldCharType="end"/>
            </w:r>
          </w:hyperlink>
        </w:p>
        <w:p w14:paraId="178C43AC" w14:textId="77777777" w:rsidR="00EA540D" w:rsidRPr="00A52D3C" w:rsidRDefault="002D5768" w:rsidP="00A52D3C">
          <w:pPr>
            <w:pStyle w:val="WPSOffice2"/>
            <w:tabs>
              <w:tab w:val="right" w:leader="dot" w:pos="8306"/>
            </w:tabs>
            <w:spacing w:line="360" w:lineRule="auto"/>
            <w:ind w:left="400"/>
            <w:rPr>
              <w:rFonts w:ascii="Arial" w:hAnsi="Arial" w:cs="Arial"/>
              <w:noProof/>
              <w:color w:val="000000" w:themeColor="text1"/>
              <w:sz w:val="22"/>
              <w:szCs w:val="22"/>
            </w:rPr>
          </w:pPr>
          <w:hyperlink w:anchor="_Toc24122" w:history="1">
            <w:r w:rsidRPr="00A52D3C">
              <w:rPr>
                <w:rFonts w:ascii="Arial" w:hAnsi="Arial" w:cs="Arial"/>
                <w:noProof/>
                <w:color w:val="000000" w:themeColor="text1"/>
                <w:sz w:val="22"/>
                <w:szCs w:val="22"/>
              </w:rPr>
              <w:t>Global Impact</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_Toc24122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3</w:t>
            </w:r>
            <w:r w:rsidRPr="00A52D3C">
              <w:rPr>
                <w:rFonts w:ascii="Arial" w:hAnsi="Arial" w:cs="Arial"/>
                <w:noProof/>
                <w:color w:val="000000" w:themeColor="text1"/>
                <w:sz w:val="22"/>
                <w:szCs w:val="22"/>
              </w:rPr>
              <w:fldChar w:fldCharType="end"/>
            </w:r>
          </w:hyperlink>
        </w:p>
        <w:p w14:paraId="7B0CD71A" w14:textId="77777777" w:rsidR="00EA540D" w:rsidRPr="00A52D3C" w:rsidRDefault="002D5768" w:rsidP="00A52D3C">
          <w:pPr>
            <w:pStyle w:val="WPSOffice2"/>
            <w:tabs>
              <w:tab w:val="right" w:leader="dot" w:pos="8306"/>
            </w:tabs>
            <w:spacing w:line="360" w:lineRule="auto"/>
            <w:ind w:left="400"/>
            <w:rPr>
              <w:rFonts w:ascii="Arial" w:hAnsi="Arial" w:cs="Arial"/>
              <w:noProof/>
              <w:color w:val="000000" w:themeColor="text1"/>
              <w:sz w:val="22"/>
              <w:szCs w:val="22"/>
            </w:rPr>
          </w:pPr>
          <w:hyperlink w:anchor="_Toc10508" w:history="1">
            <w:r w:rsidRPr="00A52D3C">
              <w:rPr>
                <w:rFonts w:ascii="Arial" w:hAnsi="Arial" w:cs="Arial"/>
                <w:noProof/>
                <w:color w:val="000000" w:themeColor="text1"/>
                <w:sz w:val="22"/>
                <w:szCs w:val="22"/>
              </w:rPr>
              <w:t>National Impact: United Kingdom.</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_Toc10508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4</w:t>
            </w:r>
            <w:r w:rsidRPr="00A52D3C">
              <w:rPr>
                <w:rFonts w:ascii="Arial" w:hAnsi="Arial" w:cs="Arial"/>
                <w:noProof/>
                <w:color w:val="000000" w:themeColor="text1"/>
                <w:sz w:val="22"/>
                <w:szCs w:val="22"/>
              </w:rPr>
              <w:fldChar w:fldCharType="end"/>
            </w:r>
          </w:hyperlink>
        </w:p>
        <w:p w14:paraId="36A4F46F" w14:textId="77777777" w:rsidR="00EA540D" w:rsidRPr="00A52D3C" w:rsidRDefault="002D5768" w:rsidP="00A52D3C">
          <w:pPr>
            <w:pStyle w:val="WPSOffice2"/>
            <w:tabs>
              <w:tab w:val="right" w:leader="dot" w:pos="8306"/>
            </w:tabs>
            <w:spacing w:line="360" w:lineRule="auto"/>
            <w:ind w:left="400"/>
            <w:rPr>
              <w:rFonts w:ascii="Arial" w:hAnsi="Arial" w:cs="Arial"/>
              <w:noProof/>
              <w:color w:val="000000" w:themeColor="text1"/>
              <w:sz w:val="22"/>
              <w:szCs w:val="22"/>
            </w:rPr>
          </w:pPr>
          <w:hyperlink w:anchor="_Toc32544" w:history="1">
            <w:r w:rsidRPr="00A52D3C">
              <w:rPr>
                <w:rFonts w:ascii="Arial" w:hAnsi="Arial" w:cs="Arial"/>
                <w:noProof/>
                <w:color w:val="000000" w:themeColor="text1"/>
                <w:sz w:val="22"/>
                <w:szCs w:val="22"/>
              </w:rPr>
              <w:t>Local Impact: London and Birmingham.</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_Toc32544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5</w:t>
            </w:r>
            <w:r w:rsidRPr="00A52D3C">
              <w:rPr>
                <w:rFonts w:ascii="Arial" w:hAnsi="Arial" w:cs="Arial"/>
                <w:noProof/>
                <w:color w:val="000000" w:themeColor="text1"/>
                <w:sz w:val="22"/>
                <w:szCs w:val="22"/>
              </w:rPr>
              <w:fldChar w:fldCharType="end"/>
            </w:r>
          </w:hyperlink>
        </w:p>
        <w:p w14:paraId="7142270E" w14:textId="77777777" w:rsidR="00EA540D" w:rsidRPr="00A52D3C" w:rsidRDefault="002D5768" w:rsidP="00A52D3C">
          <w:pPr>
            <w:pStyle w:val="WPSOffice1"/>
            <w:tabs>
              <w:tab w:val="right" w:leader="dot" w:pos="8306"/>
            </w:tabs>
            <w:spacing w:line="360" w:lineRule="auto"/>
            <w:rPr>
              <w:rFonts w:ascii="Arial" w:hAnsi="Arial" w:cs="Arial"/>
              <w:noProof/>
              <w:color w:val="000000" w:themeColor="text1"/>
              <w:sz w:val="22"/>
              <w:szCs w:val="22"/>
            </w:rPr>
          </w:pPr>
          <w:hyperlink w:anchor="_Toc27065" w:history="1">
            <w:r w:rsidRPr="00A52D3C">
              <w:rPr>
                <w:rFonts w:ascii="Arial" w:hAnsi="Arial" w:cs="Arial"/>
                <w:noProof/>
                <w:color w:val="000000" w:themeColor="text1"/>
                <w:sz w:val="22"/>
                <w:szCs w:val="22"/>
                <w:lang w:val="en-US"/>
              </w:rPr>
              <w:t>Section B: Assessment of the National and Local Initiatives.</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_Toc27065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6</w:t>
            </w:r>
            <w:r w:rsidRPr="00A52D3C">
              <w:rPr>
                <w:rFonts w:ascii="Arial" w:hAnsi="Arial" w:cs="Arial"/>
                <w:noProof/>
                <w:color w:val="000000" w:themeColor="text1"/>
                <w:sz w:val="22"/>
                <w:szCs w:val="22"/>
              </w:rPr>
              <w:fldChar w:fldCharType="end"/>
            </w:r>
          </w:hyperlink>
        </w:p>
        <w:p w14:paraId="11E13109" w14:textId="77777777" w:rsidR="00EA540D" w:rsidRPr="00A52D3C" w:rsidRDefault="002D5768" w:rsidP="00A52D3C">
          <w:pPr>
            <w:pStyle w:val="WPSOffice2"/>
            <w:tabs>
              <w:tab w:val="right" w:leader="dot" w:pos="8306"/>
            </w:tabs>
            <w:spacing w:line="360" w:lineRule="auto"/>
            <w:ind w:left="400"/>
            <w:rPr>
              <w:rFonts w:ascii="Arial" w:hAnsi="Arial" w:cs="Arial"/>
              <w:noProof/>
              <w:color w:val="000000" w:themeColor="text1"/>
              <w:sz w:val="22"/>
              <w:szCs w:val="22"/>
            </w:rPr>
          </w:pPr>
          <w:hyperlink w:anchor="_Toc29217" w:history="1">
            <w:r w:rsidRPr="00A52D3C">
              <w:rPr>
                <w:rFonts w:ascii="Arial" w:hAnsi="Arial" w:cs="Arial"/>
                <w:noProof/>
                <w:color w:val="000000" w:themeColor="text1"/>
                <w:sz w:val="22"/>
                <w:szCs w:val="22"/>
                <w:lang w:val="en-US"/>
              </w:rPr>
              <w:t>National Health Service (NHS) Programmes.</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_Toc29217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6</w:t>
            </w:r>
            <w:r w:rsidRPr="00A52D3C">
              <w:rPr>
                <w:rFonts w:ascii="Arial" w:hAnsi="Arial" w:cs="Arial"/>
                <w:noProof/>
                <w:color w:val="000000" w:themeColor="text1"/>
                <w:sz w:val="22"/>
                <w:szCs w:val="22"/>
              </w:rPr>
              <w:fldChar w:fldCharType="end"/>
            </w:r>
          </w:hyperlink>
        </w:p>
        <w:p w14:paraId="0722DDF2" w14:textId="77777777" w:rsidR="00EA540D" w:rsidRPr="00A52D3C" w:rsidRDefault="002D5768" w:rsidP="00A52D3C">
          <w:pPr>
            <w:pStyle w:val="WPSOffice2"/>
            <w:tabs>
              <w:tab w:val="right" w:leader="dot" w:pos="8306"/>
            </w:tabs>
            <w:spacing w:line="360" w:lineRule="auto"/>
            <w:ind w:left="400"/>
            <w:rPr>
              <w:rFonts w:ascii="Arial" w:hAnsi="Arial" w:cs="Arial"/>
              <w:noProof/>
              <w:color w:val="000000" w:themeColor="text1"/>
              <w:sz w:val="22"/>
              <w:szCs w:val="22"/>
            </w:rPr>
          </w:pPr>
          <w:hyperlink w:anchor="_Toc5182" w:history="1">
            <w:r w:rsidRPr="00A52D3C">
              <w:rPr>
                <w:rFonts w:ascii="Arial" w:hAnsi="Arial" w:cs="Arial"/>
                <w:noProof/>
                <w:color w:val="000000" w:themeColor="text1"/>
                <w:sz w:val="22"/>
                <w:szCs w:val="22"/>
                <w:lang w:val="en-US"/>
              </w:rPr>
              <w:t>UK Sustainability and Climate-Health Strategies (SDG: 13).</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_Toc5182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7</w:t>
            </w:r>
            <w:r w:rsidRPr="00A52D3C">
              <w:rPr>
                <w:rFonts w:ascii="Arial" w:hAnsi="Arial" w:cs="Arial"/>
                <w:noProof/>
                <w:color w:val="000000" w:themeColor="text1"/>
                <w:sz w:val="22"/>
                <w:szCs w:val="22"/>
              </w:rPr>
              <w:fldChar w:fldCharType="end"/>
            </w:r>
          </w:hyperlink>
        </w:p>
        <w:p w14:paraId="5FA93ED1" w14:textId="77777777" w:rsidR="00EA540D" w:rsidRPr="00A52D3C" w:rsidRDefault="002D5768" w:rsidP="00A52D3C">
          <w:pPr>
            <w:pStyle w:val="WPSOffice2"/>
            <w:tabs>
              <w:tab w:val="right" w:leader="dot" w:pos="8306"/>
            </w:tabs>
            <w:spacing w:line="360" w:lineRule="auto"/>
            <w:ind w:left="400"/>
            <w:rPr>
              <w:rFonts w:ascii="Arial" w:hAnsi="Arial" w:cs="Arial"/>
              <w:noProof/>
              <w:color w:val="000000" w:themeColor="text1"/>
              <w:sz w:val="22"/>
              <w:szCs w:val="22"/>
            </w:rPr>
          </w:pPr>
          <w:hyperlink w:anchor="_Toc28" w:history="1">
            <w:r w:rsidRPr="00A52D3C">
              <w:rPr>
                <w:rFonts w:ascii="Arial" w:hAnsi="Arial" w:cs="Arial"/>
                <w:noProof/>
                <w:color w:val="000000" w:themeColor="text1"/>
                <w:sz w:val="22"/>
                <w:szCs w:val="22"/>
              </w:rPr>
              <w:t>The Local Council Health, Wellbeing and Climate Equity Initiatives.</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_Toc28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8</w:t>
            </w:r>
            <w:r w:rsidRPr="00A52D3C">
              <w:rPr>
                <w:rFonts w:ascii="Arial" w:hAnsi="Arial" w:cs="Arial"/>
                <w:noProof/>
                <w:color w:val="000000" w:themeColor="text1"/>
                <w:sz w:val="22"/>
                <w:szCs w:val="22"/>
              </w:rPr>
              <w:fldChar w:fldCharType="end"/>
            </w:r>
          </w:hyperlink>
        </w:p>
        <w:p w14:paraId="7ADBB0B6" w14:textId="77777777" w:rsidR="00EA540D" w:rsidRPr="00A52D3C" w:rsidRDefault="002D5768" w:rsidP="00A52D3C">
          <w:pPr>
            <w:pStyle w:val="WPSOffice1"/>
            <w:tabs>
              <w:tab w:val="right" w:leader="dot" w:pos="8306"/>
            </w:tabs>
            <w:spacing w:line="360" w:lineRule="auto"/>
            <w:rPr>
              <w:rFonts w:ascii="Arial" w:hAnsi="Arial" w:cs="Arial"/>
              <w:noProof/>
              <w:color w:val="000000" w:themeColor="text1"/>
              <w:sz w:val="22"/>
              <w:szCs w:val="22"/>
            </w:rPr>
          </w:pPr>
          <w:hyperlink w:anchor="_Toc31057" w:history="1">
            <w:r w:rsidRPr="00A52D3C">
              <w:rPr>
                <w:rFonts w:ascii="Arial" w:hAnsi="Arial" w:cs="Arial"/>
                <w:noProof/>
                <w:color w:val="000000" w:themeColor="text1"/>
                <w:sz w:val="22"/>
                <w:szCs w:val="22"/>
              </w:rPr>
              <w:t>Suggestions about Improvement.</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_Toc31057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8</w:t>
            </w:r>
            <w:r w:rsidRPr="00A52D3C">
              <w:rPr>
                <w:rFonts w:ascii="Arial" w:hAnsi="Arial" w:cs="Arial"/>
                <w:noProof/>
                <w:color w:val="000000" w:themeColor="text1"/>
                <w:sz w:val="22"/>
                <w:szCs w:val="22"/>
              </w:rPr>
              <w:fldChar w:fldCharType="end"/>
            </w:r>
          </w:hyperlink>
        </w:p>
        <w:p w14:paraId="59173FAF" w14:textId="77777777" w:rsidR="00EA540D" w:rsidRPr="00A52D3C" w:rsidRDefault="002D5768" w:rsidP="00A52D3C">
          <w:pPr>
            <w:pStyle w:val="WPSOffice1"/>
            <w:tabs>
              <w:tab w:val="right" w:leader="dot" w:pos="8306"/>
            </w:tabs>
            <w:spacing w:line="360" w:lineRule="auto"/>
            <w:rPr>
              <w:rFonts w:ascii="Arial" w:hAnsi="Arial" w:cs="Arial"/>
              <w:noProof/>
              <w:color w:val="000000" w:themeColor="text1"/>
              <w:sz w:val="22"/>
              <w:szCs w:val="22"/>
            </w:rPr>
          </w:pPr>
          <w:hyperlink w:anchor="_Toc31993" w:history="1">
            <w:r w:rsidRPr="00A52D3C">
              <w:rPr>
                <w:rFonts w:ascii="Arial" w:hAnsi="Arial" w:cs="Arial"/>
                <w:noProof/>
                <w:color w:val="000000" w:themeColor="text1"/>
                <w:sz w:val="22"/>
                <w:szCs w:val="22"/>
              </w:rPr>
              <w:t>Conclusion</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_Toc31993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9</w:t>
            </w:r>
            <w:r w:rsidRPr="00A52D3C">
              <w:rPr>
                <w:rFonts w:ascii="Arial" w:hAnsi="Arial" w:cs="Arial"/>
                <w:noProof/>
                <w:color w:val="000000" w:themeColor="text1"/>
                <w:sz w:val="22"/>
                <w:szCs w:val="22"/>
              </w:rPr>
              <w:fldChar w:fldCharType="end"/>
            </w:r>
          </w:hyperlink>
        </w:p>
        <w:p w14:paraId="6BF3094B" w14:textId="77777777" w:rsidR="00EA540D" w:rsidRPr="00A52D3C" w:rsidRDefault="002D5768" w:rsidP="00A52D3C">
          <w:pPr>
            <w:pStyle w:val="WPSOffice1"/>
            <w:tabs>
              <w:tab w:val="right" w:leader="dot" w:pos="8306"/>
            </w:tabs>
            <w:spacing w:line="360" w:lineRule="auto"/>
            <w:rPr>
              <w:rFonts w:ascii="Arial" w:hAnsi="Arial" w:cs="Arial"/>
              <w:noProof/>
              <w:color w:val="000000" w:themeColor="text1"/>
              <w:sz w:val="22"/>
              <w:szCs w:val="22"/>
            </w:rPr>
          </w:pPr>
          <w:hyperlink w:anchor="_Toc29467" w:history="1">
            <w:r w:rsidRPr="00A52D3C">
              <w:rPr>
                <w:rFonts w:ascii="Arial" w:hAnsi="Arial" w:cs="Arial"/>
                <w:noProof/>
                <w:color w:val="000000" w:themeColor="text1"/>
                <w:sz w:val="22"/>
                <w:szCs w:val="22"/>
                <w:lang w:val="en-US"/>
              </w:rPr>
              <w:t>References</w:t>
            </w:r>
            <w:r w:rsidRPr="00A52D3C">
              <w:rPr>
                <w:rFonts w:ascii="Arial" w:hAnsi="Arial" w:cs="Arial"/>
                <w:noProof/>
                <w:color w:val="000000" w:themeColor="text1"/>
                <w:sz w:val="22"/>
                <w:szCs w:val="22"/>
              </w:rPr>
              <w:tab/>
            </w:r>
            <w:r w:rsidRPr="00A52D3C">
              <w:rPr>
                <w:rFonts w:ascii="Arial" w:hAnsi="Arial" w:cs="Arial"/>
                <w:noProof/>
                <w:color w:val="000000" w:themeColor="text1"/>
                <w:sz w:val="22"/>
                <w:szCs w:val="22"/>
              </w:rPr>
              <w:fldChar w:fldCharType="begin"/>
            </w:r>
            <w:r w:rsidRPr="00A52D3C">
              <w:rPr>
                <w:rFonts w:ascii="Arial" w:hAnsi="Arial" w:cs="Arial"/>
                <w:noProof/>
                <w:color w:val="000000" w:themeColor="text1"/>
                <w:sz w:val="22"/>
                <w:szCs w:val="22"/>
              </w:rPr>
              <w:instrText xml:space="preserve"> PAGEREF _Toc29467 \h </w:instrText>
            </w:r>
            <w:r w:rsidRPr="00A52D3C">
              <w:rPr>
                <w:rFonts w:ascii="Arial" w:hAnsi="Arial" w:cs="Arial"/>
                <w:noProof/>
                <w:color w:val="000000" w:themeColor="text1"/>
                <w:sz w:val="22"/>
                <w:szCs w:val="22"/>
              </w:rPr>
            </w:r>
            <w:r w:rsidRPr="00A52D3C">
              <w:rPr>
                <w:rFonts w:ascii="Arial" w:hAnsi="Arial" w:cs="Arial"/>
                <w:noProof/>
                <w:color w:val="000000" w:themeColor="text1"/>
                <w:sz w:val="22"/>
                <w:szCs w:val="22"/>
              </w:rPr>
              <w:fldChar w:fldCharType="separate"/>
            </w:r>
            <w:r>
              <w:rPr>
                <w:rFonts w:ascii="Arial" w:hAnsi="Arial" w:cs="Arial"/>
                <w:noProof/>
                <w:color w:val="000000" w:themeColor="text1"/>
                <w:sz w:val="22"/>
                <w:szCs w:val="22"/>
              </w:rPr>
              <w:t>10</w:t>
            </w:r>
            <w:r w:rsidRPr="00A52D3C">
              <w:rPr>
                <w:rFonts w:ascii="Arial" w:hAnsi="Arial" w:cs="Arial"/>
                <w:noProof/>
                <w:color w:val="000000" w:themeColor="text1"/>
                <w:sz w:val="22"/>
                <w:szCs w:val="22"/>
              </w:rPr>
              <w:fldChar w:fldCharType="end"/>
            </w:r>
          </w:hyperlink>
        </w:p>
        <w:p w14:paraId="65B8719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fldChar w:fldCharType="end"/>
          </w:r>
        </w:p>
      </w:sdtContent>
    </w:sdt>
    <w:p w14:paraId="6FEA84B2" w14:textId="77777777" w:rsidR="00EA540D" w:rsidRPr="00A52D3C" w:rsidRDefault="00EA540D" w:rsidP="00A52D3C">
      <w:pPr>
        <w:spacing w:line="360" w:lineRule="auto"/>
        <w:jc w:val="both"/>
        <w:rPr>
          <w:rFonts w:ascii="Arial" w:hAnsi="Arial" w:cs="Arial"/>
          <w:color w:val="000000" w:themeColor="text1"/>
          <w:sz w:val="22"/>
          <w:szCs w:val="22"/>
        </w:rPr>
      </w:pPr>
    </w:p>
    <w:p w14:paraId="12F18E83"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br w:type="page"/>
      </w:r>
    </w:p>
    <w:p w14:paraId="57F4F627" w14:textId="77777777" w:rsidR="00EA540D" w:rsidRPr="00A52D3C" w:rsidRDefault="002D5768" w:rsidP="00A52D3C">
      <w:pPr>
        <w:pStyle w:val="Heading1"/>
        <w:spacing w:line="360" w:lineRule="auto"/>
        <w:jc w:val="both"/>
        <w:rPr>
          <w:rFonts w:ascii="Arial" w:hAnsi="Arial" w:cs="Arial"/>
          <w:color w:val="000000" w:themeColor="text1"/>
          <w:sz w:val="22"/>
          <w:szCs w:val="22"/>
        </w:rPr>
      </w:pPr>
      <w:bookmarkStart w:id="0" w:name="_Toc28289"/>
      <w:r w:rsidRPr="00A52D3C">
        <w:rPr>
          <w:rFonts w:ascii="Arial" w:hAnsi="Arial" w:cs="Arial"/>
          <w:color w:val="000000" w:themeColor="text1"/>
          <w:sz w:val="22"/>
          <w:szCs w:val="22"/>
        </w:rPr>
        <w:lastRenderedPageBreak/>
        <w:t>Introduction</w:t>
      </w:r>
      <w:bookmarkEnd w:id="0"/>
    </w:p>
    <w:p w14:paraId="6B9429B4"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 xml:space="preserve">Sustainable Development Goal (SDG) 3, Good Health and Wellbeing, aims at ensuring healthy lives and enhancing wellbeing across all countries, but SDG 13, Climate Action, reiterates the need to act now in combating climate change and its widespread social impacts (UNDP, n.d.). These goals become </w:t>
      </w:r>
      <w:proofErr w:type="gramStart"/>
      <w:r w:rsidRPr="00A52D3C">
        <w:rPr>
          <w:rFonts w:ascii="Arial" w:hAnsi="Arial" w:cs="Arial"/>
          <w:color w:val="000000" w:themeColor="text1"/>
          <w:sz w:val="22"/>
          <w:szCs w:val="22"/>
        </w:rPr>
        <w:t>more and more</w:t>
      </w:r>
      <w:proofErr w:type="gramEnd"/>
      <w:r w:rsidRPr="00A52D3C">
        <w:rPr>
          <w:rFonts w:ascii="Arial" w:hAnsi="Arial" w:cs="Arial"/>
          <w:color w:val="000000" w:themeColor="text1"/>
          <w:sz w:val="22"/>
          <w:szCs w:val="22"/>
        </w:rPr>
        <w:t xml:space="preserve"> interrelated, as the degradation of the environment and the global climate change affect the distribution of diseases, inequality of health, and the general population wellbeing. On a global scale, the cost of environmental change has been increasing, and the vulnerabilities of people to heat waves, air pollution, extreme weather events, and even the disease spread by vectors are higher (Clark et al., 2025). In the United Kingdom, an increasing pressure is building up to address both the problems of the climate-related public health issues and at the same time enhance health outcomes and reduce inequalities. At the local level, local cities like London and Birmingham are still enforcing specific health and sustainability agendas, whose purpose is to strengthen resilience, reduce emissions, and improve living standards.</w:t>
      </w:r>
    </w:p>
    <w:p w14:paraId="2E10E20B"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report critically examines the effects of SDG 3 and SDG 13 on global, national, and local health and wellbeing then evaluates the UK national and local initiatives. Before the conclusion, recommendations on how the policy should be improved and integrated are provided.</w:t>
      </w:r>
    </w:p>
    <w:p w14:paraId="58BC7904" w14:textId="77777777" w:rsidR="00EA540D" w:rsidRPr="00A52D3C" w:rsidRDefault="002D5768" w:rsidP="00A52D3C">
      <w:pPr>
        <w:pStyle w:val="Heading1"/>
        <w:spacing w:line="360" w:lineRule="auto"/>
        <w:jc w:val="both"/>
        <w:rPr>
          <w:rFonts w:ascii="Arial" w:hAnsi="Arial" w:cs="Arial"/>
          <w:color w:val="000000" w:themeColor="text1"/>
          <w:sz w:val="22"/>
          <w:szCs w:val="22"/>
        </w:rPr>
      </w:pPr>
      <w:bookmarkStart w:id="1" w:name="_Toc25539"/>
      <w:r w:rsidRPr="00A52D3C">
        <w:rPr>
          <w:rFonts w:ascii="Arial" w:hAnsi="Arial" w:cs="Arial"/>
          <w:color w:val="000000" w:themeColor="text1"/>
          <w:sz w:val="22"/>
          <w:szCs w:val="22"/>
        </w:rPr>
        <w:t>Section A: Critical Analysis of SDG 3 and SDG 13 and Their Impact on Citizens</w:t>
      </w:r>
      <w:bookmarkEnd w:id="1"/>
    </w:p>
    <w:p w14:paraId="517B710F" w14:textId="77777777" w:rsidR="00EA540D" w:rsidRPr="00A52D3C" w:rsidRDefault="002D5768" w:rsidP="00A52D3C">
      <w:pPr>
        <w:pStyle w:val="Heading2"/>
        <w:spacing w:line="360" w:lineRule="auto"/>
        <w:jc w:val="both"/>
        <w:rPr>
          <w:rFonts w:ascii="Arial" w:hAnsi="Arial" w:cs="Arial"/>
          <w:color w:val="000000" w:themeColor="text1"/>
          <w:sz w:val="22"/>
          <w:szCs w:val="22"/>
        </w:rPr>
      </w:pPr>
      <w:bookmarkStart w:id="2" w:name="_Toc24122"/>
      <w:r w:rsidRPr="00A52D3C">
        <w:rPr>
          <w:rFonts w:ascii="Arial" w:hAnsi="Arial" w:cs="Arial"/>
          <w:color w:val="000000" w:themeColor="text1"/>
          <w:sz w:val="22"/>
          <w:szCs w:val="22"/>
        </w:rPr>
        <w:t>Global Impact</w:t>
      </w:r>
      <w:bookmarkEnd w:id="2"/>
    </w:p>
    <w:p w14:paraId="07AD27CA"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On the global report, SDG 3 products one of the key pillars in the 2030 Agenda focused on universal health coverage, the global mortality rate decrease, and the limitation of communicable and non-communicable diseases (UNDP, n.d.). However, there has been unequal developments. WHO observes that the world has not seen much improvement in the condition of global health indicators and that increasing risks, International and climate-associated, are compromising the global health results (WHO, 2023). One of the major environmental health risks to human beings in the world is air pollution, as it kills millions of people each year on its own (Clark et al., 2025).</w:t>
      </w:r>
    </w:p>
    <w:p w14:paraId="18DC33F9"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 xml:space="preserve">Climate change heightens health risks in the world through changing the way diseases are transmitted, the exposure to extreme temperature, declining food security, and natural calamities. The IPCC Sixth Assessment Report proves that the </w:t>
      </w:r>
      <w:r w:rsidRPr="00A52D3C">
        <w:rPr>
          <w:rFonts w:ascii="Arial" w:hAnsi="Arial" w:cs="Arial"/>
          <w:color w:val="000000" w:themeColor="text1"/>
          <w:sz w:val="22"/>
          <w:szCs w:val="22"/>
        </w:rPr>
        <w:lastRenderedPageBreak/>
        <w:t xml:space="preserve">effects of climate are currently exceeding the adaptive capacity of many territories especially the low-income countries (IPCC, 2022). The 2022 Lancet Countdown also singles out rely-on fossil fuel consumption as a main contributor to the rising climate-related health costs, an increased respiratory morbidity, cardiovascular illness, and heat-related deaths </w:t>
      </w:r>
      <w:proofErr w:type="gramStart"/>
      <w:r w:rsidRPr="00A52D3C">
        <w:rPr>
          <w:rFonts w:ascii="Arial" w:hAnsi="Arial" w:cs="Arial"/>
          <w:color w:val="000000" w:themeColor="text1"/>
          <w:sz w:val="22"/>
          <w:szCs w:val="22"/>
        </w:rPr>
        <w:t>( Countdown</w:t>
      </w:r>
      <w:proofErr w:type="gramEnd"/>
      <w:r w:rsidRPr="00A52D3C">
        <w:rPr>
          <w:rFonts w:ascii="Arial" w:hAnsi="Arial" w:cs="Arial"/>
          <w:color w:val="000000" w:themeColor="text1"/>
          <w:sz w:val="22"/>
          <w:szCs w:val="22"/>
        </w:rPr>
        <w:t>, 2022).</w:t>
      </w:r>
    </w:p>
    <w:p w14:paraId="52C284CA"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Despite them, climate-reduction efforts provide considerable positive externalities to the health of humans, including pollution, urban health, and physical health benefits of sustainable transportation systems (</w:t>
      </w:r>
      <w:proofErr w:type="spellStart"/>
      <w:r w:rsidRPr="00A52D3C">
        <w:rPr>
          <w:rFonts w:ascii="Arial" w:hAnsi="Arial" w:cs="Arial"/>
          <w:color w:val="000000" w:themeColor="text1"/>
          <w:sz w:val="22"/>
          <w:szCs w:val="22"/>
        </w:rPr>
        <w:t>Bikomeye</w:t>
      </w:r>
      <w:proofErr w:type="spellEnd"/>
      <w:r w:rsidRPr="00A52D3C">
        <w:rPr>
          <w:rFonts w:ascii="Arial" w:hAnsi="Arial" w:cs="Arial"/>
          <w:color w:val="000000" w:themeColor="text1"/>
          <w:sz w:val="22"/>
          <w:szCs w:val="22"/>
        </w:rPr>
        <w:t xml:space="preserve">, Rublee and Beyer, 2021). This mutual dependence portrays the relationship where advancement of Sustainable Development Goal 13 (SDG </w:t>
      </w:r>
      <w:proofErr w:type="gramStart"/>
      <w:r w:rsidRPr="00A52D3C">
        <w:rPr>
          <w:rFonts w:ascii="Arial" w:hAnsi="Arial" w:cs="Arial"/>
          <w:color w:val="000000" w:themeColor="text1"/>
          <w:sz w:val="22"/>
          <w:szCs w:val="22"/>
        </w:rPr>
        <w:t>13 )</w:t>
      </w:r>
      <w:proofErr w:type="gramEnd"/>
      <w:r w:rsidRPr="00A52D3C">
        <w:rPr>
          <w:rFonts w:ascii="Arial" w:hAnsi="Arial" w:cs="Arial"/>
          <w:color w:val="000000" w:themeColor="text1"/>
          <w:sz w:val="22"/>
          <w:szCs w:val="22"/>
        </w:rPr>
        <w:t xml:space="preserve"> supports outcomes of SDG 3 thus justifying the need to have an integrative and cross-sectoral policies.</w:t>
      </w:r>
    </w:p>
    <w:p w14:paraId="0B6D0F1B" w14:textId="77777777" w:rsidR="00EA540D" w:rsidRPr="00A52D3C" w:rsidRDefault="00EA540D" w:rsidP="00A52D3C">
      <w:pPr>
        <w:spacing w:line="360" w:lineRule="auto"/>
        <w:jc w:val="both"/>
        <w:rPr>
          <w:rFonts w:ascii="Arial" w:hAnsi="Arial" w:cs="Arial"/>
          <w:color w:val="000000" w:themeColor="text1"/>
          <w:sz w:val="22"/>
          <w:szCs w:val="22"/>
        </w:rPr>
      </w:pP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032"/>
        <w:gridCol w:w="1969"/>
        <w:gridCol w:w="2889"/>
        <w:gridCol w:w="2376"/>
      </w:tblGrid>
      <w:tr w:rsidR="00EA540D" w:rsidRPr="00A52D3C" w14:paraId="63C710B3"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71E92A7D"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Region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90FF9A5"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Key Health Impacts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4E8E8B7"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Climate-related Risk Factors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63469AE"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Mortality Rate (per 100,000)</w:t>
            </w:r>
          </w:p>
        </w:tc>
      </w:tr>
      <w:tr w:rsidR="00EA540D" w:rsidRPr="00A52D3C" w14:paraId="688E82B9"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6D890B8"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Africa</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D34E00D"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Malaria, heatstroke</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0841A3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Rising temperatures, vector spread</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36EE21A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75</w:t>
            </w:r>
          </w:p>
        </w:tc>
      </w:tr>
      <w:tr w:rsidR="00EA540D" w:rsidRPr="00A52D3C" w14:paraId="0087C710"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E39D8B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Asia</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C3C82DB"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Respiratory diseases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874EE3D"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Air pollution, floods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8E47C77"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110</w:t>
            </w:r>
          </w:p>
        </w:tc>
      </w:tr>
      <w:tr w:rsidR="00EA540D" w:rsidRPr="00A52D3C" w14:paraId="452D4AE7"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3EC5E84"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Europe</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DF2E683"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Heat-related deaths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A821F01"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Heatwaves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6CEC6D62"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50</w:t>
            </w:r>
          </w:p>
        </w:tc>
      </w:tr>
      <w:tr w:rsidR="00EA540D" w:rsidRPr="00A52D3C" w14:paraId="4223801E"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59F54F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Americas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C8B416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Vector-borne diseases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559C758"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Deforestation, hurricanes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0413F3A"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60</w:t>
            </w:r>
          </w:p>
        </w:tc>
      </w:tr>
    </w:tbl>
    <w:p w14:paraId="66F6D5E3" w14:textId="77777777" w:rsidR="00EA540D" w:rsidRPr="00A52D3C" w:rsidRDefault="00EA540D" w:rsidP="00A52D3C">
      <w:pPr>
        <w:spacing w:line="360" w:lineRule="auto"/>
        <w:jc w:val="both"/>
        <w:rPr>
          <w:rFonts w:ascii="Arial" w:hAnsi="Arial" w:cs="Arial"/>
          <w:color w:val="000000" w:themeColor="text1"/>
          <w:sz w:val="22"/>
          <w:szCs w:val="22"/>
        </w:rPr>
      </w:pPr>
    </w:p>
    <w:p w14:paraId="26786140" w14:textId="77777777" w:rsidR="00EA540D" w:rsidRPr="00A52D3C" w:rsidRDefault="00EA540D" w:rsidP="00A52D3C">
      <w:pPr>
        <w:spacing w:line="360" w:lineRule="auto"/>
        <w:jc w:val="both"/>
        <w:rPr>
          <w:rFonts w:ascii="Arial" w:hAnsi="Arial" w:cs="Arial"/>
          <w:color w:val="000000" w:themeColor="text1"/>
          <w:sz w:val="22"/>
          <w:szCs w:val="22"/>
        </w:rPr>
      </w:pPr>
    </w:p>
    <w:p w14:paraId="73378A6C" w14:textId="77777777" w:rsidR="00EA540D" w:rsidRPr="00A52D3C" w:rsidRDefault="002D5768" w:rsidP="00A52D3C">
      <w:pPr>
        <w:pStyle w:val="Heading2"/>
        <w:spacing w:line="360" w:lineRule="auto"/>
        <w:jc w:val="both"/>
        <w:rPr>
          <w:rFonts w:ascii="Arial" w:hAnsi="Arial" w:cs="Arial"/>
          <w:color w:val="000000" w:themeColor="text1"/>
          <w:sz w:val="22"/>
          <w:szCs w:val="22"/>
        </w:rPr>
      </w:pPr>
      <w:bookmarkStart w:id="3" w:name="_Toc10508"/>
      <w:r w:rsidRPr="00A52D3C">
        <w:rPr>
          <w:rFonts w:ascii="Arial" w:hAnsi="Arial" w:cs="Arial"/>
          <w:color w:val="000000" w:themeColor="text1"/>
          <w:sz w:val="22"/>
          <w:szCs w:val="22"/>
        </w:rPr>
        <w:t>National Impact: United Kingdom.</w:t>
      </w:r>
      <w:bookmarkEnd w:id="3"/>
    </w:p>
    <w:p w14:paraId="34C63796" w14:textId="77777777" w:rsidR="00EA540D" w:rsidRPr="00A52D3C" w:rsidRDefault="00EA540D" w:rsidP="00A52D3C">
      <w:pPr>
        <w:spacing w:line="360" w:lineRule="auto"/>
        <w:jc w:val="both"/>
        <w:rPr>
          <w:rFonts w:ascii="Arial" w:hAnsi="Arial" w:cs="Arial"/>
          <w:color w:val="000000" w:themeColor="text1"/>
          <w:sz w:val="22"/>
          <w:szCs w:val="22"/>
        </w:rPr>
      </w:pPr>
    </w:p>
    <w:p w14:paraId="334F5421"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 xml:space="preserve">In the United Kingdom, SDG 3 and SDG 13 have a profound effect on health and well-being. NHS Long Term Plan describes the national aspirations of reducing health inequalities, reinforcing disease prevention, and enhancing accessibility of services (NHS England, 2019). However, environmental determinants are still having a strong impact on the health outcomes. Public Health England (2012) reported that risks related to climate change may increase as well as the number of people dying due to heat waves, mental health effects of flooding, as well as poor air quality which </w:t>
      </w:r>
      <w:r w:rsidRPr="00A52D3C">
        <w:rPr>
          <w:rFonts w:ascii="Arial" w:hAnsi="Arial" w:cs="Arial"/>
          <w:color w:val="000000" w:themeColor="text1"/>
          <w:sz w:val="22"/>
          <w:szCs w:val="22"/>
        </w:rPr>
        <w:lastRenderedPageBreak/>
        <w:t>leads to asthma, chronic obstructive pulmonary disease (COPD), and cardiovascular diseases.</w:t>
      </w:r>
    </w:p>
    <w:p w14:paraId="055B3947" w14:textId="77777777" w:rsidR="00EA540D" w:rsidRPr="00A52D3C" w:rsidRDefault="00EA540D" w:rsidP="00A52D3C">
      <w:pPr>
        <w:spacing w:line="360" w:lineRule="auto"/>
        <w:jc w:val="both"/>
        <w:rPr>
          <w:rFonts w:ascii="Arial" w:hAnsi="Arial" w:cs="Arial"/>
          <w:color w:val="000000" w:themeColor="text1"/>
          <w:sz w:val="22"/>
          <w:szCs w:val="22"/>
        </w:rPr>
      </w:pPr>
    </w:p>
    <w:p w14:paraId="17B1109E"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These health implications are recognised by the climate policies in the UK. The NHS is the first international healthcare provision that has engaged in a mission to become carbon neutral, where the Net Zero NHS strategy has declared that carbon emitted by health services shall be eliminated by 2040 (NHS England, 2022). The strategy is designed to help incorporate national health in sustainable development through reduction of pollution, energy use, and health hazards associated with climatic changes.</w:t>
      </w:r>
    </w:p>
    <w:p w14:paraId="7ED73D3C" w14:textId="77777777" w:rsidR="00EA540D" w:rsidRPr="00A52D3C" w:rsidRDefault="00EA540D" w:rsidP="00A52D3C">
      <w:pPr>
        <w:spacing w:line="360" w:lineRule="auto"/>
        <w:jc w:val="both"/>
        <w:rPr>
          <w:rFonts w:ascii="Arial" w:hAnsi="Arial" w:cs="Arial"/>
          <w:color w:val="000000" w:themeColor="text1"/>
          <w:sz w:val="22"/>
          <w:szCs w:val="22"/>
        </w:rPr>
      </w:pPr>
    </w:p>
    <w:p w14:paraId="22551DB6" w14:textId="77777777" w:rsidR="00EA540D" w:rsidRPr="00A52D3C" w:rsidRDefault="002D5768" w:rsidP="00A52D3C">
      <w:pPr>
        <w:spacing w:line="360" w:lineRule="auto"/>
        <w:jc w:val="both"/>
        <w:rPr>
          <w:rFonts w:ascii="Arial" w:hAnsi="Arial" w:cs="Arial"/>
          <w:color w:val="000000" w:themeColor="text1"/>
          <w:sz w:val="22"/>
          <w:szCs w:val="22"/>
        </w:rPr>
      </w:pPr>
      <w:proofErr w:type="gramStart"/>
      <w:r w:rsidRPr="00A52D3C">
        <w:rPr>
          <w:rFonts w:ascii="Arial" w:hAnsi="Arial" w:cs="Arial"/>
          <w:color w:val="000000" w:themeColor="text1"/>
          <w:sz w:val="22"/>
          <w:szCs w:val="22"/>
        </w:rPr>
        <w:t>In spite of</w:t>
      </w:r>
      <w:proofErr w:type="gramEnd"/>
      <w:r w:rsidRPr="00A52D3C">
        <w:rPr>
          <w:rFonts w:ascii="Arial" w:hAnsi="Arial" w:cs="Arial"/>
          <w:color w:val="000000" w:themeColor="text1"/>
          <w:sz w:val="22"/>
          <w:szCs w:val="22"/>
        </w:rPr>
        <w:t xml:space="preserve"> these efforts, health inequities are hard to </w:t>
      </w:r>
      <w:proofErr w:type="gramStart"/>
      <w:r w:rsidRPr="00A52D3C">
        <w:rPr>
          <w:rFonts w:ascii="Arial" w:hAnsi="Arial" w:cs="Arial"/>
          <w:color w:val="000000" w:themeColor="text1"/>
          <w:sz w:val="22"/>
          <w:szCs w:val="22"/>
        </w:rPr>
        <w:t>overcome</w:t>
      </w:r>
      <w:proofErr w:type="gramEnd"/>
      <w:r w:rsidRPr="00A52D3C">
        <w:rPr>
          <w:rFonts w:ascii="Arial" w:hAnsi="Arial" w:cs="Arial"/>
          <w:color w:val="000000" w:themeColor="text1"/>
          <w:sz w:val="22"/>
          <w:szCs w:val="22"/>
        </w:rPr>
        <w:t xml:space="preserve"> and they are often influenced by social and environmental factors. Disproportional impacts on communities facing inadequate housing, reduced air quality, or on green space show disproportionate effects of health issues- showing how the issues defined under SDG 13 can hold back SDG 3 progress.</w:t>
      </w:r>
    </w:p>
    <w:p w14:paraId="36618CC9" w14:textId="77777777" w:rsidR="00EA540D" w:rsidRPr="00A52D3C" w:rsidRDefault="00EA540D" w:rsidP="00A52D3C">
      <w:pPr>
        <w:spacing w:line="360" w:lineRule="auto"/>
        <w:jc w:val="both"/>
        <w:rPr>
          <w:rFonts w:ascii="Arial" w:hAnsi="Arial" w:cs="Arial"/>
          <w:color w:val="000000" w:themeColor="text1"/>
          <w:sz w:val="22"/>
          <w:szCs w:val="22"/>
        </w:rPr>
      </w:pP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948"/>
        <w:gridCol w:w="1732"/>
        <w:gridCol w:w="2177"/>
        <w:gridCol w:w="2409"/>
      </w:tblGrid>
      <w:tr w:rsidR="00EA540D" w:rsidRPr="00A52D3C" w14:paraId="232D1E01"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762C14D"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Initiative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29E8F5A"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Objective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7EE2426"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Key Actions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25ED7EFB"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Outcomes/Impact</w:t>
            </w:r>
          </w:p>
        </w:tc>
      </w:tr>
      <w:tr w:rsidR="00EA540D" w:rsidRPr="00A52D3C" w14:paraId="11C1A84C"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4E4D66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NHS Long Term Plan</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A01A5DA"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Improve health services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C4468C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Disease prevention, patient care pathways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07743FD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Reduced preventable admissions</w:t>
            </w:r>
          </w:p>
        </w:tc>
      </w:tr>
      <w:tr w:rsidR="00EA540D" w:rsidRPr="00A52D3C" w14:paraId="5BA413C1"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D621DE3"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Net Zero NHS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82162B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Reduce NHS emissions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3D594E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Energy efficiency, low-carbon transport</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3BE03C8"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50% CO</w:t>
            </w:r>
            <w:r w:rsidRPr="00A52D3C">
              <w:rPr>
                <w:rFonts w:ascii="Cambria Math" w:eastAsia="SimSun" w:hAnsi="Cambria Math" w:cs="Cambria Math"/>
                <w:color w:val="000000" w:themeColor="text1"/>
                <w:sz w:val="22"/>
                <w:szCs w:val="22"/>
                <w:lang w:val="en-US" w:bidi="ar"/>
              </w:rPr>
              <w:t>₂</w:t>
            </w:r>
            <w:r w:rsidRPr="00A52D3C">
              <w:rPr>
                <w:rFonts w:ascii="Arial" w:eastAsia="SimSun" w:hAnsi="Arial" w:cs="Arial"/>
                <w:color w:val="000000" w:themeColor="text1"/>
                <w:sz w:val="22"/>
                <w:szCs w:val="22"/>
                <w:lang w:val="en-US" w:bidi="ar"/>
              </w:rPr>
              <w:t xml:space="preserve"> reduction by 2030</w:t>
            </w:r>
          </w:p>
        </w:tc>
      </w:tr>
      <w:tr w:rsidR="00EA540D" w:rsidRPr="00A52D3C" w14:paraId="0ED5820E"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096B5F2"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Public Health England Climate Strategy</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0CECECA"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Mitigate climate health impacts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8E01F5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Community resilience, heatwave planning</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91ED4C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Reduced heat-related deaths</w:t>
            </w:r>
          </w:p>
        </w:tc>
      </w:tr>
    </w:tbl>
    <w:p w14:paraId="2FEB098F" w14:textId="77777777" w:rsidR="00EA540D" w:rsidRPr="00A52D3C" w:rsidRDefault="002D5768" w:rsidP="00A52D3C">
      <w:pPr>
        <w:pStyle w:val="Heading2"/>
        <w:spacing w:line="360" w:lineRule="auto"/>
        <w:jc w:val="both"/>
        <w:rPr>
          <w:rFonts w:ascii="Arial" w:hAnsi="Arial" w:cs="Arial"/>
          <w:color w:val="000000" w:themeColor="text1"/>
          <w:sz w:val="22"/>
          <w:szCs w:val="22"/>
        </w:rPr>
      </w:pPr>
      <w:bookmarkStart w:id="4" w:name="_Toc32544"/>
      <w:r w:rsidRPr="00A52D3C">
        <w:rPr>
          <w:rFonts w:ascii="Arial" w:hAnsi="Arial" w:cs="Arial"/>
          <w:color w:val="000000" w:themeColor="text1"/>
          <w:sz w:val="22"/>
          <w:szCs w:val="22"/>
        </w:rPr>
        <w:t>Local Impact: London and Birmingham.</w:t>
      </w:r>
      <w:bookmarkEnd w:id="4"/>
    </w:p>
    <w:p w14:paraId="66DA8ECF"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Cities at the municipal level are critical towards the actualization of SDG 3 and SDG 13. Health Inequality 20252028 in London.</w:t>
      </w:r>
      <w:r w:rsidRPr="00A52D3C">
        <w:rPr>
          <w:rFonts w:ascii="Arial" w:hAnsi="Arial" w:cs="Arial"/>
          <w:color w:val="000000" w:themeColor="text1"/>
          <w:sz w:val="22"/>
          <w:szCs w:val="22"/>
          <w:lang w:val="en-US"/>
        </w:rPr>
        <w:t xml:space="preserve">The Strategy Implementation Plan is expected to improve air quality, make </w:t>
      </w:r>
      <w:proofErr w:type="spellStart"/>
      <w:r w:rsidRPr="00A52D3C">
        <w:rPr>
          <w:rFonts w:ascii="Arial" w:hAnsi="Arial" w:cs="Arial"/>
          <w:color w:val="000000" w:themeColor="text1"/>
          <w:sz w:val="22"/>
          <w:szCs w:val="22"/>
          <w:lang w:val="en-US"/>
        </w:rPr>
        <w:t>neighbourhoods</w:t>
      </w:r>
      <w:proofErr w:type="spellEnd"/>
      <w:r w:rsidRPr="00A52D3C">
        <w:rPr>
          <w:rFonts w:ascii="Arial" w:hAnsi="Arial" w:cs="Arial"/>
          <w:color w:val="000000" w:themeColor="text1"/>
          <w:sz w:val="22"/>
          <w:szCs w:val="22"/>
          <w:lang w:val="en-US"/>
        </w:rPr>
        <w:t xml:space="preserve"> healthier, and reduce life expectancy inequality (London City Hall, 2025). The relationship between climate and health inequity can be exemplified by London, which continues to face many of its problems, including green space pollution zones and uneven exposure to green spaces.</w:t>
      </w:r>
    </w:p>
    <w:p w14:paraId="69A58F90"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lang w:val="en-US"/>
        </w:rPr>
        <w:lastRenderedPageBreak/>
        <w:t>Similarly, the Health and Wellbeing Strategy (2023) of the city of Birmingham focuses on improving the health results of the population, safer communities, and cleaner air. The history of industrial emissions in Birmingham means that climate-act-related interventions (such as clean-air areas) have a direct relationship with the respiratory health benefit.</w:t>
      </w:r>
    </w:p>
    <w:p w14:paraId="0F816487"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lang w:val="en-US"/>
        </w:rPr>
        <w:t>Both cities are examples of the role of local governments in determining well-being considerably, through which climate and health-oriented policy initiatives demonstrate potential prospects to improve the living conditions and achieve the results that would be aligned with the Sustainable Development Goals.</w:t>
      </w:r>
    </w:p>
    <w:p w14:paraId="71FA4104" w14:textId="77777777" w:rsidR="00EA540D" w:rsidRPr="00A52D3C" w:rsidRDefault="00EA540D" w:rsidP="00A52D3C">
      <w:pPr>
        <w:spacing w:line="360" w:lineRule="auto"/>
        <w:jc w:val="both"/>
        <w:rPr>
          <w:rFonts w:ascii="Arial" w:hAnsi="Arial" w:cs="Arial"/>
          <w:color w:val="000000" w:themeColor="text1"/>
          <w:sz w:val="22"/>
          <w:szCs w:val="22"/>
        </w:rPr>
      </w:pP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465"/>
        <w:gridCol w:w="1446"/>
        <w:gridCol w:w="1493"/>
        <w:gridCol w:w="2018"/>
        <w:gridCol w:w="1844"/>
      </w:tblGrid>
      <w:tr w:rsidR="00EA540D" w:rsidRPr="00A52D3C" w14:paraId="1E0B42E3"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289D3C94"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Local Authority</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329B2A3"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Initiative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61B6EBE2"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Target Population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18420AE"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Key Actions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4E69C6A" w14:textId="77777777" w:rsidR="00EA540D" w:rsidRPr="00A52D3C" w:rsidRDefault="002D5768" w:rsidP="00A52D3C">
            <w:pPr>
              <w:spacing w:line="360" w:lineRule="auto"/>
              <w:jc w:val="both"/>
              <w:rPr>
                <w:rFonts w:ascii="Arial" w:hAnsi="Arial" w:cs="Arial"/>
                <w:b/>
                <w:bCs/>
                <w:color w:val="000000" w:themeColor="text1"/>
                <w:sz w:val="22"/>
                <w:szCs w:val="22"/>
              </w:rPr>
            </w:pPr>
            <w:r w:rsidRPr="00A52D3C">
              <w:rPr>
                <w:rFonts w:ascii="Arial" w:eastAsia="SimSun" w:hAnsi="Arial" w:cs="Arial"/>
                <w:b/>
                <w:bCs/>
                <w:color w:val="000000" w:themeColor="text1"/>
                <w:sz w:val="22"/>
                <w:szCs w:val="22"/>
                <w:lang w:val="en-US" w:bidi="ar"/>
              </w:rPr>
              <w:t>Expected Outcomes</w:t>
            </w:r>
          </w:p>
        </w:tc>
      </w:tr>
      <w:tr w:rsidR="00EA540D" w:rsidRPr="00A52D3C" w14:paraId="1D6E3BB6"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3111B0AB"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London City Hall</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0EB35E6D"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Health Inequalities Strategy</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23A27F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Vulnerable communities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5C1BA9D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 xml:space="preserve">Community </w:t>
            </w:r>
            <w:proofErr w:type="spellStart"/>
            <w:r w:rsidRPr="00A52D3C">
              <w:rPr>
                <w:rFonts w:ascii="Arial" w:eastAsia="SimSun" w:hAnsi="Arial" w:cs="Arial"/>
                <w:color w:val="000000" w:themeColor="text1"/>
                <w:sz w:val="22"/>
                <w:szCs w:val="22"/>
                <w:lang w:val="en-US" w:bidi="ar"/>
              </w:rPr>
              <w:t>programmes</w:t>
            </w:r>
            <w:proofErr w:type="spellEnd"/>
            <w:r w:rsidRPr="00A52D3C">
              <w:rPr>
                <w:rFonts w:ascii="Arial" w:eastAsia="SimSun" w:hAnsi="Arial" w:cs="Arial"/>
                <w:color w:val="000000" w:themeColor="text1"/>
                <w:sz w:val="22"/>
                <w:szCs w:val="22"/>
                <w:lang w:val="en-US" w:bidi="ar"/>
              </w:rPr>
              <w:t>, preventative care, green spaces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C503E2E"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Improved life expectancy, reduced disparities</w:t>
            </w:r>
          </w:p>
        </w:tc>
      </w:tr>
      <w:tr w:rsidR="00EA540D" w:rsidRPr="00A52D3C" w14:paraId="3D878B92"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8F57628"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Birmingham City Council</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BC2A97B"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Health &amp; Wellbeing Strategy</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5ECC26E"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General population</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6EBBB6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Active travel schemes, local health campaigns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C81E053"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eastAsia="SimSun" w:hAnsi="Arial" w:cs="Arial"/>
                <w:color w:val="000000" w:themeColor="text1"/>
                <w:sz w:val="22"/>
                <w:szCs w:val="22"/>
                <w:lang w:val="en-US" w:bidi="ar"/>
              </w:rPr>
              <w:t>Increased physical activity, reduced chronic disease</w:t>
            </w:r>
          </w:p>
        </w:tc>
      </w:tr>
    </w:tbl>
    <w:p w14:paraId="14023B74" w14:textId="77777777" w:rsidR="00EA540D" w:rsidRPr="00A52D3C" w:rsidRDefault="00EA540D" w:rsidP="00A52D3C">
      <w:pPr>
        <w:spacing w:line="360" w:lineRule="auto"/>
        <w:jc w:val="both"/>
        <w:rPr>
          <w:rFonts w:ascii="Arial" w:hAnsi="Arial" w:cs="Arial"/>
          <w:color w:val="000000" w:themeColor="text1"/>
          <w:sz w:val="22"/>
          <w:szCs w:val="22"/>
        </w:rPr>
      </w:pPr>
    </w:p>
    <w:p w14:paraId="34AF9BB2" w14:textId="77777777" w:rsidR="00EA540D" w:rsidRPr="00A52D3C" w:rsidRDefault="002D5768" w:rsidP="00A52D3C">
      <w:pPr>
        <w:pStyle w:val="Heading1"/>
        <w:spacing w:line="360" w:lineRule="auto"/>
        <w:jc w:val="both"/>
        <w:rPr>
          <w:rFonts w:ascii="Arial" w:hAnsi="Arial" w:cs="Arial"/>
          <w:color w:val="000000" w:themeColor="text1"/>
          <w:sz w:val="22"/>
          <w:szCs w:val="22"/>
        </w:rPr>
      </w:pPr>
      <w:bookmarkStart w:id="5" w:name="_Toc27065"/>
      <w:r w:rsidRPr="00A52D3C">
        <w:rPr>
          <w:rFonts w:ascii="Arial" w:hAnsi="Arial" w:cs="Arial"/>
          <w:color w:val="000000" w:themeColor="text1"/>
          <w:sz w:val="22"/>
          <w:szCs w:val="22"/>
          <w:lang w:val="en-US"/>
        </w:rPr>
        <w:t>Section B: Assessment of the National and Local Initiatives.</w:t>
      </w:r>
      <w:bookmarkEnd w:id="5"/>
      <w:r w:rsidRPr="00A52D3C">
        <w:rPr>
          <w:rFonts w:ascii="Arial" w:hAnsi="Arial" w:cs="Arial"/>
          <w:color w:val="000000" w:themeColor="text1"/>
          <w:sz w:val="22"/>
          <w:szCs w:val="22"/>
          <w:lang w:val="en-US"/>
        </w:rPr>
        <w:t xml:space="preserve">  </w:t>
      </w:r>
    </w:p>
    <w:p w14:paraId="4FF4CB3D" w14:textId="77777777" w:rsidR="00EA540D" w:rsidRPr="00A52D3C" w:rsidRDefault="002D5768" w:rsidP="00A52D3C">
      <w:pPr>
        <w:pStyle w:val="Heading2"/>
        <w:spacing w:line="360" w:lineRule="auto"/>
        <w:jc w:val="both"/>
        <w:rPr>
          <w:rFonts w:ascii="Arial" w:hAnsi="Arial" w:cs="Arial"/>
          <w:color w:val="000000" w:themeColor="text1"/>
          <w:sz w:val="22"/>
          <w:szCs w:val="22"/>
        </w:rPr>
      </w:pPr>
      <w:bookmarkStart w:id="6" w:name="_Toc29217"/>
      <w:r w:rsidRPr="00A52D3C">
        <w:rPr>
          <w:rFonts w:ascii="Arial" w:hAnsi="Arial" w:cs="Arial"/>
          <w:color w:val="000000" w:themeColor="text1"/>
          <w:sz w:val="22"/>
          <w:szCs w:val="22"/>
          <w:lang w:val="en-US"/>
        </w:rPr>
        <w:t xml:space="preserve">National Health Service (NHS) </w:t>
      </w:r>
      <w:proofErr w:type="spellStart"/>
      <w:r w:rsidRPr="00A52D3C">
        <w:rPr>
          <w:rFonts w:ascii="Arial" w:hAnsi="Arial" w:cs="Arial"/>
          <w:color w:val="000000" w:themeColor="text1"/>
          <w:sz w:val="22"/>
          <w:szCs w:val="22"/>
          <w:lang w:val="en-US"/>
        </w:rPr>
        <w:t>Programmes</w:t>
      </w:r>
      <w:proofErr w:type="spellEnd"/>
      <w:r w:rsidRPr="00A52D3C">
        <w:rPr>
          <w:rFonts w:ascii="Arial" w:hAnsi="Arial" w:cs="Arial"/>
          <w:color w:val="000000" w:themeColor="text1"/>
          <w:sz w:val="22"/>
          <w:szCs w:val="22"/>
          <w:lang w:val="en-US"/>
        </w:rPr>
        <w:t>.</w:t>
      </w:r>
      <w:bookmarkEnd w:id="6"/>
      <w:r w:rsidRPr="00A52D3C">
        <w:rPr>
          <w:rFonts w:ascii="Arial" w:hAnsi="Arial" w:cs="Arial"/>
          <w:color w:val="000000" w:themeColor="text1"/>
          <w:sz w:val="22"/>
          <w:szCs w:val="22"/>
          <w:lang w:val="en-US"/>
        </w:rPr>
        <w:t xml:space="preserve">  </w:t>
      </w:r>
    </w:p>
    <w:p w14:paraId="7D25B940"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lang w:val="en-US"/>
        </w:rPr>
        <w:t>The NHS Long Term Plan is a landmark national project that aims to achieve SDG 3 and reduce preventable deaths, increase mental health delivery, and enhance primary care (NHS England, 2019). Its prompt orientation towards prevention, digital health, and integrated care, as well as the reduction of inequality, are both well-related to the global SDG3. As an example, its early diagnosis and chronic disease management are core values that give direct advantage to the population health.</w:t>
      </w:r>
    </w:p>
    <w:p w14:paraId="2B40C124"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lang w:val="en-US"/>
        </w:rPr>
        <w:t xml:space="preserve">However, achievement of these objectives depends upon alleviation of systematic strains such as workforce shortages, financial limitations, and increasing service demands. Furthermore, better transparency and education to establish trust among the public makes patient data, which is necessary to create effective health planning, </w:t>
      </w:r>
      <w:r w:rsidRPr="00A52D3C">
        <w:rPr>
          <w:rFonts w:ascii="Arial" w:hAnsi="Arial" w:cs="Arial"/>
          <w:color w:val="000000" w:themeColor="text1"/>
          <w:sz w:val="22"/>
          <w:szCs w:val="22"/>
          <w:lang w:val="en-US"/>
        </w:rPr>
        <w:lastRenderedPageBreak/>
        <w:t>understandable (Understandingpatientdata.org.uk, 2022). These obstacles limit the attainment of SDG3 expectations by the NHS.</w:t>
      </w:r>
    </w:p>
    <w:p w14:paraId="6E3E4357" w14:textId="77777777" w:rsidR="00EA540D" w:rsidRPr="00A52D3C" w:rsidRDefault="002D5768" w:rsidP="00A52D3C">
      <w:pPr>
        <w:pStyle w:val="Heading2"/>
        <w:spacing w:line="360" w:lineRule="auto"/>
        <w:jc w:val="both"/>
        <w:rPr>
          <w:rFonts w:ascii="Arial" w:hAnsi="Arial" w:cs="Arial"/>
          <w:color w:val="000000" w:themeColor="text1"/>
          <w:sz w:val="22"/>
          <w:szCs w:val="22"/>
        </w:rPr>
      </w:pPr>
      <w:bookmarkStart w:id="7" w:name="_Toc5182"/>
      <w:r w:rsidRPr="00A52D3C">
        <w:rPr>
          <w:rFonts w:ascii="Arial" w:hAnsi="Arial" w:cs="Arial"/>
          <w:color w:val="000000" w:themeColor="text1"/>
          <w:sz w:val="22"/>
          <w:szCs w:val="22"/>
          <w:lang w:val="en-US"/>
        </w:rPr>
        <w:t>UK Sustainability and Climate-Health Strategies (SDG: 13).</w:t>
      </w:r>
      <w:bookmarkEnd w:id="7"/>
    </w:p>
    <w:p w14:paraId="65AA427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lang w:val="en-US"/>
        </w:rPr>
        <w:t xml:space="preserve">The Net Zero NHS Strategy (NHS England, 2022) is one of the strongest sustainable health projects in the United Kingdom, which reduces emissions of energy use, transportation, and supply chain. Significant strides have been made in </w:t>
      </w:r>
      <w:proofErr w:type="spellStart"/>
      <w:r w:rsidRPr="00A52D3C">
        <w:rPr>
          <w:rFonts w:ascii="Arial" w:hAnsi="Arial" w:cs="Arial"/>
          <w:color w:val="000000" w:themeColor="text1"/>
          <w:sz w:val="22"/>
          <w:szCs w:val="22"/>
          <w:lang w:val="en-US"/>
        </w:rPr>
        <w:t>decarbonisation</w:t>
      </w:r>
      <w:proofErr w:type="spellEnd"/>
      <w:r w:rsidRPr="00A52D3C">
        <w:rPr>
          <w:rFonts w:ascii="Arial" w:hAnsi="Arial" w:cs="Arial"/>
          <w:color w:val="000000" w:themeColor="text1"/>
          <w:sz w:val="22"/>
          <w:szCs w:val="22"/>
          <w:lang w:val="en-US"/>
        </w:rPr>
        <w:t xml:space="preserve"> of the NHS estates and the implementation of low-emission vehicles and thus contribute to air quality enhancement as well as counteracting the health risk posed by climate change.</w:t>
      </w:r>
    </w:p>
    <w:p w14:paraId="4FC48B6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urgency of this approach has been proven to be critical by the nationwide assessment exercises of recent years. Public Health England further notes that there are growing climate-related health dangers across the United Kingdom (2012), though the current global evaluations include the IPCC (2022), the Lancet Countdown (2022), etc., which present empirical findings to support the idea of a need to mitigate climate hazard to ensure future health resilience.</w:t>
      </w:r>
    </w:p>
    <w:p w14:paraId="42249C6D"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 xml:space="preserve">The academic writing also defines the advantages of climate mitigation to the health of the population. According to </w:t>
      </w:r>
      <w:proofErr w:type="spellStart"/>
      <w:r w:rsidRPr="00A52D3C">
        <w:rPr>
          <w:rFonts w:ascii="Arial" w:hAnsi="Arial" w:cs="Arial"/>
          <w:color w:val="000000" w:themeColor="text1"/>
          <w:sz w:val="22"/>
          <w:szCs w:val="22"/>
        </w:rPr>
        <w:t>Bikomeye</w:t>
      </w:r>
      <w:proofErr w:type="spellEnd"/>
      <w:r w:rsidRPr="00A52D3C">
        <w:rPr>
          <w:rFonts w:ascii="Arial" w:hAnsi="Arial" w:cs="Arial"/>
          <w:color w:val="000000" w:themeColor="text1"/>
          <w:sz w:val="22"/>
          <w:szCs w:val="22"/>
        </w:rPr>
        <w:t>, Rublee and Beyer (2021), there are beneficial spill-over effects of climate measures, which include better cardiovascular health and a lower number of cases of pollution and improved wellbeing. A similar finding is provided by Parker et al. (2025), as the authors argue that climate-health feedback mechanisms can be greatly reinforced by evidence-based policies to achieve better SDG3.</w:t>
      </w:r>
    </w:p>
    <w:p w14:paraId="1191C94F"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Although these results have been presented, the policy implementation is still uneven in terms of the regions, and local authorities may often not even have enough funds to implement health and climate strategies fully.</w:t>
      </w:r>
    </w:p>
    <w:p w14:paraId="20E488A9" w14:textId="77777777" w:rsidR="00EA540D" w:rsidRPr="00A52D3C" w:rsidRDefault="00EA540D" w:rsidP="00A52D3C">
      <w:pPr>
        <w:spacing w:line="360" w:lineRule="auto"/>
        <w:jc w:val="both"/>
        <w:rPr>
          <w:rFonts w:ascii="Arial" w:hAnsi="Arial" w:cs="Arial"/>
          <w:color w:val="000000" w:themeColor="text1"/>
          <w:sz w:val="22"/>
          <w:szCs w:val="22"/>
        </w:rPr>
      </w:pPr>
    </w:p>
    <w:p w14:paraId="7A5B6E45" w14:textId="77777777" w:rsidR="00EA540D" w:rsidRPr="00A52D3C" w:rsidRDefault="002D5768" w:rsidP="00A52D3C">
      <w:pPr>
        <w:spacing w:line="360" w:lineRule="auto"/>
        <w:jc w:val="center"/>
        <w:rPr>
          <w:rFonts w:ascii="Arial" w:hAnsi="Arial" w:cs="Arial"/>
          <w:i/>
          <w:iCs/>
          <w:color w:val="000000" w:themeColor="text1"/>
          <w:sz w:val="22"/>
          <w:szCs w:val="22"/>
        </w:rPr>
      </w:pPr>
      <w:r w:rsidRPr="00A52D3C">
        <w:rPr>
          <w:rFonts w:ascii="Arial" w:hAnsi="Arial" w:cs="Arial"/>
          <w:i/>
          <w:iCs/>
          <w:noProof/>
          <w:color w:val="000000" w:themeColor="text1"/>
          <w:sz w:val="22"/>
          <w:szCs w:val="22"/>
          <w:lang w:eastAsia="en-GB"/>
        </w:rPr>
        <w:drawing>
          <wp:inline distT="0" distB="0" distL="114300" distR="114300" wp14:anchorId="43B77B13" wp14:editId="70F9694E">
            <wp:extent cx="3578225" cy="1774190"/>
            <wp:effectExtent l="9525" t="9525" r="12700"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lum contrast="-6000"/>
                    </a:blip>
                    <a:stretch>
                      <a:fillRect/>
                    </a:stretch>
                  </pic:blipFill>
                  <pic:spPr>
                    <a:xfrm>
                      <a:off x="0" y="0"/>
                      <a:ext cx="3578225" cy="1774190"/>
                    </a:xfrm>
                    <a:prstGeom prst="rect">
                      <a:avLst/>
                    </a:prstGeom>
                    <a:noFill/>
                    <a:ln>
                      <a:solidFill>
                        <a:schemeClr val="tx1"/>
                      </a:solidFill>
                    </a:ln>
                  </pic:spPr>
                </pic:pic>
              </a:graphicData>
            </a:graphic>
          </wp:inline>
        </w:drawing>
      </w:r>
    </w:p>
    <w:p w14:paraId="20A233B8" w14:textId="77777777" w:rsidR="00EA540D" w:rsidRPr="00A52D3C" w:rsidRDefault="002D5768" w:rsidP="00A52D3C">
      <w:pPr>
        <w:pStyle w:val="Caption"/>
        <w:spacing w:line="360" w:lineRule="auto"/>
        <w:jc w:val="center"/>
        <w:rPr>
          <w:color w:val="000000" w:themeColor="text1"/>
          <w:sz w:val="22"/>
          <w:szCs w:val="22"/>
        </w:rPr>
      </w:pPr>
      <w:r w:rsidRPr="00A52D3C">
        <w:rPr>
          <w:i/>
          <w:iCs/>
          <w:color w:val="000000" w:themeColor="text1"/>
          <w:sz w:val="22"/>
          <w:szCs w:val="22"/>
        </w:rPr>
        <w:t xml:space="preserve">Figure </w:t>
      </w:r>
      <w:r w:rsidRPr="00A52D3C">
        <w:rPr>
          <w:i/>
          <w:iCs/>
          <w:color w:val="000000" w:themeColor="text1"/>
          <w:sz w:val="22"/>
          <w:szCs w:val="22"/>
        </w:rPr>
        <w:fldChar w:fldCharType="begin"/>
      </w:r>
      <w:r w:rsidRPr="00A52D3C">
        <w:rPr>
          <w:i/>
          <w:iCs/>
          <w:color w:val="000000" w:themeColor="text1"/>
          <w:sz w:val="22"/>
          <w:szCs w:val="22"/>
        </w:rPr>
        <w:instrText xml:space="preserve"> SEQ Figure \* ARABIC </w:instrText>
      </w:r>
      <w:r w:rsidRPr="00A52D3C">
        <w:rPr>
          <w:i/>
          <w:iCs/>
          <w:color w:val="000000" w:themeColor="text1"/>
          <w:sz w:val="22"/>
          <w:szCs w:val="22"/>
        </w:rPr>
        <w:fldChar w:fldCharType="separate"/>
      </w:r>
      <w:r w:rsidRPr="00A52D3C">
        <w:rPr>
          <w:i/>
          <w:iCs/>
          <w:color w:val="000000" w:themeColor="text1"/>
          <w:sz w:val="22"/>
          <w:szCs w:val="22"/>
        </w:rPr>
        <w:t>1</w:t>
      </w:r>
      <w:r w:rsidRPr="00A52D3C">
        <w:rPr>
          <w:i/>
          <w:iCs/>
          <w:color w:val="000000" w:themeColor="text1"/>
          <w:sz w:val="22"/>
          <w:szCs w:val="22"/>
        </w:rPr>
        <w:fldChar w:fldCharType="end"/>
      </w:r>
      <w:r w:rsidRPr="00A52D3C">
        <w:rPr>
          <w:i/>
          <w:iCs/>
          <w:color w:val="000000" w:themeColor="text1"/>
          <w:sz w:val="22"/>
          <w:szCs w:val="22"/>
          <w:lang w:val="en-US"/>
        </w:rPr>
        <w:t>: UK NHS Net Zero Progress; Source: Self</w:t>
      </w:r>
    </w:p>
    <w:p w14:paraId="09A6EDFE" w14:textId="77777777" w:rsidR="00EA540D" w:rsidRPr="00A52D3C" w:rsidRDefault="002D5768" w:rsidP="00A52D3C">
      <w:pPr>
        <w:pStyle w:val="Heading2"/>
        <w:spacing w:line="360" w:lineRule="auto"/>
        <w:jc w:val="both"/>
        <w:rPr>
          <w:rFonts w:ascii="Arial" w:hAnsi="Arial" w:cs="Arial"/>
          <w:color w:val="000000" w:themeColor="text1"/>
          <w:sz w:val="22"/>
          <w:szCs w:val="22"/>
        </w:rPr>
      </w:pPr>
      <w:bookmarkStart w:id="8" w:name="_Toc28"/>
      <w:r w:rsidRPr="00A52D3C">
        <w:rPr>
          <w:rFonts w:ascii="Arial" w:hAnsi="Arial" w:cs="Arial"/>
          <w:color w:val="000000" w:themeColor="text1"/>
          <w:sz w:val="22"/>
          <w:szCs w:val="22"/>
        </w:rPr>
        <w:lastRenderedPageBreak/>
        <w:t>The Local Council Health, Wellbeing and Climate Equity Initiatives.</w:t>
      </w:r>
      <w:bookmarkEnd w:id="8"/>
    </w:p>
    <w:p w14:paraId="6404DC13"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influence of the local councils regarding SDG 3 implementation is significant, as well as SDG 13 implementation. The London City Health Inequality Strategy Implementation Plan (London Health Inequality Strategy, 2025) is a good example of strong adherence to social, environmental, and economic factors of health. The strategic measures such as green space expansions, active transport systems, and air quality are all part of the strategic measures that are directly linked to the enhancement of wellbeing.</w:t>
      </w:r>
    </w:p>
    <w:p w14:paraId="297BA496"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Health and Wellbeing Strategy of Birmingham (2023) also includes the actions to be taken to improve the population health, reduce pollution, and assist the vulnerable population. However, the rate of improvements differs across neighbourhoods with disadvantaged communities showing slower improvements because of structural inequalities that are being entrenched.</w:t>
      </w:r>
    </w:p>
    <w:p w14:paraId="0765E69D"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Both cities demonstrate the difficulties in implementing the ambitions of national sustainability into the practise of the municipality. The success of programmes that are in line with the SDGs can be slowed down or restrained by the lack of funds, disjointed governments, and the unequal allocation of funds.</w:t>
      </w:r>
    </w:p>
    <w:p w14:paraId="6B4CB986" w14:textId="77777777" w:rsidR="00EA540D" w:rsidRPr="00A52D3C" w:rsidRDefault="002D5768" w:rsidP="00A52D3C">
      <w:pPr>
        <w:pStyle w:val="Heading1"/>
        <w:spacing w:line="360" w:lineRule="auto"/>
        <w:jc w:val="both"/>
        <w:rPr>
          <w:rFonts w:ascii="Arial" w:hAnsi="Arial" w:cs="Arial"/>
          <w:color w:val="000000" w:themeColor="text1"/>
          <w:sz w:val="22"/>
          <w:szCs w:val="22"/>
        </w:rPr>
      </w:pPr>
      <w:bookmarkStart w:id="9" w:name="_Toc31057"/>
      <w:r w:rsidRPr="00A52D3C">
        <w:rPr>
          <w:rFonts w:ascii="Arial" w:hAnsi="Arial" w:cs="Arial"/>
          <w:color w:val="000000" w:themeColor="text1"/>
          <w:sz w:val="22"/>
          <w:szCs w:val="22"/>
        </w:rPr>
        <w:t>Suggestions about Improvement.</w:t>
      </w:r>
      <w:bookmarkEnd w:id="9"/>
    </w:p>
    <w:p w14:paraId="79763520"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b/>
          <w:bCs/>
          <w:i/>
          <w:iCs/>
          <w:color w:val="000000" w:themeColor="text1"/>
          <w:sz w:val="22"/>
          <w:szCs w:val="22"/>
        </w:rPr>
        <w:t>Increased Co-ordination between SDG 3 and SDG13 Policies.</w:t>
      </w:r>
    </w:p>
    <w:p w14:paraId="46E0F8BF"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 xml:space="preserve">The linkage of climatic conditions and health at the national and local scale should be clearly reflected in national and local health strategies, making their planning consistent with wider sustainability efforts. This strategy is informed by the world of scientific studies revealing the synergistic positive advantages of climate adaptation in the health of the population (Countdown, 2022; </w:t>
      </w:r>
      <w:proofErr w:type="spellStart"/>
      <w:r w:rsidRPr="00A52D3C">
        <w:rPr>
          <w:rFonts w:ascii="Arial" w:hAnsi="Arial" w:cs="Arial"/>
          <w:color w:val="000000" w:themeColor="text1"/>
          <w:sz w:val="22"/>
          <w:szCs w:val="22"/>
        </w:rPr>
        <w:t>Bikomeye</w:t>
      </w:r>
      <w:proofErr w:type="spellEnd"/>
      <w:r w:rsidRPr="00A52D3C">
        <w:rPr>
          <w:rFonts w:ascii="Arial" w:hAnsi="Arial" w:cs="Arial"/>
          <w:color w:val="000000" w:themeColor="text1"/>
          <w:sz w:val="22"/>
          <w:szCs w:val="22"/>
        </w:rPr>
        <w:t>, Rublee and Beyer, 2021).</w:t>
      </w:r>
    </w:p>
    <w:p w14:paraId="3FB3956C"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Increased Funding for Local Governments</w:t>
      </w:r>
    </w:p>
    <w:p w14:paraId="6778287F"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local governments need additional funds to introduce interventions in air-quality, support active-travel programs, and build households-comparable infrastructure. Such initiatives would make direct improvements to the health in cities like London and Birmingham.</w:t>
      </w:r>
    </w:p>
    <w:p w14:paraId="07B68F4B" w14:textId="77777777" w:rsidR="00EA540D" w:rsidRPr="00A52D3C" w:rsidRDefault="002D5768" w:rsidP="00A52D3C">
      <w:pPr>
        <w:spacing w:line="360" w:lineRule="auto"/>
        <w:jc w:val="both"/>
        <w:rPr>
          <w:rFonts w:ascii="Arial" w:hAnsi="Arial" w:cs="Arial"/>
          <w:b/>
          <w:bCs/>
          <w:i/>
          <w:iCs/>
          <w:color w:val="000000" w:themeColor="text1"/>
          <w:sz w:val="22"/>
          <w:szCs w:val="22"/>
        </w:rPr>
      </w:pPr>
      <w:r w:rsidRPr="00A52D3C">
        <w:rPr>
          <w:rFonts w:ascii="Arial" w:hAnsi="Arial" w:cs="Arial"/>
          <w:b/>
          <w:bCs/>
          <w:i/>
          <w:iCs/>
          <w:color w:val="000000" w:themeColor="text1"/>
          <w:sz w:val="22"/>
          <w:szCs w:val="22"/>
        </w:rPr>
        <w:t xml:space="preserve">Improved Data Use and Public Health Surveillance.  </w:t>
      </w:r>
    </w:p>
    <w:p w14:paraId="01A3ED18"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Targeted interventions based on the vulnerability of population to climate and environmental risks can be anchored upon a better understanding and use of patient data (Understandingpatientdata.org.uk, 2022).</w:t>
      </w:r>
    </w:p>
    <w:p w14:paraId="08CB51B8"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b/>
          <w:bCs/>
          <w:i/>
          <w:iCs/>
          <w:color w:val="000000" w:themeColor="text1"/>
          <w:sz w:val="22"/>
          <w:szCs w:val="22"/>
        </w:rPr>
        <w:lastRenderedPageBreak/>
        <w:t xml:space="preserve">Enhancing NHS Workforce and Capacity. </w:t>
      </w:r>
      <w:r w:rsidRPr="00A52D3C">
        <w:rPr>
          <w:rFonts w:ascii="Arial" w:hAnsi="Arial" w:cs="Arial"/>
          <w:color w:val="000000" w:themeColor="text1"/>
          <w:sz w:val="22"/>
          <w:szCs w:val="22"/>
        </w:rPr>
        <w:t xml:space="preserve"> </w:t>
      </w:r>
    </w:p>
    <w:p w14:paraId="7B0AA27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Achieving the objectives of SDG 3 means having a sustainable and well-supported labour force. There is need to increase workforce capacity, increase awareness of the effects of climate and health and increase the combination of primary care with community services to compensate inequalities.</w:t>
      </w:r>
    </w:p>
    <w:p w14:paraId="62076B0F" w14:textId="77777777" w:rsidR="00EA540D" w:rsidRPr="00A52D3C" w:rsidRDefault="002D5768" w:rsidP="00A52D3C">
      <w:pPr>
        <w:spacing w:line="360" w:lineRule="auto"/>
        <w:jc w:val="both"/>
        <w:rPr>
          <w:rFonts w:ascii="Arial" w:hAnsi="Arial" w:cs="Arial"/>
          <w:b/>
          <w:bCs/>
          <w:i/>
          <w:iCs/>
          <w:color w:val="000000" w:themeColor="text1"/>
          <w:sz w:val="22"/>
          <w:szCs w:val="22"/>
        </w:rPr>
      </w:pPr>
      <w:r w:rsidRPr="00A52D3C">
        <w:rPr>
          <w:rFonts w:ascii="Arial" w:hAnsi="Arial" w:cs="Arial"/>
          <w:b/>
          <w:bCs/>
          <w:i/>
          <w:iCs/>
          <w:color w:val="000000" w:themeColor="text1"/>
          <w:sz w:val="22"/>
          <w:szCs w:val="22"/>
        </w:rPr>
        <w:t xml:space="preserve">National Publicity campaigns.  </w:t>
      </w:r>
    </w:p>
    <w:p w14:paraId="51A30D1E"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activities of the public engagement should focus on the impact of climate change on health and wellbeing, relying on evidence provided by the World Health Organisation (2023) and the Intergovernmental panel on climate change (2022).</w:t>
      </w:r>
    </w:p>
    <w:p w14:paraId="773B1C99" w14:textId="77777777" w:rsidR="00EA540D" w:rsidRPr="00A52D3C" w:rsidRDefault="002D5768" w:rsidP="00A52D3C">
      <w:pPr>
        <w:pStyle w:val="Heading1"/>
        <w:spacing w:line="360" w:lineRule="auto"/>
        <w:jc w:val="both"/>
        <w:rPr>
          <w:rFonts w:ascii="Arial" w:hAnsi="Arial" w:cs="Arial"/>
          <w:color w:val="000000" w:themeColor="text1"/>
          <w:sz w:val="22"/>
          <w:szCs w:val="22"/>
        </w:rPr>
      </w:pPr>
      <w:bookmarkStart w:id="10" w:name="_Toc31993"/>
      <w:r w:rsidRPr="00A52D3C">
        <w:rPr>
          <w:rFonts w:ascii="Arial" w:hAnsi="Arial" w:cs="Arial"/>
          <w:color w:val="000000" w:themeColor="text1"/>
          <w:sz w:val="22"/>
          <w:szCs w:val="22"/>
        </w:rPr>
        <w:t>Conclusion</w:t>
      </w:r>
      <w:bookmarkEnd w:id="10"/>
      <w:r w:rsidRPr="00A52D3C">
        <w:rPr>
          <w:rFonts w:ascii="Arial" w:hAnsi="Arial" w:cs="Arial"/>
          <w:color w:val="000000" w:themeColor="text1"/>
          <w:sz w:val="22"/>
          <w:szCs w:val="22"/>
        </w:rPr>
        <w:t xml:space="preserve">  </w:t>
      </w:r>
    </w:p>
    <w:p w14:paraId="31C51E95"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The goals of SDG 3 and SDG 13 also are closely intertwined ones that determine the health environment at the global, national, and local levels. Environmental degradation and climatic change across the world significantly increase disease burden, potentially putting on solutions on health and wellbeing. The United Kingdom has national policies, including the NHS Long Term Plan and the Net Zero NHS which show a desire to overcome these issues, but disparities and resource limitations continue. The crucial climate-health efforts at local government in London and Birmingham are put into frequent practice but are hampered by funding and capacity differences.</w:t>
      </w:r>
    </w:p>
    <w:p w14:paraId="7232FD7D"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t>A combination of health, climate, and sustainability needs to be existing in improving health and wellbeing in the UK through integrated policymaking. Through more concerted efforts, focused investing, and initial involvement of people, the United Kingdom could move on to SDG 3 and SDG 13 in a way that would not only safeguard people but also minimise disparities and build a more sustainable future.</w:t>
      </w:r>
    </w:p>
    <w:p w14:paraId="29338991" w14:textId="77777777" w:rsidR="00EA540D" w:rsidRPr="00A52D3C" w:rsidRDefault="00EA540D" w:rsidP="00A52D3C">
      <w:pPr>
        <w:spacing w:line="360" w:lineRule="auto"/>
        <w:jc w:val="both"/>
        <w:rPr>
          <w:rFonts w:ascii="Arial" w:hAnsi="Arial" w:cs="Arial"/>
          <w:color w:val="000000" w:themeColor="text1"/>
          <w:sz w:val="22"/>
          <w:szCs w:val="22"/>
        </w:rPr>
      </w:pPr>
    </w:p>
    <w:p w14:paraId="39313B8B" w14:textId="77777777" w:rsidR="00EA540D" w:rsidRPr="00A52D3C" w:rsidRDefault="002D5768" w:rsidP="00A52D3C">
      <w:pPr>
        <w:spacing w:line="360" w:lineRule="auto"/>
        <w:jc w:val="both"/>
        <w:rPr>
          <w:rFonts w:ascii="Arial" w:hAnsi="Arial" w:cs="Arial"/>
          <w:color w:val="000000" w:themeColor="text1"/>
          <w:sz w:val="22"/>
          <w:szCs w:val="22"/>
        </w:rPr>
      </w:pPr>
      <w:r w:rsidRPr="00A52D3C">
        <w:rPr>
          <w:rFonts w:ascii="Arial" w:hAnsi="Arial" w:cs="Arial"/>
          <w:color w:val="000000" w:themeColor="text1"/>
          <w:sz w:val="22"/>
          <w:szCs w:val="22"/>
        </w:rPr>
        <w:br w:type="page"/>
      </w:r>
    </w:p>
    <w:p w14:paraId="30C6225B" w14:textId="77777777" w:rsidR="00EA540D" w:rsidRPr="00A52D3C" w:rsidRDefault="002D5768" w:rsidP="00A52D3C">
      <w:pPr>
        <w:pStyle w:val="Heading1"/>
        <w:spacing w:line="360" w:lineRule="auto"/>
        <w:jc w:val="both"/>
        <w:rPr>
          <w:rFonts w:ascii="Arial" w:hAnsi="Arial" w:cs="Arial"/>
          <w:color w:val="000000" w:themeColor="text1"/>
          <w:sz w:val="22"/>
          <w:szCs w:val="22"/>
        </w:rPr>
      </w:pPr>
      <w:bookmarkStart w:id="11" w:name="_Toc29467"/>
      <w:r w:rsidRPr="00A52D3C">
        <w:rPr>
          <w:rFonts w:ascii="Arial" w:hAnsi="Arial" w:cs="Arial"/>
          <w:color w:val="000000" w:themeColor="text1"/>
          <w:sz w:val="22"/>
          <w:szCs w:val="22"/>
          <w:lang w:val="en-US"/>
        </w:rPr>
        <w:lastRenderedPageBreak/>
        <w:t>References</w:t>
      </w:r>
      <w:bookmarkEnd w:id="11"/>
    </w:p>
    <w:p w14:paraId="3C20D540"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proofErr w:type="spellStart"/>
      <w:r w:rsidRPr="00A52D3C">
        <w:rPr>
          <w:rFonts w:ascii="Arial" w:hAnsi="Arial" w:cs="Arial"/>
          <w:color w:val="000000" w:themeColor="text1"/>
          <w:sz w:val="22"/>
          <w:szCs w:val="22"/>
        </w:rPr>
        <w:t>Bikomeye</w:t>
      </w:r>
      <w:proofErr w:type="spellEnd"/>
      <w:r w:rsidRPr="00A52D3C">
        <w:rPr>
          <w:rFonts w:ascii="Arial" w:hAnsi="Arial" w:cs="Arial"/>
          <w:color w:val="000000" w:themeColor="text1"/>
          <w:sz w:val="22"/>
          <w:szCs w:val="22"/>
        </w:rPr>
        <w:t xml:space="preserve">, J.C., Rublee, C.S. and Beyer, K.M., 2021. Positive externalities of climate change mitigation and adaptation for human health: a review and conceptual framework for public health research. </w:t>
      </w:r>
      <w:r w:rsidRPr="00A52D3C">
        <w:rPr>
          <w:rStyle w:val="Emphasis"/>
          <w:rFonts w:ascii="Arial" w:hAnsi="Arial" w:cs="Arial"/>
          <w:color w:val="000000" w:themeColor="text1"/>
          <w:sz w:val="22"/>
          <w:szCs w:val="22"/>
        </w:rPr>
        <w:t>International Journal of Environmental Research and Public Health</w:t>
      </w:r>
      <w:r w:rsidRPr="00A52D3C">
        <w:rPr>
          <w:rFonts w:ascii="Arial" w:hAnsi="Arial" w:cs="Arial"/>
          <w:color w:val="000000" w:themeColor="text1"/>
          <w:sz w:val="22"/>
          <w:szCs w:val="22"/>
        </w:rPr>
        <w:t>, 18(5), p.2481.</w:t>
      </w:r>
    </w:p>
    <w:p w14:paraId="52A1CA12"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Birmingham City Council, 2023. </w:t>
      </w:r>
      <w:r w:rsidRPr="00A52D3C">
        <w:rPr>
          <w:rStyle w:val="Emphasis"/>
          <w:rFonts w:ascii="Arial" w:hAnsi="Arial" w:cs="Arial"/>
          <w:color w:val="000000" w:themeColor="text1"/>
          <w:sz w:val="22"/>
          <w:szCs w:val="22"/>
        </w:rPr>
        <w:t>Health and Wellbeing Strategy</w:t>
      </w:r>
      <w:r w:rsidRPr="00A52D3C">
        <w:rPr>
          <w:rFonts w:ascii="Arial" w:hAnsi="Arial" w:cs="Arial"/>
          <w:color w:val="000000" w:themeColor="text1"/>
          <w:sz w:val="22"/>
          <w:szCs w:val="22"/>
        </w:rPr>
        <w:t xml:space="preserve">. [online] Available at: </w:t>
      </w:r>
      <w:hyperlink r:id="rId7" w:tgtFrame="_new" w:history="1">
        <w:r w:rsidRPr="00A52D3C">
          <w:rPr>
            <w:rStyle w:val="Hyperlink"/>
            <w:rFonts w:ascii="Arial" w:hAnsi="Arial" w:cs="Arial"/>
            <w:color w:val="000000" w:themeColor="text1"/>
            <w:sz w:val="22"/>
            <w:szCs w:val="22"/>
          </w:rPr>
          <w:t>https://www.birmingham.gov.uk/info/50119/health_and_wellbeing_board/1300/health_and_wellbeing_strategy</w:t>
        </w:r>
      </w:hyperlink>
      <w:r w:rsidRPr="00A52D3C">
        <w:rPr>
          <w:rFonts w:ascii="Arial" w:hAnsi="Arial" w:cs="Arial"/>
          <w:color w:val="000000" w:themeColor="text1"/>
          <w:sz w:val="22"/>
          <w:szCs w:val="22"/>
        </w:rPr>
        <w:t xml:space="preserve"> [Accessed 16 Nov. 2025].</w:t>
      </w:r>
    </w:p>
    <w:p w14:paraId="23D1FBDE"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22502F">
        <w:rPr>
          <w:rFonts w:ascii="Arial" w:hAnsi="Arial" w:cs="Arial"/>
          <w:color w:val="000000" w:themeColor="text1"/>
          <w:sz w:val="22"/>
          <w:szCs w:val="22"/>
          <w:lang w:val="de-DE"/>
        </w:rPr>
        <w:t xml:space="preserve">Clark, S.N., Anenberg, S.C. and Brauer, M., 2025. </w:t>
      </w:r>
      <w:r w:rsidRPr="00A52D3C">
        <w:rPr>
          <w:rFonts w:ascii="Arial" w:hAnsi="Arial" w:cs="Arial"/>
          <w:color w:val="000000" w:themeColor="text1"/>
          <w:sz w:val="22"/>
          <w:szCs w:val="22"/>
        </w:rPr>
        <w:t xml:space="preserve">Global burden of disease from environmental factors. </w:t>
      </w:r>
      <w:r w:rsidRPr="00A52D3C">
        <w:rPr>
          <w:rStyle w:val="Emphasis"/>
          <w:rFonts w:ascii="Arial" w:hAnsi="Arial" w:cs="Arial"/>
          <w:color w:val="000000" w:themeColor="text1"/>
          <w:sz w:val="22"/>
          <w:szCs w:val="22"/>
        </w:rPr>
        <w:t>Annual Review of Public Health</w:t>
      </w:r>
      <w:r w:rsidRPr="00A52D3C">
        <w:rPr>
          <w:rFonts w:ascii="Arial" w:hAnsi="Arial" w:cs="Arial"/>
          <w:color w:val="000000" w:themeColor="text1"/>
          <w:sz w:val="22"/>
          <w:szCs w:val="22"/>
        </w:rPr>
        <w:t>, 46(1), pp.233-251.</w:t>
      </w:r>
    </w:p>
    <w:p w14:paraId="49B839A2"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Countdown, L., 2022. The 2022 report of the Lancet Countdown on health and climate change: health at the mercy of fossil fuels. </w:t>
      </w:r>
      <w:r w:rsidRPr="00A52D3C">
        <w:rPr>
          <w:rStyle w:val="Emphasis"/>
          <w:rFonts w:ascii="Arial" w:hAnsi="Arial" w:cs="Arial"/>
          <w:color w:val="000000" w:themeColor="text1"/>
          <w:sz w:val="22"/>
          <w:szCs w:val="22"/>
        </w:rPr>
        <w:t>The Lancet</w:t>
      </w:r>
      <w:r w:rsidRPr="00A52D3C">
        <w:rPr>
          <w:rFonts w:ascii="Arial" w:hAnsi="Arial" w:cs="Arial"/>
          <w:color w:val="000000" w:themeColor="text1"/>
          <w:sz w:val="22"/>
          <w:szCs w:val="22"/>
        </w:rPr>
        <w:t>, 400(10363), pp.1619-1654.</w:t>
      </w:r>
    </w:p>
    <w:p w14:paraId="3B87C85B"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IPCC, 2022. </w:t>
      </w:r>
      <w:r w:rsidRPr="00A52D3C">
        <w:rPr>
          <w:rStyle w:val="Emphasis"/>
          <w:rFonts w:ascii="Arial" w:hAnsi="Arial" w:cs="Arial"/>
          <w:color w:val="000000" w:themeColor="text1"/>
          <w:sz w:val="22"/>
          <w:szCs w:val="22"/>
        </w:rPr>
        <w:t>Climate Change 2022: Impacts, Adaptation and Vulnerability</w:t>
      </w:r>
      <w:r w:rsidRPr="00A52D3C">
        <w:rPr>
          <w:rFonts w:ascii="Arial" w:hAnsi="Arial" w:cs="Arial"/>
          <w:color w:val="000000" w:themeColor="text1"/>
          <w:sz w:val="22"/>
          <w:szCs w:val="22"/>
        </w:rPr>
        <w:t xml:space="preserve">. [online] IPCC Sixth Assessment Report. Available at: </w:t>
      </w:r>
      <w:hyperlink r:id="rId8" w:tgtFrame="_new" w:history="1">
        <w:r w:rsidRPr="00A52D3C">
          <w:rPr>
            <w:rStyle w:val="Hyperlink"/>
            <w:rFonts w:ascii="Arial" w:hAnsi="Arial" w:cs="Arial"/>
            <w:color w:val="000000" w:themeColor="text1"/>
            <w:sz w:val="22"/>
            <w:szCs w:val="22"/>
          </w:rPr>
          <w:t>https://www.ipcc.ch/report/ar6/wg2/</w:t>
        </w:r>
      </w:hyperlink>
      <w:r w:rsidRPr="00A52D3C">
        <w:rPr>
          <w:rFonts w:ascii="Arial" w:hAnsi="Arial" w:cs="Arial"/>
          <w:color w:val="000000" w:themeColor="text1"/>
          <w:sz w:val="22"/>
          <w:szCs w:val="22"/>
        </w:rPr>
        <w:t xml:space="preserve"> [Accessed 16 Nov. 2025].</w:t>
      </w:r>
    </w:p>
    <w:p w14:paraId="631E0FFE"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London City Hall, 2025. </w:t>
      </w:r>
      <w:r w:rsidRPr="00A52D3C">
        <w:rPr>
          <w:rStyle w:val="Emphasis"/>
          <w:rFonts w:ascii="Arial" w:hAnsi="Arial" w:cs="Arial"/>
          <w:color w:val="000000" w:themeColor="text1"/>
          <w:sz w:val="22"/>
          <w:szCs w:val="22"/>
        </w:rPr>
        <w:t>Health Inequalities Strategy Implementation Plan 2025–2028</w:t>
      </w:r>
      <w:r w:rsidRPr="00A52D3C">
        <w:rPr>
          <w:rFonts w:ascii="Arial" w:hAnsi="Arial" w:cs="Arial"/>
          <w:color w:val="000000" w:themeColor="text1"/>
          <w:sz w:val="22"/>
          <w:szCs w:val="22"/>
        </w:rPr>
        <w:t xml:space="preserve">. [online] Available at: </w:t>
      </w:r>
      <w:hyperlink r:id="rId9" w:tgtFrame="_new" w:history="1">
        <w:r w:rsidRPr="00A52D3C">
          <w:rPr>
            <w:rStyle w:val="Hyperlink"/>
            <w:rFonts w:ascii="Arial" w:hAnsi="Arial" w:cs="Arial"/>
            <w:color w:val="000000" w:themeColor="text1"/>
            <w:sz w:val="22"/>
            <w:szCs w:val="22"/>
          </w:rPr>
          <w:t>https://www.london.gov.uk/programmes-strategies/health-and-wellbeing/health-inequalities/health-inequalities-strategy-implementation-plan-2025-2028</w:t>
        </w:r>
      </w:hyperlink>
      <w:r w:rsidRPr="00A52D3C">
        <w:rPr>
          <w:rFonts w:ascii="Arial" w:hAnsi="Arial" w:cs="Arial"/>
          <w:color w:val="000000" w:themeColor="text1"/>
          <w:sz w:val="22"/>
          <w:szCs w:val="22"/>
        </w:rPr>
        <w:t xml:space="preserve"> [Accessed 16 Nov. 2025].</w:t>
      </w:r>
    </w:p>
    <w:p w14:paraId="13586150"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NHS England, 2019. </w:t>
      </w:r>
      <w:r w:rsidRPr="00A52D3C">
        <w:rPr>
          <w:rStyle w:val="Emphasis"/>
          <w:rFonts w:ascii="Arial" w:hAnsi="Arial" w:cs="Arial"/>
          <w:color w:val="000000" w:themeColor="text1"/>
          <w:sz w:val="22"/>
          <w:szCs w:val="22"/>
        </w:rPr>
        <w:t>NHS Long Term Plan</w:t>
      </w:r>
      <w:r w:rsidRPr="00A52D3C">
        <w:rPr>
          <w:rFonts w:ascii="Arial" w:hAnsi="Arial" w:cs="Arial"/>
          <w:color w:val="000000" w:themeColor="text1"/>
          <w:sz w:val="22"/>
          <w:szCs w:val="22"/>
        </w:rPr>
        <w:t xml:space="preserve">. [online] Available at: </w:t>
      </w:r>
      <w:hyperlink r:id="rId10" w:tgtFrame="_new" w:history="1">
        <w:r w:rsidRPr="00A52D3C">
          <w:rPr>
            <w:rStyle w:val="Hyperlink"/>
            <w:rFonts w:ascii="Arial" w:hAnsi="Arial" w:cs="Arial"/>
            <w:color w:val="000000" w:themeColor="text1"/>
            <w:sz w:val="22"/>
            <w:szCs w:val="22"/>
          </w:rPr>
          <w:t>https://www.longtermplan.nhs.uk/</w:t>
        </w:r>
      </w:hyperlink>
      <w:r w:rsidRPr="00A52D3C">
        <w:rPr>
          <w:rFonts w:ascii="Arial" w:hAnsi="Arial" w:cs="Arial"/>
          <w:color w:val="000000" w:themeColor="text1"/>
          <w:sz w:val="22"/>
          <w:szCs w:val="22"/>
        </w:rPr>
        <w:t xml:space="preserve"> [Accessed 16 Nov. 2025].</w:t>
      </w:r>
    </w:p>
    <w:p w14:paraId="4099EBF7"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NHS England, 2022. </w:t>
      </w:r>
      <w:r w:rsidRPr="00A52D3C">
        <w:rPr>
          <w:rStyle w:val="Emphasis"/>
          <w:rFonts w:ascii="Arial" w:hAnsi="Arial" w:cs="Arial"/>
          <w:color w:val="000000" w:themeColor="text1"/>
          <w:sz w:val="22"/>
          <w:szCs w:val="22"/>
        </w:rPr>
        <w:t>Delivering a ‘Net Zero’ National Health Service</w:t>
      </w:r>
      <w:r w:rsidRPr="00A52D3C">
        <w:rPr>
          <w:rFonts w:ascii="Arial" w:hAnsi="Arial" w:cs="Arial"/>
          <w:color w:val="000000" w:themeColor="text1"/>
          <w:sz w:val="22"/>
          <w:szCs w:val="22"/>
        </w:rPr>
        <w:t xml:space="preserve">. [online] Available at: </w:t>
      </w:r>
      <w:hyperlink r:id="rId11" w:tgtFrame="_new" w:history="1">
        <w:r w:rsidRPr="00A52D3C">
          <w:rPr>
            <w:rStyle w:val="Hyperlink"/>
            <w:rFonts w:ascii="Arial" w:hAnsi="Arial" w:cs="Arial"/>
            <w:color w:val="000000" w:themeColor="text1"/>
            <w:sz w:val="22"/>
            <w:szCs w:val="22"/>
          </w:rPr>
          <w:t>https://www.england.nhs.uk/greenernhs/wp-content/uploads/sites/51/2022/07/B1728-delivering-a-net-zero-nhs-july-2022.pdf</w:t>
        </w:r>
      </w:hyperlink>
      <w:r w:rsidRPr="00A52D3C">
        <w:rPr>
          <w:rFonts w:ascii="Arial" w:hAnsi="Arial" w:cs="Arial"/>
          <w:color w:val="000000" w:themeColor="text1"/>
          <w:sz w:val="22"/>
          <w:szCs w:val="22"/>
        </w:rPr>
        <w:t xml:space="preserve"> [Accessed 16 Nov. 2025].</w:t>
      </w:r>
    </w:p>
    <w:p w14:paraId="6BFE3B85"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Parker, S.Y., Parchment, K.F., Walawender, M. and Gordon-Strachan, G., 2025. Prioritizing evidence for action from the 2024 small island developing states report of the Lancet Countdown on health and climate change. </w:t>
      </w:r>
      <w:r w:rsidRPr="00A52D3C">
        <w:rPr>
          <w:rStyle w:val="Emphasis"/>
          <w:rFonts w:ascii="Arial" w:hAnsi="Arial" w:cs="Arial"/>
          <w:color w:val="000000" w:themeColor="text1"/>
          <w:sz w:val="22"/>
          <w:szCs w:val="22"/>
        </w:rPr>
        <w:t>The Journal of Climate Change and Health</w:t>
      </w:r>
      <w:r w:rsidRPr="00A52D3C">
        <w:rPr>
          <w:rFonts w:ascii="Arial" w:hAnsi="Arial" w:cs="Arial"/>
          <w:color w:val="000000" w:themeColor="text1"/>
          <w:sz w:val="22"/>
          <w:szCs w:val="22"/>
        </w:rPr>
        <w:t>, 24, p.100482.</w:t>
      </w:r>
    </w:p>
    <w:p w14:paraId="133E4086"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lastRenderedPageBreak/>
        <w:t xml:space="preserve">Public Health England, 2012. </w:t>
      </w:r>
      <w:r w:rsidRPr="00A52D3C">
        <w:rPr>
          <w:rStyle w:val="Emphasis"/>
          <w:rFonts w:ascii="Arial" w:hAnsi="Arial" w:cs="Arial"/>
          <w:color w:val="000000" w:themeColor="text1"/>
          <w:sz w:val="22"/>
          <w:szCs w:val="22"/>
        </w:rPr>
        <w:t>Climate change: health effects in the UK</w:t>
      </w:r>
      <w:r w:rsidRPr="00A52D3C">
        <w:rPr>
          <w:rFonts w:ascii="Arial" w:hAnsi="Arial" w:cs="Arial"/>
          <w:color w:val="000000" w:themeColor="text1"/>
          <w:sz w:val="22"/>
          <w:szCs w:val="22"/>
        </w:rPr>
        <w:t xml:space="preserve">. [online] GOV.UK. Available at: </w:t>
      </w:r>
      <w:hyperlink r:id="rId12" w:tgtFrame="_new" w:history="1">
        <w:r w:rsidRPr="00A52D3C">
          <w:rPr>
            <w:rStyle w:val="Hyperlink"/>
            <w:rFonts w:ascii="Arial" w:hAnsi="Arial" w:cs="Arial"/>
            <w:color w:val="000000" w:themeColor="text1"/>
            <w:sz w:val="22"/>
            <w:szCs w:val="22"/>
          </w:rPr>
          <w:t>https://www.gov.uk/government/publications/climate-change-health-effects-in-the-uk</w:t>
        </w:r>
      </w:hyperlink>
      <w:r w:rsidRPr="00A52D3C">
        <w:rPr>
          <w:rFonts w:ascii="Arial" w:hAnsi="Arial" w:cs="Arial"/>
          <w:color w:val="000000" w:themeColor="text1"/>
          <w:sz w:val="22"/>
          <w:szCs w:val="22"/>
        </w:rPr>
        <w:t xml:space="preserve"> [Accessed 16 Nov. 2025].</w:t>
      </w:r>
    </w:p>
    <w:p w14:paraId="563E1B09"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Understandingpatientdata.org.uk, 2022. [online] Available at: </w:t>
      </w:r>
      <w:hyperlink r:id="rId13" w:tgtFrame="_new" w:history="1">
        <w:r w:rsidRPr="00A52D3C">
          <w:rPr>
            <w:rStyle w:val="Hyperlink"/>
            <w:rFonts w:ascii="Arial" w:hAnsi="Arial" w:cs="Arial"/>
            <w:color w:val="000000" w:themeColor="text1"/>
            <w:sz w:val="22"/>
            <w:szCs w:val="22"/>
          </w:rPr>
          <w:t>https://understandingpatientdata.org.uk/upd/modal/1211</w:t>
        </w:r>
      </w:hyperlink>
      <w:r w:rsidRPr="00A52D3C">
        <w:rPr>
          <w:rFonts w:ascii="Arial" w:hAnsi="Arial" w:cs="Arial"/>
          <w:color w:val="000000" w:themeColor="text1"/>
          <w:sz w:val="22"/>
          <w:szCs w:val="22"/>
        </w:rPr>
        <w:t xml:space="preserve"> [Accessed 15 Nov. 2025].</w:t>
      </w:r>
    </w:p>
    <w:p w14:paraId="27A0179D"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UNDP, n.d. </w:t>
      </w:r>
      <w:r w:rsidRPr="00A52D3C">
        <w:rPr>
          <w:rStyle w:val="Emphasis"/>
          <w:rFonts w:ascii="Arial" w:hAnsi="Arial" w:cs="Arial"/>
          <w:color w:val="000000" w:themeColor="text1"/>
          <w:sz w:val="22"/>
          <w:szCs w:val="22"/>
        </w:rPr>
        <w:t xml:space="preserve">Transforming our world: the 2030 Agenda for Sustainable Development | United Nations Development </w:t>
      </w:r>
      <w:proofErr w:type="spellStart"/>
      <w:r w:rsidRPr="00A52D3C">
        <w:rPr>
          <w:rStyle w:val="Emphasis"/>
          <w:rFonts w:ascii="Arial" w:hAnsi="Arial" w:cs="Arial"/>
          <w:color w:val="000000" w:themeColor="text1"/>
          <w:sz w:val="22"/>
          <w:szCs w:val="22"/>
        </w:rPr>
        <w:t>Programme</w:t>
      </w:r>
      <w:proofErr w:type="spellEnd"/>
      <w:r w:rsidRPr="00A52D3C">
        <w:rPr>
          <w:rFonts w:ascii="Arial" w:hAnsi="Arial" w:cs="Arial"/>
          <w:color w:val="000000" w:themeColor="text1"/>
          <w:sz w:val="22"/>
          <w:szCs w:val="22"/>
        </w:rPr>
        <w:t xml:space="preserve">. [online] Available at: </w:t>
      </w:r>
      <w:hyperlink r:id="rId14" w:tgtFrame="_new" w:history="1">
        <w:r w:rsidRPr="00A52D3C">
          <w:rPr>
            <w:rStyle w:val="Hyperlink"/>
            <w:rFonts w:ascii="Arial" w:hAnsi="Arial" w:cs="Arial"/>
            <w:color w:val="000000" w:themeColor="text1"/>
            <w:sz w:val="22"/>
            <w:szCs w:val="22"/>
          </w:rPr>
          <w:t>https://www.undp.org/ukraine/publications/transforming-our-world-2030-agenda-sustainable-development</w:t>
        </w:r>
      </w:hyperlink>
      <w:r w:rsidRPr="00A52D3C">
        <w:rPr>
          <w:rFonts w:ascii="Arial" w:hAnsi="Arial" w:cs="Arial"/>
          <w:color w:val="000000" w:themeColor="text1"/>
          <w:sz w:val="22"/>
          <w:szCs w:val="22"/>
        </w:rPr>
        <w:t xml:space="preserve"> [Accessed 16 Nov. 2025].</w:t>
      </w:r>
    </w:p>
    <w:p w14:paraId="43B6B8BA" w14:textId="77777777" w:rsidR="00EA540D" w:rsidRPr="00A52D3C" w:rsidRDefault="002D5768" w:rsidP="00A52D3C">
      <w:pPr>
        <w:pStyle w:val="NormalWeb"/>
        <w:spacing w:line="360" w:lineRule="auto"/>
        <w:ind w:left="330" w:hangingChars="150" w:hanging="330"/>
        <w:jc w:val="both"/>
        <w:rPr>
          <w:rFonts w:ascii="Arial" w:hAnsi="Arial" w:cs="Arial"/>
          <w:color w:val="000000" w:themeColor="text1"/>
          <w:sz w:val="22"/>
          <w:szCs w:val="22"/>
        </w:rPr>
      </w:pPr>
      <w:r w:rsidRPr="00A52D3C">
        <w:rPr>
          <w:rFonts w:ascii="Arial" w:hAnsi="Arial" w:cs="Arial"/>
          <w:color w:val="000000" w:themeColor="text1"/>
          <w:sz w:val="22"/>
          <w:szCs w:val="22"/>
        </w:rPr>
        <w:t xml:space="preserve">WHO, 2023. </w:t>
      </w:r>
      <w:r w:rsidRPr="00A52D3C">
        <w:rPr>
          <w:rStyle w:val="Emphasis"/>
          <w:rFonts w:ascii="Arial" w:hAnsi="Arial" w:cs="Arial"/>
          <w:color w:val="000000" w:themeColor="text1"/>
          <w:sz w:val="22"/>
          <w:szCs w:val="22"/>
        </w:rPr>
        <w:t>Monitoring Health for the SDGs Sustainable Development Goals</w:t>
      </w:r>
      <w:r w:rsidRPr="00A52D3C">
        <w:rPr>
          <w:rFonts w:ascii="Arial" w:hAnsi="Arial" w:cs="Arial"/>
          <w:color w:val="000000" w:themeColor="text1"/>
          <w:sz w:val="22"/>
          <w:szCs w:val="22"/>
        </w:rPr>
        <w:t xml:space="preserve">. [online] Available at: </w:t>
      </w:r>
      <w:hyperlink r:id="rId15" w:tgtFrame="_new" w:history="1">
        <w:r w:rsidRPr="00A52D3C">
          <w:rPr>
            <w:rStyle w:val="Hyperlink"/>
            <w:rFonts w:ascii="Arial" w:hAnsi="Arial" w:cs="Arial"/>
            <w:color w:val="000000" w:themeColor="text1"/>
            <w:sz w:val="22"/>
            <w:szCs w:val="22"/>
          </w:rPr>
          <w:t>https://cdn.who.int/media/docs/default-source/gho-documents/world-health-statistic-reports/2023/world-health-statistics-2023_20230519_.pdf</w:t>
        </w:r>
      </w:hyperlink>
      <w:r w:rsidRPr="00A52D3C">
        <w:rPr>
          <w:rFonts w:ascii="Arial" w:hAnsi="Arial" w:cs="Arial"/>
          <w:color w:val="000000" w:themeColor="text1"/>
          <w:sz w:val="22"/>
          <w:szCs w:val="22"/>
        </w:rPr>
        <w:t xml:space="preserve"> [Accessed 16 Nov. 2025].</w:t>
      </w:r>
    </w:p>
    <w:p w14:paraId="53D9977A" w14:textId="77777777" w:rsidR="00EA540D" w:rsidRPr="002D5768" w:rsidRDefault="002D5768" w:rsidP="00F44FEF">
      <w:pPr>
        <w:pStyle w:val="NormalWeb"/>
        <w:spacing w:line="360" w:lineRule="auto"/>
        <w:ind w:left="330" w:hangingChars="150" w:hanging="330"/>
        <w:jc w:val="both"/>
        <w:rPr>
          <w:rFonts w:ascii="Arial" w:hAnsi="Arial" w:cs="Arial"/>
          <w:color w:val="000000" w:themeColor="text1"/>
          <w:sz w:val="22"/>
          <w:szCs w:val="22"/>
          <w:lang w:val="en-GB"/>
        </w:rPr>
      </w:pPr>
      <w:r w:rsidRPr="00A52D3C">
        <w:rPr>
          <w:rFonts w:ascii="Arial" w:hAnsi="Arial" w:cs="Arial"/>
          <w:color w:val="000000" w:themeColor="text1"/>
          <w:sz w:val="22"/>
          <w:szCs w:val="22"/>
        </w:rPr>
        <w:t xml:space="preserve">World Health Organization, 2023. </w:t>
      </w:r>
      <w:r w:rsidRPr="00A52D3C">
        <w:rPr>
          <w:rStyle w:val="Emphasis"/>
          <w:rFonts w:ascii="Arial" w:hAnsi="Arial" w:cs="Arial"/>
          <w:color w:val="000000" w:themeColor="text1"/>
          <w:sz w:val="22"/>
          <w:szCs w:val="22"/>
        </w:rPr>
        <w:t>Climate Change</w:t>
      </w:r>
      <w:r w:rsidRPr="00A52D3C">
        <w:rPr>
          <w:rFonts w:ascii="Arial" w:hAnsi="Arial" w:cs="Arial"/>
          <w:color w:val="000000" w:themeColor="text1"/>
          <w:sz w:val="22"/>
          <w:szCs w:val="22"/>
        </w:rPr>
        <w:t xml:space="preserve">. [online] Available at: </w:t>
      </w:r>
      <w:hyperlink r:id="rId16" w:tgtFrame="_new" w:history="1">
        <w:r w:rsidRPr="00A52D3C">
          <w:rPr>
            <w:rStyle w:val="Hyperlink"/>
            <w:rFonts w:ascii="Arial" w:hAnsi="Arial" w:cs="Arial"/>
            <w:color w:val="000000" w:themeColor="text1"/>
            <w:sz w:val="22"/>
            <w:szCs w:val="22"/>
          </w:rPr>
          <w:t>https://www.who.int/news-room/fact-sheets/detail/climate-change-and-health</w:t>
        </w:r>
      </w:hyperlink>
      <w:r w:rsidRPr="00A52D3C">
        <w:rPr>
          <w:rFonts w:ascii="Arial" w:hAnsi="Arial" w:cs="Arial"/>
          <w:color w:val="000000" w:themeColor="text1"/>
          <w:sz w:val="22"/>
          <w:szCs w:val="22"/>
        </w:rPr>
        <w:t xml:space="preserve"> [Accessed 16 Nov. 2025].</w:t>
      </w:r>
    </w:p>
    <w:sectPr w:rsidR="00EA540D" w:rsidRPr="002D5768">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auto"/>
    <w:pitch w:val="default"/>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9C3A1C"/>
    <w:rsid w:val="0022502F"/>
    <w:rsid w:val="002D5768"/>
    <w:rsid w:val="00436122"/>
    <w:rsid w:val="00503842"/>
    <w:rsid w:val="008F00FB"/>
    <w:rsid w:val="00A52D3C"/>
    <w:rsid w:val="00EA540D"/>
    <w:rsid w:val="00F44FEF"/>
    <w:rsid w:val="029C3A1C"/>
    <w:rsid w:val="0DFE5850"/>
    <w:rsid w:val="49105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BEEFA"/>
  <w15:docId w15:val="{18A0A4A1-2DCB-43DC-B099-42B16F040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SimHei" w:hAnsi="Arial" w:cs="Arial"/>
    </w:rPr>
  </w:style>
  <w:style w:type="character" w:styleId="Emphasis">
    <w:name w:val="Emphasis"/>
    <w:basedOn w:val="DefaultParagraphFont"/>
    <w:qFormat/>
    <w:rPr>
      <w:i/>
      <w:iCs/>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pcc.ch/report/ar6/wg2/" TargetMode="External"/><Relationship Id="rId13" Type="http://schemas.openxmlformats.org/officeDocument/2006/relationships/hyperlink" Target="https://understandingpatientdata.org.uk/upd/modal/1211"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irmingham.gov.uk/info/50119/health_and_wellbeing_board/1300/health_and_wellbeing_strategy" TargetMode="External"/><Relationship Id="rId12" Type="http://schemas.openxmlformats.org/officeDocument/2006/relationships/hyperlink" Target="https://www.gov.uk/government/publications/climate-change-health-effects-in-the-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ho.int/news-room/fact-sheets/detail/climate-change-and-health"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england.nhs.uk/greenernhs/wp-content/uploads/sites/51/2022/07/B1728-delivering-a-net-zero-nhs-july-2022.pdf" TargetMode="External"/><Relationship Id="rId5" Type="http://schemas.openxmlformats.org/officeDocument/2006/relationships/image" Target="cid:image001.png@01D0EA4A.2BD679A0" TargetMode="External"/><Relationship Id="rId15" Type="http://schemas.openxmlformats.org/officeDocument/2006/relationships/hyperlink" Target="https://cdn.who.int/media/docs/default-source/gho-documents/world-health-statistic-reports/2023/world-health-statistics-2023_20230519_.pdf" TargetMode="External"/><Relationship Id="rId10" Type="http://schemas.openxmlformats.org/officeDocument/2006/relationships/hyperlink" Target="https://www.longtermplan.nhs.uk/" TargetMode="External"/><Relationship Id="rId4" Type="http://schemas.openxmlformats.org/officeDocument/2006/relationships/image" Target="media/image1.png"/><Relationship Id="rId9" Type="http://schemas.openxmlformats.org/officeDocument/2006/relationships/hyperlink" Target="https://www.london.gov.uk/programmes-strategies/health-and-wellbeing/health-inequalities/health-inequalities-strategy-implementation-plan-2025-2028" TargetMode="External"/><Relationship Id="rId14" Type="http://schemas.openxmlformats.org/officeDocument/2006/relationships/hyperlink" Target="https://www.undp.org/ukraine/publications/transforming-our-world-2030-agenda-sustainable-developmen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2695</Words>
  <Characters>16902</Characters>
  <Application>Microsoft Office Word</Application>
  <DocSecurity>0</DocSecurity>
  <Lines>412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Beatrice Alexandra Mihaela Iordache (2226056)</cp:lastModifiedBy>
  <cp:revision>2</cp:revision>
  <dcterms:created xsi:type="dcterms:W3CDTF">2025-11-19T11:06:00Z</dcterms:created>
  <dcterms:modified xsi:type="dcterms:W3CDTF">2025-11-19T11:06:00Z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4D1642D2172A4E4A80B9539525092CA9_11</vt:lpwstr>
  </property>
  <property fmtid="{D5CDD505-2E9C-101B-9397-08002B2CF9AE}" pid="4" name="GrammarlyDocumentId">
    <vt:lpwstr>2d44cd0c-136f-4a7f-80a2-9b4cd2e27988</vt:lpwstr>
  </property>
</Properties>
</file>